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9940E" w14:textId="77777777" w:rsidR="00434323" w:rsidRPr="00131DA2" w:rsidRDefault="007F4C32" w:rsidP="00434323">
      <w:pPr>
        <w:pStyle w:val="1-MainHeading"/>
      </w:pPr>
      <w:bookmarkStart w:id="0" w:name="_Toc22898842"/>
      <w:bookmarkStart w:id="1" w:name="_Toc72246795"/>
      <w:bookmarkStart w:id="2" w:name="_Toc22897645"/>
      <w:r w:rsidRPr="00131DA2">
        <w:t>5.05</w:t>
      </w:r>
      <w:r w:rsidR="00434323" w:rsidRPr="00131DA2">
        <w:tab/>
        <w:t>NIRAPARIB</w:t>
      </w:r>
      <w:proofErr w:type="gramStart"/>
      <w:r w:rsidR="00434323" w:rsidRPr="00131DA2">
        <w:t>,</w:t>
      </w:r>
      <w:proofErr w:type="gramEnd"/>
      <w:r w:rsidR="00434323" w:rsidRPr="00131DA2">
        <w:br/>
        <w:t>Capsule 100</w:t>
      </w:r>
      <w:r w:rsidR="00023B5F" w:rsidRPr="00131DA2">
        <w:t xml:space="preserve"> </w:t>
      </w:r>
      <w:r w:rsidR="00434323" w:rsidRPr="00131DA2">
        <w:t>mg,</w:t>
      </w:r>
      <w:r w:rsidR="00434323" w:rsidRPr="00131DA2">
        <w:br/>
        <w:t>Zejula</w:t>
      </w:r>
      <w:r w:rsidR="00434323" w:rsidRPr="00131DA2">
        <w:rPr>
          <w:vertAlign w:val="superscript"/>
        </w:rPr>
        <w:t>®</w:t>
      </w:r>
      <w:r w:rsidR="00434323" w:rsidRPr="00131DA2">
        <w:t>,</w:t>
      </w:r>
      <w:r w:rsidR="00434323" w:rsidRPr="00131DA2">
        <w:br/>
      </w:r>
      <w:bookmarkEnd w:id="0"/>
      <w:r w:rsidR="00434323" w:rsidRPr="00131DA2">
        <w:t>GlaxoSmithKline Australia Pty Ltd</w:t>
      </w:r>
      <w:bookmarkEnd w:id="1"/>
    </w:p>
    <w:p w14:paraId="3BF19715" w14:textId="77777777" w:rsidR="00884F00" w:rsidRPr="00131DA2" w:rsidRDefault="00884F00" w:rsidP="00884F00">
      <w:pPr>
        <w:pStyle w:val="2-SectionHeading"/>
        <w:numPr>
          <w:ilvl w:val="0"/>
          <w:numId w:val="1"/>
        </w:numPr>
      </w:pPr>
      <w:bookmarkStart w:id="3" w:name="_Toc72246797"/>
      <w:bookmarkStart w:id="4" w:name="_Toc22898857"/>
      <w:bookmarkStart w:id="5" w:name="_Toc22897647"/>
      <w:bookmarkEnd w:id="2"/>
      <w:r w:rsidRPr="00131DA2">
        <w:t>Purpose of Submission</w:t>
      </w:r>
      <w:bookmarkEnd w:id="3"/>
    </w:p>
    <w:p w14:paraId="3E3DCABC" w14:textId="77777777" w:rsidR="00884F00" w:rsidRPr="00131DA2" w:rsidRDefault="00884F00" w:rsidP="00884F00">
      <w:pPr>
        <w:pStyle w:val="3-BodyText"/>
      </w:pPr>
      <w:r w:rsidRPr="00131DA2">
        <w:t xml:space="preserve">The </w:t>
      </w:r>
      <w:r w:rsidR="00857465">
        <w:t xml:space="preserve">Category 2 </w:t>
      </w:r>
      <w:r w:rsidRPr="00131DA2">
        <w:t xml:space="preserve">submission requested a Section 85 (General schedule), Authority required (streamlined) listing for niraparib for the treatment of newly diagnosed advanced, high-grade </w:t>
      </w:r>
      <w:r w:rsidR="00FF50B9" w:rsidRPr="00131DA2">
        <w:t>epithelial</w:t>
      </w:r>
      <w:r w:rsidRPr="00131DA2">
        <w:t xml:space="preserve"> ovarian, fallopian tube or primary peritoneal cancer (HGEOC), who are in response to platinum-based chemotherapy.</w:t>
      </w:r>
    </w:p>
    <w:p w14:paraId="639768CF" w14:textId="77777777" w:rsidR="00884F00" w:rsidRPr="00131DA2" w:rsidRDefault="00884F00" w:rsidP="00884F00">
      <w:pPr>
        <w:pStyle w:val="3-BodyText"/>
      </w:pPr>
      <w:r w:rsidRPr="00131DA2">
        <w:t>Listing was requested on the basis of a cost-utility analysis (CUA) of niraparib compared with “no active treatment” (referred to as standard medical management (SMM)), as a first-line maintenance therapy in patients with HGEOC, who are in response to platinum-based chemotherapy. The key</w:t>
      </w:r>
      <w:r w:rsidRPr="00131DA2">
        <w:rPr>
          <w:color w:val="0066FF"/>
        </w:rPr>
        <w:t xml:space="preserve"> </w:t>
      </w:r>
      <w:r w:rsidRPr="00131DA2">
        <w:t>components of the overall clinical claim addressed by the submission are summarised below.</w:t>
      </w:r>
    </w:p>
    <w:p w14:paraId="429CB739" w14:textId="77777777" w:rsidR="00884F00" w:rsidRPr="00131DA2" w:rsidRDefault="00884F00" w:rsidP="00884F00">
      <w:pPr>
        <w:pStyle w:val="TableFigureHeading"/>
        <w:rPr>
          <w:rStyle w:val="CommentReference"/>
          <w:b/>
          <w:szCs w:val="24"/>
        </w:rPr>
      </w:pPr>
      <w:r w:rsidRPr="00131DA2">
        <w:t xml:space="preserve">Table </w:t>
      </w:r>
      <w:r w:rsidR="008A7614">
        <w:rPr>
          <w:noProof/>
        </w:rPr>
        <w:t>1</w:t>
      </w:r>
      <w:r w:rsidRPr="00131DA2">
        <w:t xml:space="preserve">: </w:t>
      </w:r>
      <w:r w:rsidRPr="00131DA2">
        <w:rPr>
          <w:rStyle w:val="CommentReference"/>
          <w:b/>
          <w:szCs w:val="24"/>
        </w:rPr>
        <w:t>Key components of the clinical issue addressed by the submission</w:t>
      </w:r>
    </w:p>
    <w:tbl>
      <w:tblPr>
        <w:tblStyle w:val="TableGrid"/>
        <w:tblW w:w="5000" w:type="pct"/>
        <w:tblCellMar>
          <w:top w:w="6" w:type="dxa"/>
          <w:left w:w="28" w:type="dxa"/>
          <w:bottom w:w="6" w:type="dxa"/>
          <w:right w:w="28" w:type="dxa"/>
        </w:tblCellMar>
        <w:tblLook w:val="04A0" w:firstRow="1" w:lastRow="0" w:firstColumn="1" w:lastColumn="0" w:noHBand="0" w:noVBand="1"/>
        <w:tblCaption w:val="Table 1: Key components of the clinical issue addressed by the submission"/>
      </w:tblPr>
      <w:tblGrid>
        <w:gridCol w:w="967"/>
        <w:gridCol w:w="8050"/>
      </w:tblGrid>
      <w:tr w:rsidR="00884F00" w:rsidRPr="00131DA2" w14:paraId="735DFA97" w14:textId="77777777" w:rsidTr="000E1532">
        <w:trPr>
          <w:tblHeader/>
        </w:trPr>
        <w:tc>
          <w:tcPr>
            <w:tcW w:w="536" w:type="pct"/>
            <w:shd w:val="clear" w:color="auto" w:fill="auto"/>
            <w:vAlign w:val="center"/>
          </w:tcPr>
          <w:p w14:paraId="112DE060" w14:textId="77777777" w:rsidR="00884F00" w:rsidRPr="00131DA2" w:rsidRDefault="00884F00" w:rsidP="00AB7EDE">
            <w:pPr>
              <w:pStyle w:val="In-tableHeading"/>
              <w:jc w:val="center"/>
              <w:rPr>
                <w:lang w:val="en-AU"/>
              </w:rPr>
            </w:pPr>
            <w:r w:rsidRPr="00131DA2">
              <w:rPr>
                <w:lang w:val="en-AU"/>
              </w:rPr>
              <w:t>Component</w:t>
            </w:r>
          </w:p>
        </w:tc>
        <w:tc>
          <w:tcPr>
            <w:tcW w:w="4464" w:type="pct"/>
            <w:shd w:val="clear" w:color="auto" w:fill="auto"/>
            <w:vAlign w:val="center"/>
          </w:tcPr>
          <w:p w14:paraId="28056E1C" w14:textId="77777777" w:rsidR="00884F00" w:rsidRPr="00131DA2" w:rsidRDefault="00884F00" w:rsidP="00AB7EDE">
            <w:pPr>
              <w:pStyle w:val="In-tableHeading"/>
              <w:jc w:val="center"/>
              <w:rPr>
                <w:lang w:val="en-AU"/>
              </w:rPr>
            </w:pPr>
            <w:r w:rsidRPr="00131DA2">
              <w:rPr>
                <w:lang w:val="en-AU"/>
              </w:rPr>
              <w:t>Description</w:t>
            </w:r>
          </w:p>
        </w:tc>
      </w:tr>
      <w:tr w:rsidR="00884F00" w:rsidRPr="00131DA2" w14:paraId="0E8E7989" w14:textId="77777777" w:rsidTr="00CD42BD">
        <w:tc>
          <w:tcPr>
            <w:tcW w:w="536" w:type="pct"/>
            <w:shd w:val="clear" w:color="auto" w:fill="auto"/>
            <w:vAlign w:val="center"/>
          </w:tcPr>
          <w:p w14:paraId="77636B90" w14:textId="77777777" w:rsidR="00884F00" w:rsidRPr="00131DA2" w:rsidRDefault="00884F00" w:rsidP="00AB7EDE">
            <w:pPr>
              <w:pStyle w:val="TableText0"/>
            </w:pPr>
            <w:r w:rsidRPr="00131DA2">
              <w:t>Population</w:t>
            </w:r>
          </w:p>
        </w:tc>
        <w:tc>
          <w:tcPr>
            <w:tcW w:w="4464" w:type="pct"/>
            <w:shd w:val="clear" w:color="auto" w:fill="auto"/>
          </w:tcPr>
          <w:p w14:paraId="3C226521" w14:textId="77777777" w:rsidR="00884F00" w:rsidRPr="00131DA2" w:rsidRDefault="00884F00" w:rsidP="00AB7EDE">
            <w:pPr>
              <w:pStyle w:val="TableText0"/>
            </w:pPr>
            <w:r w:rsidRPr="00131DA2">
              <w:t>Patients with NDA (FIGO Stage III-IV) HGEOC who are in response (CR/PR) to PBC</w:t>
            </w:r>
          </w:p>
        </w:tc>
      </w:tr>
      <w:tr w:rsidR="00884F00" w:rsidRPr="00131DA2" w14:paraId="321982D2" w14:textId="77777777" w:rsidTr="00CD42BD">
        <w:tc>
          <w:tcPr>
            <w:tcW w:w="536" w:type="pct"/>
            <w:shd w:val="clear" w:color="auto" w:fill="auto"/>
            <w:vAlign w:val="center"/>
          </w:tcPr>
          <w:p w14:paraId="0AD92862" w14:textId="77777777" w:rsidR="00884F00" w:rsidRPr="00131DA2" w:rsidRDefault="00884F00" w:rsidP="00AB7EDE">
            <w:pPr>
              <w:pStyle w:val="TableText0"/>
            </w:pPr>
            <w:r w:rsidRPr="00131DA2">
              <w:t>Intervention</w:t>
            </w:r>
          </w:p>
        </w:tc>
        <w:tc>
          <w:tcPr>
            <w:tcW w:w="4464" w:type="pct"/>
            <w:shd w:val="clear" w:color="auto" w:fill="auto"/>
          </w:tcPr>
          <w:p w14:paraId="47EEE023" w14:textId="77777777" w:rsidR="00884F00" w:rsidRPr="00131DA2" w:rsidRDefault="00884F00" w:rsidP="00AB7EDE">
            <w:pPr>
              <w:pStyle w:val="TableText0"/>
            </w:pPr>
            <w:r w:rsidRPr="00131DA2">
              <w:t>Niraparib</w:t>
            </w:r>
          </w:p>
        </w:tc>
      </w:tr>
      <w:tr w:rsidR="00884F00" w:rsidRPr="00131DA2" w14:paraId="30B6A6A6" w14:textId="77777777" w:rsidTr="00CD42BD">
        <w:tc>
          <w:tcPr>
            <w:tcW w:w="536" w:type="pct"/>
            <w:shd w:val="clear" w:color="auto" w:fill="auto"/>
            <w:vAlign w:val="center"/>
          </w:tcPr>
          <w:p w14:paraId="17BC7F8B" w14:textId="77777777" w:rsidR="00884F00" w:rsidRPr="00131DA2" w:rsidRDefault="00884F00" w:rsidP="00AB7EDE">
            <w:pPr>
              <w:pStyle w:val="TableText0"/>
            </w:pPr>
            <w:r w:rsidRPr="00131DA2">
              <w:t>Comparator</w:t>
            </w:r>
          </w:p>
        </w:tc>
        <w:tc>
          <w:tcPr>
            <w:tcW w:w="4464" w:type="pct"/>
            <w:shd w:val="clear" w:color="auto" w:fill="auto"/>
          </w:tcPr>
          <w:p w14:paraId="3575B563" w14:textId="77777777" w:rsidR="00884F00" w:rsidRPr="00131DA2" w:rsidRDefault="00884F00" w:rsidP="00AB7EDE">
            <w:pPr>
              <w:pStyle w:val="TableText0"/>
            </w:pPr>
            <w:r w:rsidRPr="00131DA2">
              <w:t xml:space="preserve">BRCAm: Olaparib; </w:t>
            </w:r>
          </w:p>
          <w:p w14:paraId="7FBC7226" w14:textId="77777777" w:rsidR="00884F00" w:rsidRPr="00131DA2" w:rsidRDefault="00884F00" w:rsidP="00AB7EDE">
            <w:pPr>
              <w:pStyle w:val="TableText0"/>
            </w:pPr>
            <w:r w:rsidRPr="00131DA2">
              <w:t xml:space="preserve">Stage IIIB/IIIC R2 (sub-optimally debulked) and Stage IV: Bevacizumab; </w:t>
            </w:r>
          </w:p>
          <w:p w14:paraId="7B741E2D" w14:textId="77777777" w:rsidR="00884F00" w:rsidRPr="00131DA2" w:rsidRDefault="00884F00" w:rsidP="00AB7EDE">
            <w:pPr>
              <w:pStyle w:val="TableText0"/>
            </w:pPr>
            <w:r w:rsidRPr="00131DA2">
              <w:t>Stage IIIA and Stage IIIB/IIIC R0 + R1, non-BRCAm: standard medical management (no active treatment)</w:t>
            </w:r>
          </w:p>
        </w:tc>
      </w:tr>
      <w:tr w:rsidR="00884F00" w:rsidRPr="00131DA2" w14:paraId="0122C9ED" w14:textId="77777777" w:rsidTr="00CD42BD">
        <w:tc>
          <w:tcPr>
            <w:tcW w:w="536" w:type="pct"/>
            <w:shd w:val="clear" w:color="auto" w:fill="auto"/>
            <w:vAlign w:val="center"/>
          </w:tcPr>
          <w:p w14:paraId="6A240359" w14:textId="77777777" w:rsidR="00884F00" w:rsidRPr="00131DA2" w:rsidRDefault="00884F00" w:rsidP="00AB7EDE">
            <w:pPr>
              <w:pStyle w:val="TableText0"/>
            </w:pPr>
            <w:r w:rsidRPr="00131DA2">
              <w:t>Outcomes</w:t>
            </w:r>
          </w:p>
        </w:tc>
        <w:tc>
          <w:tcPr>
            <w:tcW w:w="4464" w:type="pct"/>
            <w:shd w:val="clear" w:color="auto" w:fill="auto"/>
          </w:tcPr>
          <w:p w14:paraId="02A14D65" w14:textId="77777777" w:rsidR="00884F00" w:rsidRPr="00131DA2" w:rsidRDefault="00884F00" w:rsidP="00AB7EDE">
            <w:pPr>
              <w:pStyle w:val="TableText0"/>
            </w:pPr>
            <w:r w:rsidRPr="00131DA2">
              <w:t>PFS, OS TFST, Safety</w:t>
            </w:r>
          </w:p>
        </w:tc>
      </w:tr>
      <w:tr w:rsidR="00884F00" w:rsidRPr="00131DA2" w14:paraId="6EBA3009" w14:textId="77777777" w:rsidTr="00CD42BD">
        <w:trPr>
          <w:trHeight w:val="469"/>
        </w:trPr>
        <w:tc>
          <w:tcPr>
            <w:tcW w:w="536" w:type="pct"/>
            <w:shd w:val="clear" w:color="auto" w:fill="auto"/>
            <w:vAlign w:val="center"/>
          </w:tcPr>
          <w:p w14:paraId="2EA93F59" w14:textId="77777777" w:rsidR="00884F00" w:rsidRPr="00131DA2" w:rsidRDefault="00884F00" w:rsidP="00AB7EDE">
            <w:pPr>
              <w:pStyle w:val="TableText0"/>
            </w:pPr>
            <w:r w:rsidRPr="00131DA2">
              <w:t>Clinical claim</w:t>
            </w:r>
          </w:p>
        </w:tc>
        <w:tc>
          <w:tcPr>
            <w:tcW w:w="4464" w:type="pct"/>
            <w:shd w:val="clear" w:color="auto" w:fill="auto"/>
          </w:tcPr>
          <w:p w14:paraId="2DF0174A" w14:textId="77777777" w:rsidR="00884F00" w:rsidRPr="00131DA2" w:rsidRDefault="00884F00" w:rsidP="00AB7EDE">
            <w:pPr>
              <w:pStyle w:val="TableText0"/>
            </w:pPr>
            <w:r w:rsidRPr="00131DA2">
              <w:t xml:space="preserve">In patients with NDA HGEOC who are in CR/PR to PBC, niraparib is superior to placebo (active surveillance) in terms of efficacy, with a manageable safety profile. </w:t>
            </w:r>
          </w:p>
        </w:tc>
      </w:tr>
    </w:tbl>
    <w:p w14:paraId="77D1A9A9" w14:textId="77777777" w:rsidR="00884F00" w:rsidRPr="00131DA2" w:rsidRDefault="00884F00" w:rsidP="00884F00">
      <w:pPr>
        <w:pStyle w:val="TableFigureFooter"/>
      </w:pPr>
      <w:r w:rsidRPr="00131DA2">
        <w:t>Source: Table 2 of the submission, p20</w:t>
      </w:r>
    </w:p>
    <w:p w14:paraId="4166BFA4" w14:textId="77777777" w:rsidR="00884F00" w:rsidRPr="00131DA2" w:rsidRDefault="00884F00" w:rsidP="00884F00">
      <w:pPr>
        <w:pStyle w:val="TableFigureFooter"/>
      </w:pPr>
      <w:r w:rsidRPr="00131DA2">
        <w:t>BRCAm = BRCA mutation; CR = complete response; FIGO = International Federation of Gynaecology and Obstetrics; HGEOC = high grade epithelial ovarian cancer; NDA = newly diagnosed advanced; OC = overall survival; PBC = platinum based chemotherapy; PFS = progression free survival; PR = partial response; R0 = nil visible residual disease (0cm); R1 = &gt;0 and ≤1cm residual disease; R2 = &gt;1cm residual disease; TFST = time to first subsequent treatment</w:t>
      </w:r>
    </w:p>
    <w:p w14:paraId="1DD2CB2D" w14:textId="77777777" w:rsidR="00884F00" w:rsidRPr="00131DA2" w:rsidRDefault="00884F00" w:rsidP="00884F00">
      <w:pPr>
        <w:pStyle w:val="2-SectionHeading"/>
        <w:numPr>
          <w:ilvl w:val="0"/>
          <w:numId w:val="1"/>
        </w:numPr>
      </w:pPr>
      <w:bookmarkStart w:id="6" w:name="_Toc72246798"/>
      <w:r w:rsidRPr="00131DA2">
        <w:t>Background</w:t>
      </w:r>
      <w:bookmarkEnd w:id="6"/>
    </w:p>
    <w:p w14:paraId="3AC93399" w14:textId="77777777" w:rsidR="00884F00" w:rsidRPr="00131DA2" w:rsidRDefault="00884F00" w:rsidP="00884F00">
      <w:pPr>
        <w:pStyle w:val="4-SubsectionHeading"/>
      </w:pPr>
      <w:bookmarkStart w:id="7" w:name="_Toc72246799"/>
      <w:r w:rsidRPr="00131DA2">
        <w:t>Registration status</w:t>
      </w:r>
      <w:bookmarkEnd w:id="7"/>
    </w:p>
    <w:p w14:paraId="53CD3B8A" w14:textId="77777777" w:rsidR="00884F00" w:rsidRPr="00131DA2" w:rsidRDefault="00884F00" w:rsidP="00884F00">
      <w:pPr>
        <w:pStyle w:val="3-BodyText"/>
      </w:pPr>
      <w:r w:rsidRPr="00131DA2">
        <w:t xml:space="preserve">The submission was made under the TGA/PBAC Parallel Process. At the time of PBAC consideration, </w:t>
      </w:r>
      <w:r w:rsidR="005F6D40" w:rsidRPr="00131DA2">
        <w:t xml:space="preserve">the </w:t>
      </w:r>
      <w:r w:rsidRPr="00131DA2">
        <w:t xml:space="preserve">TGA </w:t>
      </w:r>
      <w:r w:rsidR="000C4D9A" w:rsidRPr="00131DA2">
        <w:t xml:space="preserve">Second </w:t>
      </w:r>
      <w:r w:rsidRPr="00131DA2">
        <w:t xml:space="preserve">round </w:t>
      </w:r>
      <w:r w:rsidR="007321A4">
        <w:t>C</w:t>
      </w:r>
      <w:r w:rsidRPr="00131DA2">
        <w:t>linical Evaluation report</w:t>
      </w:r>
      <w:r w:rsidR="000C4D9A" w:rsidRPr="00131DA2">
        <w:t>, and Delegate’s Overview</w:t>
      </w:r>
      <w:r w:rsidRPr="00131DA2">
        <w:t xml:space="preserve"> </w:t>
      </w:r>
      <w:r w:rsidR="000C4D9A" w:rsidRPr="00131DA2">
        <w:t xml:space="preserve">were </w:t>
      </w:r>
      <w:r w:rsidRPr="00131DA2">
        <w:t>available.</w:t>
      </w:r>
    </w:p>
    <w:p w14:paraId="0371F780" w14:textId="77777777" w:rsidR="008A565C" w:rsidRPr="00131DA2" w:rsidRDefault="000A34AB" w:rsidP="00E7222F">
      <w:pPr>
        <w:pStyle w:val="3-BodyText"/>
        <w:numPr>
          <w:ilvl w:val="0"/>
          <w:numId w:val="11"/>
        </w:numPr>
        <w:ind w:left="1077" w:hanging="357"/>
      </w:pPr>
      <w:r w:rsidRPr="00131DA2">
        <w:t>The proposed TGA indication is</w:t>
      </w:r>
      <w:r w:rsidR="008A0EDC" w:rsidRPr="00131DA2">
        <w:t>:</w:t>
      </w:r>
      <w:r w:rsidRPr="00131DA2">
        <w:t xml:space="preserve"> </w:t>
      </w:r>
      <w:r w:rsidR="00446BB5" w:rsidRPr="00131DA2">
        <w:t>“</w:t>
      </w:r>
      <w:r w:rsidRPr="00131DA2">
        <w:t>for the maintenance treatment of adult patients with advanced high-grade ovarian, fallopian tube or primary peritoneal cancer who are in response (complete or partial) following completion of first-line platinum-based chemotherapy.</w:t>
      </w:r>
      <w:r w:rsidR="00446BB5" w:rsidRPr="00131DA2">
        <w:t>”</w:t>
      </w:r>
      <w:r w:rsidRPr="00131DA2">
        <w:t xml:space="preserve">   </w:t>
      </w:r>
    </w:p>
    <w:p w14:paraId="46309F39" w14:textId="77777777" w:rsidR="00884F00" w:rsidRPr="00131DA2" w:rsidRDefault="00884F00" w:rsidP="00884F00">
      <w:pPr>
        <w:pStyle w:val="3-BodyText"/>
      </w:pPr>
      <w:r w:rsidRPr="00131DA2">
        <w:lastRenderedPageBreak/>
        <w:t xml:space="preserve">Niraparib is currently TGA approved as monotherapy for the maintenance treatment of adult patients with platinum-sensitive </w:t>
      </w:r>
      <w:r w:rsidRPr="00A83D5F">
        <w:t>relapsed</w:t>
      </w:r>
      <w:r w:rsidRPr="00131DA2">
        <w:t xml:space="preserve"> high-grade serous epithelial ovarian, fallopian tube, or primary peritoneal cancer who are in response (complete or partial) to platinum-based chemotherapy.</w:t>
      </w:r>
    </w:p>
    <w:p w14:paraId="5259309D" w14:textId="77777777" w:rsidR="00AC3BF1" w:rsidRPr="00131DA2" w:rsidRDefault="00884F00" w:rsidP="00AC3BF1">
      <w:pPr>
        <w:pStyle w:val="3-BodyText"/>
      </w:pPr>
      <w:r w:rsidRPr="00131DA2">
        <w:t>The submission proposed the use of niraparib individualised starting dose (ISD) in which patients with body weight &lt;77kg or baseline platelet count &lt;150,000/µL start on 200mg/day, while all other patients start on 300mg/day. The evidence behind the ISD was based on pharmacokinetic modelling and post-hoc exploratory analyses from the NOVA trial</w:t>
      </w:r>
      <w:r w:rsidRPr="00131DA2">
        <w:rPr>
          <w:vertAlign w:val="superscript"/>
        </w:rPr>
        <w:footnoteReference w:id="2"/>
      </w:r>
      <w:r w:rsidRPr="00131DA2">
        <w:t>.  Based on this evidence, the PRIMA trial protocol was changed (</w:t>
      </w:r>
      <w:r w:rsidR="00B4123F" w:rsidRPr="00131DA2">
        <w:t>see below</w:t>
      </w:r>
      <w:r w:rsidRPr="00131DA2">
        <w:t xml:space="preserve">). The TGA </w:t>
      </w:r>
      <w:r w:rsidR="004374AF" w:rsidRPr="00131DA2">
        <w:t>delegate’s overview</w:t>
      </w:r>
      <w:r w:rsidRPr="00131DA2">
        <w:t xml:space="preserve"> </w:t>
      </w:r>
      <w:r w:rsidR="00400D60" w:rsidRPr="00131DA2">
        <w:t xml:space="preserve">concluded </w:t>
      </w:r>
      <w:r w:rsidRPr="00131DA2">
        <w:t xml:space="preserve">that </w:t>
      </w:r>
      <w:r w:rsidR="004374AF" w:rsidRPr="00131DA2">
        <w:t xml:space="preserve">interpretation is limited by the small </w:t>
      </w:r>
      <w:r w:rsidR="0095519F" w:rsidRPr="00131DA2">
        <w:t>sample</w:t>
      </w:r>
      <w:r w:rsidR="004374AF" w:rsidRPr="00131DA2">
        <w:t xml:space="preserve"> size and the post-hoc, indirect nature of the analysis, however, there was no signal of reduced efficacy. The </w:t>
      </w:r>
      <w:r w:rsidR="0095519F" w:rsidRPr="00131DA2">
        <w:t>delegate’s</w:t>
      </w:r>
      <w:r w:rsidR="004374AF" w:rsidRPr="00131DA2">
        <w:t xml:space="preserve"> overview also concluded that the </w:t>
      </w:r>
      <w:r w:rsidRPr="00131DA2">
        <w:t xml:space="preserve">ISD </w:t>
      </w:r>
      <w:r w:rsidR="004374AF" w:rsidRPr="00131DA2">
        <w:t xml:space="preserve">reduces haematological toxicity and in </w:t>
      </w:r>
      <w:r w:rsidR="0095519F" w:rsidRPr="00131DA2">
        <w:t>particular thrombocytopenia</w:t>
      </w:r>
      <w:r w:rsidRPr="00131DA2">
        <w:t xml:space="preserve">. </w:t>
      </w:r>
      <w:r w:rsidR="004374AF" w:rsidRPr="00131DA2">
        <w:t xml:space="preserve"> </w:t>
      </w:r>
    </w:p>
    <w:p w14:paraId="42AAC7E2" w14:textId="77777777" w:rsidR="00884F00" w:rsidRPr="00131DA2" w:rsidRDefault="00884F00" w:rsidP="004374AF">
      <w:pPr>
        <w:pStyle w:val="4-SubsectionHeading"/>
      </w:pPr>
      <w:bookmarkStart w:id="8" w:name="_Toc72246800"/>
      <w:r w:rsidRPr="00131DA2">
        <w:t>Previous PBAC consideration</w:t>
      </w:r>
      <w:bookmarkEnd w:id="8"/>
    </w:p>
    <w:p w14:paraId="2CC30291" w14:textId="77777777" w:rsidR="00884F00" w:rsidRPr="00131DA2" w:rsidRDefault="00884F00" w:rsidP="00884F00">
      <w:pPr>
        <w:pStyle w:val="3-BodyText"/>
      </w:pPr>
      <w:r w:rsidRPr="00131DA2">
        <w:t xml:space="preserve">This is the first PBAC submission of niraparib for the </w:t>
      </w:r>
      <w:r w:rsidR="0095519F" w:rsidRPr="00131DA2">
        <w:t>treatment</w:t>
      </w:r>
      <w:r w:rsidRPr="00131DA2">
        <w:t xml:space="preserve"> of newly diagnosed advanced high-grade epithelial ovarian cancer who are in response to platinum-based chemotherapy. Niraparib was considered by the PBAC in March 2021 for the treatment of platinum sensitive relapsed, </w:t>
      </w:r>
      <w:r w:rsidR="002E7CB4" w:rsidRPr="00131DA2">
        <w:t>high-grade</w:t>
      </w:r>
      <w:r w:rsidRPr="00131DA2">
        <w:t xml:space="preserve"> serous ovarian, fallopian tube or primary peritoneal cancer, who are in response to platinum-based chemotherapy</w:t>
      </w:r>
      <w:r w:rsidR="005F6D40" w:rsidRPr="00131DA2">
        <w:t>, but was not recommended for listing in this indication</w:t>
      </w:r>
      <w:r w:rsidRPr="00131DA2">
        <w:t>.</w:t>
      </w:r>
    </w:p>
    <w:p w14:paraId="504649DE" w14:textId="77777777" w:rsidR="00A238BC" w:rsidRPr="00131DA2" w:rsidRDefault="00A238BC" w:rsidP="00A238BC">
      <w:pPr>
        <w:ind w:firstLine="709"/>
        <w:rPr>
          <w:rFonts w:asciiTheme="minorHAnsi" w:hAnsiTheme="minorHAnsi"/>
          <w:i/>
        </w:rPr>
      </w:pPr>
      <w:r w:rsidRPr="00131DA2">
        <w:rPr>
          <w:rFonts w:asciiTheme="minorHAnsi" w:hAnsiTheme="minorHAnsi"/>
          <w:i/>
        </w:rPr>
        <w:t>For more detail on PBAC’s view, see section 7 PBAC outcome.</w:t>
      </w:r>
    </w:p>
    <w:p w14:paraId="338CB7A5" w14:textId="77777777" w:rsidR="00884F00" w:rsidRPr="002F6931" w:rsidRDefault="00884F00" w:rsidP="00884F00">
      <w:pPr>
        <w:pStyle w:val="2-SectionHeading"/>
        <w:numPr>
          <w:ilvl w:val="0"/>
          <w:numId w:val="1"/>
        </w:numPr>
      </w:pPr>
      <w:bookmarkStart w:id="9" w:name="_Toc72246801"/>
      <w:r w:rsidRPr="002F6931">
        <w:t>Requested listing</w:t>
      </w:r>
      <w:bookmarkEnd w:id="9"/>
    </w:p>
    <w:p w14:paraId="386E014B" w14:textId="77777777" w:rsidR="00032DCE" w:rsidRPr="00C42AA2" w:rsidRDefault="00180132" w:rsidP="00084F79">
      <w:pPr>
        <w:pStyle w:val="3-BodyText"/>
        <w:rPr>
          <w:rFonts w:cstheme="minorHAnsi"/>
        </w:rPr>
      </w:pPr>
      <w:r w:rsidRPr="00C42AA2">
        <w:rPr>
          <w:rFonts w:cs="Calibri"/>
          <w:bCs/>
        </w:rPr>
        <w:t>Suggestions and additions proposed by the Secretariat are added in italics and suggested deletions are crossed out with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1268"/>
        <w:gridCol w:w="846"/>
        <w:gridCol w:w="1127"/>
        <w:gridCol w:w="1270"/>
        <w:gridCol w:w="1832"/>
      </w:tblGrid>
      <w:tr w:rsidR="00471C53" w:rsidRPr="00471C53" w14:paraId="19C346EA" w14:textId="77777777" w:rsidTr="00CD42BD">
        <w:trPr>
          <w:cantSplit/>
          <w:trHeight w:val="471"/>
        </w:trPr>
        <w:tc>
          <w:tcPr>
            <w:tcW w:w="1483" w:type="pct"/>
          </w:tcPr>
          <w:p w14:paraId="6F34779B" w14:textId="77777777" w:rsidR="00032DCE" w:rsidRPr="00471C53" w:rsidRDefault="00032DCE" w:rsidP="00D3589D">
            <w:pPr>
              <w:keepNext/>
              <w:ind w:left="-57"/>
              <w:rPr>
                <w:rFonts w:ascii="Arial Narrow" w:hAnsi="Arial Narrow"/>
                <w:b/>
                <w:bCs/>
                <w:sz w:val="18"/>
                <w:szCs w:val="18"/>
              </w:rPr>
            </w:pPr>
            <w:r w:rsidRPr="00471C53">
              <w:rPr>
                <w:rFonts w:ascii="Arial Narrow" w:hAnsi="Arial Narrow"/>
                <w:b/>
                <w:bCs/>
                <w:sz w:val="18"/>
                <w:szCs w:val="18"/>
              </w:rPr>
              <w:t>MEDICINAL PRODUCT</w:t>
            </w:r>
          </w:p>
          <w:p w14:paraId="4ADD5B96" w14:textId="77777777" w:rsidR="00032DCE" w:rsidRPr="00471C53" w:rsidRDefault="00032DCE" w:rsidP="00D3589D">
            <w:pPr>
              <w:keepNext/>
              <w:ind w:left="-57"/>
              <w:rPr>
                <w:rFonts w:ascii="Arial Narrow" w:hAnsi="Arial Narrow"/>
                <w:b/>
                <w:sz w:val="18"/>
                <w:szCs w:val="18"/>
              </w:rPr>
            </w:pPr>
            <w:r w:rsidRPr="00471C53">
              <w:rPr>
                <w:rFonts w:ascii="Arial Narrow" w:hAnsi="Arial Narrow"/>
                <w:b/>
                <w:bCs/>
                <w:sz w:val="18"/>
                <w:szCs w:val="18"/>
              </w:rPr>
              <w:t>medicinal product pack</w:t>
            </w:r>
          </w:p>
        </w:tc>
        <w:tc>
          <w:tcPr>
            <w:tcW w:w="703" w:type="pct"/>
          </w:tcPr>
          <w:p w14:paraId="290F6116" w14:textId="77777777" w:rsidR="00032DCE" w:rsidRPr="00471C53" w:rsidRDefault="00032DCE" w:rsidP="00D3589D">
            <w:pPr>
              <w:keepNext/>
              <w:ind w:left="-108"/>
              <w:jc w:val="center"/>
              <w:rPr>
                <w:rFonts w:ascii="Arial Narrow" w:hAnsi="Arial Narrow"/>
                <w:b/>
                <w:sz w:val="18"/>
                <w:szCs w:val="18"/>
              </w:rPr>
            </w:pPr>
            <w:r w:rsidRPr="00471C53">
              <w:rPr>
                <w:rFonts w:ascii="Arial Narrow" w:hAnsi="Arial Narrow"/>
                <w:b/>
                <w:sz w:val="18"/>
                <w:szCs w:val="18"/>
              </w:rPr>
              <w:t>PBS item code</w:t>
            </w:r>
          </w:p>
        </w:tc>
        <w:tc>
          <w:tcPr>
            <w:tcW w:w="469" w:type="pct"/>
          </w:tcPr>
          <w:p w14:paraId="4E0C496E" w14:textId="77777777" w:rsidR="00032DCE" w:rsidRPr="00471C53" w:rsidRDefault="00032DCE" w:rsidP="00D3589D">
            <w:pPr>
              <w:keepNext/>
              <w:ind w:left="-108"/>
              <w:jc w:val="center"/>
              <w:rPr>
                <w:rFonts w:ascii="Arial Narrow" w:hAnsi="Arial Narrow"/>
                <w:b/>
                <w:sz w:val="18"/>
                <w:szCs w:val="18"/>
              </w:rPr>
            </w:pPr>
            <w:r w:rsidRPr="00471C53">
              <w:rPr>
                <w:rFonts w:ascii="Arial Narrow" w:hAnsi="Arial Narrow"/>
                <w:b/>
                <w:sz w:val="18"/>
                <w:szCs w:val="18"/>
              </w:rPr>
              <w:t>Max. qty packs</w:t>
            </w:r>
          </w:p>
        </w:tc>
        <w:tc>
          <w:tcPr>
            <w:tcW w:w="625" w:type="pct"/>
          </w:tcPr>
          <w:p w14:paraId="4869E2E4" w14:textId="77777777" w:rsidR="00032DCE" w:rsidRPr="00471C53" w:rsidRDefault="00032DCE" w:rsidP="00D3589D">
            <w:pPr>
              <w:keepNext/>
              <w:ind w:left="-108"/>
              <w:jc w:val="center"/>
              <w:rPr>
                <w:rFonts w:ascii="Arial Narrow" w:hAnsi="Arial Narrow"/>
                <w:b/>
                <w:sz w:val="18"/>
                <w:szCs w:val="18"/>
              </w:rPr>
            </w:pPr>
            <w:r w:rsidRPr="00471C53">
              <w:rPr>
                <w:rFonts w:ascii="Arial Narrow" w:hAnsi="Arial Narrow"/>
                <w:b/>
                <w:sz w:val="18"/>
                <w:szCs w:val="18"/>
              </w:rPr>
              <w:t>Max. qty units</w:t>
            </w:r>
          </w:p>
        </w:tc>
        <w:tc>
          <w:tcPr>
            <w:tcW w:w="704" w:type="pct"/>
          </w:tcPr>
          <w:p w14:paraId="21322E2E" w14:textId="77777777" w:rsidR="00032DCE" w:rsidRPr="00471C53" w:rsidRDefault="00032DCE" w:rsidP="00D3589D">
            <w:pPr>
              <w:keepNext/>
              <w:ind w:left="-108"/>
              <w:jc w:val="center"/>
              <w:rPr>
                <w:rFonts w:ascii="Arial Narrow" w:hAnsi="Arial Narrow"/>
                <w:b/>
                <w:sz w:val="18"/>
                <w:szCs w:val="18"/>
              </w:rPr>
            </w:pPr>
            <w:r w:rsidRPr="00471C53">
              <w:rPr>
                <w:rFonts w:ascii="Arial Narrow" w:hAnsi="Arial Narrow"/>
                <w:b/>
                <w:sz w:val="18"/>
                <w:szCs w:val="18"/>
              </w:rPr>
              <w:t>№.of</w:t>
            </w:r>
          </w:p>
          <w:p w14:paraId="1D225D06" w14:textId="77777777" w:rsidR="00032DCE" w:rsidRPr="00471C53" w:rsidRDefault="00032DCE" w:rsidP="00D3589D">
            <w:pPr>
              <w:keepNext/>
              <w:ind w:left="-108"/>
              <w:jc w:val="center"/>
              <w:rPr>
                <w:rFonts w:ascii="Arial Narrow" w:hAnsi="Arial Narrow"/>
                <w:b/>
                <w:sz w:val="18"/>
                <w:szCs w:val="18"/>
              </w:rPr>
            </w:pPr>
            <w:r w:rsidRPr="00471C53">
              <w:rPr>
                <w:rFonts w:ascii="Arial Narrow" w:hAnsi="Arial Narrow"/>
                <w:b/>
                <w:sz w:val="18"/>
                <w:szCs w:val="18"/>
              </w:rPr>
              <w:t>Rpts</w:t>
            </w:r>
          </w:p>
        </w:tc>
        <w:tc>
          <w:tcPr>
            <w:tcW w:w="1016" w:type="pct"/>
          </w:tcPr>
          <w:p w14:paraId="4A577F81" w14:textId="77777777" w:rsidR="00032DCE" w:rsidRPr="00471C53" w:rsidRDefault="00032DCE" w:rsidP="00D3589D">
            <w:pPr>
              <w:keepNext/>
              <w:rPr>
                <w:rFonts w:ascii="Arial Narrow" w:hAnsi="Arial Narrow"/>
                <w:b/>
                <w:sz w:val="18"/>
                <w:szCs w:val="18"/>
              </w:rPr>
            </w:pPr>
            <w:r w:rsidRPr="00471C53">
              <w:rPr>
                <w:rFonts w:ascii="Arial Narrow" w:hAnsi="Arial Narrow"/>
                <w:b/>
                <w:sz w:val="18"/>
                <w:szCs w:val="18"/>
              </w:rPr>
              <w:t>Available brands</w:t>
            </w:r>
          </w:p>
        </w:tc>
      </w:tr>
      <w:tr w:rsidR="00471C53" w:rsidRPr="00471C53" w14:paraId="353206F3" w14:textId="77777777" w:rsidTr="00CD42BD">
        <w:trPr>
          <w:cantSplit/>
          <w:trHeight w:val="224"/>
        </w:trPr>
        <w:tc>
          <w:tcPr>
            <w:tcW w:w="5000" w:type="pct"/>
            <w:gridSpan w:val="6"/>
          </w:tcPr>
          <w:p w14:paraId="73844AAF" w14:textId="77777777" w:rsidR="00032DCE" w:rsidRPr="00471C53" w:rsidRDefault="00032DCE" w:rsidP="00D3589D">
            <w:pPr>
              <w:keepNext/>
              <w:ind w:left="-57"/>
              <w:rPr>
                <w:rFonts w:ascii="Arial Narrow" w:hAnsi="Arial Narrow"/>
                <w:sz w:val="18"/>
                <w:szCs w:val="18"/>
              </w:rPr>
            </w:pPr>
            <w:r w:rsidRPr="00471C53">
              <w:rPr>
                <w:rFonts w:ascii="Arial Narrow" w:hAnsi="Arial Narrow"/>
                <w:sz w:val="18"/>
                <w:szCs w:val="18"/>
              </w:rPr>
              <w:t>NIRAPARIB</w:t>
            </w:r>
          </w:p>
        </w:tc>
      </w:tr>
      <w:tr w:rsidR="00471C53" w:rsidRPr="00471C53" w14:paraId="6B7A2576" w14:textId="77777777" w:rsidTr="00CD42BD">
        <w:trPr>
          <w:cantSplit/>
          <w:trHeight w:val="441"/>
        </w:trPr>
        <w:tc>
          <w:tcPr>
            <w:tcW w:w="1483" w:type="pct"/>
          </w:tcPr>
          <w:p w14:paraId="5B4156FE" w14:textId="77777777" w:rsidR="00032DCE" w:rsidRPr="00471C53" w:rsidRDefault="00032DCE" w:rsidP="00D3589D">
            <w:pPr>
              <w:keepNext/>
              <w:ind w:left="-57"/>
              <w:rPr>
                <w:rFonts w:ascii="Arial Narrow" w:hAnsi="Arial Narrow"/>
                <w:sz w:val="18"/>
                <w:szCs w:val="18"/>
              </w:rPr>
            </w:pPr>
            <w:r w:rsidRPr="00471C53">
              <w:rPr>
                <w:rFonts w:ascii="Arial Narrow" w:hAnsi="Arial Narrow"/>
                <w:sz w:val="18"/>
                <w:szCs w:val="18"/>
              </w:rPr>
              <w:t>Niraparib 100 mg capsule, 84</w:t>
            </w:r>
          </w:p>
        </w:tc>
        <w:tc>
          <w:tcPr>
            <w:tcW w:w="703" w:type="pct"/>
          </w:tcPr>
          <w:p w14:paraId="74B32962" w14:textId="77777777" w:rsidR="00032DCE" w:rsidRPr="00471C53" w:rsidRDefault="00032DCE" w:rsidP="00D3589D">
            <w:pPr>
              <w:keepNext/>
              <w:jc w:val="center"/>
              <w:rPr>
                <w:rFonts w:ascii="Arial Narrow" w:hAnsi="Arial Narrow"/>
                <w:sz w:val="18"/>
                <w:szCs w:val="18"/>
              </w:rPr>
            </w:pPr>
            <w:r w:rsidRPr="00471C53">
              <w:rPr>
                <w:rFonts w:ascii="Arial Narrow" w:hAnsi="Arial Narrow"/>
                <w:sz w:val="18"/>
                <w:szCs w:val="18"/>
              </w:rPr>
              <w:t>NEW</w:t>
            </w:r>
          </w:p>
        </w:tc>
        <w:tc>
          <w:tcPr>
            <w:tcW w:w="469" w:type="pct"/>
          </w:tcPr>
          <w:p w14:paraId="18479003" w14:textId="77777777" w:rsidR="00032DCE" w:rsidRPr="00471C53" w:rsidRDefault="00032DCE" w:rsidP="00D3589D">
            <w:pPr>
              <w:keepNext/>
              <w:jc w:val="center"/>
              <w:rPr>
                <w:rFonts w:ascii="Arial Narrow" w:hAnsi="Arial Narrow"/>
                <w:sz w:val="18"/>
                <w:szCs w:val="18"/>
              </w:rPr>
            </w:pPr>
            <w:r w:rsidRPr="00471C53">
              <w:rPr>
                <w:rFonts w:ascii="Arial Narrow" w:hAnsi="Arial Narrow"/>
                <w:sz w:val="18"/>
                <w:szCs w:val="18"/>
              </w:rPr>
              <w:t>1</w:t>
            </w:r>
          </w:p>
        </w:tc>
        <w:tc>
          <w:tcPr>
            <w:tcW w:w="625" w:type="pct"/>
          </w:tcPr>
          <w:p w14:paraId="0C6C7CDD" w14:textId="77777777" w:rsidR="00032DCE" w:rsidRPr="00471C53" w:rsidRDefault="00032DCE" w:rsidP="00D3589D">
            <w:pPr>
              <w:keepNext/>
              <w:jc w:val="center"/>
              <w:rPr>
                <w:rFonts w:ascii="Arial Narrow" w:hAnsi="Arial Narrow"/>
                <w:sz w:val="18"/>
                <w:szCs w:val="18"/>
              </w:rPr>
            </w:pPr>
            <w:r w:rsidRPr="00471C53">
              <w:rPr>
                <w:rFonts w:ascii="Arial Narrow" w:hAnsi="Arial Narrow"/>
                <w:sz w:val="18"/>
                <w:szCs w:val="18"/>
              </w:rPr>
              <w:t>84</w:t>
            </w:r>
          </w:p>
        </w:tc>
        <w:tc>
          <w:tcPr>
            <w:tcW w:w="704" w:type="pct"/>
          </w:tcPr>
          <w:p w14:paraId="38FEDF7C" w14:textId="77777777" w:rsidR="00032DCE" w:rsidRPr="00471C53" w:rsidRDefault="00032DCE" w:rsidP="00D3589D">
            <w:pPr>
              <w:keepNext/>
              <w:jc w:val="center"/>
              <w:rPr>
                <w:rFonts w:ascii="Arial Narrow" w:hAnsi="Arial Narrow"/>
                <w:sz w:val="18"/>
                <w:szCs w:val="18"/>
              </w:rPr>
            </w:pPr>
            <w:r w:rsidRPr="00471C53">
              <w:rPr>
                <w:rFonts w:ascii="Arial Narrow" w:hAnsi="Arial Narrow"/>
                <w:sz w:val="18"/>
                <w:szCs w:val="18"/>
              </w:rPr>
              <w:t>2</w:t>
            </w:r>
          </w:p>
        </w:tc>
        <w:tc>
          <w:tcPr>
            <w:tcW w:w="1016" w:type="pct"/>
          </w:tcPr>
          <w:p w14:paraId="24D0708A" w14:textId="77777777" w:rsidR="00032DCE" w:rsidRPr="00471C53" w:rsidRDefault="00032DCE" w:rsidP="00D3589D">
            <w:pPr>
              <w:keepNext/>
              <w:rPr>
                <w:rFonts w:ascii="Arial Narrow" w:hAnsi="Arial Narrow"/>
                <w:sz w:val="18"/>
                <w:szCs w:val="18"/>
              </w:rPr>
            </w:pPr>
            <w:r w:rsidRPr="00471C53">
              <w:rPr>
                <w:rFonts w:ascii="Arial Narrow" w:hAnsi="Arial Narrow"/>
                <w:sz w:val="18"/>
                <w:szCs w:val="18"/>
              </w:rPr>
              <w:t>Zejula</w:t>
            </w:r>
          </w:p>
        </w:tc>
      </w:tr>
      <w:tr w:rsidR="00471C53" w:rsidRPr="00471C53" w14:paraId="2DF42976" w14:textId="77777777" w:rsidTr="00CD42BD">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47FC1D12" w14:textId="77777777" w:rsidR="00C42AA2" w:rsidRPr="00471C53" w:rsidRDefault="00C42AA2" w:rsidP="00D3589D">
            <w:pPr>
              <w:rPr>
                <w:rFonts w:ascii="Arial Narrow" w:hAnsi="Arial Narrow"/>
                <w:sz w:val="18"/>
                <w:szCs w:val="18"/>
              </w:rPr>
            </w:pPr>
            <w:r w:rsidRPr="00471C53">
              <w:rPr>
                <w:rFonts w:ascii="Arial Narrow" w:hAnsi="Arial Narrow"/>
                <w:b/>
                <w:sz w:val="18"/>
                <w:szCs w:val="18"/>
              </w:rPr>
              <w:t xml:space="preserve">Category / Program: </w:t>
            </w:r>
            <w:r w:rsidRPr="00471C53">
              <w:rPr>
                <w:rFonts w:ascii="Arial Narrow" w:hAnsi="Arial Narrow"/>
                <w:sz w:val="18"/>
                <w:szCs w:val="18"/>
              </w:rPr>
              <w:t>General Schedule</w:t>
            </w:r>
          </w:p>
        </w:tc>
      </w:tr>
      <w:tr w:rsidR="00471C53" w:rsidRPr="00471C53" w14:paraId="6857CDBB" w14:textId="77777777" w:rsidTr="00CD42BD">
        <w:tblPrEx>
          <w:tblCellMar>
            <w:top w:w="15" w:type="dxa"/>
            <w:left w:w="15" w:type="dxa"/>
            <w:bottom w:w="15" w:type="dxa"/>
            <w:right w:w="15" w:type="dxa"/>
          </w:tblCellMar>
          <w:tblLook w:val="04A0" w:firstRow="1" w:lastRow="0" w:firstColumn="1" w:lastColumn="0" w:noHBand="0" w:noVBand="1"/>
        </w:tblPrEx>
        <w:trPr>
          <w:trHeight w:val="240"/>
        </w:trPr>
        <w:tc>
          <w:tcPr>
            <w:tcW w:w="5000" w:type="pct"/>
            <w:gridSpan w:val="6"/>
            <w:tcBorders>
              <w:top w:val="single" w:sz="4" w:space="0" w:color="auto"/>
              <w:left w:val="single" w:sz="4" w:space="0" w:color="auto"/>
              <w:bottom w:val="single" w:sz="4" w:space="0" w:color="auto"/>
              <w:right w:val="single" w:sz="4" w:space="0" w:color="auto"/>
            </w:tcBorders>
          </w:tcPr>
          <w:p w14:paraId="0AE75941" w14:textId="77777777" w:rsidR="00C42AA2" w:rsidRPr="00471C53" w:rsidRDefault="00C42AA2" w:rsidP="00D3589D">
            <w:pPr>
              <w:rPr>
                <w:rFonts w:ascii="Arial Narrow" w:hAnsi="Arial Narrow"/>
                <w:b/>
                <w:sz w:val="18"/>
                <w:szCs w:val="18"/>
              </w:rPr>
            </w:pPr>
            <w:r w:rsidRPr="00471C53">
              <w:rPr>
                <w:rFonts w:ascii="Arial Narrow" w:hAnsi="Arial Narrow"/>
                <w:b/>
                <w:sz w:val="18"/>
                <w:szCs w:val="18"/>
              </w:rPr>
              <w:t xml:space="preserve">Prescriber type:   </w:t>
            </w:r>
            <w:r w:rsidRPr="00471C53">
              <w:rPr>
                <w:rFonts w:ascii="Arial Narrow" w:hAnsi="Arial Narrow"/>
                <w:sz w:val="18"/>
                <w:szCs w:val="18"/>
              </w:rPr>
              <w:fldChar w:fldCharType="begin">
                <w:ffData>
                  <w:name w:val=""/>
                  <w:enabled/>
                  <w:calcOnExit w:val="0"/>
                  <w:checkBox>
                    <w:sizeAuto/>
                    <w:default w:val="1"/>
                  </w:checkBox>
                </w:ffData>
              </w:fldChar>
            </w:r>
            <w:r w:rsidRPr="00471C53">
              <w:rPr>
                <w:rFonts w:ascii="Arial Narrow" w:hAnsi="Arial Narrow"/>
                <w:sz w:val="18"/>
                <w:szCs w:val="18"/>
              </w:rPr>
              <w:instrText xml:space="preserve"> FORMCHECKBOX </w:instrText>
            </w:r>
            <w:r w:rsidR="00E146A6">
              <w:rPr>
                <w:rFonts w:ascii="Arial Narrow" w:hAnsi="Arial Narrow"/>
                <w:sz w:val="18"/>
                <w:szCs w:val="18"/>
              </w:rPr>
            </w:r>
            <w:r w:rsidR="00E146A6">
              <w:rPr>
                <w:rFonts w:ascii="Arial Narrow" w:hAnsi="Arial Narrow"/>
                <w:sz w:val="18"/>
                <w:szCs w:val="18"/>
              </w:rPr>
              <w:fldChar w:fldCharType="separate"/>
            </w:r>
            <w:r w:rsidRPr="00471C53">
              <w:rPr>
                <w:rFonts w:ascii="Arial Narrow" w:hAnsi="Arial Narrow"/>
                <w:sz w:val="18"/>
                <w:szCs w:val="18"/>
              </w:rPr>
              <w:fldChar w:fldCharType="end"/>
            </w:r>
            <w:r w:rsidRPr="00471C53">
              <w:rPr>
                <w:rFonts w:ascii="Arial Narrow" w:hAnsi="Arial Narrow"/>
                <w:sz w:val="18"/>
                <w:szCs w:val="18"/>
              </w:rPr>
              <w:t>Medical Practitioners</w:t>
            </w:r>
          </w:p>
        </w:tc>
      </w:tr>
      <w:tr w:rsidR="00471C53" w:rsidRPr="00471C53" w14:paraId="3B26181D" w14:textId="77777777" w:rsidTr="00CD42BD">
        <w:tblPrEx>
          <w:tblCellMar>
            <w:top w:w="15" w:type="dxa"/>
            <w:left w:w="15" w:type="dxa"/>
            <w:bottom w:w="15" w:type="dxa"/>
            <w:right w:w="15" w:type="dxa"/>
          </w:tblCellMar>
          <w:tblLook w:val="04A0" w:firstRow="1" w:lastRow="0" w:firstColumn="1" w:lastColumn="0" w:noHBand="0" w:noVBand="1"/>
        </w:tblPrEx>
        <w:trPr>
          <w:trHeight w:val="266"/>
        </w:trPr>
        <w:tc>
          <w:tcPr>
            <w:tcW w:w="5000" w:type="pct"/>
            <w:gridSpan w:val="6"/>
            <w:tcBorders>
              <w:top w:val="single" w:sz="4" w:space="0" w:color="auto"/>
              <w:left w:val="single" w:sz="4" w:space="0" w:color="auto"/>
              <w:bottom w:val="single" w:sz="4" w:space="0" w:color="auto"/>
              <w:right w:val="single" w:sz="4" w:space="0" w:color="auto"/>
            </w:tcBorders>
          </w:tcPr>
          <w:p w14:paraId="0B7C64D7" w14:textId="77777777" w:rsidR="00C42AA2" w:rsidRPr="00471C53" w:rsidRDefault="00C42AA2" w:rsidP="00D3589D">
            <w:pPr>
              <w:rPr>
                <w:rFonts w:ascii="Arial Narrow" w:hAnsi="Arial Narrow"/>
                <w:b/>
                <w:sz w:val="18"/>
                <w:szCs w:val="18"/>
              </w:rPr>
            </w:pPr>
            <w:r w:rsidRPr="00471C53">
              <w:rPr>
                <w:rFonts w:ascii="Arial Narrow" w:hAnsi="Arial Narrow"/>
                <w:b/>
                <w:sz w:val="18"/>
                <w:szCs w:val="18"/>
              </w:rPr>
              <w:t xml:space="preserve">Restriction type: </w:t>
            </w:r>
          </w:p>
          <w:p w14:paraId="3E3540C8" w14:textId="77777777" w:rsidR="00C42AA2" w:rsidRPr="00471C53" w:rsidRDefault="00C42AA2" w:rsidP="00D3589D">
            <w:pPr>
              <w:rPr>
                <w:rFonts w:ascii="Arial Narrow" w:eastAsia="Calibri" w:hAnsi="Arial Narrow"/>
                <w:strike/>
                <w:sz w:val="18"/>
                <w:szCs w:val="18"/>
              </w:rPr>
            </w:pPr>
            <w:r w:rsidRPr="00471C53">
              <w:rPr>
                <w:rFonts w:ascii="Arial Narrow" w:eastAsia="Calibri" w:hAnsi="Arial Narrow"/>
                <w:strike/>
                <w:sz w:val="18"/>
                <w:szCs w:val="18"/>
              </w:rPr>
              <w:fldChar w:fldCharType="begin">
                <w:ffData>
                  <w:name w:val=""/>
                  <w:enabled/>
                  <w:calcOnExit w:val="0"/>
                  <w:checkBox>
                    <w:sizeAuto/>
                    <w:default w:val="1"/>
                  </w:checkBox>
                </w:ffData>
              </w:fldChar>
            </w:r>
            <w:r w:rsidRPr="00471C53">
              <w:rPr>
                <w:rFonts w:ascii="Arial Narrow" w:eastAsia="Calibri" w:hAnsi="Arial Narrow"/>
                <w:strike/>
                <w:sz w:val="18"/>
                <w:szCs w:val="18"/>
              </w:rPr>
              <w:instrText xml:space="preserve"> FORMCHECKBOX </w:instrText>
            </w:r>
            <w:r w:rsidR="00E146A6">
              <w:rPr>
                <w:rFonts w:ascii="Arial Narrow" w:eastAsia="Calibri" w:hAnsi="Arial Narrow"/>
                <w:strike/>
                <w:sz w:val="18"/>
                <w:szCs w:val="18"/>
              </w:rPr>
            </w:r>
            <w:r w:rsidR="00E146A6">
              <w:rPr>
                <w:rFonts w:ascii="Arial Narrow" w:eastAsia="Calibri" w:hAnsi="Arial Narrow"/>
                <w:strike/>
                <w:sz w:val="18"/>
                <w:szCs w:val="18"/>
              </w:rPr>
              <w:fldChar w:fldCharType="separate"/>
            </w:r>
            <w:r w:rsidRPr="00471C53">
              <w:rPr>
                <w:rFonts w:ascii="Arial Narrow" w:eastAsia="Calibri" w:hAnsi="Arial Narrow"/>
                <w:strike/>
                <w:sz w:val="18"/>
                <w:szCs w:val="18"/>
              </w:rPr>
              <w:fldChar w:fldCharType="end"/>
            </w:r>
            <w:r w:rsidRPr="00471C53">
              <w:rPr>
                <w:rFonts w:ascii="Arial Narrow" w:eastAsia="Calibri" w:hAnsi="Arial Narrow"/>
                <w:strike/>
                <w:sz w:val="18"/>
                <w:szCs w:val="18"/>
              </w:rPr>
              <w:t>Authority Required – Streamlined [new code]</w:t>
            </w:r>
          </w:p>
          <w:p w14:paraId="1C0306BC" w14:textId="77777777" w:rsidR="00C42AA2" w:rsidRPr="00471C53" w:rsidRDefault="00C42AA2" w:rsidP="00D3589D">
            <w:pPr>
              <w:rPr>
                <w:rFonts w:ascii="Arial Narrow" w:eastAsia="Calibri" w:hAnsi="Arial Narrow"/>
                <w:sz w:val="18"/>
                <w:szCs w:val="18"/>
              </w:rPr>
            </w:pPr>
            <w:r w:rsidRPr="00471C53">
              <w:rPr>
                <w:rFonts w:ascii="Arial Narrow" w:eastAsia="Calibri" w:hAnsi="Arial Narrow"/>
                <w:sz w:val="18"/>
                <w:szCs w:val="18"/>
              </w:rPr>
              <w:fldChar w:fldCharType="begin">
                <w:ffData>
                  <w:name w:val="Check3"/>
                  <w:enabled/>
                  <w:calcOnExit w:val="0"/>
                  <w:checkBox>
                    <w:sizeAuto/>
                    <w:default w:val="1"/>
                  </w:checkBox>
                </w:ffData>
              </w:fldChar>
            </w:r>
            <w:r w:rsidRPr="00471C53">
              <w:rPr>
                <w:rFonts w:ascii="Arial Narrow" w:eastAsia="Calibri" w:hAnsi="Arial Narrow"/>
                <w:sz w:val="18"/>
                <w:szCs w:val="18"/>
              </w:rPr>
              <w:instrText xml:space="preserve"> FORMCHECKBOX </w:instrText>
            </w:r>
            <w:r w:rsidR="00E146A6">
              <w:rPr>
                <w:rFonts w:ascii="Arial Narrow" w:eastAsia="Calibri" w:hAnsi="Arial Narrow"/>
                <w:sz w:val="18"/>
                <w:szCs w:val="18"/>
              </w:rPr>
            </w:r>
            <w:r w:rsidR="00E146A6">
              <w:rPr>
                <w:rFonts w:ascii="Arial Narrow" w:eastAsia="Calibri" w:hAnsi="Arial Narrow"/>
                <w:sz w:val="18"/>
                <w:szCs w:val="18"/>
              </w:rPr>
              <w:fldChar w:fldCharType="separate"/>
            </w:r>
            <w:r w:rsidRPr="00471C53">
              <w:rPr>
                <w:rFonts w:ascii="Arial Narrow" w:eastAsia="Calibri" w:hAnsi="Arial Narrow"/>
                <w:sz w:val="18"/>
                <w:szCs w:val="18"/>
              </w:rPr>
              <w:fldChar w:fldCharType="end"/>
            </w:r>
            <w:r w:rsidRPr="00471C53">
              <w:rPr>
                <w:rFonts w:ascii="Arial Narrow" w:eastAsia="Calibri" w:hAnsi="Arial Narrow"/>
                <w:i/>
                <w:sz w:val="18"/>
                <w:szCs w:val="18"/>
              </w:rPr>
              <w:t>Authority Required – immediate/real-time assessment by Services Australia</w:t>
            </w:r>
          </w:p>
        </w:tc>
      </w:tr>
      <w:tr w:rsidR="00471C53" w:rsidRPr="00471C53" w14:paraId="7864506A" w14:textId="77777777" w:rsidTr="00CD42BD">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3F77E4C1" w14:textId="77777777" w:rsidR="00C42AA2" w:rsidRPr="00471C53" w:rsidRDefault="00C42AA2" w:rsidP="00D3589D">
            <w:pPr>
              <w:rPr>
                <w:rFonts w:ascii="Arial Narrow" w:hAnsi="Arial Narrow"/>
                <w:sz w:val="18"/>
                <w:szCs w:val="18"/>
              </w:rPr>
            </w:pPr>
            <w:r w:rsidRPr="00471C53">
              <w:rPr>
                <w:rFonts w:ascii="Arial Narrow" w:hAnsi="Arial Narrow"/>
                <w:b/>
                <w:bCs/>
                <w:sz w:val="18"/>
                <w:szCs w:val="18"/>
              </w:rPr>
              <w:t>Administrative Advice:</w:t>
            </w:r>
          </w:p>
          <w:p w14:paraId="758FA03E" w14:textId="77777777" w:rsidR="00C42AA2" w:rsidRDefault="00C42AA2" w:rsidP="00D3589D">
            <w:pPr>
              <w:rPr>
                <w:rFonts w:ascii="Arial Narrow" w:hAnsi="Arial Narrow"/>
                <w:i/>
                <w:sz w:val="18"/>
                <w:szCs w:val="18"/>
              </w:rPr>
            </w:pPr>
            <w:r w:rsidRPr="00471C53">
              <w:rPr>
                <w:rFonts w:ascii="Arial Narrow" w:hAnsi="Arial Narrow"/>
                <w:i/>
                <w:sz w:val="18"/>
                <w:szCs w:val="18"/>
              </w:rPr>
              <w:t>Special Pricing Arrangements apply</w:t>
            </w:r>
          </w:p>
          <w:p w14:paraId="22036C74" w14:textId="77777777" w:rsidR="00471C53" w:rsidRPr="00471C53" w:rsidRDefault="00471C53" w:rsidP="00D3589D">
            <w:pPr>
              <w:rPr>
                <w:rFonts w:ascii="Arial Narrow" w:hAnsi="Arial Narrow"/>
                <w:i/>
                <w:sz w:val="18"/>
                <w:szCs w:val="18"/>
              </w:rPr>
            </w:pPr>
            <w:r w:rsidRPr="00471C53">
              <w:rPr>
                <w:rFonts w:ascii="Arial Narrow" w:eastAsia="Calibri" w:hAnsi="Arial Narrow"/>
                <w:i/>
                <w:sz w:val="18"/>
                <w:szCs w:val="18"/>
              </w:rPr>
              <w:t>Applications for authorisation under this restriction may be made in real time using the Online PBS Authorities system (see www.servicesaustralia.gov.au/HPOS) or by telephone by contacting Services Australia on 1800 888 333.</w:t>
            </w:r>
          </w:p>
        </w:tc>
      </w:tr>
      <w:tr w:rsidR="00471C53" w:rsidRPr="00471C53" w14:paraId="0355A9D5" w14:textId="77777777" w:rsidTr="00CD42BD">
        <w:tblPrEx>
          <w:tblCellMar>
            <w:top w:w="15" w:type="dxa"/>
            <w:left w:w="15" w:type="dxa"/>
            <w:bottom w:w="15" w:type="dxa"/>
            <w:right w:w="15" w:type="dxa"/>
          </w:tblCellMar>
          <w:tblLook w:val="04A0" w:firstRow="1" w:lastRow="0" w:firstColumn="1" w:lastColumn="0" w:noHBand="0" w:noVBand="1"/>
        </w:tblPrEx>
        <w:tc>
          <w:tcPr>
            <w:tcW w:w="5000" w:type="pct"/>
            <w:gridSpan w:val="6"/>
            <w:tcBorders>
              <w:bottom w:val="double" w:sz="4" w:space="0" w:color="auto"/>
            </w:tcBorders>
            <w:vAlign w:val="center"/>
            <w:hideMark/>
          </w:tcPr>
          <w:p w14:paraId="3B6DEE24" w14:textId="77777777" w:rsidR="00C42AA2" w:rsidRPr="00471C53" w:rsidRDefault="00C42AA2" w:rsidP="00D3589D">
            <w:pPr>
              <w:rPr>
                <w:rFonts w:ascii="Arial Narrow" w:hAnsi="Arial Narrow"/>
                <w:sz w:val="18"/>
                <w:szCs w:val="18"/>
              </w:rPr>
            </w:pPr>
            <w:r w:rsidRPr="00471C53">
              <w:rPr>
                <w:rFonts w:ascii="Arial Narrow" w:hAnsi="Arial Narrow"/>
                <w:b/>
                <w:bCs/>
                <w:sz w:val="18"/>
                <w:szCs w:val="18"/>
              </w:rPr>
              <w:t>Indication:</w:t>
            </w:r>
            <w:r w:rsidRPr="00471C53">
              <w:rPr>
                <w:rFonts w:ascii="Arial Narrow" w:hAnsi="Arial Narrow"/>
                <w:sz w:val="18"/>
                <w:szCs w:val="18"/>
              </w:rPr>
              <w:t xml:space="preserve"> </w:t>
            </w:r>
            <w:r w:rsidRPr="00471C53">
              <w:rPr>
                <w:rFonts w:ascii="Arial Narrow" w:eastAsia="Calibri" w:hAnsi="Arial Narrow"/>
                <w:sz w:val="18"/>
                <w:szCs w:val="18"/>
              </w:rPr>
              <w:t xml:space="preserve">High grade </w:t>
            </w:r>
            <w:r w:rsidRPr="00471C53">
              <w:rPr>
                <w:rFonts w:ascii="Arial Narrow" w:eastAsia="Calibri" w:hAnsi="Arial Narrow"/>
                <w:i/>
                <w:sz w:val="18"/>
                <w:szCs w:val="18"/>
              </w:rPr>
              <w:t>stage III/IV</w:t>
            </w:r>
            <w:r w:rsidRPr="00471C53">
              <w:rPr>
                <w:rFonts w:ascii="Arial Narrow" w:eastAsia="Calibri" w:hAnsi="Arial Narrow"/>
                <w:sz w:val="18"/>
                <w:szCs w:val="18"/>
              </w:rPr>
              <w:t xml:space="preserve"> epithelial ovarian, fallopian tube or primary peritoneal cancer</w:t>
            </w:r>
          </w:p>
        </w:tc>
      </w:tr>
      <w:tr w:rsidR="00471C53" w:rsidRPr="00471C53" w14:paraId="0C50E092" w14:textId="77777777" w:rsidTr="00CD42BD">
        <w:tblPrEx>
          <w:tblCellMar>
            <w:top w:w="15" w:type="dxa"/>
            <w:left w:w="15" w:type="dxa"/>
            <w:bottom w:w="15" w:type="dxa"/>
            <w:right w:w="15" w:type="dxa"/>
          </w:tblCellMar>
          <w:tblLook w:val="04A0" w:firstRow="1" w:lastRow="0" w:firstColumn="1" w:lastColumn="0" w:noHBand="0" w:noVBand="1"/>
        </w:tblPrEx>
        <w:tc>
          <w:tcPr>
            <w:tcW w:w="5000" w:type="pct"/>
            <w:gridSpan w:val="6"/>
            <w:tcBorders>
              <w:top w:val="double" w:sz="4" w:space="0" w:color="auto"/>
              <w:bottom w:val="single" w:sz="4" w:space="0" w:color="auto"/>
            </w:tcBorders>
            <w:vAlign w:val="center"/>
            <w:hideMark/>
          </w:tcPr>
          <w:p w14:paraId="08610030" w14:textId="77777777" w:rsidR="00C42AA2" w:rsidRPr="00471C53" w:rsidRDefault="00C42AA2" w:rsidP="00D3589D">
            <w:pPr>
              <w:rPr>
                <w:rFonts w:ascii="Arial Narrow" w:hAnsi="Arial Narrow"/>
                <w:sz w:val="18"/>
                <w:szCs w:val="18"/>
              </w:rPr>
            </w:pPr>
            <w:r w:rsidRPr="00471C53">
              <w:rPr>
                <w:rFonts w:ascii="Arial Narrow" w:hAnsi="Arial Narrow"/>
                <w:b/>
                <w:bCs/>
                <w:sz w:val="18"/>
                <w:szCs w:val="18"/>
              </w:rPr>
              <w:t>Treatment Phase:</w:t>
            </w:r>
            <w:r w:rsidRPr="00471C53">
              <w:rPr>
                <w:rFonts w:ascii="Arial Narrow" w:hAnsi="Arial Narrow"/>
                <w:sz w:val="18"/>
                <w:szCs w:val="18"/>
              </w:rPr>
              <w:t xml:space="preserve"> </w:t>
            </w:r>
            <w:r w:rsidRPr="00471C53">
              <w:rPr>
                <w:rFonts w:ascii="Arial Narrow" w:eastAsia="Calibri" w:hAnsi="Arial Narrow"/>
                <w:sz w:val="18"/>
                <w:szCs w:val="18"/>
              </w:rPr>
              <w:t>Initial treatment – first line treatment</w:t>
            </w:r>
            <w:r w:rsidRPr="00471C53">
              <w:rPr>
                <w:rFonts w:ascii="Arial Narrow" w:hAnsi="Arial Narrow"/>
                <w:sz w:val="18"/>
                <w:szCs w:val="18"/>
              </w:rPr>
              <w:t xml:space="preserve">  </w:t>
            </w:r>
          </w:p>
        </w:tc>
      </w:tr>
      <w:tr w:rsidR="00471C53" w:rsidRPr="00471C53" w14:paraId="1AFB0CF2" w14:textId="77777777" w:rsidTr="00CD42BD">
        <w:tblPrEx>
          <w:tblCellMar>
            <w:top w:w="15" w:type="dxa"/>
            <w:left w:w="15" w:type="dxa"/>
            <w:bottom w:w="15" w:type="dxa"/>
            <w:right w:w="15" w:type="dxa"/>
          </w:tblCellMar>
          <w:tblLook w:val="04A0" w:firstRow="1" w:lastRow="0" w:firstColumn="1" w:lastColumn="0" w:noHBand="0" w:noVBand="1"/>
        </w:tblPrEx>
        <w:tc>
          <w:tcPr>
            <w:tcW w:w="5000" w:type="pct"/>
            <w:gridSpan w:val="6"/>
            <w:tcBorders>
              <w:bottom w:val="nil"/>
            </w:tcBorders>
            <w:vAlign w:val="center"/>
            <w:hideMark/>
          </w:tcPr>
          <w:p w14:paraId="15C3FE2F" w14:textId="77777777" w:rsidR="00C42AA2" w:rsidRPr="00471C53" w:rsidRDefault="00C42AA2" w:rsidP="00D3589D">
            <w:r w:rsidRPr="00471C53">
              <w:rPr>
                <w:rFonts w:ascii="Arial Narrow" w:hAnsi="Arial Narrow"/>
                <w:b/>
                <w:bCs/>
                <w:sz w:val="18"/>
                <w:szCs w:val="18"/>
              </w:rPr>
              <w:t>Clinical criteria</w:t>
            </w:r>
          </w:p>
        </w:tc>
      </w:tr>
      <w:tr w:rsidR="00471C53" w:rsidRPr="00471C53" w14:paraId="3C488C56" w14:textId="77777777" w:rsidTr="00CD42BD">
        <w:tblPrEx>
          <w:tblCellMar>
            <w:top w:w="15" w:type="dxa"/>
            <w:left w:w="15" w:type="dxa"/>
            <w:bottom w:w="15" w:type="dxa"/>
            <w:right w:w="15" w:type="dxa"/>
          </w:tblCellMar>
          <w:tblLook w:val="04A0" w:firstRow="1" w:lastRow="0" w:firstColumn="1" w:lastColumn="0" w:noHBand="0" w:noVBand="1"/>
        </w:tblPrEx>
        <w:tc>
          <w:tcPr>
            <w:tcW w:w="5000" w:type="pct"/>
            <w:gridSpan w:val="6"/>
            <w:tcBorders>
              <w:top w:val="nil"/>
              <w:bottom w:val="nil"/>
            </w:tcBorders>
            <w:vAlign w:val="center"/>
            <w:hideMark/>
          </w:tcPr>
          <w:p w14:paraId="2C2C5869" w14:textId="77777777" w:rsidR="00C42AA2" w:rsidRPr="00471C53" w:rsidRDefault="00C42AA2" w:rsidP="00D3589D">
            <w:pPr>
              <w:rPr>
                <w:rFonts w:ascii="Arial Narrow" w:eastAsia="Calibri" w:hAnsi="Arial Narrow"/>
                <w:sz w:val="18"/>
                <w:szCs w:val="18"/>
              </w:rPr>
            </w:pPr>
            <w:r w:rsidRPr="00471C53">
              <w:rPr>
                <w:rFonts w:ascii="Arial Narrow" w:eastAsia="Calibri" w:hAnsi="Arial Narrow"/>
                <w:sz w:val="18"/>
                <w:szCs w:val="18"/>
              </w:rPr>
              <w:t>Patient must be in partial or complete response to the immediately preceding platinum-based chemotherapy regimen prior to commencing treatment with this drug for this condition</w:t>
            </w:r>
          </w:p>
        </w:tc>
      </w:tr>
      <w:tr w:rsidR="00471C53" w:rsidRPr="00471C53" w14:paraId="1C95FA24" w14:textId="77777777" w:rsidTr="00CD42BD">
        <w:tblPrEx>
          <w:tblCellMar>
            <w:top w:w="15" w:type="dxa"/>
            <w:left w:w="15" w:type="dxa"/>
            <w:bottom w:w="15" w:type="dxa"/>
            <w:right w:w="15" w:type="dxa"/>
          </w:tblCellMar>
          <w:tblLook w:val="04A0" w:firstRow="1" w:lastRow="0" w:firstColumn="1" w:lastColumn="0" w:noHBand="0" w:noVBand="1"/>
        </w:tblPrEx>
        <w:tc>
          <w:tcPr>
            <w:tcW w:w="5000" w:type="pct"/>
            <w:gridSpan w:val="6"/>
            <w:tcBorders>
              <w:top w:val="nil"/>
              <w:bottom w:val="nil"/>
            </w:tcBorders>
            <w:vAlign w:val="center"/>
            <w:hideMark/>
          </w:tcPr>
          <w:p w14:paraId="463C9110" w14:textId="77777777" w:rsidR="00C42AA2" w:rsidRPr="00471C53" w:rsidRDefault="00C42AA2" w:rsidP="00D3589D">
            <w:pPr>
              <w:rPr>
                <w:rFonts w:ascii="Arial Narrow" w:hAnsi="Arial Narrow"/>
                <w:sz w:val="18"/>
                <w:szCs w:val="18"/>
              </w:rPr>
            </w:pPr>
            <w:r w:rsidRPr="00471C53">
              <w:rPr>
                <w:rFonts w:ascii="Arial Narrow" w:hAnsi="Arial Narrow"/>
                <w:b/>
                <w:bCs/>
                <w:sz w:val="18"/>
                <w:szCs w:val="18"/>
              </w:rPr>
              <w:t>AND</w:t>
            </w:r>
          </w:p>
        </w:tc>
      </w:tr>
      <w:tr w:rsidR="00471C53" w:rsidRPr="00471C53" w14:paraId="545E1B50" w14:textId="77777777" w:rsidTr="00CD42BD">
        <w:tblPrEx>
          <w:tblCellMar>
            <w:top w:w="15" w:type="dxa"/>
            <w:left w:w="15" w:type="dxa"/>
            <w:bottom w:w="15" w:type="dxa"/>
            <w:right w:w="15" w:type="dxa"/>
          </w:tblCellMar>
          <w:tblLook w:val="04A0" w:firstRow="1" w:lastRow="0" w:firstColumn="1" w:lastColumn="0" w:noHBand="0" w:noVBand="1"/>
        </w:tblPrEx>
        <w:tc>
          <w:tcPr>
            <w:tcW w:w="5000" w:type="pct"/>
            <w:gridSpan w:val="6"/>
            <w:tcBorders>
              <w:top w:val="nil"/>
              <w:bottom w:val="nil"/>
            </w:tcBorders>
            <w:vAlign w:val="center"/>
          </w:tcPr>
          <w:p w14:paraId="40A9FD10" w14:textId="77777777" w:rsidR="00C42AA2" w:rsidRPr="00471C53" w:rsidRDefault="00C42AA2" w:rsidP="00D3589D">
            <w:pPr>
              <w:rPr>
                <w:rFonts w:ascii="Arial Narrow" w:eastAsia="Calibri" w:hAnsi="Arial Narrow"/>
                <w:sz w:val="18"/>
                <w:szCs w:val="18"/>
              </w:rPr>
            </w:pPr>
            <w:r w:rsidRPr="00471C53">
              <w:rPr>
                <w:rFonts w:ascii="Arial Narrow" w:eastAsia="Calibri" w:hAnsi="Arial Narrow"/>
                <w:sz w:val="18"/>
                <w:szCs w:val="18"/>
              </w:rPr>
              <w:t xml:space="preserve">The treatment must be the sole PBS-subsidised PARP inhibitor therapy for this condition, </w:t>
            </w:r>
          </w:p>
        </w:tc>
      </w:tr>
      <w:tr w:rsidR="00471C53" w:rsidRPr="00471C53" w14:paraId="02692276" w14:textId="77777777" w:rsidTr="00CD42BD">
        <w:tblPrEx>
          <w:tblCellMar>
            <w:top w:w="15" w:type="dxa"/>
            <w:left w:w="15" w:type="dxa"/>
            <w:bottom w:w="15" w:type="dxa"/>
            <w:right w:w="15" w:type="dxa"/>
          </w:tblCellMar>
          <w:tblLook w:val="04A0" w:firstRow="1" w:lastRow="0" w:firstColumn="1" w:lastColumn="0" w:noHBand="0" w:noVBand="1"/>
        </w:tblPrEx>
        <w:tc>
          <w:tcPr>
            <w:tcW w:w="5000" w:type="pct"/>
            <w:gridSpan w:val="6"/>
            <w:tcBorders>
              <w:top w:val="nil"/>
              <w:bottom w:val="nil"/>
            </w:tcBorders>
            <w:vAlign w:val="center"/>
            <w:hideMark/>
          </w:tcPr>
          <w:p w14:paraId="394AB75C" w14:textId="77777777" w:rsidR="00C42AA2" w:rsidRPr="00471C53" w:rsidRDefault="00C42AA2" w:rsidP="00D3589D">
            <w:pPr>
              <w:rPr>
                <w:rFonts w:ascii="Arial Narrow" w:hAnsi="Arial Narrow"/>
                <w:sz w:val="18"/>
                <w:szCs w:val="18"/>
              </w:rPr>
            </w:pPr>
            <w:r w:rsidRPr="00471C53">
              <w:rPr>
                <w:rFonts w:ascii="Arial Narrow" w:hAnsi="Arial Narrow"/>
                <w:b/>
                <w:bCs/>
                <w:sz w:val="18"/>
                <w:szCs w:val="18"/>
              </w:rPr>
              <w:t>AND</w:t>
            </w:r>
          </w:p>
        </w:tc>
      </w:tr>
      <w:tr w:rsidR="00471C53" w:rsidRPr="00471C53" w14:paraId="5818F05C" w14:textId="77777777" w:rsidTr="00CD42BD">
        <w:tblPrEx>
          <w:tblCellMar>
            <w:top w:w="15" w:type="dxa"/>
            <w:left w:w="15" w:type="dxa"/>
            <w:bottom w:w="15" w:type="dxa"/>
            <w:right w:w="15" w:type="dxa"/>
          </w:tblCellMar>
          <w:tblLook w:val="04A0" w:firstRow="1" w:lastRow="0" w:firstColumn="1" w:lastColumn="0" w:noHBand="0" w:noVBand="1"/>
        </w:tblPrEx>
        <w:tc>
          <w:tcPr>
            <w:tcW w:w="5000" w:type="pct"/>
            <w:gridSpan w:val="6"/>
            <w:tcBorders>
              <w:top w:val="nil"/>
            </w:tcBorders>
            <w:vAlign w:val="center"/>
          </w:tcPr>
          <w:p w14:paraId="165BBAC6" w14:textId="77777777" w:rsidR="00C42AA2" w:rsidRPr="00471C53" w:rsidRDefault="00C42AA2" w:rsidP="00D3589D">
            <w:pPr>
              <w:rPr>
                <w:rFonts w:ascii="Arial Narrow" w:hAnsi="Arial Narrow"/>
                <w:sz w:val="18"/>
                <w:szCs w:val="18"/>
              </w:rPr>
            </w:pPr>
            <w:r w:rsidRPr="00471C53">
              <w:rPr>
                <w:rFonts w:ascii="Arial Narrow" w:eastAsia="Calibri" w:hAnsi="Arial Narrow"/>
                <w:sz w:val="18"/>
                <w:szCs w:val="18"/>
              </w:rPr>
              <w:t>Patient must not have previously received PBS-subsidised treatment with this drug for this condition</w:t>
            </w:r>
          </w:p>
        </w:tc>
      </w:tr>
      <w:tr w:rsidR="00471C53" w:rsidRPr="00471C53" w14:paraId="6CEED584" w14:textId="77777777" w:rsidTr="00CD42BD">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4FC9CD44" w14:textId="77777777" w:rsidR="00C42AA2" w:rsidRPr="00471C53" w:rsidRDefault="00C42AA2" w:rsidP="00D3589D">
            <w:pPr>
              <w:rPr>
                <w:rFonts w:ascii="Arial Narrow" w:hAnsi="Arial Narrow"/>
                <w:b/>
                <w:bCs/>
                <w:sz w:val="18"/>
                <w:szCs w:val="18"/>
              </w:rPr>
            </w:pPr>
            <w:r w:rsidRPr="00471C53">
              <w:rPr>
                <w:rFonts w:ascii="Arial Narrow" w:hAnsi="Arial Narrow"/>
                <w:b/>
                <w:bCs/>
                <w:sz w:val="18"/>
                <w:szCs w:val="18"/>
              </w:rPr>
              <w:t xml:space="preserve">Prescribing Instructions: </w:t>
            </w:r>
          </w:p>
          <w:p w14:paraId="0BD48D5C" w14:textId="77777777" w:rsidR="00C42AA2" w:rsidRDefault="00C42AA2" w:rsidP="00D3589D">
            <w:pPr>
              <w:rPr>
                <w:rFonts w:ascii="Arial Narrow" w:eastAsia="Calibri" w:hAnsi="Arial Narrow"/>
                <w:i/>
                <w:sz w:val="18"/>
                <w:szCs w:val="18"/>
              </w:rPr>
            </w:pPr>
            <w:r w:rsidRPr="00471C53">
              <w:rPr>
                <w:rFonts w:ascii="Arial Narrow" w:eastAsia="Calibri" w:hAnsi="Arial Narrow"/>
                <w:i/>
                <w:sz w:val="18"/>
                <w:szCs w:val="18"/>
              </w:rPr>
              <w:t>Patients treated under this listing should be receiving a dose of 300 mg/day</w:t>
            </w:r>
          </w:p>
          <w:p w14:paraId="743FCC39" w14:textId="77777777" w:rsidR="00471C53" w:rsidRDefault="00471C53" w:rsidP="00D3589D">
            <w:pPr>
              <w:rPr>
                <w:rFonts w:ascii="Arial Narrow" w:hAnsi="Arial Narrow"/>
                <w:bCs/>
                <w:sz w:val="18"/>
                <w:szCs w:val="18"/>
              </w:rPr>
            </w:pPr>
            <w:r w:rsidRPr="00471C53">
              <w:rPr>
                <w:rFonts w:ascii="Arial Narrow" w:hAnsi="Arial Narrow"/>
                <w:bCs/>
                <w:sz w:val="18"/>
                <w:szCs w:val="18"/>
              </w:rPr>
              <w:t xml:space="preserve">A response (complete or partial) to the platinum-based chemotherapy regimen is to be assessed using either Gynaecologic Cancer InterGroup (GCIG) or Response Evaluation Criteria in Solid Tumours (RECIST) guidelines. </w:t>
            </w:r>
          </w:p>
          <w:p w14:paraId="4E8AA3B0" w14:textId="77777777" w:rsidR="00471C53" w:rsidRDefault="00471C53" w:rsidP="00D3589D">
            <w:pPr>
              <w:rPr>
                <w:rFonts w:ascii="Arial Narrow" w:hAnsi="Arial Narrow"/>
                <w:bCs/>
                <w:sz w:val="18"/>
                <w:szCs w:val="18"/>
              </w:rPr>
            </w:pPr>
            <w:r w:rsidRPr="00471C53">
              <w:rPr>
                <w:rFonts w:ascii="Arial Narrow" w:hAnsi="Arial Narrow"/>
                <w:bCs/>
                <w:sz w:val="18"/>
                <w:szCs w:val="18"/>
              </w:rPr>
              <w:t>Patients who have developed intolerance to olaparib of a severity necessitating permanent treatment withdrawal are eligible to receive PBS-subsidised niraparib.</w:t>
            </w:r>
          </w:p>
          <w:p w14:paraId="37B66FE1" w14:textId="77777777" w:rsidR="00471C53" w:rsidRPr="00471C53" w:rsidRDefault="00471C53" w:rsidP="00D3589D">
            <w:pPr>
              <w:rPr>
                <w:rFonts w:ascii="Arial Narrow" w:eastAsia="Calibri" w:hAnsi="Arial Narrow"/>
                <w:i/>
                <w:sz w:val="18"/>
                <w:szCs w:val="18"/>
              </w:rPr>
            </w:pPr>
            <w:r w:rsidRPr="00471C53">
              <w:rPr>
                <w:rFonts w:ascii="Arial Narrow" w:hAnsi="Arial Narrow"/>
                <w:bCs/>
                <w:sz w:val="18"/>
                <w:szCs w:val="18"/>
              </w:rPr>
              <w:t>Patients who have developed progressive disease on PBS-subsidised PARP inhibitor as maintenance therapy are not eligible to receive PBS subsidised niraparib for this condition.</w:t>
            </w:r>
          </w:p>
        </w:tc>
      </w:tr>
      <w:tr w:rsidR="00471C53" w:rsidRPr="00471C53" w14:paraId="154A2522" w14:textId="77777777" w:rsidTr="00CD42BD">
        <w:tblPrEx>
          <w:tblCellMar>
            <w:top w:w="15" w:type="dxa"/>
            <w:left w:w="15" w:type="dxa"/>
            <w:bottom w:w="15" w:type="dxa"/>
            <w:right w:w="15" w:type="dxa"/>
          </w:tblCellMar>
          <w:tblLook w:val="04A0" w:firstRow="1" w:lastRow="0" w:firstColumn="1" w:lastColumn="0" w:noHBand="0" w:noVBand="1"/>
        </w:tblPrEx>
        <w:tc>
          <w:tcPr>
            <w:tcW w:w="5000" w:type="pct"/>
            <w:gridSpan w:val="6"/>
            <w:tcBorders>
              <w:top w:val="double" w:sz="4" w:space="0" w:color="auto"/>
              <w:bottom w:val="single" w:sz="4" w:space="0" w:color="auto"/>
            </w:tcBorders>
            <w:vAlign w:val="center"/>
            <w:hideMark/>
          </w:tcPr>
          <w:p w14:paraId="21820D6F" w14:textId="77777777" w:rsidR="00C42AA2" w:rsidRPr="00471C53" w:rsidRDefault="00C42AA2" w:rsidP="00D3589D">
            <w:pPr>
              <w:rPr>
                <w:rFonts w:ascii="Arial Narrow" w:hAnsi="Arial Narrow"/>
                <w:sz w:val="18"/>
                <w:szCs w:val="18"/>
              </w:rPr>
            </w:pPr>
            <w:r w:rsidRPr="00471C53">
              <w:rPr>
                <w:rFonts w:ascii="Arial Narrow" w:hAnsi="Arial Narrow"/>
                <w:b/>
                <w:bCs/>
                <w:sz w:val="18"/>
                <w:szCs w:val="18"/>
              </w:rPr>
              <w:t>Treatment Phase:</w:t>
            </w:r>
            <w:r w:rsidRPr="00471C53">
              <w:rPr>
                <w:rFonts w:ascii="Arial Narrow" w:hAnsi="Arial Narrow"/>
                <w:sz w:val="18"/>
                <w:szCs w:val="18"/>
              </w:rPr>
              <w:t xml:space="preserve"> </w:t>
            </w:r>
            <w:r w:rsidRPr="00471C53">
              <w:rPr>
                <w:rFonts w:ascii="Arial Narrow" w:eastAsia="Calibri" w:hAnsi="Arial Narrow"/>
                <w:sz w:val="18"/>
                <w:szCs w:val="18"/>
              </w:rPr>
              <w:t>Continuing treatment – first line treatment</w:t>
            </w:r>
            <w:r w:rsidRPr="00471C53">
              <w:rPr>
                <w:rFonts w:ascii="Arial Narrow" w:hAnsi="Arial Narrow"/>
                <w:sz w:val="18"/>
                <w:szCs w:val="18"/>
              </w:rPr>
              <w:t xml:space="preserve">  </w:t>
            </w:r>
          </w:p>
        </w:tc>
      </w:tr>
      <w:tr w:rsidR="00471C53" w:rsidRPr="00471C53" w14:paraId="23D1C840" w14:textId="77777777" w:rsidTr="00CD42BD">
        <w:tblPrEx>
          <w:tblCellMar>
            <w:top w:w="15" w:type="dxa"/>
            <w:left w:w="15" w:type="dxa"/>
            <w:bottom w:w="15" w:type="dxa"/>
            <w:right w:w="15" w:type="dxa"/>
          </w:tblCellMar>
          <w:tblLook w:val="04A0" w:firstRow="1" w:lastRow="0" w:firstColumn="1" w:lastColumn="0" w:noHBand="0" w:noVBand="1"/>
        </w:tblPrEx>
        <w:tc>
          <w:tcPr>
            <w:tcW w:w="5000" w:type="pct"/>
            <w:gridSpan w:val="6"/>
            <w:tcBorders>
              <w:bottom w:val="nil"/>
            </w:tcBorders>
            <w:vAlign w:val="center"/>
            <w:hideMark/>
          </w:tcPr>
          <w:p w14:paraId="587F399B" w14:textId="77777777" w:rsidR="00C42AA2" w:rsidRPr="00471C53" w:rsidRDefault="00C42AA2" w:rsidP="00D3589D">
            <w:pPr>
              <w:rPr>
                <w:rFonts w:ascii="Arial Narrow" w:hAnsi="Arial Narrow"/>
                <w:sz w:val="18"/>
                <w:szCs w:val="18"/>
              </w:rPr>
            </w:pPr>
            <w:r w:rsidRPr="00471C53">
              <w:rPr>
                <w:rFonts w:ascii="Arial Narrow" w:hAnsi="Arial Narrow"/>
                <w:b/>
                <w:bCs/>
                <w:sz w:val="18"/>
                <w:szCs w:val="18"/>
              </w:rPr>
              <w:t>Clinical criteria:</w:t>
            </w:r>
          </w:p>
        </w:tc>
      </w:tr>
      <w:tr w:rsidR="00471C53" w:rsidRPr="00471C53" w14:paraId="7D199305" w14:textId="77777777" w:rsidTr="00CD42BD">
        <w:tblPrEx>
          <w:tblCellMar>
            <w:top w:w="15" w:type="dxa"/>
            <w:left w:w="15" w:type="dxa"/>
            <w:bottom w:w="15" w:type="dxa"/>
            <w:right w:w="15" w:type="dxa"/>
          </w:tblCellMar>
          <w:tblLook w:val="04A0" w:firstRow="1" w:lastRow="0" w:firstColumn="1" w:lastColumn="0" w:noHBand="0" w:noVBand="1"/>
        </w:tblPrEx>
        <w:tc>
          <w:tcPr>
            <w:tcW w:w="5000" w:type="pct"/>
            <w:gridSpan w:val="6"/>
            <w:tcBorders>
              <w:top w:val="nil"/>
              <w:bottom w:val="nil"/>
            </w:tcBorders>
            <w:vAlign w:val="center"/>
          </w:tcPr>
          <w:p w14:paraId="41FC0A07" w14:textId="77777777" w:rsidR="00C42AA2" w:rsidRPr="00471C53" w:rsidRDefault="00C42AA2" w:rsidP="00D3589D">
            <w:pPr>
              <w:rPr>
                <w:rFonts w:ascii="Arial Narrow" w:eastAsia="Calibri" w:hAnsi="Arial Narrow"/>
                <w:sz w:val="18"/>
                <w:szCs w:val="18"/>
              </w:rPr>
            </w:pPr>
            <w:r w:rsidRPr="00471C53">
              <w:rPr>
                <w:rFonts w:ascii="Arial Narrow" w:eastAsia="Calibri" w:hAnsi="Arial Narrow"/>
                <w:sz w:val="18"/>
                <w:szCs w:val="18"/>
              </w:rPr>
              <w:t xml:space="preserve">The treatment must be the sole PBS-subsidised PARP inhibitor therapy for this condition, </w:t>
            </w:r>
          </w:p>
        </w:tc>
      </w:tr>
      <w:tr w:rsidR="00471C53" w:rsidRPr="00471C53" w14:paraId="3EBDB84B" w14:textId="77777777" w:rsidTr="00CD42BD">
        <w:tblPrEx>
          <w:tblCellMar>
            <w:top w:w="15" w:type="dxa"/>
            <w:left w:w="15" w:type="dxa"/>
            <w:bottom w:w="15" w:type="dxa"/>
            <w:right w:w="15" w:type="dxa"/>
          </w:tblCellMar>
          <w:tblLook w:val="04A0" w:firstRow="1" w:lastRow="0" w:firstColumn="1" w:lastColumn="0" w:noHBand="0" w:noVBand="1"/>
        </w:tblPrEx>
        <w:tc>
          <w:tcPr>
            <w:tcW w:w="5000" w:type="pct"/>
            <w:gridSpan w:val="6"/>
            <w:tcBorders>
              <w:top w:val="nil"/>
              <w:bottom w:val="nil"/>
            </w:tcBorders>
            <w:vAlign w:val="center"/>
          </w:tcPr>
          <w:p w14:paraId="592A16E8" w14:textId="77777777" w:rsidR="00C42AA2" w:rsidRPr="00471C53" w:rsidRDefault="00C42AA2" w:rsidP="00D3589D">
            <w:pPr>
              <w:rPr>
                <w:rFonts w:ascii="Arial Narrow" w:eastAsia="Calibri" w:hAnsi="Arial Narrow"/>
                <w:b/>
                <w:sz w:val="18"/>
                <w:szCs w:val="18"/>
              </w:rPr>
            </w:pPr>
            <w:r w:rsidRPr="00471C53">
              <w:rPr>
                <w:rFonts w:ascii="Arial Narrow" w:hAnsi="Arial Narrow"/>
                <w:b/>
                <w:bCs/>
                <w:sz w:val="18"/>
                <w:szCs w:val="18"/>
              </w:rPr>
              <w:t>AND</w:t>
            </w:r>
          </w:p>
        </w:tc>
      </w:tr>
      <w:tr w:rsidR="00471C53" w:rsidRPr="00471C53" w14:paraId="22838B1B" w14:textId="77777777" w:rsidTr="00CD42BD">
        <w:tblPrEx>
          <w:tblCellMar>
            <w:top w:w="15" w:type="dxa"/>
            <w:left w:w="15" w:type="dxa"/>
            <w:bottom w:w="15" w:type="dxa"/>
            <w:right w:w="15" w:type="dxa"/>
          </w:tblCellMar>
          <w:tblLook w:val="04A0" w:firstRow="1" w:lastRow="0" w:firstColumn="1" w:lastColumn="0" w:noHBand="0" w:noVBand="1"/>
        </w:tblPrEx>
        <w:tc>
          <w:tcPr>
            <w:tcW w:w="5000" w:type="pct"/>
            <w:gridSpan w:val="6"/>
            <w:tcBorders>
              <w:top w:val="nil"/>
              <w:bottom w:val="nil"/>
            </w:tcBorders>
            <w:vAlign w:val="center"/>
          </w:tcPr>
          <w:p w14:paraId="0F53F24F" w14:textId="77777777" w:rsidR="00C42AA2" w:rsidRPr="00471C53" w:rsidRDefault="00C42AA2" w:rsidP="00D3589D">
            <w:pPr>
              <w:rPr>
                <w:rFonts w:ascii="Arial Narrow" w:eastAsia="Calibri" w:hAnsi="Arial Narrow"/>
                <w:sz w:val="18"/>
                <w:szCs w:val="18"/>
              </w:rPr>
            </w:pPr>
            <w:r w:rsidRPr="00471C53">
              <w:rPr>
                <w:rFonts w:ascii="Arial Narrow" w:eastAsia="Calibri" w:hAnsi="Arial Narrow"/>
                <w:sz w:val="18"/>
                <w:szCs w:val="18"/>
              </w:rPr>
              <w:t>Patient must not have developed disease progression while receiving treatment with this drug for this condition</w:t>
            </w:r>
          </w:p>
        </w:tc>
      </w:tr>
      <w:tr w:rsidR="00471C53" w:rsidRPr="00471C53" w14:paraId="5A8D8FBF" w14:textId="77777777" w:rsidTr="00CD42BD">
        <w:tblPrEx>
          <w:tblCellMar>
            <w:top w:w="15" w:type="dxa"/>
            <w:left w:w="15" w:type="dxa"/>
            <w:bottom w:w="15" w:type="dxa"/>
            <w:right w:w="15" w:type="dxa"/>
          </w:tblCellMar>
          <w:tblLook w:val="04A0" w:firstRow="1" w:lastRow="0" w:firstColumn="1" w:lastColumn="0" w:noHBand="0" w:noVBand="1"/>
        </w:tblPrEx>
        <w:tc>
          <w:tcPr>
            <w:tcW w:w="5000" w:type="pct"/>
            <w:gridSpan w:val="6"/>
            <w:tcBorders>
              <w:top w:val="nil"/>
              <w:bottom w:val="nil"/>
            </w:tcBorders>
            <w:vAlign w:val="center"/>
          </w:tcPr>
          <w:p w14:paraId="2B7C4C73" w14:textId="77777777" w:rsidR="00C42AA2" w:rsidRPr="00471C53" w:rsidRDefault="00C42AA2" w:rsidP="00D3589D">
            <w:pPr>
              <w:rPr>
                <w:rFonts w:ascii="Arial Narrow" w:eastAsia="Calibri" w:hAnsi="Arial Narrow"/>
                <w:b/>
                <w:sz w:val="18"/>
                <w:szCs w:val="18"/>
              </w:rPr>
            </w:pPr>
            <w:r w:rsidRPr="00471C53">
              <w:rPr>
                <w:rFonts w:ascii="Arial Narrow" w:hAnsi="Arial Narrow"/>
                <w:b/>
                <w:bCs/>
                <w:sz w:val="18"/>
                <w:szCs w:val="18"/>
              </w:rPr>
              <w:t>AND</w:t>
            </w:r>
          </w:p>
        </w:tc>
      </w:tr>
      <w:tr w:rsidR="00471C53" w:rsidRPr="00471C53" w14:paraId="71C5B159" w14:textId="77777777" w:rsidTr="00CD42BD">
        <w:tblPrEx>
          <w:tblCellMar>
            <w:top w:w="15" w:type="dxa"/>
            <w:left w:w="15" w:type="dxa"/>
            <w:bottom w:w="15" w:type="dxa"/>
            <w:right w:w="15" w:type="dxa"/>
          </w:tblCellMar>
          <w:tblLook w:val="04A0" w:firstRow="1" w:lastRow="0" w:firstColumn="1" w:lastColumn="0" w:noHBand="0" w:noVBand="1"/>
        </w:tblPrEx>
        <w:tc>
          <w:tcPr>
            <w:tcW w:w="5000" w:type="pct"/>
            <w:gridSpan w:val="6"/>
            <w:tcBorders>
              <w:top w:val="nil"/>
              <w:bottom w:val="nil"/>
            </w:tcBorders>
            <w:vAlign w:val="center"/>
          </w:tcPr>
          <w:p w14:paraId="03D08688" w14:textId="77777777" w:rsidR="00C42AA2" w:rsidRPr="00471C53" w:rsidRDefault="00C42AA2" w:rsidP="00D3589D">
            <w:pPr>
              <w:rPr>
                <w:rFonts w:ascii="Arial Narrow" w:eastAsia="Calibri" w:hAnsi="Arial Narrow"/>
                <w:sz w:val="18"/>
                <w:szCs w:val="18"/>
              </w:rPr>
            </w:pPr>
            <w:r w:rsidRPr="00471C53">
              <w:rPr>
                <w:rFonts w:ascii="Arial Narrow" w:eastAsia="Calibri" w:hAnsi="Arial Narrow"/>
                <w:sz w:val="18"/>
                <w:szCs w:val="18"/>
              </w:rPr>
              <w:t>Patient must have received previous PBS-subsidised treatment with this drug as first line maintenance therapy for this condition</w:t>
            </w:r>
          </w:p>
        </w:tc>
      </w:tr>
      <w:tr w:rsidR="00471C53" w:rsidRPr="00471C53" w14:paraId="2F3C9FE8" w14:textId="77777777" w:rsidTr="00CD42BD">
        <w:tblPrEx>
          <w:tblCellMar>
            <w:top w:w="15" w:type="dxa"/>
            <w:left w:w="15" w:type="dxa"/>
            <w:bottom w:w="15" w:type="dxa"/>
            <w:right w:w="15" w:type="dxa"/>
          </w:tblCellMar>
          <w:tblLook w:val="04A0" w:firstRow="1" w:lastRow="0" w:firstColumn="1" w:lastColumn="0" w:noHBand="0" w:noVBand="1"/>
        </w:tblPrEx>
        <w:tc>
          <w:tcPr>
            <w:tcW w:w="5000" w:type="pct"/>
            <w:gridSpan w:val="6"/>
            <w:tcBorders>
              <w:top w:val="nil"/>
              <w:bottom w:val="nil"/>
            </w:tcBorders>
            <w:vAlign w:val="center"/>
          </w:tcPr>
          <w:p w14:paraId="48318809" w14:textId="77777777" w:rsidR="00C42AA2" w:rsidRPr="00471C53" w:rsidRDefault="00C42AA2" w:rsidP="00D3589D">
            <w:pPr>
              <w:rPr>
                <w:rFonts w:ascii="Arial Narrow" w:eastAsia="Calibri" w:hAnsi="Arial Narrow"/>
                <w:b/>
                <w:sz w:val="18"/>
                <w:szCs w:val="18"/>
              </w:rPr>
            </w:pPr>
            <w:r w:rsidRPr="00471C53">
              <w:rPr>
                <w:rFonts w:ascii="Arial Narrow" w:hAnsi="Arial Narrow"/>
                <w:b/>
                <w:bCs/>
                <w:sz w:val="18"/>
                <w:szCs w:val="18"/>
              </w:rPr>
              <w:t>AND</w:t>
            </w:r>
          </w:p>
        </w:tc>
      </w:tr>
      <w:tr w:rsidR="00471C53" w:rsidRPr="00471C53" w14:paraId="026C7ADD" w14:textId="77777777" w:rsidTr="00CD42BD">
        <w:tblPrEx>
          <w:tblCellMar>
            <w:top w:w="15" w:type="dxa"/>
            <w:left w:w="15" w:type="dxa"/>
            <w:bottom w:w="15" w:type="dxa"/>
            <w:right w:w="15" w:type="dxa"/>
          </w:tblCellMar>
          <w:tblLook w:val="04A0" w:firstRow="1" w:lastRow="0" w:firstColumn="1" w:lastColumn="0" w:noHBand="0" w:noVBand="1"/>
        </w:tblPrEx>
        <w:tc>
          <w:tcPr>
            <w:tcW w:w="5000" w:type="pct"/>
            <w:gridSpan w:val="6"/>
            <w:tcBorders>
              <w:top w:val="nil"/>
            </w:tcBorders>
            <w:vAlign w:val="center"/>
          </w:tcPr>
          <w:p w14:paraId="43CF4A91" w14:textId="77777777" w:rsidR="00C42AA2" w:rsidRPr="00471C53" w:rsidRDefault="00C42AA2" w:rsidP="00D3589D">
            <w:pPr>
              <w:rPr>
                <w:rFonts w:ascii="Arial Narrow" w:eastAsia="Calibri" w:hAnsi="Arial Narrow"/>
                <w:i/>
                <w:sz w:val="18"/>
                <w:szCs w:val="18"/>
              </w:rPr>
            </w:pPr>
            <w:r w:rsidRPr="00471C53">
              <w:rPr>
                <w:rFonts w:ascii="Arial Narrow" w:eastAsia="Calibri" w:hAnsi="Arial Narrow"/>
                <w:i/>
                <w:sz w:val="18"/>
                <w:szCs w:val="18"/>
              </w:rPr>
              <w:t>The treatment must not exceed a total of 24 months of combined non-PBS-subsidised and PBS-subsidised treatment for patients who are in complete response</w:t>
            </w:r>
          </w:p>
        </w:tc>
      </w:tr>
      <w:tr w:rsidR="00471C53" w:rsidRPr="00471C53" w14:paraId="3CF8EEF1" w14:textId="77777777" w:rsidTr="00CD42BD">
        <w:tblPrEx>
          <w:tblCellMar>
            <w:top w:w="15" w:type="dxa"/>
            <w:left w:w="15" w:type="dxa"/>
            <w:bottom w:w="15" w:type="dxa"/>
            <w:right w:w="15" w:type="dxa"/>
          </w:tblCellMar>
          <w:tblLook w:val="04A0" w:firstRow="1" w:lastRow="0" w:firstColumn="1" w:lastColumn="0" w:noHBand="0" w:noVBand="1"/>
        </w:tblPrEx>
        <w:tc>
          <w:tcPr>
            <w:tcW w:w="5000" w:type="pct"/>
            <w:gridSpan w:val="6"/>
            <w:vAlign w:val="center"/>
          </w:tcPr>
          <w:p w14:paraId="16B23020" w14:textId="77777777" w:rsidR="00C42AA2" w:rsidRPr="00471C53" w:rsidRDefault="00C42AA2" w:rsidP="00D3589D">
            <w:pPr>
              <w:rPr>
                <w:rFonts w:ascii="Arial Narrow" w:hAnsi="Arial Narrow"/>
                <w:b/>
                <w:bCs/>
                <w:sz w:val="18"/>
                <w:szCs w:val="18"/>
              </w:rPr>
            </w:pPr>
            <w:r w:rsidRPr="00471C53">
              <w:rPr>
                <w:rFonts w:ascii="Arial Narrow" w:hAnsi="Arial Narrow"/>
                <w:b/>
                <w:bCs/>
                <w:sz w:val="18"/>
                <w:szCs w:val="18"/>
              </w:rPr>
              <w:t xml:space="preserve">Prescribing Instructions: </w:t>
            </w:r>
          </w:p>
          <w:p w14:paraId="4CED0C2D" w14:textId="77777777" w:rsidR="00C42AA2" w:rsidRPr="00471C53" w:rsidRDefault="00C42AA2" w:rsidP="00D3589D">
            <w:pPr>
              <w:rPr>
                <w:rFonts w:ascii="Arial Narrow" w:eastAsia="Calibri" w:hAnsi="Arial Narrow"/>
                <w:i/>
                <w:sz w:val="18"/>
                <w:szCs w:val="18"/>
              </w:rPr>
            </w:pPr>
            <w:r w:rsidRPr="00471C53">
              <w:rPr>
                <w:rFonts w:ascii="Arial Narrow" w:eastAsia="Calibri" w:hAnsi="Arial Narrow"/>
                <w:i/>
                <w:sz w:val="18"/>
                <w:szCs w:val="18"/>
              </w:rPr>
              <w:t>Patients treated under this listing should be receiving a dose of 300 mg/day</w:t>
            </w:r>
          </w:p>
        </w:tc>
      </w:tr>
    </w:tbl>
    <w:p w14:paraId="34F3702A" w14:textId="77777777" w:rsidR="00032DCE" w:rsidRPr="002F6931" w:rsidRDefault="00032DCE" w:rsidP="00032DC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1134"/>
        <w:gridCol w:w="1276"/>
        <w:gridCol w:w="1842"/>
      </w:tblGrid>
      <w:tr w:rsidR="00A80201" w:rsidRPr="00A80201" w14:paraId="3C747CAE" w14:textId="77777777" w:rsidTr="00D3589D">
        <w:trPr>
          <w:cantSplit/>
          <w:trHeight w:val="471"/>
        </w:trPr>
        <w:tc>
          <w:tcPr>
            <w:tcW w:w="2689" w:type="dxa"/>
          </w:tcPr>
          <w:p w14:paraId="7A22C236" w14:textId="77777777" w:rsidR="00032DCE" w:rsidRPr="00A80201" w:rsidRDefault="00032DCE" w:rsidP="00D3589D">
            <w:pPr>
              <w:keepNext/>
              <w:ind w:left="-57"/>
              <w:rPr>
                <w:rFonts w:ascii="Arial Narrow" w:hAnsi="Arial Narrow"/>
                <w:b/>
                <w:bCs/>
                <w:sz w:val="18"/>
                <w:szCs w:val="18"/>
              </w:rPr>
            </w:pPr>
            <w:r w:rsidRPr="00A80201">
              <w:rPr>
                <w:rFonts w:ascii="Arial Narrow" w:hAnsi="Arial Narrow"/>
                <w:b/>
                <w:bCs/>
                <w:sz w:val="18"/>
                <w:szCs w:val="18"/>
              </w:rPr>
              <w:t>MEDICINAL PRODUCT</w:t>
            </w:r>
          </w:p>
          <w:p w14:paraId="22819259" w14:textId="77777777" w:rsidR="00032DCE" w:rsidRPr="00A80201" w:rsidRDefault="00032DCE" w:rsidP="00D3589D">
            <w:pPr>
              <w:keepNext/>
              <w:ind w:left="-57"/>
              <w:rPr>
                <w:rFonts w:ascii="Arial Narrow" w:hAnsi="Arial Narrow"/>
                <w:b/>
                <w:sz w:val="18"/>
                <w:szCs w:val="18"/>
              </w:rPr>
            </w:pPr>
            <w:r w:rsidRPr="00A80201">
              <w:rPr>
                <w:rFonts w:ascii="Arial Narrow" w:hAnsi="Arial Narrow"/>
                <w:b/>
                <w:bCs/>
                <w:sz w:val="18"/>
                <w:szCs w:val="18"/>
              </w:rPr>
              <w:t>medicinal product pack</w:t>
            </w:r>
          </w:p>
        </w:tc>
        <w:tc>
          <w:tcPr>
            <w:tcW w:w="1275" w:type="dxa"/>
          </w:tcPr>
          <w:p w14:paraId="5FD81634" w14:textId="77777777" w:rsidR="00032DCE" w:rsidRPr="00A80201" w:rsidRDefault="00032DCE" w:rsidP="00D3589D">
            <w:pPr>
              <w:keepNext/>
              <w:ind w:left="-108"/>
              <w:jc w:val="center"/>
              <w:rPr>
                <w:rFonts w:ascii="Arial Narrow" w:hAnsi="Arial Narrow"/>
                <w:b/>
                <w:sz w:val="18"/>
                <w:szCs w:val="18"/>
              </w:rPr>
            </w:pPr>
            <w:r w:rsidRPr="00A80201">
              <w:rPr>
                <w:rFonts w:ascii="Arial Narrow" w:hAnsi="Arial Narrow"/>
                <w:b/>
                <w:sz w:val="18"/>
                <w:szCs w:val="18"/>
              </w:rPr>
              <w:t>PBS item code</w:t>
            </w:r>
          </w:p>
        </w:tc>
        <w:tc>
          <w:tcPr>
            <w:tcW w:w="851" w:type="dxa"/>
          </w:tcPr>
          <w:p w14:paraId="7FD8B9BB" w14:textId="77777777" w:rsidR="00032DCE" w:rsidRPr="00A80201" w:rsidRDefault="00032DCE" w:rsidP="00D3589D">
            <w:pPr>
              <w:keepNext/>
              <w:ind w:left="-108"/>
              <w:jc w:val="center"/>
              <w:rPr>
                <w:rFonts w:ascii="Arial Narrow" w:hAnsi="Arial Narrow"/>
                <w:b/>
                <w:sz w:val="18"/>
                <w:szCs w:val="18"/>
              </w:rPr>
            </w:pPr>
            <w:r w:rsidRPr="00A80201">
              <w:rPr>
                <w:rFonts w:ascii="Arial Narrow" w:hAnsi="Arial Narrow"/>
                <w:b/>
                <w:sz w:val="18"/>
                <w:szCs w:val="18"/>
              </w:rPr>
              <w:t>Max. qty packs</w:t>
            </w:r>
          </w:p>
        </w:tc>
        <w:tc>
          <w:tcPr>
            <w:tcW w:w="1134" w:type="dxa"/>
          </w:tcPr>
          <w:p w14:paraId="385A29E7" w14:textId="77777777" w:rsidR="00032DCE" w:rsidRPr="00A80201" w:rsidRDefault="00032DCE" w:rsidP="00D3589D">
            <w:pPr>
              <w:keepNext/>
              <w:ind w:left="-108"/>
              <w:jc w:val="center"/>
              <w:rPr>
                <w:rFonts w:ascii="Arial Narrow" w:hAnsi="Arial Narrow"/>
                <w:b/>
                <w:sz w:val="18"/>
                <w:szCs w:val="18"/>
              </w:rPr>
            </w:pPr>
            <w:r w:rsidRPr="00A80201">
              <w:rPr>
                <w:rFonts w:ascii="Arial Narrow" w:hAnsi="Arial Narrow"/>
                <w:b/>
                <w:sz w:val="18"/>
                <w:szCs w:val="18"/>
              </w:rPr>
              <w:t>Max. qty units</w:t>
            </w:r>
          </w:p>
        </w:tc>
        <w:tc>
          <w:tcPr>
            <w:tcW w:w="1276" w:type="dxa"/>
          </w:tcPr>
          <w:p w14:paraId="76065D34" w14:textId="77777777" w:rsidR="00032DCE" w:rsidRPr="00A80201" w:rsidRDefault="00032DCE" w:rsidP="00D3589D">
            <w:pPr>
              <w:keepNext/>
              <w:ind w:left="-108"/>
              <w:jc w:val="center"/>
              <w:rPr>
                <w:rFonts w:ascii="Arial Narrow" w:hAnsi="Arial Narrow"/>
                <w:b/>
                <w:sz w:val="18"/>
                <w:szCs w:val="18"/>
              </w:rPr>
            </w:pPr>
            <w:r w:rsidRPr="00A80201">
              <w:rPr>
                <w:rFonts w:ascii="Arial Narrow" w:hAnsi="Arial Narrow"/>
                <w:b/>
                <w:sz w:val="18"/>
                <w:szCs w:val="18"/>
              </w:rPr>
              <w:t>№.of</w:t>
            </w:r>
          </w:p>
          <w:p w14:paraId="6D328F5F" w14:textId="77777777" w:rsidR="00032DCE" w:rsidRPr="00A80201" w:rsidRDefault="00032DCE" w:rsidP="00D3589D">
            <w:pPr>
              <w:keepNext/>
              <w:ind w:left="-108"/>
              <w:jc w:val="center"/>
              <w:rPr>
                <w:rFonts w:ascii="Arial Narrow" w:hAnsi="Arial Narrow"/>
                <w:b/>
                <w:sz w:val="18"/>
                <w:szCs w:val="18"/>
              </w:rPr>
            </w:pPr>
            <w:r w:rsidRPr="00A80201">
              <w:rPr>
                <w:rFonts w:ascii="Arial Narrow" w:hAnsi="Arial Narrow"/>
                <w:b/>
                <w:sz w:val="18"/>
                <w:szCs w:val="18"/>
              </w:rPr>
              <w:t>Rpts</w:t>
            </w:r>
          </w:p>
        </w:tc>
        <w:tc>
          <w:tcPr>
            <w:tcW w:w="1842" w:type="dxa"/>
          </w:tcPr>
          <w:p w14:paraId="47B3168A" w14:textId="77777777" w:rsidR="00032DCE" w:rsidRPr="00A80201" w:rsidRDefault="00032DCE" w:rsidP="00D3589D">
            <w:pPr>
              <w:keepNext/>
              <w:rPr>
                <w:rFonts w:ascii="Arial Narrow" w:hAnsi="Arial Narrow"/>
                <w:b/>
                <w:sz w:val="18"/>
                <w:szCs w:val="18"/>
              </w:rPr>
            </w:pPr>
            <w:r w:rsidRPr="00A80201">
              <w:rPr>
                <w:rFonts w:ascii="Arial Narrow" w:hAnsi="Arial Narrow"/>
                <w:b/>
                <w:sz w:val="18"/>
                <w:szCs w:val="18"/>
              </w:rPr>
              <w:t>Available brands</w:t>
            </w:r>
          </w:p>
        </w:tc>
      </w:tr>
      <w:tr w:rsidR="00A80201" w:rsidRPr="00A80201" w14:paraId="3BE647F0" w14:textId="77777777" w:rsidTr="00D3589D">
        <w:trPr>
          <w:cantSplit/>
          <w:trHeight w:val="224"/>
        </w:trPr>
        <w:tc>
          <w:tcPr>
            <w:tcW w:w="9067" w:type="dxa"/>
            <w:gridSpan w:val="6"/>
          </w:tcPr>
          <w:p w14:paraId="5BE0032A" w14:textId="77777777" w:rsidR="00032DCE" w:rsidRPr="00A80201" w:rsidRDefault="00032DCE" w:rsidP="00D3589D">
            <w:pPr>
              <w:keepNext/>
              <w:ind w:left="-57"/>
              <w:rPr>
                <w:rFonts w:ascii="Arial Narrow" w:hAnsi="Arial Narrow"/>
                <w:sz w:val="18"/>
                <w:szCs w:val="18"/>
              </w:rPr>
            </w:pPr>
            <w:r w:rsidRPr="00A80201">
              <w:rPr>
                <w:rFonts w:ascii="Arial Narrow" w:hAnsi="Arial Narrow"/>
                <w:sz w:val="18"/>
                <w:szCs w:val="18"/>
              </w:rPr>
              <w:t>NIRAPARIB</w:t>
            </w:r>
          </w:p>
        </w:tc>
      </w:tr>
      <w:tr w:rsidR="00A80201" w:rsidRPr="00A80201" w14:paraId="318B8C4F" w14:textId="77777777" w:rsidTr="00D3589D">
        <w:trPr>
          <w:cantSplit/>
          <w:trHeight w:val="347"/>
        </w:trPr>
        <w:tc>
          <w:tcPr>
            <w:tcW w:w="2689" w:type="dxa"/>
          </w:tcPr>
          <w:p w14:paraId="0C628853" w14:textId="77777777" w:rsidR="00032DCE" w:rsidRPr="00A80201" w:rsidRDefault="00032DCE" w:rsidP="00D3589D">
            <w:pPr>
              <w:keepNext/>
              <w:ind w:left="-57"/>
              <w:rPr>
                <w:rFonts w:ascii="Arial Narrow" w:hAnsi="Arial Narrow"/>
                <w:sz w:val="18"/>
                <w:szCs w:val="18"/>
              </w:rPr>
            </w:pPr>
            <w:r w:rsidRPr="00A80201">
              <w:rPr>
                <w:rFonts w:ascii="Arial Narrow" w:hAnsi="Arial Narrow"/>
                <w:sz w:val="18"/>
                <w:szCs w:val="18"/>
              </w:rPr>
              <w:t>Niraparib 100 mg capsule, 56</w:t>
            </w:r>
          </w:p>
        </w:tc>
        <w:tc>
          <w:tcPr>
            <w:tcW w:w="1275" w:type="dxa"/>
          </w:tcPr>
          <w:p w14:paraId="3B148C3A" w14:textId="77777777" w:rsidR="00032DCE" w:rsidRPr="00A80201" w:rsidRDefault="00032DCE" w:rsidP="00D3589D">
            <w:pPr>
              <w:keepNext/>
              <w:jc w:val="center"/>
              <w:rPr>
                <w:rFonts w:ascii="Arial Narrow" w:hAnsi="Arial Narrow"/>
                <w:sz w:val="18"/>
                <w:szCs w:val="18"/>
              </w:rPr>
            </w:pPr>
            <w:r w:rsidRPr="00A80201">
              <w:rPr>
                <w:rFonts w:ascii="Arial Narrow" w:hAnsi="Arial Narrow"/>
                <w:sz w:val="18"/>
                <w:szCs w:val="18"/>
              </w:rPr>
              <w:t>NEW</w:t>
            </w:r>
          </w:p>
        </w:tc>
        <w:tc>
          <w:tcPr>
            <w:tcW w:w="851" w:type="dxa"/>
          </w:tcPr>
          <w:p w14:paraId="1E547021" w14:textId="77777777" w:rsidR="00032DCE" w:rsidRPr="00A80201" w:rsidRDefault="00032DCE" w:rsidP="00D3589D">
            <w:pPr>
              <w:keepNext/>
              <w:jc w:val="center"/>
              <w:rPr>
                <w:rFonts w:ascii="Arial Narrow" w:hAnsi="Arial Narrow"/>
                <w:sz w:val="18"/>
                <w:szCs w:val="18"/>
              </w:rPr>
            </w:pPr>
            <w:r w:rsidRPr="00A80201">
              <w:rPr>
                <w:rFonts w:ascii="Arial Narrow" w:hAnsi="Arial Narrow"/>
                <w:sz w:val="18"/>
                <w:szCs w:val="18"/>
              </w:rPr>
              <w:t>1</w:t>
            </w:r>
          </w:p>
        </w:tc>
        <w:tc>
          <w:tcPr>
            <w:tcW w:w="1134" w:type="dxa"/>
          </w:tcPr>
          <w:p w14:paraId="285E5A69" w14:textId="77777777" w:rsidR="00032DCE" w:rsidRPr="00A80201" w:rsidRDefault="00032DCE" w:rsidP="00D3589D">
            <w:pPr>
              <w:keepNext/>
              <w:jc w:val="center"/>
              <w:rPr>
                <w:rFonts w:ascii="Arial Narrow" w:hAnsi="Arial Narrow"/>
                <w:sz w:val="18"/>
                <w:szCs w:val="18"/>
              </w:rPr>
            </w:pPr>
            <w:r w:rsidRPr="00A80201">
              <w:rPr>
                <w:rFonts w:ascii="Arial Narrow" w:hAnsi="Arial Narrow"/>
                <w:sz w:val="18"/>
                <w:szCs w:val="18"/>
              </w:rPr>
              <w:t>56</w:t>
            </w:r>
          </w:p>
        </w:tc>
        <w:tc>
          <w:tcPr>
            <w:tcW w:w="1276" w:type="dxa"/>
          </w:tcPr>
          <w:p w14:paraId="46BF3F5E" w14:textId="77777777" w:rsidR="00032DCE" w:rsidRPr="00A80201" w:rsidRDefault="00032DCE" w:rsidP="00D3589D">
            <w:pPr>
              <w:keepNext/>
              <w:jc w:val="center"/>
              <w:rPr>
                <w:rFonts w:ascii="Arial Narrow" w:hAnsi="Arial Narrow"/>
                <w:sz w:val="18"/>
                <w:szCs w:val="18"/>
              </w:rPr>
            </w:pPr>
            <w:r w:rsidRPr="00A80201">
              <w:rPr>
                <w:rFonts w:ascii="Arial Narrow" w:hAnsi="Arial Narrow"/>
                <w:sz w:val="18"/>
                <w:szCs w:val="18"/>
              </w:rPr>
              <w:t xml:space="preserve">2 </w:t>
            </w:r>
          </w:p>
        </w:tc>
        <w:tc>
          <w:tcPr>
            <w:tcW w:w="1842" w:type="dxa"/>
          </w:tcPr>
          <w:p w14:paraId="31EECF18" w14:textId="77777777" w:rsidR="00032DCE" w:rsidRPr="00A80201" w:rsidRDefault="00A80201" w:rsidP="00D3589D">
            <w:pPr>
              <w:keepNext/>
              <w:rPr>
                <w:rFonts w:ascii="Arial Narrow" w:hAnsi="Arial Narrow"/>
                <w:sz w:val="18"/>
                <w:szCs w:val="18"/>
              </w:rPr>
            </w:pPr>
            <w:r w:rsidRPr="00A80201">
              <w:rPr>
                <w:rFonts w:ascii="Arial Narrow" w:hAnsi="Arial Narrow"/>
                <w:sz w:val="18"/>
                <w:szCs w:val="18"/>
              </w:rPr>
              <w:t>Zejula</w:t>
            </w:r>
          </w:p>
        </w:tc>
      </w:tr>
      <w:tr w:rsidR="00A80201" w:rsidRPr="00A80201" w14:paraId="7BB3B7FF" w14:textId="77777777" w:rsidTr="00C42AA2">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tcPr>
          <w:p w14:paraId="51927C34" w14:textId="77777777" w:rsidR="00C42AA2" w:rsidRPr="00A80201" w:rsidRDefault="00C42AA2" w:rsidP="00D3589D">
            <w:pPr>
              <w:rPr>
                <w:rFonts w:ascii="Arial Narrow" w:hAnsi="Arial Narrow"/>
                <w:sz w:val="18"/>
                <w:szCs w:val="18"/>
              </w:rPr>
            </w:pPr>
            <w:r w:rsidRPr="00A80201">
              <w:rPr>
                <w:rFonts w:ascii="Arial Narrow" w:hAnsi="Arial Narrow"/>
                <w:b/>
                <w:sz w:val="18"/>
                <w:szCs w:val="18"/>
              </w:rPr>
              <w:t xml:space="preserve">Category / Program: </w:t>
            </w:r>
            <w:r w:rsidRPr="00A80201">
              <w:rPr>
                <w:rFonts w:ascii="Arial Narrow" w:hAnsi="Arial Narrow"/>
                <w:sz w:val="18"/>
                <w:szCs w:val="18"/>
              </w:rPr>
              <w:t>General Schedule</w:t>
            </w:r>
          </w:p>
        </w:tc>
      </w:tr>
      <w:tr w:rsidR="00A80201" w:rsidRPr="00A80201" w14:paraId="6A977E2A" w14:textId="77777777" w:rsidTr="00C42AA2">
        <w:tblPrEx>
          <w:tblCellMar>
            <w:top w:w="15" w:type="dxa"/>
            <w:left w:w="15" w:type="dxa"/>
            <w:bottom w:w="15" w:type="dxa"/>
            <w:right w:w="15" w:type="dxa"/>
          </w:tblCellMar>
          <w:tblLook w:val="04A0" w:firstRow="1" w:lastRow="0" w:firstColumn="1" w:lastColumn="0" w:noHBand="0" w:noVBand="1"/>
        </w:tblPrEx>
        <w:trPr>
          <w:trHeight w:val="240"/>
        </w:trPr>
        <w:tc>
          <w:tcPr>
            <w:tcW w:w="9067" w:type="dxa"/>
            <w:gridSpan w:val="6"/>
            <w:tcBorders>
              <w:top w:val="single" w:sz="4" w:space="0" w:color="auto"/>
              <w:left w:val="single" w:sz="4" w:space="0" w:color="auto"/>
              <w:bottom w:val="single" w:sz="4" w:space="0" w:color="auto"/>
              <w:right w:val="single" w:sz="4" w:space="0" w:color="auto"/>
            </w:tcBorders>
          </w:tcPr>
          <w:p w14:paraId="38A69B10" w14:textId="77777777" w:rsidR="00C42AA2" w:rsidRPr="00A80201" w:rsidRDefault="00C42AA2" w:rsidP="00D3589D">
            <w:pPr>
              <w:rPr>
                <w:rFonts w:ascii="Arial Narrow" w:hAnsi="Arial Narrow"/>
                <w:b/>
                <w:sz w:val="18"/>
                <w:szCs w:val="18"/>
              </w:rPr>
            </w:pPr>
            <w:r w:rsidRPr="00A80201">
              <w:rPr>
                <w:rFonts w:ascii="Arial Narrow" w:hAnsi="Arial Narrow"/>
                <w:b/>
                <w:sz w:val="18"/>
                <w:szCs w:val="18"/>
              </w:rPr>
              <w:t xml:space="preserve">Prescriber type:   </w:t>
            </w:r>
            <w:r w:rsidRPr="00A80201">
              <w:rPr>
                <w:rFonts w:ascii="Arial Narrow" w:hAnsi="Arial Narrow"/>
                <w:sz w:val="18"/>
                <w:szCs w:val="18"/>
              </w:rPr>
              <w:fldChar w:fldCharType="begin">
                <w:ffData>
                  <w:name w:val=""/>
                  <w:enabled/>
                  <w:calcOnExit w:val="0"/>
                  <w:checkBox>
                    <w:sizeAuto/>
                    <w:default w:val="1"/>
                  </w:checkBox>
                </w:ffData>
              </w:fldChar>
            </w:r>
            <w:r w:rsidRPr="00A80201">
              <w:rPr>
                <w:rFonts w:ascii="Arial Narrow" w:hAnsi="Arial Narrow"/>
                <w:sz w:val="18"/>
                <w:szCs w:val="18"/>
              </w:rPr>
              <w:instrText xml:space="preserve"> FORMCHECKBOX </w:instrText>
            </w:r>
            <w:r w:rsidR="00E146A6">
              <w:rPr>
                <w:rFonts w:ascii="Arial Narrow" w:hAnsi="Arial Narrow"/>
                <w:sz w:val="18"/>
                <w:szCs w:val="18"/>
              </w:rPr>
            </w:r>
            <w:r w:rsidR="00E146A6">
              <w:rPr>
                <w:rFonts w:ascii="Arial Narrow" w:hAnsi="Arial Narrow"/>
                <w:sz w:val="18"/>
                <w:szCs w:val="18"/>
              </w:rPr>
              <w:fldChar w:fldCharType="separate"/>
            </w:r>
            <w:r w:rsidRPr="00A80201">
              <w:rPr>
                <w:rFonts w:ascii="Arial Narrow" w:hAnsi="Arial Narrow"/>
                <w:sz w:val="18"/>
                <w:szCs w:val="18"/>
              </w:rPr>
              <w:fldChar w:fldCharType="end"/>
            </w:r>
            <w:r w:rsidRPr="00A80201">
              <w:rPr>
                <w:rFonts w:ascii="Arial Narrow" w:hAnsi="Arial Narrow"/>
                <w:sz w:val="18"/>
                <w:szCs w:val="18"/>
              </w:rPr>
              <w:t>Medical Practitioners</w:t>
            </w:r>
          </w:p>
        </w:tc>
      </w:tr>
      <w:tr w:rsidR="00A80201" w:rsidRPr="00A80201" w14:paraId="3E9BE0DC" w14:textId="77777777" w:rsidTr="00C42AA2">
        <w:tblPrEx>
          <w:tblCellMar>
            <w:top w:w="15" w:type="dxa"/>
            <w:left w:w="15" w:type="dxa"/>
            <w:bottom w:w="15" w:type="dxa"/>
            <w:right w:w="15" w:type="dxa"/>
          </w:tblCellMar>
          <w:tblLook w:val="04A0" w:firstRow="1" w:lastRow="0" w:firstColumn="1" w:lastColumn="0" w:noHBand="0" w:noVBand="1"/>
        </w:tblPrEx>
        <w:trPr>
          <w:trHeight w:val="266"/>
        </w:trPr>
        <w:tc>
          <w:tcPr>
            <w:tcW w:w="9067" w:type="dxa"/>
            <w:gridSpan w:val="6"/>
            <w:tcBorders>
              <w:top w:val="single" w:sz="4" w:space="0" w:color="auto"/>
              <w:left w:val="single" w:sz="4" w:space="0" w:color="auto"/>
              <w:bottom w:val="single" w:sz="4" w:space="0" w:color="auto"/>
              <w:right w:val="single" w:sz="4" w:space="0" w:color="auto"/>
            </w:tcBorders>
          </w:tcPr>
          <w:p w14:paraId="50D00ACA" w14:textId="77777777" w:rsidR="00C42AA2" w:rsidRPr="00A80201" w:rsidRDefault="00C42AA2" w:rsidP="00D3589D">
            <w:pPr>
              <w:rPr>
                <w:rFonts w:ascii="Arial Narrow" w:hAnsi="Arial Narrow"/>
                <w:b/>
                <w:sz w:val="18"/>
                <w:szCs w:val="18"/>
              </w:rPr>
            </w:pPr>
            <w:r w:rsidRPr="00A80201">
              <w:rPr>
                <w:rFonts w:ascii="Arial Narrow" w:hAnsi="Arial Narrow"/>
                <w:b/>
                <w:sz w:val="18"/>
                <w:szCs w:val="18"/>
              </w:rPr>
              <w:t xml:space="preserve">Restriction type: </w:t>
            </w:r>
          </w:p>
          <w:p w14:paraId="583AD90C" w14:textId="77777777" w:rsidR="00C42AA2" w:rsidRPr="00A80201" w:rsidRDefault="00C42AA2" w:rsidP="00D3589D">
            <w:pPr>
              <w:rPr>
                <w:rFonts w:ascii="Arial Narrow" w:eastAsia="Calibri" w:hAnsi="Arial Narrow"/>
                <w:strike/>
                <w:sz w:val="18"/>
                <w:szCs w:val="18"/>
              </w:rPr>
            </w:pPr>
            <w:r w:rsidRPr="00A80201">
              <w:rPr>
                <w:rFonts w:ascii="Arial Narrow" w:eastAsia="Calibri" w:hAnsi="Arial Narrow"/>
                <w:strike/>
                <w:sz w:val="18"/>
                <w:szCs w:val="18"/>
              </w:rPr>
              <w:fldChar w:fldCharType="begin">
                <w:ffData>
                  <w:name w:val=""/>
                  <w:enabled/>
                  <w:calcOnExit w:val="0"/>
                  <w:checkBox>
                    <w:sizeAuto/>
                    <w:default w:val="1"/>
                  </w:checkBox>
                </w:ffData>
              </w:fldChar>
            </w:r>
            <w:r w:rsidRPr="00A80201">
              <w:rPr>
                <w:rFonts w:ascii="Arial Narrow" w:eastAsia="Calibri" w:hAnsi="Arial Narrow"/>
                <w:strike/>
                <w:sz w:val="18"/>
                <w:szCs w:val="18"/>
              </w:rPr>
              <w:instrText xml:space="preserve"> FORMCHECKBOX </w:instrText>
            </w:r>
            <w:r w:rsidR="00E146A6">
              <w:rPr>
                <w:rFonts w:ascii="Arial Narrow" w:eastAsia="Calibri" w:hAnsi="Arial Narrow"/>
                <w:strike/>
                <w:sz w:val="18"/>
                <w:szCs w:val="18"/>
              </w:rPr>
            </w:r>
            <w:r w:rsidR="00E146A6">
              <w:rPr>
                <w:rFonts w:ascii="Arial Narrow" w:eastAsia="Calibri" w:hAnsi="Arial Narrow"/>
                <w:strike/>
                <w:sz w:val="18"/>
                <w:szCs w:val="18"/>
              </w:rPr>
              <w:fldChar w:fldCharType="separate"/>
            </w:r>
            <w:r w:rsidRPr="00A80201">
              <w:rPr>
                <w:rFonts w:ascii="Arial Narrow" w:eastAsia="Calibri" w:hAnsi="Arial Narrow"/>
                <w:strike/>
                <w:sz w:val="18"/>
                <w:szCs w:val="18"/>
              </w:rPr>
              <w:fldChar w:fldCharType="end"/>
            </w:r>
            <w:r w:rsidRPr="00A80201">
              <w:rPr>
                <w:rFonts w:ascii="Arial Narrow" w:eastAsia="Calibri" w:hAnsi="Arial Narrow"/>
                <w:strike/>
                <w:sz w:val="18"/>
                <w:szCs w:val="18"/>
              </w:rPr>
              <w:t>Authority Required – Streamlined [new code]</w:t>
            </w:r>
          </w:p>
          <w:p w14:paraId="64A59040" w14:textId="77777777" w:rsidR="00C42AA2" w:rsidRPr="00A80201" w:rsidRDefault="00C42AA2" w:rsidP="00D3589D">
            <w:pPr>
              <w:rPr>
                <w:rFonts w:ascii="Arial Narrow" w:eastAsia="Calibri" w:hAnsi="Arial Narrow"/>
                <w:sz w:val="18"/>
                <w:szCs w:val="18"/>
              </w:rPr>
            </w:pPr>
            <w:r w:rsidRPr="00A80201">
              <w:rPr>
                <w:rFonts w:ascii="Arial Narrow" w:eastAsia="Calibri" w:hAnsi="Arial Narrow"/>
                <w:sz w:val="18"/>
                <w:szCs w:val="18"/>
              </w:rPr>
              <w:fldChar w:fldCharType="begin">
                <w:ffData>
                  <w:name w:val="Check3"/>
                  <w:enabled/>
                  <w:calcOnExit w:val="0"/>
                  <w:checkBox>
                    <w:sizeAuto/>
                    <w:default w:val="1"/>
                  </w:checkBox>
                </w:ffData>
              </w:fldChar>
            </w:r>
            <w:r w:rsidRPr="00A80201">
              <w:rPr>
                <w:rFonts w:ascii="Arial Narrow" w:eastAsia="Calibri" w:hAnsi="Arial Narrow"/>
                <w:sz w:val="18"/>
                <w:szCs w:val="18"/>
              </w:rPr>
              <w:instrText xml:space="preserve"> FORMCHECKBOX </w:instrText>
            </w:r>
            <w:r w:rsidR="00E146A6">
              <w:rPr>
                <w:rFonts w:ascii="Arial Narrow" w:eastAsia="Calibri" w:hAnsi="Arial Narrow"/>
                <w:sz w:val="18"/>
                <w:szCs w:val="18"/>
              </w:rPr>
            </w:r>
            <w:r w:rsidR="00E146A6">
              <w:rPr>
                <w:rFonts w:ascii="Arial Narrow" w:eastAsia="Calibri" w:hAnsi="Arial Narrow"/>
                <w:sz w:val="18"/>
                <w:szCs w:val="18"/>
              </w:rPr>
              <w:fldChar w:fldCharType="separate"/>
            </w:r>
            <w:r w:rsidRPr="00A80201">
              <w:rPr>
                <w:rFonts w:ascii="Arial Narrow" w:eastAsia="Calibri" w:hAnsi="Arial Narrow"/>
                <w:sz w:val="18"/>
                <w:szCs w:val="18"/>
              </w:rPr>
              <w:fldChar w:fldCharType="end"/>
            </w:r>
            <w:r w:rsidRPr="00A80201">
              <w:rPr>
                <w:rFonts w:ascii="Arial Narrow" w:eastAsia="Calibri" w:hAnsi="Arial Narrow"/>
                <w:i/>
                <w:sz w:val="18"/>
                <w:szCs w:val="18"/>
              </w:rPr>
              <w:t>Authority Required – immediate/real-time assessment by Services Australia</w:t>
            </w:r>
          </w:p>
        </w:tc>
      </w:tr>
      <w:tr w:rsidR="00A80201" w:rsidRPr="00A80201" w14:paraId="38F4C7CD" w14:textId="77777777" w:rsidTr="00C42AA2">
        <w:tblPrEx>
          <w:tblCellMar>
            <w:top w:w="15" w:type="dxa"/>
            <w:left w:w="15" w:type="dxa"/>
            <w:bottom w:w="15" w:type="dxa"/>
            <w:right w:w="15" w:type="dxa"/>
          </w:tblCellMar>
          <w:tblLook w:val="04A0" w:firstRow="1" w:lastRow="0" w:firstColumn="1" w:lastColumn="0" w:noHBand="0" w:noVBand="1"/>
        </w:tblPrEx>
        <w:tc>
          <w:tcPr>
            <w:tcW w:w="9067" w:type="dxa"/>
            <w:gridSpan w:val="6"/>
            <w:vAlign w:val="center"/>
          </w:tcPr>
          <w:p w14:paraId="7D0E2A31" w14:textId="77777777" w:rsidR="00C42AA2" w:rsidRPr="00A80201" w:rsidRDefault="00C42AA2" w:rsidP="00D3589D">
            <w:pPr>
              <w:rPr>
                <w:rFonts w:ascii="Arial Narrow" w:hAnsi="Arial Narrow"/>
                <w:sz w:val="18"/>
                <w:szCs w:val="18"/>
              </w:rPr>
            </w:pPr>
            <w:r w:rsidRPr="00A80201">
              <w:rPr>
                <w:rFonts w:ascii="Arial Narrow" w:hAnsi="Arial Narrow"/>
                <w:b/>
                <w:bCs/>
                <w:sz w:val="18"/>
                <w:szCs w:val="18"/>
              </w:rPr>
              <w:t>Administrative Advice:</w:t>
            </w:r>
          </w:p>
          <w:p w14:paraId="23758493" w14:textId="77777777" w:rsidR="00471C53" w:rsidRDefault="00C42AA2" w:rsidP="00D3589D">
            <w:pPr>
              <w:rPr>
                <w:rFonts w:ascii="Arial Narrow" w:eastAsia="Calibri" w:hAnsi="Arial Narrow"/>
                <w:i/>
                <w:sz w:val="18"/>
                <w:szCs w:val="18"/>
              </w:rPr>
            </w:pPr>
            <w:r w:rsidRPr="00A80201">
              <w:rPr>
                <w:rFonts w:ascii="Arial Narrow" w:hAnsi="Arial Narrow"/>
                <w:i/>
                <w:sz w:val="18"/>
                <w:szCs w:val="18"/>
              </w:rPr>
              <w:t>Special Pricing Arrangements apply</w:t>
            </w:r>
            <w:r w:rsidR="00471C53" w:rsidRPr="00A80201">
              <w:rPr>
                <w:rFonts w:ascii="Arial Narrow" w:eastAsia="Calibri" w:hAnsi="Arial Narrow"/>
                <w:i/>
                <w:sz w:val="18"/>
                <w:szCs w:val="18"/>
              </w:rPr>
              <w:t xml:space="preserve"> </w:t>
            </w:r>
          </w:p>
          <w:p w14:paraId="6E6BCF18" w14:textId="77777777" w:rsidR="00C42AA2" w:rsidRPr="00A80201" w:rsidRDefault="00471C53" w:rsidP="00D3589D">
            <w:pPr>
              <w:rPr>
                <w:rFonts w:ascii="Arial Narrow" w:hAnsi="Arial Narrow"/>
                <w:i/>
                <w:sz w:val="18"/>
                <w:szCs w:val="18"/>
              </w:rPr>
            </w:pPr>
            <w:r w:rsidRPr="00A80201">
              <w:rPr>
                <w:rFonts w:ascii="Arial Narrow" w:eastAsia="Calibri" w:hAnsi="Arial Narrow"/>
                <w:i/>
                <w:sz w:val="18"/>
                <w:szCs w:val="18"/>
              </w:rPr>
              <w:t>Applications for authorisation under this restriction may be made in real time using the Online PBS Authorities system (see www.servicesaustralia.gov.au/HPOS) or by telephone by contacting Services Australia on 1800 888 333.</w:t>
            </w:r>
          </w:p>
        </w:tc>
      </w:tr>
      <w:tr w:rsidR="00A80201" w:rsidRPr="00A80201" w14:paraId="5889252F" w14:textId="77777777" w:rsidTr="00471C53">
        <w:tblPrEx>
          <w:tblCellMar>
            <w:top w:w="15" w:type="dxa"/>
            <w:left w:w="15" w:type="dxa"/>
            <w:bottom w:w="15" w:type="dxa"/>
            <w:right w:w="15" w:type="dxa"/>
          </w:tblCellMar>
          <w:tblLook w:val="04A0" w:firstRow="1" w:lastRow="0" w:firstColumn="1" w:lastColumn="0" w:noHBand="0" w:noVBand="1"/>
        </w:tblPrEx>
        <w:tc>
          <w:tcPr>
            <w:tcW w:w="9067" w:type="dxa"/>
            <w:gridSpan w:val="6"/>
            <w:tcBorders>
              <w:bottom w:val="double" w:sz="4" w:space="0" w:color="auto"/>
            </w:tcBorders>
            <w:vAlign w:val="center"/>
            <w:hideMark/>
          </w:tcPr>
          <w:p w14:paraId="21A1D585" w14:textId="77777777" w:rsidR="00C42AA2" w:rsidRPr="00A80201" w:rsidRDefault="00C42AA2" w:rsidP="00D3589D">
            <w:pPr>
              <w:rPr>
                <w:rFonts w:ascii="Arial Narrow" w:hAnsi="Arial Narrow"/>
                <w:sz w:val="18"/>
                <w:szCs w:val="18"/>
              </w:rPr>
            </w:pPr>
            <w:r w:rsidRPr="00A80201">
              <w:rPr>
                <w:rFonts w:ascii="Arial Narrow" w:hAnsi="Arial Narrow"/>
                <w:b/>
                <w:bCs/>
                <w:sz w:val="18"/>
                <w:szCs w:val="18"/>
              </w:rPr>
              <w:t>Indication:</w:t>
            </w:r>
            <w:r w:rsidRPr="00A80201">
              <w:rPr>
                <w:rFonts w:ascii="Arial Narrow" w:hAnsi="Arial Narrow"/>
                <w:sz w:val="18"/>
                <w:szCs w:val="18"/>
              </w:rPr>
              <w:t xml:space="preserve"> </w:t>
            </w:r>
            <w:r w:rsidRPr="00A80201">
              <w:rPr>
                <w:rFonts w:ascii="Arial Narrow" w:eastAsia="Calibri" w:hAnsi="Arial Narrow"/>
                <w:sz w:val="18"/>
                <w:szCs w:val="18"/>
              </w:rPr>
              <w:t xml:space="preserve">High grade </w:t>
            </w:r>
            <w:r w:rsidRPr="00A80201">
              <w:rPr>
                <w:rFonts w:ascii="Arial Narrow" w:eastAsia="Calibri" w:hAnsi="Arial Narrow"/>
                <w:i/>
                <w:sz w:val="18"/>
                <w:szCs w:val="18"/>
              </w:rPr>
              <w:t>stage III/IV</w:t>
            </w:r>
            <w:r w:rsidRPr="00A80201">
              <w:rPr>
                <w:rFonts w:ascii="Arial Narrow" w:eastAsia="Calibri" w:hAnsi="Arial Narrow"/>
                <w:sz w:val="18"/>
                <w:szCs w:val="18"/>
              </w:rPr>
              <w:t xml:space="preserve"> epithelial ovarian, fallopian tube or primary peritoneal cancer</w:t>
            </w:r>
          </w:p>
        </w:tc>
      </w:tr>
      <w:tr w:rsidR="00A80201" w:rsidRPr="00A80201" w14:paraId="452C7913" w14:textId="77777777" w:rsidTr="00471C53">
        <w:tblPrEx>
          <w:tblCellMar>
            <w:top w:w="15" w:type="dxa"/>
            <w:left w:w="15" w:type="dxa"/>
            <w:bottom w:w="15" w:type="dxa"/>
            <w:right w:w="15" w:type="dxa"/>
          </w:tblCellMar>
          <w:tblLook w:val="04A0" w:firstRow="1" w:lastRow="0" w:firstColumn="1" w:lastColumn="0" w:noHBand="0" w:noVBand="1"/>
        </w:tblPrEx>
        <w:tc>
          <w:tcPr>
            <w:tcW w:w="9067" w:type="dxa"/>
            <w:gridSpan w:val="6"/>
            <w:tcBorders>
              <w:top w:val="double" w:sz="4" w:space="0" w:color="auto"/>
              <w:bottom w:val="single" w:sz="4" w:space="0" w:color="auto"/>
            </w:tcBorders>
            <w:vAlign w:val="center"/>
            <w:hideMark/>
          </w:tcPr>
          <w:p w14:paraId="20645C0F" w14:textId="77777777" w:rsidR="00C42AA2" w:rsidRPr="00A80201" w:rsidRDefault="00C42AA2" w:rsidP="00D3589D">
            <w:pPr>
              <w:rPr>
                <w:rFonts w:ascii="Arial Narrow" w:hAnsi="Arial Narrow"/>
                <w:sz w:val="18"/>
                <w:szCs w:val="18"/>
              </w:rPr>
            </w:pPr>
            <w:r w:rsidRPr="00A80201">
              <w:rPr>
                <w:rFonts w:ascii="Arial Narrow" w:hAnsi="Arial Narrow"/>
                <w:b/>
                <w:bCs/>
                <w:sz w:val="18"/>
                <w:szCs w:val="18"/>
              </w:rPr>
              <w:t>Treatment Phase:</w:t>
            </w:r>
            <w:r w:rsidRPr="00A80201">
              <w:rPr>
                <w:rFonts w:ascii="Arial Narrow" w:hAnsi="Arial Narrow"/>
                <w:sz w:val="18"/>
                <w:szCs w:val="18"/>
              </w:rPr>
              <w:t xml:space="preserve"> </w:t>
            </w:r>
            <w:r w:rsidRPr="00A80201">
              <w:rPr>
                <w:rFonts w:ascii="Arial Narrow" w:eastAsia="Calibri" w:hAnsi="Arial Narrow"/>
                <w:sz w:val="18"/>
                <w:szCs w:val="18"/>
              </w:rPr>
              <w:t>Initial treatment – first line treatment</w:t>
            </w:r>
            <w:r w:rsidRPr="00A80201">
              <w:rPr>
                <w:rFonts w:ascii="Arial Narrow" w:hAnsi="Arial Narrow"/>
                <w:sz w:val="18"/>
                <w:szCs w:val="18"/>
              </w:rPr>
              <w:t xml:space="preserve">  </w:t>
            </w:r>
          </w:p>
        </w:tc>
      </w:tr>
      <w:tr w:rsidR="00A80201" w:rsidRPr="00A80201" w14:paraId="319169CC" w14:textId="77777777" w:rsidTr="00471C53">
        <w:tblPrEx>
          <w:tblCellMar>
            <w:top w:w="15" w:type="dxa"/>
            <w:left w:w="15" w:type="dxa"/>
            <w:bottom w:w="15" w:type="dxa"/>
            <w:right w:w="15" w:type="dxa"/>
          </w:tblCellMar>
          <w:tblLook w:val="04A0" w:firstRow="1" w:lastRow="0" w:firstColumn="1" w:lastColumn="0" w:noHBand="0" w:noVBand="1"/>
        </w:tblPrEx>
        <w:tc>
          <w:tcPr>
            <w:tcW w:w="9067" w:type="dxa"/>
            <w:gridSpan w:val="6"/>
            <w:tcBorders>
              <w:bottom w:val="nil"/>
            </w:tcBorders>
            <w:vAlign w:val="center"/>
            <w:hideMark/>
          </w:tcPr>
          <w:p w14:paraId="562DAEA2" w14:textId="77777777" w:rsidR="00C42AA2" w:rsidRPr="00A80201" w:rsidRDefault="00C42AA2" w:rsidP="00D3589D">
            <w:r w:rsidRPr="00A80201">
              <w:rPr>
                <w:rFonts w:ascii="Arial Narrow" w:hAnsi="Arial Narrow"/>
                <w:b/>
                <w:bCs/>
                <w:sz w:val="18"/>
                <w:szCs w:val="18"/>
              </w:rPr>
              <w:t>Clinical criteria</w:t>
            </w:r>
          </w:p>
        </w:tc>
      </w:tr>
      <w:tr w:rsidR="00A80201" w:rsidRPr="00A80201" w14:paraId="0924C4F8" w14:textId="77777777" w:rsidTr="00471C53">
        <w:tblPrEx>
          <w:tblCellMar>
            <w:top w:w="15" w:type="dxa"/>
            <w:left w:w="15" w:type="dxa"/>
            <w:bottom w:w="15" w:type="dxa"/>
            <w:right w:w="15" w:type="dxa"/>
          </w:tblCellMar>
          <w:tblLook w:val="04A0" w:firstRow="1" w:lastRow="0" w:firstColumn="1" w:lastColumn="0" w:noHBand="0" w:noVBand="1"/>
        </w:tblPrEx>
        <w:tc>
          <w:tcPr>
            <w:tcW w:w="9067" w:type="dxa"/>
            <w:gridSpan w:val="6"/>
            <w:tcBorders>
              <w:top w:val="nil"/>
              <w:bottom w:val="nil"/>
            </w:tcBorders>
            <w:vAlign w:val="center"/>
            <w:hideMark/>
          </w:tcPr>
          <w:p w14:paraId="329494FF" w14:textId="77777777" w:rsidR="00C42AA2" w:rsidRPr="00A80201" w:rsidRDefault="00C42AA2" w:rsidP="00D3589D">
            <w:pPr>
              <w:rPr>
                <w:rFonts w:ascii="Arial Narrow" w:eastAsia="Calibri" w:hAnsi="Arial Narrow"/>
                <w:sz w:val="18"/>
                <w:szCs w:val="18"/>
              </w:rPr>
            </w:pPr>
            <w:r w:rsidRPr="00A80201">
              <w:rPr>
                <w:rFonts w:ascii="Arial Narrow" w:eastAsia="Calibri" w:hAnsi="Arial Narrow"/>
                <w:sz w:val="18"/>
                <w:szCs w:val="18"/>
              </w:rPr>
              <w:t>Patient must be in partial or complete response to the immediately preceding platinum-based chemotherapy regimen prior to commencing treatment with this drug for this condition</w:t>
            </w:r>
          </w:p>
        </w:tc>
      </w:tr>
      <w:tr w:rsidR="00A80201" w:rsidRPr="00A80201" w14:paraId="72B3D34B" w14:textId="77777777" w:rsidTr="00471C53">
        <w:tblPrEx>
          <w:tblCellMar>
            <w:top w:w="15" w:type="dxa"/>
            <w:left w:w="15" w:type="dxa"/>
            <w:bottom w:w="15" w:type="dxa"/>
            <w:right w:w="15" w:type="dxa"/>
          </w:tblCellMar>
          <w:tblLook w:val="04A0" w:firstRow="1" w:lastRow="0" w:firstColumn="1" w:lastColumn="0" w:noHBand="0" w:noVBand="1"/>
        </w:tblPrEx>
        <w:tc>
          <w:tcPr>
            <w:tcW w:w="9067" w:type="dxa"/>
            <w:gridSpan w:val="6"/>
            <w:tcBorders>
              <w:top w:val="nil"/>
              <w:bottom w:val="nil"/>
            </w:tcBorders>
            <w:vAlign w:val="center"/>
            <w:hideMark/>
          </w:tcPr>
          <w:p w14:paraId="62A518C3" w14:textId="77777777" w:rsidR="00C42AA2" w:rsidRPr="00A80201" w:rsidRDefault="00C42AA2" w:rsidP="00D3589D">
            <w:pPr>
              <w:rPr>
                <w:rFonts w:ascii="Arial Narrow" w:hAnsi="Arial Narrow"/>
                <w:sz w:val="18"/>
                <w:szCs w:val="18"/>
              </w:rPr>
            </w:pPr>
            <w:r w:rsidRPr="00A80201">
              <w:rPr>
                <w:rFonts w:ascii="Arial Narrow" w:hAnsi="Arial Narrow"/>
                <w:b/>
                <w:bCs/>
                <w:sz w:val="18"/>
                <w:szCs w:val="18"/>
              </w:rPr>
              <w:t>AND</w:t>
            </w:r>
          </w:p>
        </w:tc>
      </w:tr>
      <w:tr w:rsidR="00A80201" w:rsidRPr="00A80201" w14:paraId="4914B6FE" w14:textId="77777777" w:rsidTr="00471C53">
        <w:tblPrEx>
          <w:tblCellMar>
            <w:top w:w="15" w:type="dxa"/>
            <w:left w:w="15" w:type="dxa"/>
            <w:bottom w:w="15" w:type="dxa"/>
            <w:right w:w="15" w:type="dxa"/>
          </w:tblCellMar>
          <w:tblLook w:val="04A0" w:firstRow="1" w:lastRow="0" w:firstColumn="1" w:lastColumn="0" w:noHBand="0" w:noVBand="1"/>
        </w:tblPrEx>
        <w:tc>
          <w:tcPr>
            <w:tcW w:w="9067" w:type="dxa"/>
            <w:gridSpan w:val="6"/>
            <w:tcBorders>
              <w:top w:val="nil"/>
              <w:bottom w:val="nil"/>
            </w:tcBorders>
            <w:vAlign w:val="center"/>
          </w:tcPr>
          <w:p w14:paraId="77BDD802" w14:textId="77777777" w:rsidR="00C42AA2" w:rsidRPr="00A80201" w:rsidRDefault="00C42AA2" w:rsidP="00D3589D">
            <w:pPr>
              <w:rPr>
                <w:rFonts w:ascii="Arial Narrow" w:eastAsia="Calibri" w:hAnsi="Arial Narrow"/>
                <w:sz w:val="18"/>
                <w:szCs w:val="18"/>
              </w:rPr>
            </w:pPr>
            <w:r w:rsidRPr="00A80201">
              <w:rPr>
                <w:rFonts w:ascii="Arial Narrow" w:eastAsia="Calibri" w:hAnsi="Arial Narrow"/>
                <w:sz w:val="18"/>
                <w:szCs w:val="18"/>
              </w:rPr>
              <w:t xml:space="preserve">The treatment must be the sole PBS-subsidised PARP inhibitor therapy for this condition, </w:t>
            </w:r>
          </w:p>
        </w:tc>
      </w:tr>
      <w:tr w:rsidR="00A80201" w:rsidRPr="00A80201" w14:paraId="00F2D1F4" w14:textId="77777777" w:rsidTr="00471C53">
        <w:tblPrEx>
          <w:tblCellMar>
            <w:top w:w="15" w:type="dxa"/>
            <w:left w:w="15" w:type="dxa"/>
            <w:bottom w:w="15" w:type="dxa"/>
            <w:right w:w="15" w:type="dxa"/>
          </w:tblCellMar>
          <w:tblLook w:val="04A0" w:firstRow="1" w:lastRow="0" w:firstColumn="1" w:lastColumn="0" w:noHBand="0" w:noVBand="1"/>
        </w:tblPrEx>
        <w:tc>
          <w:tcPr>
            <w:tcW w:w="9067" w:type="dxa"/>
            <w:gridSpan w:val="6"/>
            <w:tcBorders>
              <w:top w:val="nil"/>
              <w:bottom w:val="nil"/>
            </w:tcBorders>
            <w:vAlign w:val="center"/>
            <w:hideMark/>
          </w:tcPr>
          <w:p w14:paraId="3ABD0843" w14:textId="77777777" w:rsidR="00C42AA2" w:rsidRPr="00A80201" w:rsidRDefault="00C42AA2" w:rsidP="00D3589D">
            <w:pPr>
              <w:rPr>
                <w:rFonts w:ascii="Arial Narrow" w:hAnsi="Arial Narrow"/>
                <w:sz w:val="18"/>
                <w:szCs w:val="18"/>
              </w:rPr>
            </w:pPr>
            <w:r w:rsidRPr="00A80201">
              <w:rPr>
                <w:rFonts w:ascii="Arial Narrow" w:hAnsi="Arial Narrow"/>
                <w:b/>
                <w:bCs/>
                <w:sz w:val="18"/>
                <w:szCs w:val="18"/>
              </w:rPr>
              <w:t>AND</w:t>
            </w:r>
          </w:p>
        </w:tc>
      </w:tr>
      <w:tr w:rsidR="00A80201" w:rsidRPr="00A80201" w14:paraId="3CB4AC93" w14:textId="77777777" w:rsidTr="00471C53">
        <w:tblPrEx>
          <w:tblCellMar>
            <w:top w:w="15" w:type="dxa"/>
            <w:left w:w="15" w:type="dxa"/>
            <w:bottom w:w="15" w:type="dxa"/>
            <w:right w:w="15" w:type="dxa"/>
          </w:tblCellMar>
          <w:tblLook w:val="04A0" w:firstRow="1" w:lastRow="0" w:firstColumn="1" w:lastColumn="0" w:noHBand="0" w:noVBand="1"/>
        </w:tblPrEx>
        <w:tc>
          <w:tcPr>
            <w:tcW w:w="9067" w:type="dxa"/>
            <w:gridSpan w:val="6"/>
            <w:tcBorders>
              <w:top w:val="nil"/>
            </w:tcBorders>
            <w:vAlign w:val="center"/>
          </w:tcPr>
          <w:p w14:paraId="7E6D286C" w14:textId="77777777" w:rsidR="00C42AA2" w:rsidRPr="00A80201" w:rsidRDefault="00C42AA2" w:rsidP="00D3589D">
            <w:pPr>
              <w:rPr>
                <w:rFonts w:ascii="Arial Narrow" w:hAnsi="Arial Narrow"/>
                <w:sz w:val="18"/>
                <w:szCs w:val="18"/>
              </w:rPr>
            </w:pPr>
            <w:r w:rsidRPr="00A80201">
              <w:rPr>
                <w:rFonts w:ascii="Arial Narrow" w:eastAsia="Calibri" w:hAnsi="Arial Narrow"/>
                <w:sz w:val="18"/>
                <w:szCs w:val="18"/>
              </w:rPr>
              <w:t>Patient must not have previously received PBS-subsidised treatment with this drug for this condition</w:t>
            </w:r>
          </w:p>
        </w:tc>
      </w:tr>
      <w:tr w:rsidR="00A80201" w:rsidRPr="00A80201" w14:paraId="590FFBC8" w14:textId="77777777" w:rsidTr="00C42AA2">
        <w:tblPrEx>
          <w:tblCellMar>
            <w:top w:w="15" w:type="dxa"/>
            <w:left w:w="15" w:type="dxa"/>
            <w:bottom w:w="15" w:type="dxa"/>
            <w:right w:w="15" w:type="dxa"/>
          </w:tblCellMar>
          <w:tblLook w:val="04A0" w:firstRow="1" w:lastRow="0" w:firstColumn="1" w:lastColumn="0" w:noHBand="0" w:noVBand="1"/>
        </w:tblPrEx>
        <w:tc>
          <w:tcPr>
            <w:tcW w:w="9067" w:type="dxa"/>
            <w:gridSpan w:val="6"/>
            <w:vAlign w:val="center"/>
          </w:tcPr>
          <w:p w14:paraId="7A4D53A6" w14:textId="77777777" w:rsidR="00C42AA2" w:rsidRPr="00A80201" w:rsidRDefault="00C42AA2" w:rsidP="00D3589D">
            <w:pPr>
              <w:rPr>
                <w:rFonts w:ascii="Arial Narrow" w:hAnsi="Arial Narrow"/>
                <w:b/>
                <w:bCs/>
                <w:sz w:val="18"/>
                <w:szCs w:val="18"/>
              </w:rPr>
            </w:pPr>
            <w:r w:rsidRPr="00A80201">
              <w:rPr>
                <w:rFonts w:ascii="Arial Narrow" w:hAnsi="Arial Narrow"/>
                <w:b/>
                <w:bCs/>
                <w:sz w:val="18"/>
                <w:szCs w:val="18"/>
              </w:rPr>
              <w:t xml:space="preserve">Prescribing Instructions: </w:t>
            </w:r>
          </w:p>
          <w:p w14:paraId="038EF5C1" w14:textId="77777777" w:rsidR="00471C53" w:rsidRDefault="00C42AA2" w:rsidP="00D3589D">
            <w:pPr>
              <w:rPr>
                <w:rFonts w:ascii="Arial Narrow" w:hAnsi="Arial Narrow"/>
                <w:bCs/>
                <w:sz w:val="18"/>
                <w:szCs w:val="18"/>
              </w:rPr>
            </w:pPr>
            <w:r w:rsidRPr="00A80201">
              <w:rPr>
                <w:rFonts w:ascii="Arial Narrow" w:eastAsia="Calibri" w:hAnsi="Arial Narrow"/>
                <w:i/>
                <w:sz w:val="18"/>
                <w:szCs w:val="18"/>
              </w:rPr>
              <w:t>Patients treated under this listing should be receiving a dose of 200 mg/day</w:t>
            </w:r>
            <w:r w:rsidR="00471C53" w:rsidRPr="00A80201">
              <w:rPr>
                <w:rFonts w:ascii="Arial Narrow" w:hAnsi="Arial Narrow"/>
                <w:bCs/>
                <w:sz w:val="18"/>
                <w:szCs w:val="18"/>
              </w:rPr>
              <w:t xml:space="preserve"> </w:t>
            </w:r>
          </w:p>
          <w:p w14:paraId="1E7696B3" w14:textId="77777777" w:rsidR="00C42AA2" w:rsidRDefault="00471C53" w:rsidP="00D3589D">
            <w:pPr>
              <w:rPr>
                <w:rFonts w:ascii="Arial Narrow" w:hAnsi="Arial Narrow"/>
                <w:bCs/>
                <w:sz w:val="18"/>
                <w:szCs w:val="18"/>
              </w:rPr>
            </w:pPr>
            <w:r w:rsidRPr="00A80201">
              <w:rPr>
                <w:rFonts w:ascii="Arial Narrow" w:hAnsi="Arial Narrow"/>
                <w:bCs/>
                <w:sz w:val="18"/>
                <w:szCs w:val="18"/>
              </w:rPr>
              <w:t>A response (complete or partial) to the platinum-based chemotherapy regimen is to be assessed using either Gynaecologic Cancer InterGroup (GCIG) or Response Evaluation Criteria in Solid Tumours (RECIST) guidelines.</w:t>
            </w:r>
          </w:p>
          <w:p w14:paraId="46802399" w14:textId="77777777" w:rsidR="00471C53" w:rsidRDefault="00471C53" w:rsidP="00D3589D">
            <w:pPr>
              <w:rPr>
                <w:rFonts w:ascii="Arial Narrow" w:hAnsi="Arial Narrow"/>
                <w:bCs/>
                <w:sz w:val="18"/>
                <w:szCs w:val="18"/>
              </w:rPr>
            </w:pPr>
            <w:r w:rsidRPr="00A80201">
              <w:rPr>
                <w:rFonts w:ascii="Arial Narrow" w:hAnsi="Arial Narrow"/>
                <w:bCs/>
                <w:sz w:val="18"/>
                <w:szCs w:val="18"/>
              </w:rPr>
              <w:t xml:space="preserve">Patients who have developed intolerance to olaparib of a severity necessitating permanent treatment withdrawal are eligible to receive PBS-subsidised niraparib. </w:t>
            </w:r>
          </w:p>
          <w:p w14:paraId="3CE284DE" w14:textId="77777777" w:rsidR="00471C53" w:rsidRPr="00A80201" w:rsidRDefault="00471C53" w:rsidP="00D3589D">
            <w:pPr>
              <w:rPr>
                <w:rFonts w:ascii="Arial Narrow" w:eastAsia="Calibri" w:hAnsi="Arial Narrow"/>
                <w:i/>
                <w:sz w:val="18"/>
                <w:szCs w:val="18"/>
              </w:rPr>
            </w:pPr>
            <w:r w:rsidRPr="00A80201">
              <w:rPr>
                <w:rFonts w:ascii="Arial Narrow" w:hAnsi="Arial Narrow"/>
                <w:bCs/>
                <w:sz w:val="18"/>
                <w:szCs w:val="18"/>
              </w:rPr>
              <w:t>Patients who have developed progressive disease on PBS-subsidised PARP inhibitor as maintenance therapy are not eligible to receive PBS subsidised niraparib for this condition.</w:t>
            </w:r>
          </w:p>
        </w:tc>
      </w:tr>
      <w:tr w:rsidR="00A80201" w:rsidRPr="00A80201" w14:paraId="58050525" w14:textId="77777777" w:rsidTr="00471C53">
        <w:tblPrEx>
          <w:tblCellMar>
            <w:top w:w="15" w:type="dxa"/>
            <w:left w:w="15" w:type="dxa"/>
            <w:bottom w:w="15" w:type="dxa"/>
            <w:right w:w="15" w:type="dxa"/>
          </w:tblCellMar>
          <w:tblLook w:val="04A0" w:firstRow="1" w:lastRow="0" w:firstColumn="1" w:lastColumn="0" w:noHBand="0" w:noVBand="1"/>
        </w:tblPrEx>
        <w:tc>
          <w:tcPr>
            <w:tcW w:w="9067" w:type="dxa"/>
            <w:gridSpan w:val="6"/>
            <w:tcBorders>
              <w:top w:val="double" w:sz="4" w:space="0" w:color="auto"/>
              <w:bottom w:val="single" w:sz="4" w:space="0" w:color="auto"/>
            </w:tcBorders>
            <w:vAlign w:val="center"/>
            <w:hideMark/>
          </w:tcPr>
          <w:p w14:paraId="553B1E44" w14:textId="77777777" w:rsidR="00A80201" w:rsidRPr="00A80201" w:rsidRDefault="00A80201" w:rsidP="00D3589D">
            <w:pPr>
              <w:rPr>
                <w:rFonts w:ascii="Arial Narrow" w:hAnsi="Arial Narrow"/>
                <w:sz w:val="18"/>
                <w:szCs w:val="18"/>
              </w:rPr>
            </w:pPr>
            <w:r w:rsidRPr="00A80201">
              <w:rPr>
                <w:rFonts w:ascii="Arial Narrow" w:hAnsi="Arial Narrow"/>
                <w:b/>
                <w:bCs/>
                <w:sz w:val="18"/>
                <w:szCs w:val="18"/>
              </w:rPr>
              <w:t>Treatment Phase:</w:t>
            </w:r>
            <w:r w:rsidRPr="00A80201">
              <w:rPr>
                <w:rFonts w:ascii="Arial Narrow" w:hAnsi="Arial Narrow"/>
                <w:sz w:val="18"/>
                <w:szCs w:val="18"/>
              </w:rPr>
              <w:t xml:space="preserve"> </w:t>
            </w:r>
            <w:r w:rsidRPr="00A80201">
              <w:rPr>
                <w:rFonts w:ascii="Arial Narrow" w:eastAsia="Calibri" w:hAnsi="Arial Narrow"/>
                <w:sz w:val="18"/>
                <w:szCs w:val="18"/>
              </w:rPr>
              <w:t>Continuing treatment – first line treatment</w:t>
            </w:r>
            <w:r w:rsidRPr="00A80201">
              <w:rPr>
                <w:rFonts w:ascii="Arial Narrow" w:hAnsi="Arial Narrow"/>
                <w:sz w:val="18"/>
                <w:szCs w:val="18"/>
              </w:rPr>
              <w:t xml:space="preserve">  </w:t>
            </w:r>
          </w:p>
        </w:tc>
      </w:tr>
      <w:tr w:rsidR="00A80201" w:rsidRPr="00A80201" w14:paraId="3BA4C8F2" w14:textId="77777777" w:rsidTr="00471C53">
        <w:tblPrEx>
          <w:tblCellMar>
            <w:top w:w="15" w:type="dxa"/>
            <w:left w:w="15" w:type="dxa"/>
            <w:bottom w:w="15" w:type="dxa"/>
            <w:right w:w="15" w:type="dxa"/>
          </w:tblCellMar>
          <w:tblLook w:val="04A0" w:firstRow="1" w:lastRow="0" w:firstColumn="1" w:lastColumn="0" w:noHBand="0" w:noVBand="1"/>
        </w:tblPrEx>
        <w:tc>
          <w:tcPr>
            <w:tcW w:w="9067" w:type="dxa"/>
            <w:gridSpan w:val="6"/>
            <w:tcBorders>
              <w:bottom w:val="nil"/>
            </w:tcBorders>
            <w:vAlign w:val="center"/>
            <w:hideMark/>
          </w:tcPr>
          <w:p w14:paraId="53A3529A" w14:textId="77777777" w:rsidR="00A80201" w:rsidRPr="00A80201" w:rsidRDefault="00A80201" w:rsidP="00D3589D">
            <w:pPr>
              <w:rPr>
                <w:rFonts w:ascii="Arial Narrow" w:hAnsi="Arial Narrow"/>
                <w:sz w:val="18"/>
                <w:szCs w:val="18"/>
              </w:rPr>
            </w:pPr>
            <w:r w:rsidRPr="00A80201">
              <w:rPr>
                <w:rFonts w:ascii="Arial Narrow" w:hAnsi="Arial Narrow"/>
                <w:b/>
                <w:bCs/>
                <w:sz w:val="18"/>
                <w:szCs w:val="18"/>
              </w:rPr>
              <w:t>Clinical criteria:</w:t>
            </w:r>
          </w:p>
        </w:tc>
      </w:tr>
      <w:tr w:rsidR="00A80201" w:rsidRPr="00A80201" w14:paraId="76CBF7A6" w14:textId="77777777" w:rsidTr="00471C53">
        <w:tblPrEx>
          <w:tblCellMar>
            <w:top w:w="15" w:type="dxa"/>
            <w:left w:w="15" w:type="dxa"/>
            <w:bottom w:w="15" w:type="dxa"/>
            <w:right w:w="15" w:type="dxa"/>
          </w:tblCellMar>
          <w:tblLook w:val="04A0" w:firstRow="1" w:lastRow="0" w:firstColumn="1" w:lastColumn="0" w:noHBand="0" w:noVBand="1"/>
        </w:tblPrEx>
        <w:tc>
          <w:tcPr>
            <w:tcW w:w="9067" w:type="dxa"/>
            <w:gridSpan w:val="6"/>
            <w:tcBorders>
              <w:top w:val="nil"/>
              <w:bottom w:val="nil"/>
            </w:tcBorders>
            <w:vAlign w:val="center"/>
          </w:tcPr>
          <w:p w14:paraId="3BBDAE14" w14:textId="77777777" w:rsidR="00A80201" w:rsidRPr="00A80201" w:rsidRDefault="00A80201" w:rsidP="00D3589D">
            <w:pPr>
              <w:rPr>
                <w:rFonts w:ascii="Arial Narrow" w:eastAsia="Calibri" w:hAnsi="Arial Narrow"/>
                <w:sz w:val="18"/>
                <w:szCs w:val="18"/>
              </w:rPr>
            </w:pPr>
            <w:r w:rsidRPr="00A80201">
              <w:rPr>
                <w:rFonts w:ascii="Arial Narrow" w:eastAsia="Calibri" w:hAnsi="Arial Narrow"/>
                <w:sz w:val="18"/>
                <w:szCs w:val="18"/>
              </w:rPr>
              <w:t xml:space="preserve">The treatment must be the sole PBS-subsidised PARP inhibitor therapy for this condition, </w:t>
            </w:r>
          </w:p>
        </w:tc>
      </w:tr>
      <w:tr w:rsidR="00A80201" w:rsidRPr="00A80201" w14:paraId="3B40E05F" w14:textId="77777777" w:rsidTr="00471C53">
        <w:tblPrEx>
          <w:tblCellMar>
            <w:top w:w="15" w:type="dxa"/>
            <w:left w:w="15" w:type="dxa"/>
            <w:bottom w:w="15" w:type="dxa"/>
            <w:right w:w="15" w:type="dxa"/>
          </w:tblCellMar>
          <w:tblLook w:val="04A0" w:firstRow="1" w:lastRow="0" w:firstColumn="1" w:lastColumn="0" w:noHBand="0" w:noVBand="1"/>
        </w:tblPrEx>
        <w:tc>
          <w:tcPr>
            <w:tcW w:w="9067" w:type="dxa"/>
            <w:gridSpan w:val="6"/>
            <w:tcBorders>
              <w:top w:val="nil"/>
              <w:bottom w:val="nil"/>
            </w:tcBorders>
            <w:vAlign w:val="center"/>
          </w:tcPr>
          <w:p w14:paraId="09E898F7" w14:textId="77777777" w:rsidR="00A80201" w:rsidRPr="00A80201" w:rsidRDefault="00A80201" w:rsidP="00D3589D">
            <w:pPr>
              <w:rPr>
                <w:rFonts w:ascii="Arial Narrow" w:eastAsia="Calibri" w:hAnsi="Arial Narrow"/>
                <w:b/>
                <w:sz w:val="18"/>
                <w:szCs w:val="18"/>
              </w:rPr>
            </w:pPr>
            <w:r w:rsidRPr="00A80201">
              <w:rPr>
                <w:rFonts w:ascii="Arial Narrow" w:hAnsi="Arial Narrow"/>
                <w:b/>
                <w:bCs/>
                <w:sz w:val="18"/>
                <w:szCs w:val="18"/>
              </w:rPr>
              <w:t>AND</w:t>
            </w:r>
          </w:p>
        </w:tc>
      </w:tr>
      <w:tr w:rsidR="00A80201" w:rsidRPr="00A80201" w14:paraId="037F9824" w14:textId="77777777" w:rsidTr="00471C53">
        <w:tblPrEx>
          <w:tblCellMar>
            <w:top w:w="15" w:type="dxa"/>
            <w:left w:w="15" w:type="dxa"/>
            <w:bottom w:w="15" w:type="dxa"/>
            <w:right w:w="15" w:type="dxa"/>
          </w:tblCellMar>
          <w:tblLook w:val="04A0" w:firstRow="1" w:lastRow="0" w:firstColumn="1" w:lastColumn="0" w:noHBand="0" w:noVBand="1"/>
        </w:tblPrEx>
        <w:tc>
          <w:tcPr>
            <w:tcW w:w="9067" w:type="dxa"/>
            <w:gridSpan w:val="6"/>
            <w:tcBorders>
              <w:top w:val="nil"/>
              <w:bottom w:val="nil"/>
            </w:tcBorders>
            <w:vAlign w:val="center"/>
          </w:tcPr>
          <w:p w14:paraId="42EC6F88" w14:textId="77777777" w:rsidR="00A80201" w:rsidRPr="00A80201" w:rsidRDefault="00A80201" w:rsidP="00D3589D">
            <w:pPr>
              <w:rPr>
                <w:rFonts w:ascii="Arial Narrow" w:eastAsia="Calibri" w:hAnsi="Arial Narrow"/>
                <w:sz w:val="18"/>
                <w:szCs w:val="18"/>
              </w:rPr>
            </w:pPr>
            <w:r w:rsidRPr="00A80201">
              <w:rPr>
                <w:rFonts w:ascii="Arial Narrow" w:eastAsia="Calibri" w:hAnsi="Arial Narrow"/>
                <w:sz w:val="18"/>
                <w:szCs w:val="18"/>
              </w:rPr>
              <w:t>Patient must not have developed disease progression while receiving treatment with this drug for this condition</w:t>
            </w:r>
          </w:p>
        </w:tc>
      </w:tr>
      <w:tr w:rsidR="00A80201" w:rsidRPr="00A80201" w14:paraId="794F58E7" w14:textId="77777777" w:rsidTr="00471C53">
        <w:tblPrEx>
          <w:tblCellMar>
            <w:top w:w="15" w:type="dxa"/>
            <w:left w:w="15" w:type="dxa"/>
            <w:bottom w:w="15" w:type="dxa"/>
            <w:right w:w="15" w:type="dxa"/>
          </w:tblCellMar>
          <w:tblLook w:val="04A0" w:firstRow="1" w:lastRow="0" w:firstColumn="1" w:lastColumn="0" w:noHBand="0" w:noVBand="1"/>
        </w:tblPrEx>
        <w:tc>
          <w:tcPr>
            <w:tcW w:w="9067" w:type="dxa"/>
            <w:gridSpan w:val="6"/>
            <w:tcBorders>
              <w:top w:val="nil"/>
              <w:bottom w:val="nil"/>
            </w:tcBorders>
            <w:vAlign w:val="center"/>
          </w:tcPr>
          <w:p w14:paraId="50FC477D" w14:textId="77777777" w:rsidR="00A80201" w:rsidRPr="00A80201" w:rsidRDefault="00A80201" w:rsidP="00D3589D">
            <w:pPr>
              <w:rPr>
                <w:rFonts w:ascii="Arial Narrow" w:eastAsia="Calibri" w:hAnsi="Arial Narrow"/>
                <w:b/>
                <w:sz w:val="18"/>
                <w:szCs w:val="18"/>
              </w:rPr>
            </w:pPr>
            <w:r w:rsidRPr="00A80201">
              <w:rPr>
                <w:rFonts w:ascii="Arial Narrow" w:hAnsi="Arial Narrow"/>
                <w:b/>
                <w:bCs/>
                <w:sz w:val="18"/>
                <w:szCs w:val="18"/>
              </w:rPr>
              <w:t>AND</w:t>
            </w:r>
          </w:p>
        </w:tc>
      </w:tr>
      <w:tr w:rsidR="00A80201" w:rsidRPr="00A80201" w14:paraId="0801D5D8" w14:textId="77777777" w:rsidTr="00471C53">
        <w:tblPrEx>
          <w:tblCellMar>
            <w:top w:w="15" w:type="dxa"/>
            <w:left w:w="15" w:type="dxa"/>
            <w:bottom w:w="15" w:type="dxa"/>
            <w:right w:w="15" w:type="dxa"/>
          </w:tblCellMar>
          <w:tblLook w:val="04A0" w:firstRow="1" w:lastRow="0" w:firstColumn="1" w:lastColumn="0" w:noHBand="0" w:noVBand="1"/>
        </w:tblPrEx>
        <w:tc>
          <w:tcPr>
            <w:tcW w:w="9067" w:type="dxa"/>
            <w:gridSpan w:val="6"/>
            <w:tcBorders>
              <w:top w:val="nil"/>
              <w:bottom w:val="nil"/>
            </w:tcBorders>
            <w:vAlign w:val="center"/>
          </w:tcPr>
          <w:p w14:paraId="74129598" w14:textId="77777777" w:rsidR="00A80201" w:rsidRPr="00A80201" w:rsidRDefault="00A80201" w:rsidP="00D3589D">
            <w:pPr>
              <w:rPr>
                <w:rFonts w:ascii="Arial Narrow" w:eastAsia="Calibri" w:hAnsi="Arial Narrow"/>
                <w:sz w:val="18"/>
                <w:szCs w:val="18"/>
              </w:rPr>
            </w:pPr>
            <w:r w:rsidRPr="00A80201">
              <w:rPr>
                <w:rFonts w:ascii="Arial Narrow" w:eastAsia="Calibri" w:hAnsi="Arial Narrow"/>
                <w:sz w:val="18"/>
                <w:szCs w:val="18"/>
              </w:rPr>
              <w:t>Patient must have received previous PBS-subsidised treatment with this drug as first line maintenance therapy for this condition</w:t>
            </w:r>
          </w:p>
        </w:tc>
      </w:tr>
      <w:tr w:rsidR="00A80201" w:rsidRPr="00A80201" w14:paraId="384C10A8" w14:textId="77777777" w:rsidTr="00471C53">
        <w:tblPrEx>
          <w:tblCellMar>
            <w:top w:w="15" w:type="dxa"/>
            <w:left w:w="15" w:type="dxa"/>
            <w:bottom w:w="15" w:type="dxa"/>
            <w:right w:w="15" w:type="dxa"/>
          </w:tblCellMar>
          <w:tblLook w:val="04A0" w:firstRow="1" w:lastRow="0" w:firstColumn="1" w:lastColumn="0" w:noHBand="0" w:noVBand="1"/>
        </w:tblPrEx>
        <w:tc>
          <w:tcPr>
            <w:tcW w:w="9067" w:type="dxa"/>
            <w:gridSpan w:val="6"/>
            <w:tcBorders>
              <w:top w:val="nil"/>
              <w:bottom w:val="nil"/>
            </w:tcBorders>
            <w:vAlign w:val="center"/>
          </w:tcPr>
          <w:p w14:paraId="4975690E" w14:textId="77777777" w:rsidR="00A80201" w:rsidRPr="00A80201" w:rsidRDefault="00A80201" w:rsidP="00D3589D">
            <w:pPr>
              <w:rPr>
                <w:rFonts w:ascii="Arial Narrow" w:eastAsia="Calibri" w:hAnsi="Arial Narrow"/>
                <w:b/>
                <w:sz w:val="18"/>
                <w:szCs w:val="18"/>
              </w:rPr>
            </w:pPr>
            <w:r w:rsidRPr="00A80201">
              <w:rPr>
                <w:rFonts w:ascii="Arial Narrow" w:hAnsi="Arial Narrow"/>
                <w:b/>
                <w:bCs/>
                <w:sz w:val="18"/>
                <w:szCs w:val="18"/>
              </w:rPr>
              <w:t>AND</w:t>
            </w:r>
          </w:p>
        </w:tc>
      </w:tr>
      <w:tr w:rsidR="00A80201" w:rsidRPr="00A80201" w14:paraId="69622F8F" w14:textId="77777777" w:rsidTr="00471C53">
        <w:tblPrEx>
          <w:tblCellMar>
            <w:top w:w="15" w:type="dxa"/>
            <w:left w:w="15" w:type="dxa"/>
            <w:bottom w:w="15" w:type="dxa"/>
            <w:right w:w="15" w:type="dxa"/>
          </w:tblCellMar>
          <w:tblLook w:val="04A0" w:firstRow="1" w:lastRow="0" w:firstColumn="1" w:lastColumn="0" w:noHBand="0" w:noVBand="1"/>
        </w:tblPrEx>
        <w:tc>
          <w:tcPr>
            <w:tcW w:w="9067" w:type="dxa"/>
            <w:gridSpan w:val="6"/>
            <w:tcBorders>
              <w:top w:val="nil"/>
              <w:bottom w:val="single" w:sz="4" w:space="0" w:color="auto"/>
            </w:tcBorders>
            <w:vAlign w:val="center"/>
          </w:tcPr>
          <w:p w14:paraId="5927DD50" w14:textId="77777777" w:rsidR="00A80201" w:rsidRPr="00A80201" w:rsidRDefault="00A80201" w:rsidP="00D3589D">
            <w:pPr>
              <w:rPr>
                <w:rFonts w:ascii="Arial Narrow" w:eastAsia="Calibri" w:hAnsi="Arial Narrow"/>
                <w:i/>
                <w:sz w:val="18"/>
                <w:szCs w:val="18"/>
              </w:rPr>
            </w:pPr>
            <w:r w:rsidRPr="00A80201">
              <w:rPr>
                <w:rFonts w:ascii="Arial Narrow" w:eastAsia="Calibri" w:hAnsi="Arial Narrow"/>
                <w:i/>
                <w:sz w:val="18"/>
                <w:szCs w:val="18"/>
              </w:rPr>
              <w:t>The treatment must not exceed a total of 24 months of combined non-PBS-subsidised and PBS-subsidised treatment for patients who are in complete response</w:t>
            </w:r>
          </w:p>
        </w:tc>
      </w:tr>
      <w:tr w:rsidR="00A80201" w:rsidRPr="00A80201" w14:paraId="5EB6CDA3" w14:textId="77777777" w:rsidTr="00A80201">
        <w:tblPrEx>
          <w:tblCellMar>
            <w:top w:w="15" w:type="dxa"/>
            <w:left w:w="15" w:type="dxa"/>
            <w:bottom w:w="15" w:type="dxa"/>
            <w:right w:w="15" w:type="dxa"/>
          </w:tblCellMar>
          <w:tblLook w:val="04A0" w:firstRow="1" w:lastRow="0" w:firstColumn="1" w:lastColumn="0" w:noHBand="0" w:noVBand="1"/>
        </w:tblPrEx>
        <w:tc>
          <w:tcPr>
            <w:tcW w:w="9067" w:type="dxa"/>
            <w:gridSpan w:val="6"/>
            <w:tcBorders>
              <w:bottom w:val="single" w:sz="4" w:space="0" w:color="auto"/>
            </w:tcBorders>
            <w:vAlign w:val="center"/>
          </w:tcPr>
          <w:p w14:paraId="76C7778F" w14:textId="77777777" w:rsidR="00A80201" w:rsidRPr="00A80201" w:rsidRDefault="00A80201" w:rsidP="00D3589D">
            <w:pPr>
              <w:rPr>
                <w:rFonts w:ascii="Arial Narrow" w:hAnsi="Arial Narrow"/>
                <w:b/>
                <w:bCs/>
                <w:sz w:val="18"/>
                <w:szCs w:val="18"/>
              </w:rPr>
            </w:pPr>
            <w:r w:rsidRPr="00A80201">
              <w:rPr>
                <w:rFonts w:ascii="Arial Narrow" w:hAnsi="Arial Narrow"/>
                <w:b/>
                <w:bCs/>
                <w:sz w:val="18"/>
                <w:szCs w:val="18"/>
              </w:rPr>
              <w:t xml:space="preserve">Prescribing Instructions: </w:t>
            </w:r>
          </w:p>
          <w:p w14:paraId="5D429764" w14:textId="77777777" w:rsidR="00A80201" w:rsidRPr="00A80201" w:rsidRDefault="00A80201" w:rsidP="00D3589D">
            <w:pPr>
              <w:rPr>
                <w:rFonts w:ascii="Arial Narrow" w:eastAsia="Calibri" w:hAnsi="Arial Narrow"/>
                <w:i/>
                <w:sz w:val="18"/>
                <w:szCs w:val="18"/>
              </w:rPr>
            </w:pPr>
            <w:r w:rsidRPr="00A80201">
              <w:rPr>
                <w:rFonts w:ascii="Arial Narrow" w:eastAsia="Calibri" w:hAnsi="Arial Narrow"/>
                <w:i/>
                <w:sz w:val="18"/>
                <w:szCs w:val="18"/>
              </w:rPr>
              <w:t>Patients treated under this listing should be receiving a dose of 200 mg/day</w:t>
            </w:r>
          </w:p>
        </w:tc>
      </w:tr>
    </w:tbl>
    <w:p w14:paraId="25FBDF27" w14:textId="77777777" w:rsidR="00032DCE" w:rsidRPr="00131DA2" w:rsidRDefault="00032DCE" w:rsidP="00032DCE">
      <w:pPr>
        <w:jc w:val="left"/>
        <w:rPr>
          <w:color w:val="3366FF"/>
        </w:rPr>
      </w:pPr>
    </w:p>
    <w:p w14:paraId="4AAC9516" w14:textId="77777777" w:rsidR="00884F00" w:rsidRPr="00131DA2" w:rsidRDefault="00884F00" w:rsidP="00884F00"/>
    <w:p w14:paraId="59E0567D" w14:textId="77777777" w:rsidR="00292597" w:rsidRPr="00131DA2" w:rsidRDefault="00884F00" w:rsidP="0054364C">
      <w:pPr>
        <w:pStyle w:val="3-BodyText"/>
      </w:pPr>
      <w:r w:rsidRPr="00131DA2">
        <w:t>A special pricing arrangement (SPA) was proposed in the submission.</w:t>
      </w:r>
      <w:r w:rsidR="00DD19F7" w:rsidRPr="00131DA2">
        <w:t xml:space="preserve"> The </w:t>
      </w:r>
      <w:r w:rsidR="00767317">
        <w:t>Pre-Sub-Committee Response (PSCR)</w:t>
      </w:r>
      <w:r w:rsidR="00DD19F7" w:rsidRPr="00131DA2">
        <w:t xml:space="preserve"> proposed a </w:t>
      </w:r>
      <w:r w:rsidR="0054364C" w:rsidRPr="00131DA2">
        <w:t>new</w:t>
      </w:r>
      <w:r w:rsidR="00DD19F7" w:rsidRPr="00131DA2">
        <w:t xml:space="preserve"> effective </w:t>
      </w:r>
      <w:r w:rsidR="0054364C" w:rsidRPr="00131DA2">
        <w:t xml:space="preserve">ex-manufacturer </w:t>
      </w:r>
      <w:r w:rsidR="007F1040" w:rsidRPr="00131DA2">
        <w:t>price for niraparib</w:t>
      </w:r>
      <w:r w:rsidR="0054364C" w:rsidRPr="00131DA2">
        <w:t xml:space="preserve"> of $</w:t>
      </w:r>
      <w:r w:rsidR="001D7CF9">
        <w:rPr>
          <w:noProof/>
          <w:color w:val="000000"/>
          <w:highlight w:val="black"/>
        </w:rPr>
        <w:t>''''''''''''''''</w:t>
      </w:r>
      <w:r w:rsidR="0054364C" w:rsidRPr="00131DA2">
        <w:t xml:space="preserve"> per 56 capsules, as compared with $</w:t>
      </w:r>
      <w:r w:rsidR="001D7CF9">
        <w:rPr>
          <w:noProof/>
          <w:color w:val="000000"/>
          <w:highlight w:val="black"/>
        </w:rPr>
        <w:t>'''''''''''''''</w:t>
      </w:r>
      <w:r w:rsidR="0054364C" w:rsidRPr="00131DA2">
        <w:t xml:space="preserve"> per 56 capsules proposed in the submission.</w:t>
      </w:r>
    </w:p>
    <w:p w14:paraId="0E62F006" w14:textId="77777777" w:rsidR="00884F00" w:rsidRPr="00131DA2" w:rsidRDefault="00884F00" w:rsidP="00884F00">
      <w:pPr>
        <w:pStyle w:val="3-BodyText"/>
      </w:pPr>
      <w:r w:rsidRPr="00131DA2">
        <w:t>The requested restriction is broader than the population included in the key trial PRIMA:</w:t>
      </w:r>
    </w:p>
    <w:p w14:paraId="049EDE44" w14:textId="77777777" w:rsidR="00884F00" w:rsidRPr="00131DA2" w:rsidRDefault="00884F00" w:rsidP="00E7222F">
      <w:pPr>
        <w:pStyle w:val="ListParagraph"/>
        <w:numPr>
          <w:ilvl w:val="1"/>
          <w:numId w:val="14"/>
        </w:numPr>
        <w:ind w:left="1077" w:hanging="357"/>
      </w:pPr>
      <w:r w:rsidRPr="00131DA2">
        <w:t xml:space="preserve">The </w:t>
      </w:r>
      <w:r w:rsidR="0002302D" w:rsidRPr="00131DA2">
        <w:t>proposed PBS indication</w:t>
      </w:r>
      <w:r w:rsidRPr="00131DA2">
        <w:t xml:space="preserve"> did not specify advanced stage (FIGO Stage III/IV) HGEOC. The population in PRIMA only included patients with advanced stage </w:t>
      </w:r>
      <w:r w:rsidR="0002302D" w:rsidRPr="00131DA2">
        <w:t xml:space="preserve">HGEOC </w:t>
      </w:r>
      <w:r w:rsidRPr="00131DA2">
        <w:t xml:space="preserve">(Stage III/IV). The requested </w:t>
      </w:r>
      <w:r w:rsidR="00D04D38" w:rsidRPr="00131DA2">
        <w:t xml:space="preserve">PBS indication </w:t>
      </w:r>
      <w:r w:rsidRPr="00131DA2">
        <w:t>is also inconsistent with the proposed TGA indication</w:t>
      </w:r>
      <w:r w:rsidR="00292597" w:rsidRPr="00131DA2">
        <w:t>. The PSCR agreed to the inclusion of “Stage III/IV” in the proposed PBS indication (consistent with PRIMA and the indication for 1L olaparib) as proposed by the Secretariat. The ESC considered this was appropriate.</w:t>
      </w:r>
    </w:p>
    <w:p w14:paraId="5DC18023" w14:textId="77777777" w:rsidR="00884F00" w:rsidRPr="00131DA2" w:rsidRDefault="00884F00" w:rsidP="00E7222F">
      <w:pPr>
        <w:pStyle w:val="ListParagraph"/>
        <w:numPr>
          <w:ilvl w:val="1"/>
          <w:numId w:val="14"/>
        </w:numPr>
        <w:ind w:left="1077" w:hanging="357"/>
      </w:pPr>
      <w:r w:rsidRPr="00131DA2">
        <w:t>The requested restriction did not specify patients’ performance status (PS), while the key PRIMA trial only included patients with Eastern Cooperative Oncology Group (ECOG) PS 0-1. Although this is consistent with the olaparib listing, the efficacy and more importantly the toxicity of niraparib in patients with poorer performance status remain unknown.</w:t>
      </w:r>
      <w:r w:rsidR="00292597" w:rsidRPr="00131DA2">
        <w:t xml:space="preserve"> The PSCR argued that clinicians are best placed to determine whether a patient</w:t>
      </w:r>
      <w:r w:rsidR="00A44205">
        <w:t>’</w:t>
      </w:r>
      <w:r w:rsidR="00292597" w:rsidRPr="00131DA2">
        <w:t>s level of function is likely to be adequate for treatment with niraparib to be beneficial</w:t>
      </w:r>
      <w:r w:rsidR="008D58CB">
        <w:t>.</w:t>
      </w:r>
    </w:p>
    <w:p w14:paraId="635DA9B6" w14:textId="77777777" w:rsidR="00884F00" w:rsidRPr="00131DA2" w:rsidRDefault="00884F00" w:rsidP="00884F00">
      <w:pPr>
        <w:pStyle w:val="3-BodyText"/>
      </w:pPr>
      <w:r w:rsidRPr="00131DA2">
        <w:t>The requested restriction did not define a maximum duration of treatment, which may not be appropriate given that:</w:t>
      </w:r>
    </w:p>
    <w:p w14:paraId="1B4493A5" w14:textId="77777777" w:rsidR="00884F00" w:rsidRPr="00131DA2" w:rsidRDefault="00884F00" w:rsidP="0095519F">
      <w:pPr>
        <w:pStyle w:val="ListParagraph"/>
        <w:ind w:left="1077" w:hanging="357"/>
      </w:pPr>
      <w:r w:rsidRPr="00131DA2">
        <w:t>The planned duration of treatment in the PRIMA trial was three years. However, the median treatment duration was 11 months and the maximum treatment duration was 29 months. Thus, the safety of using niraparib beyond three years remains unknown;</w:t>
      </w:r>
    </w:p>
    <w:p w14:paraId="30E0E354" w14:textId="77777777" w:rsidR="00884F00" w:rsidRPr="00131DA2" w:rsidRDefault="00884F00" w:rsidP="0095519F">
      <w:pPr>
        <w:pStyle w:val="ListParagraph"/>
        <w:ind w:left="1077" w:hanging="357"/>
      </w:pPr>
      <w:r w:rsidRPr="00131DA2">
        <w:t>Some of the patients in the target patient population may be cured, thus the benefit/risk of prolonged continuous treatment is uncertain. Note that treatment with olaparib is restricted to 24 months in the first-line setting for patien</w:t>
      </w:r>
      <w:r w:rsidR="00A67A21" w:rsidRPr="00131DA2">
        <w:t>ts who are in complete response;</w:t>
      </w:r>
    </w:p>
    <w:p w14:paraId="3E7DE4CF" w14:textId="77777777" w:rsidR="00485C5F" w:rsidRPr="00131DA2" w:rsidRDefault="00884F00" w:rsidP="0095519F">
      <w:pPr>
        <w:pStyle w:val="ListParagraph"/>
        <w:ind w:left="1077" w:hanging="357"/>
      </w:pPr>
      <w:r w:rsidRPr="00131DA2">
        <w:t>The economic model presented in the submission assumed a maximum three years of treatment for those patients who are cured</w:t>
      </w:r>
      <w:r w:rsidR="00451BA8" w:rsidRPr="00131DA2">
        <w:t>, thus the cost-effectiveness of prolonged continuous treatment is uncertain</w:t>
      </w:r>
      <w:r w:rsidRPr="00131DA2">
        <w:t>.</w:t>
      </w:r>
    </w:p>
    <w:p w14:paraId="7EBFA420" w14:textId="77777777" w:rsidR="003323AE" w:rsidRPr="00131DA2" w:rsidRDefault="003323AE" w:rsidP="00E66D7D">
      <w:pPr>
        <w:pStyle w:val="3-BodyText"/>
        <w:numPr>
          <w:ilvl w:val="0"/>
          <w:numId w:val="0"/>
        </w:numPr>
        <w:ind w:left="720" w:hanging="11"/>
      </w:pPr>
      <w:r w:rsidRPr="00131DA2">
        <w:t xml:space="preserve">The PSCR disagreed with the Secretariat’s proposal to add a 24 month stopping rule for patients that are in CR as this was not required in the trial and not specified in the </w:t>
      </w:r>
      <w:r w:rsidR="00E66D7D" w:rsidRPr="00131DA2">
        <w:t>draft PI</w:t>
      </w:r>
      <w:r w:rsidRPr="00131DA2">
        <w:t xml:space="preserve">. </w:t>
      </w:r>
      <w:r w:rsidRPr="00D5673B">
        <w:t xml:space="preserve">The </w:t>
      </w:r>
      <w:r w:rsidR="008D58CB" w:rsidRPr="00D5673B">
        <w:t xml:space="preserve">PBAC </w:t>
      </w:r>
      <w:r w:rsidR="00D5673B" w:rsidRPr="00D5673B">
        <w:t xml:space="preserve">considered </w:t>
      </w:r>
      <w:r w:rsidRPr="00D5673B">
        <w:t xml:space="preserve">that a maximum treatment period of </w:t>
      </w:r>
      <w:r w:rsidR="00D5673B" w:rsidRPr="00D5673B">
        <w:t>3 years</w:t>
      </w:r>
      <w:r w:rsidRPr="00D5673B">
        <w:t xml:space="preserve"> would be consistent with </w:t>
      </w:r>
      <w:r w:rsidR="00D5673B" w:rsidRPr="00D5673B">
        <w:t>the clinical data for niraparib</w:t>
      </w:r>
      <w:r w:rsidR="002847C3" w:rsidRPr="00D5673B">
        <w:t xml:space="preserve">, and that any future resubmission should justify the duration of treatment proposed and </w:t>
      </w:r>
      <w:r w:rsidR="00D5673B">
        <w:t>ensure consistency with</w:t>
      </w:r>
      <w:r w:rsidR="002847C3" w:rsidRPr="00D5673B">
        <w:t xml:space="preserve"> the economic model</w:t>
      </w:r>
      <w:r w:rsidR="00D5673B" w:rsidRPr="00D5673B">
        <w:t xml:space="preserve"> and financial estimates</w:t>
      </w:r>
      <w:r w:rsidRPr="00D5673B">
        <w:t>.</w:t>
      </w:r>
    </w:p>
    <w:p w14:paraId="1908520B" w14:textId="77777777" w:rsidR="00884F00" w:rsidRPr="00131DA2" w:rsidRDefault="00884F00" w:rsidP="00884F00">
      <w:pPr>
        <w:pStyle w:val="3-BodyText"/>
      </w:pPr>
      <w:r w:rsidRPr="00131DA2">
        <w:t xml:space="preserve">The requested restriction allows niraparib to </w:t>
      </w:r>
      <w:r w:rsidR="00A67A21" w:rsidRPr="00131DA2">
        <w:t>be used</w:t>
      </w:r>
      <w:r w:rsidRPr="00131DA2">
        <w:t xml:space="preserve"> in patients with Stage III, R0 after primary debulking surgery (PDS), while the PRIMA trial excluded these patients</w:t>
      </w:r>
      <w:r w:rsidR="00A67A21" w:rsidRPr="00131DA2">
        <w:t>.</w:t>
      </w:r>
      <w:r w:rsidRPr="00131DA2">
        <w:t xml:space="preserve"> Achieving R0 post PDS is considered to be one of the best prognostic factors,</w:t>
      </w:r>
      <w:r w:rsidR="003E20A4" w:rsidRPr="00131DA2">
        <w:t xml:space="preserve"> and</w:t>
      </w:r>
      <w:r w:rsidRPr="00131DA2">
        <w:t xml:space="preserve"> the additional clinical benefit of using maintenance niraparib in the first-line setting for this group of patients </w:t>
      </w:r>
      <w:r w:rsidR="00A67A21" w:rsidRPr="00131DA2">
        <w:t>was</w:t>
      </w:r>
      <w:r w:rsidRPr="00131DA2">
        <w:t xml:space="preserve"> not captured in the PRIMA trial.</w:t>
      </w:r>
      <w:r w:rsidR="00292597" w:rsidRPr="00131DA2">
        <w:t xml:space="preserve"> The </w:t>
      </w:r>
      <w:r w:rsidR="00E66D7D" w:rsidRPr="00131DA2">
        <w:t xml:space="preserve">PSCR </w:t>
      </w:r>
      <w:r w:rsidR="0095519F" w:rsidRPr="00131DA2">
        <w:t>argued</w:t>
      </w:r>
      <w:r w:rsidR="00E66D7D" w:rsidRPr="00131DA2">
        <w:t xml:space="preserve"> that exclusion of these patients is not appropriate as treatment guidelines recommend maintenance therapy irrespective of prior surgical outcome. </w:t>
      </w:r>
      <w:r w:rsidR="00C415AE">
        <w:t xml:space="preserve">The PBAC noted </w:t>
      </w:r>
      <w:r w:rsidR="00C415AE" w:rsidRPr="00131DA2">
        <w:t xml:space="preserve">that no clinical evidence was provided for </w:t>
      </w:r>
      <w:r w:rsidR="00C415AE">
        <w:t xml:space="preserve">niraparib for </w:t>
      </w:r>
      <w:r w:rsidR="00C415AE" w:rsidRPr="00131DA2">
        <w:t>this group of patients</w:t>
      </w:r>
      <w:r w:rsidR="00C415AE">
        <w:t xml:space="preserve"> but</w:t>
      </w:r>
      <w:r w:rsidR="00C415AE" w:rsidRPr="00131DA2">
        <w:t xml:space="preserve"> </w:t>
      </w:r>
      <w:r w:rsidR="00C415AE">
        <w:t>considered that in clinical practice it would be reasonable for all stage III/IV patients be treated with PARP inhibitors.</w:t>
      </w:r>
    </w:p>
    <w:p w14:paraId="6F40318E" w14:textId="77777777" w:rsidR="00884F00" w:rsidRPr="00131DA2" w:rsidRDefault="00884F00" w:rsidP="00884F00">
      <w:pPr>
        <w:pStyle w:val="3-BodyText"/>
      </w:pPr>
      <w:r w:rsidRPr="00131DA2">
        <w:t xml:space="preserve">The requested restrictions did not exclude patients with prior treatment with bevacizumab, which was one of the exclusion criteria of the PRIMA trial. </w:t>
      </w:r>
      <w:r w:rsidR="003323AE" w:rsidRPr="00131DA2">
        <w:t xml:space="preserve">The PSCR noted that the same is true for the pivotal evidence for olaparib (SOLO-1). </w:t>
      </w:r>
      <w:r w:rsidRPr="00131DA2">
        <w:t>There is inadequate evidence to support the use of niraparib in patients who have received prior treatment with bevacizumab in the first-line setting (based on a very few patients who had bevacizumab as part of the primary t</w:t>
      </w:r>
      <w:r w:rsidR="000141AF" w:rsidRPr="00131DA2">
        <w:t>reatment within the PRIMA trial</w:t>
      </w:r>
      <w:r w:rsidRPr="00131DA2">
        <w:rPr>
          <w:rStyle w:val="FootnoteReference"/>
        </w:rPr>
        <w:footnoteReference w:id="3"/>
      </w:r>
      <w:r w:rsidRPr="00131DA2">
        <w:t>).</w:t>
      </w:r>
    </w:p>
    <w:p w14:paraId="0CBA1252" w14:textId="77777777" w:rsidR="00433DC0" w:rsidRDefault="00675688" w:rsidP="00A71252">
      <w:pPr>
        <w:pStyle w:val="3-BodyText"/>
      </w:pPr>
      <w:r w:rsidRPr="00131DA2">
        <w:t xml:space="preserve">The requested restrictions would allow </w:t>
      </w:r>
      <w:r w:rsidR="003B1AE1" w:rsidRPr="00131DA2">
        <w:t xml:space="preserve">switching from one </w:t>
      </w:r>
      <w:r w:rsidR="00FF307F" w:rsidRPr="00131DA2">
        <w:t>poly (ADP-ribose) polymerase inhibitors (</w:t>
      </w:r>
      <w:r w:rsidR="003B1AE1" w:rsidRPr="00131DA2">
        <w:t>PARPi</w:t>
      </w:r>
      <w:r w:rsidR="00FF307F" w:rsidRPr="00131DA2">
        <w:t>)</w:t>
      </w:r>
      <w:r w:rsidR="003B1AE1" w:rsidRPr="00131DA2">
        <w:t xml:space="preserve"> </w:t>
      </w:r>
      <w:r w:rsidR="00884F00" w:rsidRPr="00131DA2">
        <w:t>to another based on intolerance</w:t>
      </w:r>
      <w:r w:rsidRPr="00131DA2">
        <w:t>, however there is no evidence</w:t>
      </w:r>
      <w:r w:rsidR="00F56272" w:rsidRPr="00131DA2">
        <w:t xml:space="preserve"> for switching</w:t>
      </w:r>
      <w:r w:rsidR="00884F00" w:rsidRPr="00131DA2">
        <w:t xml:space="preserve">. </w:t>
      </w:r>
    </w:p>
    <w:p w14:paraId="595D7F79" w14:textId="77777777" w:rsidR="00BA28B5" w:rsidRDefault="00433DC0" w:rsidP="00545ECA">
      <w:pPr>
        <w:pStyle w:val="3-BodyText"/>
      </w:pPr>
      <w:r>
        <w:t>The PBAC considered that access to PARPi should be limited to one course per patient lifetime</w:t>
      </w:r>
      <w:r w:rsidR="00545ECA" w:rsidRPr="00545ECA">
        <w:t>.</w:t>
      </w:r>
      <w:r w:rsidR="00545ECA">
        <w:t xml:space="preserve">  An analogous restriction should flow on to </w:t>
      </w:r>
      <w:r>
        <w:t xml:space="preserve">olaparib, if niraparib </w:t>
      </w:r>
      <w:r w:rsidR="00545ECA">
        <w:t>is</w:t>
      </w:r>
      <w:r>
        <w:t xml:space="preserve"> listed.</w:t>
      </w:r>
      <w:r w:rsidR="00545ECA">
        <w:t xml:space="preserve">  The </w:t>
      </w:r>
      <w:r w:rsidR="00C558C4">
        <w:t>proposed</w:t>
      </w:r>
      <w:r w:rsidR="00545ECA">
        <w:t xml:space="preserve"> restriction requested that p</w:t>
      </w:r>
      <w:r w:rsidR="00545ECA" w:rsidRPr="00545ECA">
        <w:t>atients who have developed intolerance to olaparib of a severity necessitating permanent treatment withdrawal are eligible to receive PBS-subsidised niraparib.</w:t>
      </w:r>
      <w:r w:rsidR="00B22F28" w:rsidRPr="00B22F28">
        <w:t xml:space="preserve"> </w:t>
      </w:r>
      <w:r w:rsidR="00B22F28" w:rsidRPr="00131DA2">
        <w:t>If switching is considered appropriate</w:t>
      </w:r>
      <w:r w:rsidR="00B22F28">
        <w:t xml:space="preserve"> due to intolerance</w:t>
      </w:r>
      <w:r w:rsidR="00B22F28" w:rsidRPr="00131DA2">
        <w:t xml:space="preserve">, the restrictions should require confirmation of no progression on PARPi at time of switching. </w:t>
      </w:r>
      <w:r w:rsidR="00B22F28">
        <w:t xml:space="preserve">  </w:t>
      </w:r>
    </w:p>
    <w:p w14:paraId="72F01AD2" w14:textId="77777777" w:rsidR="00330C59" w:rsidRDefault="00330C59" w:rsidP="00330C59">
      <w:pPr>
        <w:pStyle w:val="3-BodyText"/>
      </w:pPr>
      <w:r>
        <w:t>The proposed maximum quantities are consistent with the draft PI, which includes initial dosing of 200 mg for patients who weigh less than 77 kg or who have a baseline platelet count of less than 150,000/μL (ISD). The Secretariat has suggested separate listings with clinical criteria to ensure that patients who meet the ISD criteria or who have had their dose reduced receive the 56 unit pack size rather than the 84 unit pack size, to reduce wastage.</w:t>
      </w:r>
    </w:p>
    <w:p w14:paraId="0041F0A4" w14:textId="77777777" w:rsidR="00330C59" w:rsidRDefault="00330C59" w:rsidP="00330C59">
      <w:pPr>
        <w:pStyle w:val="3-BodyText"/>
      </w:pPr>
      <w:r>
        <w:t>The submission did not propose a grandfather listing, however any patients treated with niraparib prior to PBS listing via private funding or compassionate access programs would be eligible for PBS subsidised treatment under the initial listing.</w:t>
      </w:r>
    </w:p>
    <w:p w14:paraId="70477AB5" w14:textId="77777777" w:rsidR="00A238BC" w:rsidRPr="00131DA2" w:rsidRDefault="00A238BC" w:rsidP="00A238BC">
      <w:pPr>
        <w:ind w:firstLine="709"/>
        <w:rPr>
          <w:rFonts w:asciiTheme="minorHAnsi" w:hAnsiTheme="minorHAnsi"/>
          <w:i/>
        </w:rPr>
      </w:pPr>
      <w:r w:rsidRPr="00131DA2">
        <w:rPr>
          <w:rFonts w:asciiTheme="minorHAnsi" w:hAnsiTheme="minorHAnsi"/>
          <w:i/>
        </w:rPr>
        <w:t>For more detail on PBAC’s view, see section 7 PBAC outcome.</w:t>
      </w:r>
    </w:p>
    <w:p w14:paraId="013B68F8" w14:textId="77777777" w:rsidR="00884F00" w:rsidRPr="00131DA2" w:rsidRDefault="00884F00" w:rsidP="00884F00">
      <w:pPr>
        <w:pStyle w:val="2-SectionHeading"/>
        <w:numPr>
          <w:ilvl w:val="0"/>
          <w:numId w:val="1"/>
        </w:numPr>
      </w:pPr>
      <w:bookmarkStart w:id="10" w:name="_Toc72246802"/>
      <w:r w:rsidRPr="00131DA2">
        <w:t>Population and disease</w:t>
      </w:r>
      <w:bookmarkEnd w:id="10"/>
    </w:p>
    <w:p w14:paraId="5F36A545" w14:textId="77777777" w:rsidR="00884F00" w:rsidRPr="00131DA2" w:rsidRDefault="00884F00" w:rsidP="00884F00">
      <w:pPr>
        <w:pStyle w:val="3-BodyText"/>
      </w:pPr>
      <w:r w:rsidRPr="00131DA2">
        <w:t xml:space="preserve">HGEOC is the most common and aggressive histological subtype of ovarian cancer (OC). Most patients (&gt;75%) are diagnosed at an advanced stage (Stage III and IV), with a limited long-term survival (7-year survival for </w:t>
      </w:r>
      <w:r w:rsidR="00A67A21" w:rsidRPr="00131DA2">
        <w:t xml:space="preserve">FIGO Stage III </w:t>
      </w:r>
      <w:r w:rsidRPr="00131DA2">
        <w:t>and IV: 26% and 9% respectively)</w:t>
      </w:r>
      <w:r w:rsidR="00A67A21" w:rsidRPr="00131DA2">
        <w:t>.</w:t>
      </w:r>
    </w:p>
    <w:p w14:paraId="4E6F243B" w14:textId="77777777" w:rsidR="00884F00" w:rsidRPr="00131DA2" w:rsidRDefault="00884F00" w:rsidP="00884F00">
      <w:pPr>
        <w:pStyle w:val="3-BodyText"/>
      </w:pPr>
      <w:r w:rsidRPr="00131DA2">
        <w:t xml:space="preserve">Although initial treatment with cytoreductive surgery and platinum-based chemotherapy usually leads to initial response, the majority of patients relapse within the first three years. Post-progression treatment is usually associated with reduced efficacy and prolonged exposure to chemotherapeutic agents (mainly platinum-based chemotherapy) is associated with long-term toxicities and attenuation in quality of life. </w:t>
      </w:r>
    </w:p>
    <w:p w14:paraId="18CDBA69" w14:textId="77777777" w:rsidR="00884F00" w:rsidRPr="00131DA2" w:rsidRDefault="00884F00" w:rsidP="00884F00">
      <w:pPr>
        <w:pStyle w:val="3-BodyText"/>
      </w:pPr>
      <w:r w:rsidRPr="00131DA2">
        <w:t>In July 2020 the PBAC recommended listing of olaparib as maintenance treatment after an initial response to platinum-based chemotherapy in the first-line setting for patients with a BRCA1/2 pathogenic variant. Bevacizumab is also available on the PBS as first-line maintenance for patients with Stage IIIB/IIIC sub-optimally debulked (R2 resection) or Stage IV ovarian cancer.</w:t>
      </w:r>
    </w:p>
    <w:p w14:paraId="277512DB" w14:textId="77777777" w:rsidR="00884F00" w:rsidRDefault="00884F00" w:rsidP="00884F00">
      <w:pPr>
        <w:pStyle w:val="3-BodyText"/>
      </w:pPr>
      <w:r w:rsidRPr="00131DA2">
        <w:t>The submission requested niraparib to be listed as a first-line maintenance therapy for those who have complete or partial response to platinum-based chemotherapy, irrespective of BRCA mutation status or surgical outcomes.</w:t>
      </w:r>
      <w:r w:rsidR="000A58A7" w:rsidRPr="00131DA2">
        <w:t xml:space="preserve"> </w:t>
      </w:r>
      <w:r w:rsidR="005D19A2" w:rsidRPr="00131DA2">
        <w:t>This is consistent with the international guidelines</w:t>
      </w:r>
      <w:r w:rsidR="005D19A2" w:rsidRPr="00131DA2">
        <w:rPr>
          <w:rStyle w:val="FootnoteReference"/>
        </w:rPr>
        <w:footnoteReference w:id="4"/>
      </w:r>
      <w:r w:rsidR="005D19A2" w:rsidRPr="00131DA2">
        <w:t>.</w:t>
      </w:r>
      <w:r w:rsidR="009B1094" w:rsidRPr="00131DA2">
        <w:t xml:space="preserve"> The ESC noted that patients with homologous recombination deficiency (HRD) positive tumours show a better response to treatment with PARP inhibitors, however HRD testing is not reimbursed on the MBS and many patients cannot access due to their location or the prohibitive cost of self-funding the test.</w:t>
      </w:r>
    </w:p>
    <w:p w14:paraId="516124B0" w14:textId="77777777" w:rsidR="001079B9" w:rsidRPr="00131DA2" w:rsidRDefault="001079B9" w:rsidP="00190420">
      <w:pPr>
        <w:pStyle w:val="3-BodyText"/>
      </w:pPr>
      <w:r>
        <w:t>The PBAC noted that the NCCN guidelines</w:t>
      </w:r>
      <w:r w:rsidRPr="001D7946">
        <w:rPr>
          <w:vertAlign w:val="superscript"/>
        </w:rPr>
        <w:t xml:space="preserve"> </w:t>
      </w:r>
      <w:r>
        <w:t>include niraparib as an alternative to olaparib in BRCAm patients, and as an alternative to observation in non-BR</w:t>
      </w:r>
      <w:r w:rsidR="005775FC">
        <w:t>CA</w:t>
      </w:r>
      <w:r>
        <w:t xml:space="preserve">m patients with a footnote that </w:t>
      </w:r>
      <w:r w:rsidR="006559CF">
        <w:t xml:space="preserve">states: </w:t>
      </w:r>
      <w:r>
        <w:t>“in the absence of a BRCA 1/2 mutation, homologous recombination (HR) status may provide information on the magnitude of benefit of PARPi therapy.</w:t>
      </w:r>
      <w:r w:rsidR="001D7946">
        <w:t xml:space="preserve"> </w:t>
      </w:r>
      <w:r w:rsidR="00A44205">
        <w:t>The</w:t>
      </w:r>
      <w:r w:rsidR="001D7946">
        <w:t xml:space="preserve"> PBAC noted that HRD testing is not currently part of the </w:t>
      </w:r>
      <w:r w:rsidR="00A44205">
        <w:t xml:space="preserve">standard </w:t>
      </w:r>
      <w:r w:rsidR="001D7946">
        <w:t>clinical management of HGEOC in Australia.</w:t>
      </w:r>
    </w:p>
    <w:p w14:paraId="16C95892" w14:textId="77777777" w:rsidR="00A238BC" w:rsidRPr="00131DA2" w:rsidRDefault="00A238BC" w:rsidP="00A238BC">
      <w:pPr>
        <w:ind w:firstLine="709"/>
        <w:rPr>
          <w:rFonts w:asciiTheme="minorHAnsi" w:hAnsiTheme="minorHAnsi"/>
          <w:i/>
        </w:rPr>
      </w:pPr>
      <w:r w:rsidRPr="00131DA2">
        <w:rPr>
          <w:rFonts w:asciiTheme="minorHAnsi" w:hAnsiTheme="minorHAnsi"/>
          <w:i/>
        </w:rPr>
        <w:t>For more detail on PBAC’s view, see section 7 PBAC outcome.</w:t>
      </w:r>
    </w:p>
    <w:p w14:paraId="45578A58" w14:textId="77777777" w:rsidR="00884F00" w:rsidRPr="00131DA2" w:rsidRDefault="00884F00" w:rsidP="00884F00">
      <w:pPr>
        <w:pStyle w:val="2-SectionHeading"/>
        <w:numPr>
          <w:ilvl w:val="0"/>
          <w:numId w:val="1"/>
        </w:numPr>
      </w:pPr>
      <w:bookmarkStart w:id="11" w:name="_Toc72246803"/>
      <w:r w:rsidRPr="00131DA2">
        <w:t>Comparator</w:t>
      </w:r>
      <w:bookmarkEnd w:id="11"/>
    </w:p>
    <w:p w14:paraId="4A631960" w14:textId="77777777" w:rsidR="00884F00" w:rsidRPr="00131DA2" w:rsidRDefault="00884F00" w:rsidP="00884F00">
      <w:pPr>
        <w:pStyle w:val="3-BodyText"/>
        <w:rPr>
          <w:snapToGrid/>
        </w:rPr>
      </w:pPr>
      <w:r w:rsidRPr="00131DA2">
        <w:rPr>
          <w:snapToGrid/>
        </w:rPr>
        <w:t>The submission nominated three comparators, depending on BRCA status and surgical outcomes:</w:t>
      </w:r>
    </w:p>
    <w:p w14:paraId="56D155AF" w14:textId="77777777" w:rsidR="00884F00" w:rsidRPr="00131DA2" w:rsidRDefault="00884F00" w:rsidP="00E7222F">
      <w:pPr>
        <w:pStyle w:val="ListParagraph"/>
        <w:numPr>
          <w:ilvl w:val="0"/>
          <w:numId w:val="8"/>
        </w:numPr>
      </w:pPr>
      <w:r w:rsidRPr="00131DA2">
        <w:rPr>
          <w:b/>
        </w:rPr>
        <w:t>Olaparib</w:t>
      </w:r>
      <w:r w:rsidRPr="00131DA2">
        <w:t xml:space="preserve"> for patients with BRCA </w:t>
      </w:r>
      <w:r w:rsidR="002572D7">
        <w:t>pathological variants</w:t>
      </w:r>
      <w:r w:rsidR="002572D7" w:rsidRPr="00131DA2">
        <w:t xml:space="preserve"> </w:t>
      </w:r>
      <w:r w:rsidRPr="00131DA2">
        <w:t>(BRCAm)</w:t>
      </w:r>
      <w:r w:rsidR="00237793" w:rsidRPr="00131DA2">
        <w:t xml:space="preserve">. In the PRIMA trial, </w:t>
      </w:r>
      <w:r w:rsidR="00903509" w:rsidRPr="00131DA2">
        <w:t>30% of the patient</w:t>
      </w:r>
      <w:r w:rsidR="00A80734" w:rsidRPr="00131DA2">
        <w:t xml:space="preserve">s enrolled </w:t>
      </w:r>
      <w:r w:rsidR="00237793" w:rsidRPr="00131DA2">
        <w:t>were</w:t>
      </w:r>
      <w:r w:rsidR="00A80734" w:rsidRPr="00131DA2">
        <w:t xml:space="preserve"> BRCAm</w:t>
      </w:r>
      <w:r w:rsidRPr="00131DA2">
        <w:t>;</w:t>
      </w:r>
    </w:p>
    <w:p w14:paraId="37D1044D" w14:textId="77777777" w:rsidR="00884F00" w:rsidRPr="00131DA2" w:rsidRDefault="00884F00" w:rsidP="00E7222F">
      <w:pPr>
        <w:pStyle w:val="ListParagraph"/>
        <w:numPr>
          <w:ilvl w:val="0"/>
          <w:numId w:val="8"/>
        </w:numPr>
      </w:pPr>
      <w:r w:rsidRPr="00131DA2">
        <w:rPr>
          <w:b/>
        </w:rPr>
        <w:t>Bevacizumab</w:t>
      </w:r>
      <w:r w:rsidRPr="00131DA2">
        <w:t xml:space="preserve"> for patients with Stage IIIB/IIIC sub-optimally debulked (R2) and patients with Stage IV, irrespective of BRCA status</w:t>
      </w:r>
      <w:r w:rsidR="00237793" w:rsidRPr="00131DA2">
        <w:t xml:space="preserve">. </w:t>
      </w:r>
      <w:r w:rsidR="00817FC9" w:rsidRPr="00131DA2">
        <w:t xml:space="preserve">In the PRIMA trial, 43% of the non-BRCAm patients were Stage III, R2 or Stage IV; </w:t>
      </w:r>
    </w:p>
    <w:p w14:paraId="689EBCC3" w14:textId="77777777" w:rsidR="00817FC9" w:rsidRPr="00131DA2" w:rsidRDefault="00884F00" w:rsidP="00E7222F">
      <w:pPr>
        <w:pStyle w:val="ListParagraph"/>
        <w:numPr>
          <w:ilvl w:val="0"/>
          <w:numId w:val="8"/>
        </w:numPr>
      </w:pPr>
      <w:r w:rsidRPr="00131DA2">
        <w:rPr>
          <w:b/>
        </w:rPr>
        <w:t>No active treatment (referred to as SMM)</w:t>
      </w:r>
      <w:r w:rsidRPr="00131DA2">
        <w:t xml:space="preserve"> for patients with Stage IIIA and Stage IIIB/IIIC with nil visible residual disease (R0) or low volume residual disease (R1) who don’t have BRCA </w:t>
      </w:r>
      <w:r w:rsidR="002572D7">
        <w:t>pathological variants</w:t>
      </w:r>
      <w:r w:rsidR="009F019C">
        <w:t xml:space="preserve"> and are not treated with bevacizumab</w:t>
      </w:r>
      <w:r w:rsidR="00237793" w:rsidRPr="00131DA2">
        <w:t xml:space="preserve">. </w:t>
      </w:r>
      <w:r w:rsidR="009F019C">
        <w:t>The PBAC considered that SMM was the appropriate comparator for non-BRCAm patients who are not treated with bevacizumab.</w:t>
      </w:r>
    </w:p>
    <w:p w14:paraId="2CBC66EC" w14:textId="77777777" w:rsidR="00884F00" w:rsidRPr="00131DA2" w:rsidRDefault="00884F00" w:rsidP="00EC7BE4">
      <w:pPr>
        <w:pStyle w:val="3-BodyText"/>
      </w:pPr>
      <w:r w:rsidRPr="00131DA2">
        <w:t xml:space="preserve">The </w:t>
      </w:r>
      <w:r w:rsidR="00565D3C">
        <w:t xml:space="preserve">PBAC considered the </w:t>
      </w:r>
      <w:r w:rsidRPr="00131DA2">
        <w:t xml:space="preserve">nominated comparators were appropriate. However, the submission did not present </w:t>
      </w:r>
      <w:r w:rsidR="00D04D38" w:rsidRPr="00131DA2">
        <w:t xml:space="preserve">clinical </w:t>
      </w:r>
      <w:r w:rsidRPr="00131DA2">
        <w:t xml:space="preserve">evidence </w:t>
      </w:r>
      <w:r w:rsidR="00D04D38" w:rsidRPr="00131DA2">
        <w:t>for</w:t>
      </w:r>
      <w:r w:rsidRPr="00131DA2">
        <w:t xml:space="preserve"> niraparib versus </w:t>
      </w:r>
      <w:r w:rsidR="00AB7AF1" w:rsidRPr="00131DA2">
        <w:t>olaparib or bevacizumab</w:t>
      </w:r>
      <w:r w:rsidRPr="00131DA2">
        <w:t xml:space="preserve"> in the </w:t>
      </w:r>
      <w:r w:rsidR="00AB7AF1" w:rsidRPr="00131DA2">
        <w:t xml:space="preserve">relevant </w:t>
      </w:r>
      <w:r w:rsidRPr="00131DA2">
        <w:t>population</w:t>
      </w:r>
      <w:r w:rsidR="00D04D38" w:rsidRPr="00131DA2">
        <w:t>s and did not present an economic model that included these comparators</w:t>
      </w:r>
      <w:r w:rsidR="00031738">
        <w:rPr>
          <w:rFonts w:cstheme="minorHAnsi"/>
        </w:rPr>
        <w:t>.</w:t>
      </w:r>
      <w:r w:rsidR="00EC7BE4">
        <w:rPr>
          <w:rFonts w:cstheme="minorHAnsi"/>
        </w:rPr>
        <w:t xml:space="preserve"> </w:t>
      </w:r>
    </w:p>
    <w:p w14:paraId="52C53CA8" w14:textId="77777777" w:rsidR="00EC7BE4" w:rsidRDefault="00EC7BE4" w:rsidP="00EC7BE4">
      <w:pPr>
        <w:pStyle w:val="3-BodyText"/>
      </w:pPr>
      <w:r w:rsidRPr="00131DA2">
        <w:t xml:space="preserve">The </w:t>
      </w:r>
      <w:r>
        <w:t xml:space="preserve">PBAC agreed with the </w:t>
      </w:r>
      <w:r w:rsidRPr="00131DA2">
        <w:t xml:space="preserve">ESC </w:t>
      </w:r>
      <w:r>
        <w:t xml:space="preserve">that </w:t>
      </w:r>
      <w:r w:rsidRPr="00131DA2">
        <w:t xml:space="preserve">it was inappropriate that </w:t>
      </w:r>
      <w:r w:rsidRPr="00131DA2">
        <w:rPr>
          <w:color w:val="000000" w:themeColor="text1"/>
        </w:rPr>
        <w:t>the comparator of SMM was used as the basis for the clinical claim and economic evaluation as it is only relevant to a subset of patients in current clinical practice (under 40% based on PRIMA trial</w:t>
      </w:r>
      <w:r w:rsidRPr="00131DA2">
        <w:rPr>
          <w:rStyle w:val="FootnoteReference"/>
          <w:color w:val="000000" w:themeColor="text1"/>
        </w:rPr>
        <w:footnoteReference w:id="5"/>
      </w:r>
      <w:r w:rsidRPr="00131DA2">
        <w:rPr>
          <w:color w:val="000000" w:themeColor="text1"/>
        </w:rPr>
        <w:t xml:space="preserve">). </w:t>
      </w:r>
      <w:r>
        <w:t>A</w:t>
      </w:r>
      <w:r w:rsidRPr="00131DA2">
        <w:t xml:space="preserve">s a result, the submission failed to make a clinical claim relevant to the majority of the proposed patient population for niraparib and did not present an economic evaluation of niraparib compared to the clinically relevant comparators in Australian practice. </w:t>
      </w:r>
      <w:r w:rsidRPr="009059C7">
        <w:t xml:space="preserve">The </w:t>
      </w:r>
      <w:r w:rsidR="00E94935">
        <w:t>PBAC</w:t>
      </w:r>
      <w:r w:rsidRPr="009059C7">
        <w:t xml:space="preserve"> considered that this was particularly problematic for the 20</w:t>
      </w:r>
      <w:r w:rsidR="00E94935">
        <w:t>-25</w:t>
      </w:r>
      <w:r w:rsidRPr="009059C7">
        <w:t>% of patients with a BRCA1/2</w:t>
      </w:r>
      <w:r w:rsidR="00BC69E4">
        <w:t xml:space="preserve"> </w:t>
      </w:r>
      <w:r w:rsidRPr="009059C7">
        <w:t>pathogenic gene variant, who would be treated with olaparib.</w:t>
      </w:r>
      <w:r>
        <w:t xml:space="preserve"> </w:t>
      </w:r>
    </w:p>
    <w:p w14:paraId="73B4D976" w14:textId="77777777" w:rsidR="008B77BE" w:rsidRPr="008B77BE" w:rsidRDefault="008B77BE" w:rsidP="008B77BE">
      <w:pPr>
        <w:pStyle w:val="3-BodyText"/>
      </w:pPr>
      <w:r>
        <w:t>The pre-PBAC response argued that a</w:t>
      </w:r>
      <w:r w:rsidRPr="002D095D">
        <w:t xml:space="preserve"> proportion of patients in the BRCAm population have unknown BRCAm status due to unwilling</w:t>
      </w:r>
      <w:r>
        <w:t>ness</w:t>
      </w:r>
      <w:r w:rsidRPr="002D095D">
        <w:t xml:space="preserve"> to have genetic testing or </w:t>
      </w:r>
      <w:r>
        <w:t xml:space="preserve">do not have a </w:t>
      </w:r>
      <w:r w:rsidRPr="002D095D">
        <w:t>viable sample for somatic testing following NACT.</w:t>
      </w:r>
      <w:r w:rsidR="008224EE">
        <w:t xml:space="preserve"> The PBAC noted that f</w:t>
      </w:r>
      <w:r w:rsidR="00815191">
        <w:t>or these patients the appropriate comparator would be SMM</w:t>
      </w:r>
      <w:r w:rsidR="008224EE">
        <w:t xml:space="preserve"> or bevacizumab</w:t>
      </w:r>
      <w:r w:rsidR="00815191">
        <w:t>.</w:t>
      </w:r>
      <w:r w:rsidRPr="002D095D">
        <w:t xml:space="preserve">     </w:t>
      </w:r>
    </w:p>
    <w:p w14:paraId="7C077B4D" w14:textId="77777777" w:rsidR="00E23EBE" w:rsidRPr="00131DA2" w:rsidRDefault="00E23EBE" w:rsidP="00E23EBE">
      <w:pPr>
        <w:pStyle w:val="3-BodyText"/>
        <w:rPr>
          <w:rFonts w:eastAsia="Calibri"/>
        </w:rPr>
      </w:pPr>
      <w:r w:rsidRPr="00131DA2">
        <w:rPr>
          <w:rFonts w:eastAsia="Calibri"/>
        </w:rPr>
        <w:t xml:space="preserve">The ESC considered that there may also be some non-BRCAm patients eligible for, but not treated with bevacizumab due to risk/benefit considerations. For these patients </w:t>
      </w:r>
      <w:r w:rsidR="00EC7BE4">
        <w:rPr>
          <w:rFonts w:eastAsia="Calibri"/>
        </w:rPr>
        <w:t>SMM</w:t>
      </w:r>
      <w:r w:rsidR="00EC7BE4" w:rsidRPr="00131DA2">
        <w:rPr>
          <w:rFonts w:eastAsia="Calibri"/>
        </w:rPr>
        <w:t xml:space="preserve"> </w:t>
      </w:r>
      <w:r w:rsidRPr="00131DA2">
        <w:rPr>
          <w:rFonts w:eastAsia="Calibri"/>
        </w:rPr>
        <w:t xml:space="preserve">may also be a reasonable comparator. In its consideration of olaparib the PBAC previously considered that up to 40% of first-line patients may be treated with bevacizumab (paragraph 7.19 olaparib </w:t>
      </w:r>
      <w:r w:rsidR="00767317">
        <w:rPr>
          <w:rFonts w:eastAsia="Calibri"/>
        </w:rPr>
        <w:t>Public Summary Document (</w:t>
      </w:r>
      <w:r w:rsidRPr="00131DA2">
        <w:rPr>
          <w:rFonts w:eastAsia="Calibri"/>
        </w:rPr>
        <w:t>PSD</w:t>
      </w:r>
      <w:r w:rsidR="00767317">
        <w:rPr>
          <w:rFonts w:eastAsia="Calibri"/>
        </w:rPr>
        <w:t>)</w:t>
      </w:r>
      <w:r w:rsidRPr="00131DA2">
        <w:rPr>
          <w:rFonts w:eastAsia="Calibri"/>
        </w:rPr>
        <w:t>, July 2020 PBAC meeting).</w:t>
      </w:r>
      <w:r w:rsidR="007D6163">
        <w:rPr>
          <w:rFonts w:eastAsia="Calibri"/>
        </w:rPr>
        <w:t xml:space="preserve"> The pre-PBAC response argued that </w:t>
      </w:r>
      <w:r w:rsidR="007D6163">
        <w:t>t</w:t>
      </w:r>
      <w:r w:rsidR="007D6163" w:rsidRPr="009B3197">
        <w:t xml:space="preserve">he proportion of patients for which bevacizumab is an appropriate comparator (Stage IIIB/IIIC R2 and Stage IV) is likely to </w:t>
      </w:r>
      <w:r w:rsidR="007D6163">
        <w:t xml:space="preserve">further </w:t>
      </w:r>
      <w:r w:rsidR="007D6163" w:rsidRPr="009B3197">
        <w:t>reduce</w:t>
      </w:r>
      <w:r w:rsidR="007D6163">
        <w:t xml:space="preserve"> in the future</w:t>
      </w:r>
      <w:r w:rsidR="007D6163" w:rsidRPr="009B3197">
        <w:t>, due to improvements in surgical cytoreduction rates to R0 over time and increasing utilisation of NACT-IDS</w:t>
      </w:r>
      <w:r w:rsidR="007D6163">
        <w:t xml:space="preserve">, however the PBAC noted </w:t>
      </w:r>
      <w:r w:rsidR="008B77BE">
        <w:t>that following its recommendation at the March 2021 PBAC meeting, bevacizumab now has an unrestricted listing.</w:t>
      </w:r>
    </w:p>
    <w:p w14:paraId="4612277E" w14:textId="77777777" w:rsidR="009059C7" w:rsidRPr="009059C7" w:rsidRDefault="00C16921" w:rsidP="009059C7">
      <w:pPr>
        <w:pStyle w:val="3-BodyText"/>
      </w:pPr>
      <w:r w:rsidRPr="00131DA2">
        <w:t>The PSCR defended the approach to the submission stating that</w:t>
      </w:r>
      <w:r w:rsidRPr="00131DA2">
        <w:rPr>
          <w:color w:val="000000"/>
        </w:rPr>
        <w:t xml:space="preserve"> the comparative effectiveness and safety of niraparib vs olaparib or bevacizumab </w:t>
      </w:r>
      <w:r w:rsidR="00031738">
        <w:rPr>
          <w:color w:val="000000"/>
        </w:rPr>
        <w:t>wa</w:t>
      </w:r>
      <w:r w:rsidRPr="00131DA2">
        <w:rPr>
          <w:color w:val="000000"/>
        </w:rPr>
        <w:t>s unable to be reliably quantified based on the available evidence (PRIMA, SOLO-1, ICON-7); and that mandating a corresponding clinical conclusion is unwarranted, citing decisions made in other jurisdictions including NICE and CADTH</w:t>
      </w:r>
      <w:r w:rsidR="00D57931">
        <w:rPr>
          <w:color w:val="000000"/>
        </w:rPr>
        <w:t xml:space="preserve"> (see also paragraphs 6.6-6.9)</w:t>
      </w:r>
      <w:r w:rsidR="00485116">
        <w:rPr>
          <w:color w:val="000000"/>
        </w:rPr>
        <w:t>.</w:t>
      </w:r>
      <w:r w:rsidR="00155EE0" w:rsidRPr="00131DA2">
        <w:rPr>
          <w:color w:val="000000"/>
        </w:rPr>
        <w:t xml:space="preserve"> </w:t>
      </w:r>
      <w:r w:rsidRPr="00131DA2">
        <w:rPr>
          <w:color w:val="000000"/>
        </w:rPr>
        <w:t xml:space="preserve">  </w:t>
      </w:r>
    </w:p>
    <w:p w14:paraId="4181E39E" w14:textId="77777777" w:rsidR="003B0F19" w:rsidRPr="003B0F19" w:rsidRDefault="00031738" w:rsidP="00031738">
      <w:pPr>
        <w:pStyle w:val="3-BodyText"/>
        <w:rPr>
          <w:rFonts w:cstheme="minorHAnsi"/>
        </w:rPr>
      </w:pPr>
      <w:r w:rsidRPr="003B0F19">
        <w:rPr>
          <w:rFonts w:cstheme="minorHAnsi"/>
        </w:rPr>
        <w:t xml:space="preserve">The PBAC </w:t>
      </w:r>
      <w:r>
        <w:rPr>
          <w:rFonts w:cstheme="minorHAnsi"/>
        </w:rPr>
        <w:t>considered</w:t>
      </w:r>
      <w:r w:rsidRPr="003B0F19">
        <w:rPr>
          <w:rFonts w:cstheme="minorHAnsi"/>
        </w:rPr>
        <w:t xml:space="preserve"> that </w:t>
      </w:r>
      <w:r>
        <w:rPr>
          <w:rFonts w:cstheme="minorHAnsi"/>
        </w:rPr>
        <w:t xml:space="preserve">the </w:t>
      </w:r>
      <w:r w:rsidRPr="003B0F19">
        <w:rPr>
          <w:rFonts w:cstheme="minorHAnsi"/>
        </w:rPr>
        <w:t>comparative clinical effectiveness and cost-effectiveness of niraparib in the proposed PBS population</w:t>
      </w:r>
      <w:r>
        <w:rPr>
          <w:rFonts w:cstheme="minorHAnsi"/>
        </w:rPr>
        <w:t xml:space="preserve"> could not be assessed</w:t>
      </w:r>
      <w:r w:rsidRPr="003B0F19">
        <w:rPr>
          <w:rFonts w:cstheme="minorHAnsi"/>
        </w:rPr>
        <w:t xml:space="preserve"> based on the clinical evidence and economic evaluation presented in the submission.</w:t>
      </w:r>
      <w:r>
        <w:rPr>
          <w:rFonts w:cstheme="minorHAnsi"/>
        </w:rPr>
        <w:t xml:space="preserve"> </w:t>
      </w:r>
      <w:r w:rsidR="003B0F19" w:rsidRPr="003B0F19">
        <w:rPr>
          <w:rFonts w:cstheme="minorHAnsi"/>
        </w:rPr>
        <w:t>Importantly, the PBAC considered there may be differences in benefits and harms in the different patient subgroups, if niraparib is used in place of olaparib, bevacizumab or SMM</w:t>
      </w:r>
      <w:r>
        <w:rPr>
          <w:rFonts w:cstheme="minorHAnsi"/>
        </w:rPr>
        <w:t>.</w:t>
      </w:r>
    </w:p>
    <w:p w14:paraId="1136FB85" w14:textId="77777777" w:rsidR="00A238BC" w:rsidRPr="00131DA2" w:rsidRDefault="00A238BC" w:rsidP="00A238BC">
      <w:pPr>
        <w:ind w:firstLine="709"/>
        <w:rPr>
          <w:rFonts w:asciiTheme="minorHAnsi" w:hAnsiTheme="minorHAnsi"/>
          <w:i/>
        </w:rPr>
      </w:pPr>
      <w:r w:rsidRPr="00131DA2">
        <w:rPr>
          <w:rFonts w:asciiTheme="minorHAnsi" w:hAnsiTheme="minorHAnsi"/>
          <w:i/>
        </w:rPr>
        <w:t>For more detail on PBAC’s view, see section 7 PBAC outcome.</w:t>
      </w:r>
    </w:p>
    <w:p w14:paraId="055BDC8F" w14:textId="77777777" w:rsidR="00884F00" w:rsidRPr="00131DA2" w:rsidRDefault="00884F00" w:rsidP="00884F00">
      <w:pPr>
        <w:pStyle w:val="2-SectionHeading"/>
        <w:numPr>
          <w:ilvl w:val="0"/>
          <w:numId w:val="1"/>
        </w:numPr>
      </w:pPr>
      <w:bookmarkStart w:id="12" w:name="_Toc72246804"/>
      <w:r w:rsidRPr="00131DA2">
        <w:t>Consideration of the evidence</w:t>
      </w:r>
      <w:bookmarkEnd w:id="12"/>
    </w:p>
    <w:p w14:paraId="3029191D" w14:textId="77777777" w:rsidR="00A238BC" w:rsidRPr="00131DA2" w:rsidRDefault="00A238BC" w:rsidP="00A238BC">
      <w:pPr>
        <w:pStyle w:val="4-SubsectionHeading"/>
      </w:pPr>
      <w:bookmarkStart w:id="13" w:name="_Toc72246805"/>
      <w:r w:rsidRPr="00131DA2">
        <w:t>Sponsor hearing</w:t>
      </w:r>
    </w:p>
    <w:p w14:paraId="33B54C19" w14:textId="77777777" w:rsidR="00A238BC" w:rsidRPr="00D57931" w:rsidRDefault="004A54DB" w:rsidP="00D57931">
      <w:pPr>
        <w:pStyle w:val="3-BodyText"/>
        <w:rPr>
          <w:bCs/>
        </w:rPr>
      </w:pPr>
      <w:r w:rsidRPr="00CF03A7">
        <w:rPr>
          <w:rFonts w:cstheme="minorHAnsi"/>
        </w:rPr>
        <w:t xml:space="preserve">The sponsor requested a hearing for this item. The clinician </w:t>
      </w:r>
      <w:r w:rsidR="00CB3A36" w:rsidRPr="00CF03A7">
        <w:rPr>
          <w:rFonts w:cstheme="minorHAnsi"/>
        </w:rPr>
        <w:t xml:space="preserve">presented an overview of Stage III/IV disease and the PRIMA trial.  </w:t>
      </w:r>
      <w:r w:rsidR="0010127F" w:rsidRPr="00CF03A7">
        <w:rPr>
          <w:rFonts w:cstheme="minorHAnsi"/>
        </w:rPr>
        <w:t>In addition, t</w:t>
      </w:r>
      <w:r w:rsidR="00CB3A36" w:rsidRPr="00CF03A7">
        <w:rPr>
          <w:rFonts w:cstheme="minorHAnsi"/>
        </w:rPr>
        <w:t xml:space="preserve">he clinician commented </w:t>
      </w:r>
      <w:r w:rsidR="0010127F" w:rsidRPr="00CF03A7">
        <w:rPr>
          <w:rFonts w:cstheme="minorHAnsi"/>
        </w:rPr>
        <w:t>that</w:t>
      </w:r>
      <w:r w:rsidR="00CB3A36" w:rsidRPr="00CF03A7">
        <w:rPr>
          <w:rFonts w:cstheme="minorHAnsi"/>
        </w:rPr>
        <w:t xml:space="preserve"> the change in PBS requirements for bevacizumab</w:t>
      </w:r>
      <w:r w:rsidR="0010127F" w:rsidRPr="00CF03A7">
        <w:rPr>
          <w:rFonts w:cstheme="minorHAnsi"/>
        </w:rPr>
        <w:t xml:space="preserve"> (</w:t>
      </w:r>
      <w:r w:rsidR="00CB3A36" w:rsidRPr="00CF03A7">
        <w:rPr>
          <w:rFonts w:cstheme="minorHAnsi"/>
        </w:rPr>
        <w:t>unrestricted bene</w:t>
      </w:r>
      <w:r w:rsidR="0010127F" w:rsidRPr="00CF03A7">
        <w:rPr>
          <w:rFonts w:cstheme="minorHAnsi"/>
        </w:rPr>
        <w:t>fit listing that commenced on 1 </w:t>
      </w:r>
      <w:r w:rsidR="00CB3A36" w:rsidRPr="00CF03A7">
        <w:rPr>
          <w:rFonts w:cstheme="minorHAnsi"/>
        </w:rPr>
        <w:t>June 2021</w:t>
      </w:r>
      <w:r w:rsidR="0010127F" w:rsidRPr="00CF03A7">
        <w:rPr>
          <w:rFonts w:cstheme="minorHAnsi"/>
        </w:rPr>
        <w:t xml:space="preserve">) might lead to more use of bevacizumab in the relapsed setting. The clinician compared the adverse event profiles of niraparib and olaparib and supported the approach of using an individualised starting dose for niraparib based on the results of the PRIMA trial. </w:t>
      </w:r>
      <w:r w:rsidR="00D15454" w:rsidRPr="00CF03A7">
        <w:rPr>
          <w:rFonts w:cstheme="minorHAnsi"/>
        </w:rPr>
        <w:t>The clinician also noted that some patients choose not to undertake BRCAm testing, which is currently a barrier to treatment with PARP</w:t>
      </w:r>
      <w:r w:rsidR="00D57931">
        <w:rPr>
          <w:rFonts w:cstheme="minorHAnsi"/>
        </w:rPr>
        <w:t xml:space="preserve"> inhibitors</w:t>
      </w:r>
      <w:r w:rsidR="00D15454" w:rsidRPr="00CF03A7">
        <w:rPr>
          <w:rFonts w:cstheme="minorHAnsi"/>
        </w:rPr>
        <w:t xml:space="preserve">. </w:t>
      </w:r>
    </w:p>
    <w:p w14:paraId="4D351766" w14:textId="77777777" w:rsidR="00A238BC" w:rsidRPr="00131DA2" w:rsidRDefault="00A238BC" w:rsidP="00A238BC">
      <w:pPr>
        <w:pStyle w:val="4-SubsectionHeading"/>
      </w:pPr>
      <w:r w:rsidRPr="00131DA2">
        <w:t>Consumer comments</w:t>
      </w:r>
    </w:p>
    <w:p w14:paraId="08CF865D" w14:textId="77777777" w:rsidR="0013632C" w:rsidRPr="00E2279F" w:rsidRDefault="004A54DB" w:rsidP="002F6931">
      <w:pPr>
        <w:widowControl w:val="0"/>
        <w:numPr>
          <w:ilvl w:val="1"/>
          <w:numId w:val="1"/>
        </w:numPr>
        <w:spacing w:after="120"/>
        <w:rPr>
          <w:rFonts w:asciiTheme="minorHAnsi" w:hAnsiTheme="minorHAnsi"/>
          <w:bCs/>
          <w:snapToGrid w:val="0"/>
        </w:rPr>
      </w:pPr>
      <w:r w:rsidRPr="00E2279F">
        <w:rPr>
          <w:rFonts w:asciiTheme="minorHAnsi" w:hAnsiTheme="minorHAnsi"/>
          <w:bCs/>
          <w:snapToGrid w:val="0"/>
        </w:rPr>
        <w:t>The PBAC noted and welcomed the input from individuals (1</w:t>
      </w:r>
      <w:r w:rsidR="009E2D4E" w:rsidRPr="00E2279F">
        <w:rPr>
          <w:rFonts w:asciiTheme="minorHAnsi" w:hAnsiTheme="minorHAnsi"/>
          <w:bCs/>
          <w:snapToGrid w:val="0"/>
        </w:rPr>
        <w:t>1</w:t>
      </w:r>
      <w:r w:rsidRPr="00E2279F">
        <w:rPr>
          <w:rFonts w:asciiTheme="minorHAnsi" w:hAnsiTheme="minorHAnsi"/>
          <w:bCs/>
          <w:snapToGrid w:val="0"/>
        </w:rPr>
        <w:t>), and organisations (</w:t>
      </w:r>
      <w:r w:rsidR="009E2D4E" w:rsidRPr="00E2279F">
        <w:rPr>
          <w:rFonts w:asciiTheme="minorHAnsi" w:hAnsiTheme="minorHAnsi"/>
          <w:bCs/>
          <w:snapToGrid w:val="0"/>
        </w:rPr>
        <w:t>3</w:t>
      </w:r>
      <w:r w:rsidRPr="00E2279F">
        <w:rPr>
          <w:rFonts w:asciiTheme="minorHAnsi" w:hAnsiTheme="minorHAnsi"/>
          <w:bCs/>
          <w:snapToGrid w:val="0"/>
        </w:rPr>
        <w:t xml:space="preserve">) via the Consumer Comments facility on the PBS website. The comments noted that patients with ovarian cancer without </w:t>
      </w:r>
      <w:r w:rsidR="009E5CE5">
        <w:rPr>
          <w:rFonts w:asciiTheme="minorHAnsi" w:hAnsiTheme="minorHAnsi"/>
          <w:bCs/>
          <w:snapToGrid w:val="0"/>
        </w:rPr>
        <w:t xml:space="preserve">evidence of </w:t>
      </w:r>
      <w:r w:rsidRPr="00E2279F">
        <w:rPr>
          <w:rFonts w:asciiTheme="minorHAnsi" w:hAnsiTheme="minorHAnsi"/>
          <w:bCs/>
          <w:snapToGrid w:val="0"/>
        </w:rPr>
        <w:t xml:space="preserve">a BRCA </w:t>
      </w:r>
      <w:r w:rsidRPr="009E2D4E">
        <w:t xml:space="preserve">pathogenic variant are not currently able to access PARP inhibitors. </w:t>
      </w:r>
      <w:r w:rsidR="0013632C" w:rsidRPr="009E2D4E">
        <w:t xml:space="preserve">Individuals considered that maintenance with niraparib may </w:t>
      </w:r>
      <w:r w:rsidR="0013632C">
        <w:t>prolong</w:t>
      </w:r>
      <w:r w:rsidR="0013632C" w:rsidRPr="009E2D4E">
        <w:t xml:space="preserve"> survival and </w:t>
      </w:r>
      <w:r w:rsidR="0013632C">
        <w:t>improve quality of life</w:t>
      </w:r>
      <w:r w:rsidR="0013632C" w:rsidRPr="009E2D4E">
        <w:t>.</w:t>
      </w:r>
      <w:r w:rsidR="0013632C">
        <w:t xml:space="preserve"> </w:t>
      </w:r>
      <w:r w:rsidRPr="009E2D4E">
        <w:t xml:space="preserve">Individuals reported that self-funding PARP inhibitors was not possible for most patients due to their high cost. Patients </w:t>
      </w:r>
      <w:r w:rsidRPr="0035306C">
        <w:t>also noted the impact on quality of life of chemotherapy which can be poorly tolerated.</w:t>
      </w:r>
      <w:r w:rsidR="0013632C">
        <w:t xml:space="preserve"> </w:t>
      </w:r>
      <w:r w:rsidR="00E2279F">
        <w:t xml:space="preserve">Support for the niraparib listing was also communicated by individuals with personal experience of olaparib </w:t>
      </w:r>
      <w:r w:rsidR="00755CA2">
        <w:t>treatment because</w:t>
      </w:r>
      <w:r w:rsidR="00E2279F">
        <w:t xml:space="preserve"> they felt it was important to advocate for other patients </w:t>
      </w:r>
      <w:r w:rsidR="00041275">
        <w:t>who</w:t>
      </w:r>
      <w:r w:rsidR="00E2279F">
        <w:t xml:space="preserve"> are not eligible for olaparib due to BRCA status.  </w:t>
      </w:r>
    </w:p>
    <w:p w14:paraId="1C625D40" w14:textId="77777777" w:rsidR="004A54DB" w:rsidRPr="0035306C" w:rsidRDefault="004A54DB" w:rsidP="004A54DB">
      <w:pPr>
        <w:widowControl w:val="0"/>
        <w:numPr>
          <w:ilvl w:val="1"/>
          <w:numId w:val="1"/>
        </w:numPr>
        <w:spacing w:after="120"/>
        <w:rPr>
          <w:rFonts w:asciiTheme="minorHAnsi" w:hAnsiTheme="minorHAnsi"/>
          <w:bCs/>
          <w:snapToGrid w:val="0"/>
        </w:rPr>
      </w:pPr>
      <w:r w:rsidRPr="0035306C">
        <w:rPr>
          <w:rFonts w:asciiTheme="minorHAnsi" w:hAnsiTheme="minorHAnsi"/>
          <w:bCs/>
          <w:snapToGrid w:val="0"/>
        </w:rPr>
        <w:t>The PBAC noted the advice received from the Ovarian Cancer Research Foundation (OCRF), Ovarian Cancer Australia (OCA) and Rare Cancers Australia (RCA) in support of the niraparib submission. The comments from these organisations focussed on the impact of ovarian cancer on patients’ mental health and quality of life and the hope of new treatments that prevent or delay relapse and extend survival. RCA and OCA reported that issues impacting patients with ovarian cancer included: the burden of indignity, impacts on fertility, the fear of recurrence, and the impact on families. In addition, patients felt there was a lack of equity of access, with PARP inhibitors PBS currently subsidised only for patients with BRCA pathogenic variants</w:t>
      </w:r>
      <w:r w:rsidR="0035306C" w:rsidRPr="0035306C">
        <w:rPr>
          <w:rFonts w:asciiTheme="minorHAnsi" w:hAnsiTheme="minorHAnsi"/>
          <w:bCs/>
          <w:snapToGrid w:val="0"/>
        </w:rPr>
        <w:t>.</w:t>
      </w:r>
      <w:r w:rsidRPr="0035306C">
        <w:rPr>
          <w:rFonts w:asciiTheme="minorHAnsi" w:hAnsiTheme="minorHAnsi"/>
          <w:bCs/>
          <w:snapToGrid w:val="0"/>
        </w:rPr>
        <w:t xml:space="preserve"> </w:t>
      </w:r>
    </w:p>
    <w:p w14:paraId="04A03453" w14:textId="77777777" w:rsidR="001D7946" w:rsidRPr="00D57931" w:rsidRDefault="004A54DB" w:rsidP="00D57931">
      <w:pPr>
        <w:widowControl w:val="0"/>
        <w:numPr>
          <w:ilvl w:val="1"/>
          <w:numId w:val="1"/>
        </w:numPr>
        <w:spacing w:after="120"/>
        <w:rPr>
          <w:rFonts w:asciiTheme="minorHAnsi" w:hAnsiTheme="minorHAnsi"/>
          <w:bCs/>
          <w:snapToGrid w:val="0"/>
        </w:rPr>
      </w:pPr>
      <w:r w:rsidRPr="0035306C">
        <w:rPr>
          <w:rFonts w:asciiTheme="minorHAnsi" w:hAnsiTheme="minorHAnsi"/>
          <w:bCs/>
          <w:snapToGrid w:val="0"/>
        </w:rPr>
        <w:t xml:space="preserve">The Medical Oncology Group of Australia (MOGA) also expressed its </w:t>
      </w:r>
      <w:r w:rsidR="00041275">
        <w:rPr>
          <w:rFonts w:asciiTheme="minorHAnsi" w:hAnsiTheme="minorHAnsi"/>
          <w:bCs/>
          <w:snapToGrid w:val="0"/>
        </w:rPr>
        <w:t xml:space="preserve">strong </w:t>
      </w:r>
      <w:r w:rsidRPr="0035306C">
        <w:rPr>
          <w:rFonts w:asciiTheme="minorHAnsi" w:hAnsiTheme="minorHAnsi"/>
          <w:bCs/>
          <w:snapToGrid w:val="0"/>
        </w:rPr>
        <w:t>support for the niraparib submission</w:t>
      </w:r>
      <w:r w:rsidR="00041275">
        <w:rPr>
          <w:rFonts w:asciiTheme="minorHAnsi" w:hAnsiTheme="minorHAnsi"/>
          <w:bCs/>
          <w:snapToGrid w:val="0"/>
        </w:rPr>
        <w:t xml:space="preserve">, </w:t>
      </w:r>
      <w:r w:rsidR="00041275" w:rsidRPr="00A74363">
        <w:rPr>
          <w:rFonts w:asciiTheme="minorHAnsi" w:hAnsiTheme="minorHAnsi"/>
          <w:bCs/>
          <w:snapToGrid w:val="0"/>
        </w:rPr>
        <w:t xml:space="preserve">categorising it as one of the therapies of “high priority for PBS listing” on the basis of the </w:t>
      </w:r>
      <w:r w:rsidR="00041275">
        <w:rPr>
          <w:rFonts w:asciiTheme="minorHAnsi" w:hAnsiTheme="minorHAnsi"/>
          <w:bCs/>
          <w:snapToGrid w:val="0"/>
        </w:rPr>
        <w:t>PRIMA</w:t>
      </w:r>
      <w:r w:rsidR="00041275" w:rsidRPr="00A74363">
        <w:rPr>
          <w:rFonts w:asciiTheme="minorHAnsi" w:hAnsiTheme="minorHAnsi"/>
          <w:bCs/>
          <w:snapToGrid w:val="0"/>
        </w:rPr>
        <w:t xml:space="preserve"> trial</w:t>
      </w:r>
      <w:r w:rsidRPr="0035306C">
        <w:rPr>
          <w:rFonts w:asciiTheme="minorHAnsi" w:hAnsiTheme="minorHAnsi"/>
          <w:bCs/>
          <w:snapToGrid w:val="0"/>
        </w:rPr>
        <w:t>. The PBAC noted that the MOGA presented a European Society for Medical Oncology Magnitude of Clinical Benefit Scale (ESMO-MCBS) for niraparib, which was limited to 3 (out of a maximum of 5, where 5 and 4 represent the grades with substantial improvement)</w:t>
      </w:r>
      <w:r w:rsidRPr="0035306C">
        <w:rPr>
          <w:rStyle w:val="FootnoteReference"/>
          <w:rFonts w:asciiTheme="minorHAnsi" w:hAnsiTheme="minorHAnsi"/>
          <w:bCs/>
          <w:snapToGrid w:val="0"/>
        </w:rPr>
        <w:footnoteReference w:id="6"/>
      </w:r>
      <w:r w:rsidRPr="0035306C">
        <w:rPr>
          <w:rFonts w:asciiTheme="minorHAnsi" w:hAnsiTheme="minorHAnsi"/>
          <w:bCs/>
          <w:snapToGrid w:val="0"/>
        </w:rPr>
        <w:t>, based on a comparison with placebo.</w:t>
      </w:r>
      <w:r w:rsidR="00041275">
        <w:rPr>
          <w:rFonts w:asciiTheme="minorHAnsi" w:hAnsiTheme="minorHAnsi"/>
          <w:bCs/>
          <w:snapToGrid w:val="0"/>
        </w:rPr>
        <w:t xml:space="preserve"> The PBAC noted that this </w:t>
      </w:r>
      <w:r w:rsidR="006559CF">
        <w:rPr>
          <w:rFonts w:asciiTheme="minorHAnsi" w:hAnsiTheme="minorHAnsi"/>
          <w:bCs/>
          <w:snapToGrid w:val="0"/>
        </w:rPr>
        <w:t>score was based on the</w:t>
      </w:r>
      <w:r w:rsidR="00041275">
        <w:rPr>
          <w:rFonts w:asciiTheme="minorHAnsi" w:hAnsiTheme="minorHAnsi"/>
          <w:bCs/>
          <w:snapToGrid w:val="0"/>
        </w:rPr>
        <w:t xml:space="preserve"> PFS benefit </w:t>
      </w:r>
      <w:r w:rsidR="006559CF">
        <w:rPr>
          <w:rFonts w:asciiTheme="minorHAnsi" w:hAnsiTheme="minorHAnsi"/>
          <w:bCs/>
          <w:snapToGrid w:val="0"/>
        </w:rPr>
        <w:t xml:space="preserve">for niraparib </w:t>
      </w:r>
      <w:r w:rsidR="00041275">
        <w:rPr>
          <w:rFonts w:asciiTheme="minorHAnsi" w:hAnsiTheme="minorHAnsi"/>
          <w:bCs/>
          <w:snapToGrid w:val="0"/>
        </w:rPr>
        <w:t xml:space="preserve">as OS </w:t>
      </w:r>
      <w:r w:rsidR="006559CF">
        <w:rPr>
          <w:rFonts w:asciiTheme="minorHAnsi" w:hAnsiTheme="minorHAnsi"/>
          <w:bCs/>
          <w:snapToGrid w:val="0"/>
        </w:rPr>
        <w:t>data from PRIMA are immature.</w:t>
      </w:r>
    </w:p>
    <w:p w14:paraId="1103FFFD" w14:textId="77777777" w:rsidR="00884F00" w:rsidRPr="00131DA2" w:rsidRDefault="00884F00" w:rsidP="00884F00">
      <w:pPr>
        <w:pStyle w:val="4-SubsectionHeading"/>
      </w:pPr>
      <w:r w:rsidRPr="00131DA2">
        <w:t>Clinical trials</w:t>
      </w:r>
      <w:bookmarkEnd w:id="13"/>
    </w:p>
    <w:p w14:paraId="61804A5A" w14:textId="77777777" w:rsidR="00884F00" w:rsidRPr="00131DA2" w:rsidRDefault="00884F00" w:rsidP="00884F00">
      <w:pPr>
        <w:pStyle w:val="3-BodyText"/>
      </w:pPr>
      <w:r w:rsidRPr="00131DA2">
        <w:rPr>
          <w:snapToGrid/>
        </w:rPr>
        <w:t>The submission presented three randomised phase III trials:</w:t>
      </w:r>
    </w:p>
    <w:p w14:paraId="11B13671" w14:textId="77777777" w:rsidR="00884F00" w:rsidRPr="00131DA2" w:rsidRDefault="00884F00" w:rsidP="00E7222F">
      <w:pPr>
        <w:pStyle w:val="ListParagraph"/>
        <w:numPr>
          <w:ilvl w:val="0"/>
          <w:numId w:val="8"/>
        </w:numPr>
        <w:rPr>
          <w:snapToGrid/>
        </w:rPr>
      </w:pPr>
      <w:r w:rsidRPr="00131DA2">
        <w:rPr>
          <w:snapToGrid/>
        </w:rPr>
        <w:t>PRIMA: a placebo controlled, double blind, randomised phase III trial, which compared niraparib to placebo in patients with newly diagnosed, advanced, high-grade ovarian cancer who are in partial or complete response after 6 to 9 cycles of platinum-based chemotherapy;</w:t>
      </w:r>
    </w:p>
    <w:p w14:paraId="56823510" w14:textId="77777777" w:rsidR="00884F00" w:rsidRPr="00131DA2" w:rsidRDefault="00884F00" w:rsidP="00E7222F">
      <w:pPr>
        <w:pStyle w:val="ListParagraph"/>
        <w:numPr>
          <w:ilvl w:val="0"/>
          <w:numId w:val="8"/>
        </w:numPr>
      </w:pPr>
      <w:r w:rsidRPr="00131DA2">
        <w:t>SOLO-1: a phase III, placebo controlled, double blind randomised trial, which compared olaparib to placebo in patients with newly diagnosed, advanced, high-grade ovarian cancer, with BRCA1/2 mutation, who are in complete or partial response after 6 to 9 cycles of platinum-based chemotherapy;</w:t>
      </w:r>
    </w:p>
    <w:p w14:paraId="5C3A8080" w14:textId="77777777" w:rsidR="00884F00" w:rsidRPr="00131DA2" w:rsidRDefault="00884F00" w:rsidP="00E7222F">
      <w:pPr>
        <w:pStyle w:val="ListParagraph"/>
        <w:numPr>
          <w:ilvl w:val="0"/>
          <w:numId w:val="8"/>
        </w:numPr>
      </w:pPr>
      <w:r w:rsidRPr="00131DA2">
        <w:t xml:space="preserve">ICON-7: a phase III, open label, active control trial, which compared platinum-based chemotherapy plus bevacizumab followed by maintenance bevacizumab to only six cycles of platinum-based chemotherapy in patients with newly diagnosed high-risk Stage III  (R2) or </w:t>
      </w:r>
      <w:r w:rsidR="006937B5" w:rsidRPr="00131DA2">
        <w:t>S</w:t>
      </w:r>
      <w:r w:rsidRPr="00131DA2">
        <w:t>tage IV ovarian cancer.</w:t>
      </w:r>
    </w:p>
    <w:p w14:paraId="4B609899" w14:textId="77777777" w:rsidR="00C16921" w:rsidRPr="00131DA2" w:rsidRDefault="00884F00" w:rsidP="00884F00">
      <w:pPr>
        <w:pStyle w:val="3-BodyText"/>
      </w:pPr>
      <w:bookmarkStart w:id="14" w:name="_Ref78545931"/>
      <w:bookmarkStart w:id="15" w:name="_Ref74661406"/>
      <w:bookmarkStart w:id="16" w:name="_Ref74232808"/>
      <w:r w:rsidRPr="00131DA2">
        <w:t>The submission claimed that indirect comparisons between niraparib and olaparib or bevacizumab could not be performed due to significant issues of heterogeneity between trials. The submission stated that, consequently, the interpretation of the clinical evidence was primarily informed by the head-to-head comparison of niraparib versus placebo (PRIMA) in the overall, intent to treat (ITT) population.</w:t>
      </w:r>
      <w:bookmarkEnd w:id="14"/>
      <w:r w:rsidRPr="00131DA2">
        <w:t xml:space="preserve"> </w:t>
      </w:r>
    </w:p>
    <w:p w14:paraId="53CB0736" w14:textId="68A30D0D" w:rsidR="005D74CF" w:rsidRDefault="00884F00" w:rsidP="00497CED">
      <w:pPr>
        <w:pStyle w:val="3-BodyText"/>
      </w:pPr>
      <w:bookmarkStart w:id="17" w:name="_Ref74905861"/>
      <w:r w:rsidRPr="00131DA2">
        <w:t>The</w:t>
      </w:r>
      <w:r w:rsidR="00347CEB" w:rsidRPr="00131DA2">
        <w:t xml:space="preserve"> ESC agreed with the Commentary that</w:t>
      </w:r>
      <w:r w:rsidR="00C16921" w:rsidRPr="00131DA2">
        <w:t xml:space="preserve"> </w:t>
      </w:r>
      <w:r w:rsidRPr="00131DA2">
        <w:t>an indirect comparison between niraparib</w:t>
      </w:r>
      <w:r w:rsidR="009C61A8" w:rsidRPr="00131DA2">
        <w:t xml:space="preserve"> and bevacizumab </w:t>
      </w:r>
      <w:r w:rsidR="00F41EC8">
        <w:t>was problematic because</w:t>
      </w:r>
      <w:r w:rsidR="005D74CF">
        <w:t xml:space="preserve"> the </w:t>
      </w:r>
      <w:r w:rsidR="005D74CF" w:rsidRPr="00131DA2">
        <w:t>ICON</w:t>
      </w:r>
      <w:r w:rsidR="005D74CF" w:rsidRPr="00131DA2">
        <w:noBreakHyphen/>
        <w:t xml:space="preserve">7 study was </w:t>
      </w:r>
      <w:r w:rsidR="00F41EC8">
        <w:t xml:space="preserve">a </w:t>
      </w:r>
      <w:r w:rsidR="005D74CF" w:rsidRPr="00131DA2">
        <w:t xml:space="preserve">considerably older </w:t>
      </w:r>
      <w:r w:rsidR="00F41EC8">
        <w:t xml:space="preserve">study </w:t>
      </w:r>
      <w:r w:rsidR="005D74CF" w:rsidRPr="00131DA2">
        <w:t>and included a substantially different patient population than SOLO</w:t>
      </w:r>
      <w:r w:rsidR="005D74CF" w:rsidRPr="00131DA2">
        <w:noBreakHyphen/>
        <w:t>1 and PRIMA trials.</w:t>
      </w:r>
      <w:bookmarkEnd w:id="15"/>
      <w:r w:rsidR="009C61A8" w:rsidRPr="00131DA2">
        <w:t xml:space="preserve"> </w:t>
      </w:r>
      <w:r w:rsidR="00763206" w:rsidRPr="00131DA2">
        <w:t xml:space="preserve">The PSCR argued that prior consideration of olaparib in the 1L setting recognised bevacizumab as a main comparator, with the PBAC’s July 2020 recommendation being made in the absence of a clinical conclusion for olaparib vs. bevacizumab. </w:t>
      </w:r>
      <w:r w:rsidR="005D74CF" w:rsidRPr="00C415AE">
        <w:t>The PBAC recalled that it had previously recognised bevacizumab as a relevant comparator to olaparib in a subgroup of patients</w:t>
      </w:r>
      <w:r w:rsidR="00DB2123">
        <w:t xml:space="preserve"> in</w:t>
      </w:r>
      <w:r w:rsidR="005D74CF" w:rsidRPr="00C415AE">
        <w:t xml:space="preserve"> the 1L setting during its consideration of olaparib in July 2020.  The PBAC noted that the sponsor of olaparib provided a qualitative analysis using data from trials comparing efficacy of bevacizumab to olaparib (from SOLO-1) (</w:t>
      </w:r>
      <w:r w:rsidR="00AF7DC3" w:rsidRPr="00C415AE">
        <w:t>paragraph</w:t>
      </w:r>
      <w:r w:rsidR="005D74CF" w:rsidRPr="00C415AE">
        <w:t xml:space="preserve"> 2.4</w:t>
      </w:r>
      <w:r w:rsidR="005D74CF">
        <w:t>, o</w:t>
      </w:r>
      <w:r w:rsidR="005D74CF" w:rsidRPr="00C415AE">
        <w:t>laparib PSD</w:t>
      </w:r>
      <w:r w:rsidR="005D74CF">
        <w:t>,</w:t>
      </w:r>
      <w:r w:rsidR="005D74CF" w:rsidRPr="00C415AE">
        <w:t xml:space="preserve"> July 2020</w:t>
      </w:r>
      <w:r w:rsidR="005D74CF">
        <w:t xml:space="preserve"> PBAC Meeting</w:t>
      </w:r>
      <w:r w:rsidR="005D74CF" w:rsidRPr="00C415AE">
        <w:t>)</w:t>
      </w:r>
      <w:r w:rsidR="005D74CF">
        <w:t>.</w:t>
      </w:r>
    </w:p>
    <w:p w14:paraId="2EE09675" w14:textId="77777777" w:rsidR="005D74CF" w:rsidRDefault="00763206" w:rsidP="00497CED">
      <w:pPr>
        <w:pStyle w:val="3-BodyText"/>
      </w:pPr>
      <w:r w:rsidRPr="00131DA2">
        <w:t>The ESC noted that in clinical practice bevacizumab is not used in all eligible patients due to safety concerns and the modest benefit of treatment. As such, the ESC considered that the lack of comparison presented for niraparib and bevacizumab was less of a concern</w:t>
      </w:r>
      <w:r w:rsidR="00347CEB" w:rsidRPr="00131DA2">
        <w:t xml:space="preserve"> than the lack of comparison with olaparib.</w:t>
      </w:r>
      <w:bookmarkEnd w:id="17"/>
    </w:p>
    <w:p w14:paraId="78F8D94C" w14:textId="77777777" w:rsidR="00884F00" w:rsidRPr="00131DA2" w:rsidRDefault="009C61A8" w:rsidP="00190420">
      <w:pPr>
        <w:pStyle w:val="3-BodyText"/>
      </w:pPr>
      <w:bookmarkStart w:id="18" w:name="_Ref78794119"/>
      <w:r w:rsidRPr="00131DA2">
        <w:t>However, the</w:t>
      </w:r>
      <w:r w:rsidR="00E10F8A" w:rsidRPr="00131DA2">
        <w:t xml:space="preserve"> ESC agreed with the Commentary that the</w:t>
      </w:r>
      <w:r w:rsidR="00E52658" w:rsidRPr="00131DA2">
        <w:t xml:space="preserve"> infeasibility of performing a</w:t>
      </w:r>
      <w:r w:rsidRPr="00131DA2">
        <w:t xml:space="preserve"> comparison between </w:t>
      </w:r>
      <w:r w:rsidR="00DD41B5" w:rsidRPr="00131DA2">
        <w:t>niraparib and</w:t>
      </w:r>
      <w:r w:rsidR="00884F00" w:rsidRPr="00131DA2">
        <w:t xml:space="preserve"> </w:t>
      </w:r>
      <w:r w:rsidRPr="00131DA2">
        <w:t>olaparib</w:t>
      </w:r>
      <w:r w:rsidR="00884F00" w:rsidRPr="00131DA2">
        <w:t xml:space="preserve"> </w:t>
      </w:r>
      <w:r w:rsidR="00E10F8A" w:rsidRPr="00131DA2">
        <w:t>wa</w:t>
      </w:r>
      <w:r w:rsidR="00884F00" w:rsidRPr="00131DA2">
        <w:t>s poorly justified</w:t>
      </w:r>
      <w:r w:rsidR="00E10F8A" w:rsidRPr="00131DA2">
        <w:t xml:space="preserve"> because</w:t>
      </w:r>
      <w:r w:rsidR="009D4803" w:rsidRPr="00131DA2">
        <w:t>:</w:t>
      </w:r>
      <w:bookmarkEnd w:id="16"/>
      <w:bookmarkEnd w:id="18"/>
    </w:p>
    <w:p w14:paraId="7DB52DCB" w14:textId="77777777" w:rsidR="005525ED" w:rsidRPr="00131DA2" w:rsidRDefault="00A21387" w:rsidP="00E7222F">
      <w:pPr>
        <w:pStyle w:val="3-BodyText"/>
        <w:numPr>
          <w:ilvl w:val="0"/>
          <w:numId w:val="12"/>
        </w:numPr>
        <w:ind w:left="1134"/>
      </w:pPr>
      <w:r w:rsidRPr="00131DA2">
        <w:t xml:space="preserve">The claim that the patient population </w:t>
      </w:r>
      <w:r w:rsidR="00937E07" w:rsidRPr="00131DA2">
        <w:t xml:space="preserve">in the PRIMA trial </w:t>
      </w:r>
      <w:r w:rsidRPr="00131DA2">
        <w:t>may have poorer prognosis based on higher proportion of patient</w:t>
      </w:r>
      <w:r w:rsidR="009D4803" w:rsidRPr="00131DA2">
        <w:t>s</w:t>
      </w:r>
      <w:r w:rsidRPr="00131DA2">
        <w:t xml:space="preserve"> </w:t>
      </w:r>
      <w:r w:rsidR="00237793" w:rsidRPr="00131DA2">
        <w:t xml:space="preserve">treated </w:t>
      </w:r>
      <w:r w:rsidRPr="00131DA2">
        <w:t xml:space="preserve">with </w:t>
      </w:r>
      <w:r w:rsidR="00237793" w:rsidRPr="00131DA2">
        <w:t>neoadjuvant chemotherapy with interval debulking surgery (</w:t>
      </w:r>
      <w:r w:rsidRPr="00131DA2">
        <w:t>NACT-IDS</w:t>
      </w:r>
      <w:r w:rsidR="00237793" w:rsidRPr="00131DA2">
        <w:t>)</w:t>
      </w:r>
      <w:r w:rsidRPr="00131DA2">
        <w:t xml:space="preserve"> and th</w:t>
      </w:r>
      <w:r w:rsidR="00DD41B5" w:rsidRPr="00131DA2">
        <w:t>e</w:t>
      </w:r>
      <w:r w:rsidRPr="00131DA2">
        <w:t xml:space="preserve"> exclusion of patients with </w:t>
      </w:r>
      <w:r w:rsidR="00A417F2" w:rsidRPr="00131DA2">
        <w:t>S</w:t>
      </w:r>
      <w:r w:rsidRPr="00131DA2">
        <w:t>tage III R0 post PDS</w:t>
      </w:r>
      <w:r w:rsidR="00DB7869" w:rsidRPr="00131DA2">
        <w:t>,</w:t>
      </w:r>
      <w:r w:rsidRPr="00131DA2">
        <w:t xml:space="preserve"> may be over</w:t>
      </w:r>
      <w:r w:rsidR="00DB7869" w:rsidRPr="00131DA2">
        <w:t>stated</w:t>
      </w:r>
      <w:r w:rsidRPr="00131DA2">
        <w:t>. Although PDS may have better survival compared to NACT-IDS, this may be confounded by the patients’ performance status</w:t>
      </w:r>
      <w:r w:rsidR="001613C6" w:rsidRPr="00131DA2">
        <w:rPr>
          <w:rStyle w:val="FootnoteReference"/>
        </w:rPr>
        <w:footnoteReference w:id="7"/>
      </w:r>
      <w:r w:rsidRPr="00131DA2">
        <w:t xml:space="preserve">. All patients included in both the SOLO-1 and PRIMA trials had good performance status (0-1), thus it is expected that the differences in prognosis between the two trial populations would be modest, conditioned on similar surgical outcome. In addition, a post-hoc subgroup analysis including only </w:t>
      </w:r>
      <w:proofErr w:type="gramStart"/>
      <w:r w:rsidRPr="00131DA2">
        <w:t>patients</w:t>
      </w:r>
      <w:proofErr w:type="gramEnd"/>
      <w:r w:rsidRPr="00131DA2">
        <w:t xml:space="preserve"> post NACT-IDS was </w:t>
      </w:r>
      <w:r w:rsidR="00FF0AD9" w:rsidRPr="00131DA2">
        <w:t xml:space="preserve">consistent with the overall results. </w:t>
      </w:r>
      <w:r w:rsidR="00C22489" w:rsidRPr="00131DA2">
        <w:t xml:space="preserve">The ESC </w:t>
      </w:r>
      <w:r w:rsidR="00F117CA" w:rsidRPr="00131DA2">
        <w:t xml:space="preserve">noted that NACT-IDS </w:t>
      </w:r>
      <w:r w:rsidR="005B0625" w:rsidRPr="00131DA2">
        <w:t xml:space="preserve">is </w:t>
      </w:r>
      <w:r w:rsidR="00F117CA" w:rsidRPr="00131DA2">
        <w:t>now employed commonly in patients who could have previously had upfront surgery. Therefore</w:t>
      </w:r>
      <w:r w:rsidR="000B73DD" w:rsidRPr="00131DA2">
        <w:t>,</w:t>
      </w:r>
      <w:r w:rsidR="00F117CA" w:rsidRPr="00131DA2">
        <w:t xml:space="preserve"> the ESC </w:t>
      </w:r>
      <w:r w:rsidR="00C22489" w:rsidRPr="00131DA2">
        <w:t>considered that the increased rate of NACT</w:t>
      </w:r>
      <w:r w:rsidR="00F21BE8">
        <w:noBreakHyphen/>
      </w:r>
      <w:r w:rsidR="00C22489" w:rsidRPr="00131DA2">
        <w:t>IDS in PRIMA vs SOLO-1 (68% vs 35%)</w:t>
      </w:r>
      <w:r w:rsidR="004464CC" w:rsidRPr="00131DA2">
        <w:t xml:space="preserve"> </w:t>
      </w:r>
      <w:r w:rsidR="00E10F8A" w:rsidRPr="00131DA2">
        <w:t>is likely to</w:t>
      </w:r>
      <w:r w:rsidR="00F117CA" w:rsidRPr="00131DA2">
        <w:t xml:space="preserve"> also</w:t>
      </w:r>
      <w:r w:rsidR="00C22489" w:rsidRPr="00131DA2">
        <w:t xml:space="preserve"> be </w:t>
      </w:r>
      <w:r w:rsidR="000B73DD" w:rsidRPr="00131DA2">
        <w:t xml:space="preserve">reflective </w:t>
      </w:r>
      <w:r w:rsidR="00C22489" w:rsidRPr="00131DA2">
        <w:t xml:space="preserve">of the change in clinical practice with greater uptake of NACT-IDS </w:t>
      </w:r>
      <w:r w:rsidR="00F117CA" w:rsidRPr="00131DA2">
        <w:t>for</w:t>
      </w:r>
      <w:r w:rsidR="00C22489" w:rsidRPr="00131DA2">
        <w:t xml:space="preserve"> the enrolment periods of </w:t>
      </w:r>
      <w:r w:rsidR="00F117CA" w:rsidRPr="00131DA2">
        <w:t xml:space="preserve">PRIMA (2016-18) compared to that of </w:t>
      </w:r>
      <w:r w:rsidR="00C22489" w:rsidRPr="00131DA2">
        <w:t>SOLO-1 (2013-15) rather than simply due to the inclusion of patients with higher volume disease.</w:t>
      </w:r>
      <w:r w:rsidR="004464CC" w:rsidRPr="00131DA2">
        <w:t xml:space="preserve"> </w:t>
      </w:r>
    </w:p>
    <w:p w14:paraId="2AAAC83F" w14:textId="77777777" w:rsidR="00C22489" w:rsidRPr="00131DA2" w:rsidRDefault="00A21387" w:rsidP="00E7222F">
      <w:pPr>
        <w:pStyle w:val="3-BodyText"/>
        <w:numPr>
          <w:ilvl w:val="0"/>
          <w:numId w:val="12"/>
        </w:numPr>
        <w:ind w:left="1134"/>
      </w:pPr>
      <w:r w:rsidRPr="00131DA2">
        <w:t>The claim that the differen</w:t>
      </w:r>
      <w:r w:rsidR="00787B56" w:rsidRPr="00131DA2">
        <w:t>ces in baseline demographics be</w:t>
      </w:r>
      <w:r w:rsidRPr="00131DA2">
        <w:t xml:space="preserve">tween the SOLO-1 trial and the BRCAm patient population in the PRIMA trial </w:t>
      </w:r>
      <w:r w:rsidR="005525ED" w:rsidRPr="00131DA2">
        <w:t xml:space="preserve">would </w:t>
      </w:r>
      <w:r w:rsidR="00DB7869" w:rsidRPr="00131DA2">
        <w:t>make</w:t>
      </w:r>
      <w:r w:rsidR="005525ED" w:rsidRPr="00131DA2">
        <w:t xml:space="preserve"> indirect comparison</w:t>
      </w:r>
      <w:r w:rsidR="00171071" w:rsidRPr="00131DA2">
        <w:t xml:space="preserve"> </w:t>
      </w:r>
      <w:r w:rsidR="00111038" w:rsidRPr="00131DA2">
        <w:t>inappropriate</w:t>
      </w:r>
      <w:r w:rsidR="005525ED" w:rsidRPr="00131DA2">
        <w:t xml:space="preserve"> may also be </w:t>
      </w:r>
      <w:r w:rsidR="00DB7869" w:rsidRPr="00131DA2">
        <w:t>unreasonable</w:t>
      </w:r>
      <w:r w:rsidR="005525ED" w:rsidRPr="00131DA2">
        <w:t xml:space="preserve">. Overall, the difference in median age between the two studies </w:t>
      </w:r>
      <w:r w:rsidR="006C4267" w:rsidRPr="00131DA2">
        <w:t>was</w:t>
      </w:r>
      <w:r w:rsidR="005525ED" w:rsidRPr="00131DA2">
        <w:t xml:space="preserve"> negligible (</w:t>
      </w:r>
      <w:r w:rsidR="005B0625" w:rsidRPr="00131DA2">
        <w:t>57 years in PRIMA and 53 years in SOLO-1</w:t>
      </w:r>
      <w:r w:rsidR="005525ED" w:rsidRPr="00131DA2">
        <w:t xml:space="preserve">). </w:t>
      </w:r>
    </w:p>
    <w:p w14:paraId="74D0EA55" w14:textId="77777777" w:rsidR="005525ED" w:rsidRPr="00131DA2" w:rsidRDefault="005B0625" w:rsidP="00E7222F">
      <w:pPr>
        <w:pStyle w:val="3-BodyText"/>
        <w:numPr>
          <w:ilvl w:val="0"/>
          <w:numId w:val="12"/>
        </w:numPr>
        <w:ind w:left="1134"/>
      </w:pPr>
      <w:r w:rsidRPr="00131DA2">
        <w:t>T</w:t>
      </w:r>
      <w:r w:rsidR="005525ED" w:rsidRPr="00131DA2">
        <w:t xml:space="preserve">he prognostic effect of having </w:t>
      </w:r>
      <w:r w:rsidR="002E0BE9" w:rsidRPr="00131DA2">
        <w:t>a</w:t>
      </w:r>
      <w:r w:rsidR="005525ED" w:rsidRPr="00131DA2">
        <w:t xml:space="preserve"> higher proportion of patients with Stage III, and in </w:t>
      </w:r>
      <w:r w:rsidR="00787B56" w:rsidRPr="00131DA2">
        <w:t xml:space="preserve">complete response </w:t>
      </w:r>
      <w:r w:rsidR="005525ED" w:rsidRPr="00131DA2">
        <w:t xml:space="preserve">in the SOLO-1 trial compared to the PRIMA BRCAm subgroup may be compensated </w:t>
      </w:r>
      <w:r w:rsidR="00DB7869" w:rsidRPr="00131DA2">
        <w:t>for by</w:t>
      </w:r>
      <w:r w:rsidR="005525ED" w:rsidRPr="00131DA2">
        <w:t xml:space="preserve"> the higher proportion of patients with R2 resection in the SOLO-1 trial</w:t>
      </w:r>
      <w:r w:rsidR="002E0BE9" w:rsidRPr="00131DA2">
        <w:t>.</w:t>
      </w:r>
    </w:p>
    <w:p w14:paraId="0DBAA9BB" w14:textId="77777777" w:rsidR="00DD41B5" w:rsidRPr="00131DA2" w:rsidRDefault="005525ED" w:rsidP="00E7222F">
      <w:pPr>
        <w:pStyle w:val="3-BodyText"/>
        <w:numPr>
          <w:ilvl w:val="0"/>
          <w:numId w:val="12"/>
        </w:numPr>
        <w:ind w:left="1134"/>
      </w:pPr>
      <w:r w:rsidRPr="00131DA2">
        <w:t>Although the median PFS in the control arm of the SOLO-1 trial was ~ 3 months longer than that of the PRIMA (BRCAm</w:t>
      </w:r>
      <w:r w:rsidR="005B0625" w:rsidRPr="00131DA2">
        <w:t xml:space="preserve"> population</w:t>
      </w:r>
      <w:r w:rsidRPr="00131DA2">
        <w:t>), there was an overlap in the confidence intervals which preclude the presence of substantial prognostic differences between the two patient populations.</w:t>
      </w:r>
    </w:p>
    <w:p w14:paraId="4D0E1F4F" w14:textId="77777777" w:rsidR="00857179" w:rsidRPr="00131DA2" w:rsidRDefault="00DD41B5" w:rsidP="00E7222F">
      <w:pPr>
        <w:pStyle w:val="ListParagraph"/>
        <w:numPr>
          <w:ilvl w:val="0"/>
          <w:numId w:val="8"/>
        </w:numPr>
      </w:pPr>
      <w:r w:rsidRPr="00131DA2">
        <w:t xml:space="preserve">The submission claimed that the differences between the PRIMA trial and the SOLO-1 trial in terms of </w:t>
      </w:r>
      <w:r w:rsidR="00782772" w:rsidRPr="00131DA2">
        <w:t xml:space="preserve">primary and secondary outcomes </w:t>
      </w:r>
      <w:r w:rsidR="000C5942" w:rsidRPr="00131DA2">
        <w:t>made the performance of a formal indirect comparison between them not feasible</w:t>
      </w:r>
      <w:r w:rsidRPr="00131DA2">
        <w:t xml:space="preserve">. The differences between the PRIMA and SOLO-1 trials’ primary outcome analyses in terms of: i) </w:t>
      </w:r>
      <w:r w:rsidR="00031B81" w:rsidRPr="00131DA2">
        <w:t>Blinded independent central review (</w:t>
      </w:r>
      <w:r w:rsidRPr="00131DA2">
        <w:t>BICR</w:t>
      </w:r>
      <w:r w:rsidR="00031B81" w:rsidRPr="00131DA2">
        <w:t>)</w:t>
      </w:r>
      <w:r w:rsidRPr="00131DA2">
        <w:t xml:space="preserve"> versus investigator assessment (INV), ii) way of defining progressive disease (RECIST v1.1 versus clinical assessment), and iii) the censoring rules, are not expected to markedly affect the validity of an indirect comparison. Sensitivity analyses of these factors were provide</w:t>
      </w:r>
      <w:r w:rsidR="00AF090C" w:rsidRPr="00131DA2">
        <w:t>d</w:t>
      </w:r>
      <w:r w:rsidRPr="00131DA2">
        <w:t xml:space="preserve"> in the submission, and they had little impact on the relative treatment effect of niraparib. </w:t>
      </w:r>
    </w:p>
    <w:p w14:paraId="31D3F244" w14:textId="77777777" w:rsidR="00104A3D" w:rsidRPr="00E76398" w:rsidRDefault="00857179" w:rsidP="00497CED">
      <w:pPr>
        <w:pStyle w:val="3-BodyText"/>
        <w:rPr>
          <w:snapToGrid/>
        </w:rPr>
      </w:pPr>
      <w:r w:rsidRPr="00131DA2">
        <w:t xml:space="preserve">The PSCR noted that the </w:t>
      </w:r>
      <w:r w:rsidR="00544133" w:rsidRPr="00131DA2">
        <w:t>CODR</w:t>
      </w:r>
      <w:r w:rsidRPr="00131DA2">
        <w:t xml:space="preserve"> expert review committee </w:t>
      </w:r>
      <w:r w:rsidR="00544133" w:rsidRPr="00131DA2">
        <w:t>for CADTH re</w:t>
      </w:r>
      <w:r w:rsidRPr="00131DA2">
        <w:t xml:space="preserve">ported that clinical heterogeneity observed across the trials was a “valid concern that would preclude a meaningful analysis and unbiased estimates of relative treatment effect” between niraparib and other maintenance therapies (i.e., olaparib, bevacizumab; pCODR expert review committee final recommendation, p11).  </w:t>
      </w:r>
      <w:bookmarkStart w:id="19" w:name="_Ref78545939"/>
      <w:r w:rsidR="005B0625" w:rsidRPr="00E76398">
        <w:rPr>
          <w:snapToGrid/>
        </w:rPr>
        <w:t xml:space="preserve">Whilst acknowledging that there were some areas of heterogeneity across the trials, the ESC considered that a comparison </w:t>
      </w:r>
      <w:r w:rsidR="00544133" w:rsidRPr="00E76398">
        <w:rPr>
          <w:snapToGrid/>
        </w:rPr>
        <w:t>between niraparib and</w:t>
      </w:r>
      <w:r w:rsidR="005B0625" w:rsidRPr="00E76398">
        <w:rPr>
          <w:snapToGrid/>
        </w:rPr>
        <w:t xml:space="preserve"> olaparib may have been achievable with the </w:t>
      </w:r>
      <w:r w:rsidR="00544133" w:rsidRPr="00E76398">
        <w:rPr>
          <w:snapToGrid/>
        </w:rPr>
        <w:t xml:space="preserve">PRIMA and </w:t>
      </w:r>
      <w:r w:rsidR="005B0625" w:rsidRPr="00E76398">
        <w:rPr>
          <w:snapToGrid/>
        </w:rPr>
        <w:t>SOLO-1 trial</w:t>
      </w:r>
      <w:r w:rsidR="00544133" w:rsidRPr="00E76398">
        <w:rPr>
          <w:snapToGrid/>
        </w:rPr>
        <w:t>s</w:t>
      </w:r>
      <w:r w:rsidR="005B0625" w:rsidRPr="00E76398">
        <w:rPr>
          <w:snapToGrid/>
        </w:rPr>
        <w:t>.</w:t>
      </w:r>
      <w:bookmarkEnd w:id="19"/>
      <w:r w:rsidR="005B0625" w:rsidRPr="00E76398">
        <w:rPr>
          <w:snapToGrid/>
        </w:rPr>
        <w:t xml:space="preserve"> </w:t>
      </w:r>
    </w:p>
    <w:p w14:paraId="2B01E901" w14:textId="77777777" w:rsidR="00884F00" w:rsidRPr="00131DA2" w:rsidRDefault="00884F00" w:rsidP="00884F00">
      <w:pPr>
        <w:pStyle w:val="3-BodyText"/>
      </w:pPr>
      <w:r w:rsidRPr="00131DA2">
        <w:rPr>
          <w:snapToGrid/>
        </w:rPr>
        <w:t xml:space="preserve">Details of the trial presented in the submission are provided in the table below. </w:t>
      </w:r>
    </w:p>
    <w:p w14:paraId="03549E17" w14:textId="77777777" w:rsidR="00884F00" w:rsidRPr="00131DA2" w:rsidRDefault="00884F00" w:rsidP="00DE06A7">
      <w:pPr>
        <w:pStyle w:val="TableFigureHeading"/>
        <w:keepLines/>
        <w:rPr>
          <w:rStyle w:val="CommentReference"/>
          <w:b/>
          <w:szCs w:val="24"/>
        </w:rPr>
      </w:pPr>
      <w:r w:rsidRPr="00131DA2">
        <w:t xml:space="preserve">Table </w:t>
      </w:r>
      <w:r w:rsidR="008A7614">
        <w:rPr>
          <w:noProof/>
        </w:rPr>
        <w:t>2</w:t>
      </w:r>
      <w:r w:rsidRPr="00131DA2">
        <w:t xml:space="preserve">: Key </w:t>
      </w:r>
      <w:r w:rsidRPr="00131DA2">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97"/>
        <w:gridCol w:w="5719"/>
        <w:gridCol w:w="2501"/>
      </w:tblGrid>
      <w:tr w:rsidR="00884F00" w:rsidRPr="00131DA2" w14:paraId="1529A665" w14:textId="77777777" w:rsidTr="00CD42BD">
        <w:trPr>
          <w:tblHeader/>
        </w:trPr>
        <w:tc>
          <w:tcPr>
            <w:tcW w:w="442" w:type="pct"/>
            <w:tcBorders>
              <w:bottom w:val="single" w:sz="4" w:space="0" w:color="auto"/>
            </w:tcBorders>
          </w:tcPr>
          <w:p w14:paraId="604179D9" w14:textId="77777777" w:rsidR="00884F00" w:rsidRPr="00131DA2" w:rsidRDefault="00884F00" w:rsidP="00DE06A7">
            <w:pPr>
              <w:pStyle w:val="In-tableHeading"/>
              <w:keepLines/>
              <w:widowControl w:val="0"/>
              <w:rPr>
                <w:lang w:val="en-AU"/>
              </w:rPr>
            </w:pPr>
            <w:r w:rsidRPr="00131DA2">
              <w:rPr>
                <w:lang w:val="en-AU"/>
              </w:rPr>
              <w:t>Trial ID</w:t>
            </w:r>
          </w:p>
        </w:tc>
        <w:tc>
          <w:tcPr>
            <w:tcW w:w="3171" w:type="pct"/>
            <w:tcBorders>
              <w:bottom w:val="single" w:sz="4" w:space="0" w:color="auto"/>
            </w:tcBorders>
          </w:tcPr>
          <w:p w14:paraId="4AEC5B17" w14:textId="77777777" w:rsidR="00884F00" w:rsidRPr="00131DA2" w:rsidRDefault="00884F00" w:rsidP="00DE06A7">
            <w:pPr>
              <w:pStyle w:val="In-tableHeading"/>
              <w:keepLines/>
              <w:widowControl w:val="0"/>
              <w:rPr>
                <w:lang w:val="en-AU"/>
              </w:rPr>
            </w:pPr>
            <w:r w:rsidRPr="00131DA2">
              <w:rPr>
                <w:lang w:val="en-AU"/>
              </w:rPr>
              <w:t>Protocol title/ Publication title</w:t>
            </w:r>
          </w:p>
        </w:tc>
        <w:tc>
          <w:tcPr>
            <w:tcW w:w="1387" w:type="pct"/>
            <w:tcBorders>
              <w:bottom w:val="single" w:sz="4" w:space="0" w:color="auto"/>
            </w:tcBorders>
          </w:tcPr>
          <w:p w14:paraId="686F695B" w14:textId="77777777" w:rsidR="00884F00" w:rsidRPr="00131DA2" w:rsidRDefault="00884F00" w:rsidP="00DE06A7">
            <w:pPr>
              <w:pStyle w:val="In-tableHeading"/>
              <w:keepLines/>
              <w:widowControl w:val="0"/>
              <w:rPr>
                <w:lang w:val="en-AU"/>
              </w:rPr>
            </w:pPr>
            <w:r w:rsidRPr="00131DA2">
              <w:rPr>
                <w:lang w:val="en-AU"/>
              </w:rPr>
              <w:t>Publication citation</w:t>
            </w:r>
          </w:p>
        </w:tc>
      </w:tr>
      <w:tr w:rsidR="00884F00" w:rsidRPr="00131DA2" w14:paraId="74EA5F7B" w14:textId="77777777" w:rsidTr="00CD42BD">
        <w:tc>
          <w:tcPr>
            <w:tcW w:w="442" w:type="pct"/>
            <w:vMerge w:val="restart"/>
          </w:tcPr>
          <w:p w14:paraId="79E13E77" w14:textId="77777777" w:rsidR="00884F00" w:rsidRPr="00131DA2" w:rsidRDefault="00884F00" w:rsidP="00DE06A7">
            <w:pPr>
              <w:pStyle w:val="TableText0"/>
              <w:keepLines/>
              <w:widowControl w:val="0"/>
            </w:pPr>
            <w:r w:rsidRPr="00131DA2">
              <w:t xml:space="preserve">PRIMA </w:t>
            </w:r>
          </w:p>
        </w:tc>
        <w:tc>
          <w:tcPr>
            <w:tcW w:w="3171" w:type="pct"/>
            <w:tcBorders>
              <w:bottom w:val="nil"/>
            </w:tcBorders>
          </w:tcPr>
          <w:p w14:paraId="512649E6" w14:textId="77777777" w:rsidR="00884F00" w:rsidRPr="00131DA2" w:rsidRDefault="00884F00" w:rsidP="00DE06A7">
            <w:pPr>
              <w:pStyle w:val="TableText0"/>
              <w:keepLines/>
              <w:widowControl w:val="0"/>
              <w:rPr>
                <w:szCs w:val="18"/>
              </w:rPr>
            </w:pPr>
            <w:r w:rsidRPr="00131DA2">
              <w:rPr>
                <w:szCs w:val="18"/>
              </w:rPr>
              <w:t>Clinical study report: Niraparib PR-30-5017-C A phase 3, randomised, double-blind, placebo-controlled, multicentre study of niraparib maintenance treatment in patients with advanced ovarian cancer following response of front-line platinum-based chemotherapy</w:t>
            </w:r>
          </w:p>
        </w:tc>
        <w:tc>
          <w:tcPr>
            <w:tcW w:w="1387" w:type="pct"/>
            <w:tcBorders>
              <w:bottom w:val="nil"/>
            </w:tcBorders>
          </w:tcPr>
          <w:p w14:paraId="44EDE155" w14:textId="77777777" w:rsidR="00884F00" w:rsidRPr="00131DA2" w:rsidRDefault="00884F00" w:rsidP="00DE06A7">
            <w:pPr>
              <w:pStyle w:val="TableText0"/>
              <w:keepLines/>
              <w:widowControl w:val="0"/>
            </w:pPr>
            <w:r w:rsidRPr="00131DA2">
              <w:t>November 2019</w:t>
            </w:r>
          </w:p>
        </w:tc>
      </w:tr>
      <w:tr w:rsidR="00884F00" w:rsidRPr="00131DA2" w14:paraId="6D3C2EBD" w14:textId="77777777" w:rsidTr="00CD42BD">
        <w:tc>
          <w:tcPr>
            <w:tcW w:w="442" w:type="pct"/>
            <w:vMerge/>
          </w:tcPr>
          <w:p w14:paraId="5E5DD736" w14:textId="77777777" w:rsidR="00884F00" w:rsidRPr="00131DA2" w:rsidRDefault="00884F00" w:rsidP="00DE06A7">
            <w:pPr>
              <w:pStyle w:val="TableText0"/>
              <w:keepLines/>
              <w:widowControl w:val="0"/>
            </w:pPr>
          </w:p>
        </w:tc>
        <w:tc>
          <w:tcPr>
            <w:tcW w:w="3171" w:type="pct"/>
            <w:tcBorders>
              <w:top w:val="nil"/>
              <w:bottom w:val="nil"/>
            </w:tcBorders>
          </w:tcPr>
          <w:p w14:paraId="51161140" w14:textId="77777777" w:rsidR="00884F00" w:rsidRPr="00131DA2" w:rsidRDefault="00884F00" w:rsidP="00DE06A7">
            <w:pPr>
              <w:pStyle w:val="TableText0"/>
              <w:keepLines/>
              <w:widowControl w:val="0"/>
              <w:rPr>
                <w:szCs w:val="18"/>
              </w:rPr>
            </w:pPr>
            <w:r w:rsidRPr="00131DA2">
              <w:rPr>
                <w:szCs w:val="18"/>
              </w:rPr>
              <w:t>González-Martín A, Pothuri B, Vergote I, DePont Christensen R, Graybill W, Mirza MR et al. Niraparib in patients with newly diagnosed advanced ovarian cancer.</w:t>
            </w:r>
          </w:p>
        </w:tc>
        <w:tc>
          <w:tcPr>
            <w:tcW w:w="1387" w:type="pct"/>
            <w:tcBorders>
              <w:top w:val="nil"/>
              <w:bottom w:val="nil"/>
            </w:tcBorders>
          </w:tcPr>
          <w:p w14:paraId="56A0ADE6" w14:textId="77777777" w:rsidR="00884F00" w:rsidRPr="00131DA2" w:rsidRDefault="00884F00" w:rsidP="00DE06A7">
            <w:pPr>
              <w:pStyle w:val="TableText0"/>
              <w:keepLines/>
              <w:widowControl w:val="0"/>
              <w:rPr>
                <w:szCs w:val="18"/>
              </w:rPr>
            </w:pPr>
            <w:r w:rsidRPr="00131DA2">
              <w:rPr>
                <w:szCs w:val="18"/>
              </w:rPr>
              <w:t>New England Journal of Medicine 2019;381(25):2391-2402</w:t>
            </w:r>
          </w:p>
        </w:tc>
      </w:tr>
      <w:tr w:rsidR="00884F00" w:rsidRPr="00131DA2" w14:paraId="7B12598E" w14:textId="77777777" w:rsidTr="00CD42BD">
        <w:tc>
          <w:tcPr>
            <w:tcW w:w="442" w:type="pct"/>
            <w:vMerge/>
          </w:tcPr>
          <w:p w14:paraId="38D9EEDD" w14:textId="77777777" w:rsidR="00884F00" w:rsidRPr="00131DA2" w:rsidRDefault="00884F00" w:rsidP="00DE06A7">
            <w:pPr>
              <w:pStyle w:val="TableText0"/>
              <w:keepLines/>
              <w:widowControl w:val="0"/>
            </w:pPr>
          </w:p>
        </w:tc>
        <w:tc>
          <w:tcPr>
            <w:tcW w:w="3171" w:type="pct"/>
            <w:tcBorders>
              <w:top w:val="nil"/>
              <w:bottom w:val="nil"/>
            </w:tcBorders>
          </w:tcPr>
          <w:p w14:paraId="1BAD64D6" w14:textId="77777777" w:rsidR="00884F00" w:rsidRPr="00131DA2" w:rsidRDefault="00884F00" w:rsidP="00DE06A7">
            <w:pPr>
              <w:pStyle w:val="TableText0"/>
              <w:keepLines/>
              <w:widowControl w:val="0"/>
              <w:rPr>
                <w:szCs w:val="18"/>
              </w:rPr>
            </w:pPr>
            <w:r w:rsidRPr="00131DA2">
              <w:t>González-Martín A, Mirza MR, Vergote I, Li Y, Hazard S, Clark R et al. A prospective evaluation of tolerability of niraparib dosing based upon baseline body weight (wt) and platelet (blplt) count: Blinded pooled interim safety data from the PRIMA Study.</w:t>
            </w:r>
          </w:p>
        </w:tc>
        <w:tc>
          <w:tcPr>
            <w:tcW w:w="1387" w:type="pct"/>
            <w:tcBorders>
              <w:top w:val="nil"/>
              <w:bottom w:val="nil"/>
            </w:tcBorders>
          </w:tcPr>
          <w:p w14:paraId="66022355" w14:textId="77777777" w:rsidR="00884F00" w:rsidRPr="00131DA2" w:rsidRDefault="00884F00" w:rsidP="00DE06A7">
            <w:pPr>
              <w:pStyle w:val="TableText0"/>
              <w:keepLines/>
              <w:widowControl w:val="0"/>
              <w:rPr>
                <w:szCs w:val="18"/>
              </w:rPr>
            </w:pPr>
            <w:r w:rsidRPr="00131DA2">
              <w:t>Annals of Oncology 2018;29:viii335-viii336</w:t>
            </w:r>
          </w:p>
        </w:tc>
      </w:tr>
      <w:tr w:rsidR="00884F00" w:rsidRPr="00131DA2" w14:paraId="61CFB637" w14:textId="77777777" w:rsidTr="00CD42BD">
        <w:tc>
          <w:tcPr>
            <w:tcW w:w="442" w:type="pct"/>
            <w:vMerge/>
          </w:tcPr>
          <w:p w14:paraId="0A028916" w14:textId="77777777" w:rsidR="00884F00" w:rsidRPr="00131DA2" w:rsidRDefault="00884F00" w:rsidP="00DE06A7">
            <w:pPr>
              <w:pStyle w:val="TableText0"/>
              <w:keepLines/>
              <w:widowControl w:val="0"/>
            </w:pPr>
          </w:p>
        </w:tc>
        <w:tc>
          <w:tcPr>
            <w:tcW w:w="3171" w:type="pct"/>
            <w:tcBorders>
              <w:top w:val="nil"/>
              <w:bottom w:val="nil"/>
            </w:tcBorders>
          </w:tcPr>
          <w:p w14:paraId="1E51C512" w14:textId="77777777" w:rsidR="00884F00" w:rsidRPr="00131DA2" w:rsidRDefault="00884F00" w:rsidP="00DE06A7">
            <w:pPr>
              <w:pStyle w:val="TableText0"/>
              <w:keepLines/>
              <w:widowControl w:val="0"/>
            </w:pPr>
            <w:r w:rsidRPr="00131DA2">
              <w:t>Monk BJ, Mirza MR, Vergote I, Li Y, Malinowska I, Gupta D et al. A prospective evaluation of tolerability of niraparib dosing based upon baseline body weight and platelet count: Blinded pooled interim safety data from the ENGOT-OV26/PRIMA study.</w:t>
            </w:r>
          </w:p>
        </w:tc>
        <w:tc>
          <w:tcPr>
            <w:tcW w:w="1387" w:type="pct"/>
            <w:tcBorders>
              <w:top w:val="nil"/>
              <w:bottom w:val="nil"/>
            </w:tcBorders>
          </w:tcPr>
          <w:p w14:paraId="4202003B" w14:textId="77777777" w:rsidR="00884F00" w:rsidRPr="00131DA2" w:rsidRDefault="00884F00" w:rsidP="00DE06A7">
            <w:pPr>
              <w:pStyle w:val="TableText0"/>
              <w:keepLines/>
              <w:widowControl w:val="0"/>
            </w:pPr>
            <w:r w:rsidRPr="00131DA2">
              <w:t>Gynecologic Oncology 2019;154:3-4</w:t>
            </w:r>
          </w:p>
        </w:tc>
      </w:tr>
      <w:tr w:rsidR="00884F00" w:rsidRPr="00131DA2" w14:paraId="1C719913" w14:textId="77777777" w:rsidTr="00CD42BD">
        <w:tc>
          <w:tcPr>
            <w:tcW w:w="442" w:type="pct"/>
            <w:vMerge/>
          </w:tcPr>
          <w:p w14:paraId="788E5390" w14:textId="77777777" w:rsidR="00884F00" w:rsidRPr="00131DA2" w:rsidRDefault="00884F00" w:rsidP="00DE06A7">
            <w:pPr>
              <w:pStyle w:val="TableText0"/>
              <w:keepLines/>
              <w:widowControl w:val="0"/>
            </w:pPr>
          </w:p>
        </w:tc>
        <w:tc>
          <w:tcPr>
            <w:tcW w:w="3171" w:type="pct"/>
            <w:tcBorders>
              <w:top w:val="nil"/>
              <w:bottom w:val="nil"/>
            </w:tcBorders>
          </w:tcPr>
          <w:p w14:paraId="0728B79F" w14:textId="77777777" w:rsidR="00884F00" w:rsidRPr="00131DA2" w:rsidRDefault="00884F00" w:rsidP="00DE06A7">
            <w:pPr>
              <w:pStyle w:val="TableText0"/>
              <w:keepLines/>
              <w:widowControl w:val="0"/>
              <w:rPr>
                <w:szCs w:val="18"/>
              </w:rPr>
            </w:pPr>
            <w:r w:rsidRPr="00131DA2">
              <w:t>Valabrega G, Pothuri B, Oaknin A, Graybill W, Sánchez AB, McCormick C et al. Efficacy and safety of niraparib in older patients (pts) with advanced ovarian cancer (OC): Results from the PRIMA/ENGOT-OV26/GOG-3012 trial.</w:t>
            </w:r>
          </w:p>
        </w:tc>
        <w:tc>
          <w:tcPr>
            <w:tcW w:w="1387" w:type="pct"/>
            <w:tcBorders>
              <w:top w:val="nil"/>
              <w:bottom w:val="nil"/>
            </w:tcBorders>
          </w:tcPr>
          <w:p w14:paraId="40190F6D" w14:textId="77777777" w:rsidR="00884F00" w:rsidRPr="00131DA2" w:rsidRDefault="00884F00" w:rsidP="00DE06A7">
            <w:pPr>
              <w:pStyle w:val="TableText0"/>
              <w:keepLines/>
              <w:widowControl w:val="0"/>
            </w:pPr>
            <w:r w:rsidRPr="00131DA2">
              <w:t>Annals of Oncology 2020;31:S619</w:t>
            </w:r>
          </w:p>
        </w:tc>
      </w:tr>
      <w:tr w:rsidR="00884F00" w:rsidRPr="00131DA2" w14:paraId="5AEBD302" w14:textId="77777777" w:rsidTr="00CD42BD">
        <w:tc>
          <w:tcPr>
            <w:tcW w:w="442" w:type="pct"/>
            <w:vMerge/>
          </w:tcPr>
          <w:p w14:paraId="4D0A2486" w14:textId="77777777" w:rsidR="00884F00" w:rsidRPr="00131DA2" w:rsidRDefault="00884F00" w:rsidP="00DE06A7">
            <w:pPr>
              <w:pStyle w:val="TableText0"/>
              <w:keepLines/>
              <w:widowControl w:val="0"/>
            </w:pPr>
          </w:p>
        </w:tc>
        <w:tc>
          <w:tcPr>
            <w:tcW w:w="3171" w:type="pct"/>
            <w:tcBorders>
              <w:top w:val="nil"/>
              <w:bottom w:val="nil"/>
            </w:tcBorders>
          </w:tcPr>
          <w:p w14:paraId="1928127B" w14:textId="77777777" w:rsidR="00884F00" w:rsidRPr="00131DA2" w:rsidRDefault="00884F00" w:rsidP="00DE06A7">
            <w:pPr>
              <w:pStyle w:val="TableText0"/>
              <w:keepLines/>
              <w:widowControl w:val="0"/>
              <w:rPr>
                <w:szCs w:val="18"/>
              </w:rPr>
            </w:pPr>
            <w:r w:rsidRPr="00131DA2">
              <w:t>Pothuri B, Han S, Chase D, Heitz F, Burger R, Gaba L et al. Patient-reported outcomes (PROs) in patients (pts) receiving niraparib in the PRIMA/ENGOT-OV26/GOG-3012 trial.</w:t>
            </w:r>
          </w:p>
        </w:tc>
        <w:tc>
          <w:tcPr>
            <w:tcW w:w="1387" w:type="pct"/>
            <w:tcBorders>
              <w:top w:val="nil"/>
              <w:bottom w:val="nil"/>
            </w:tcBorders>
          </w:tcPr>
          <w:p w14:paraId="3159BE71" w14:textId="77777777" w:rsidR="00884F00" w:rsidRPr="00131DA2" w:rsidRDefault="00884F00" w:rsidP="00DE06A7">
            <w:pPr>
              <w:pStyle w:val="TableText0"/>
              <w:keepLines/>
              <w:widowControl w:val="0"/>
            </w:pPr>
            <w:r w:rsidRPr="00131DA2">
              <w:t>Annals of Oncology 2020;31:S612-S613</w:t>
            </w:r>
          </w:p>
        </w:tc>
      </w:tr>
      <w:tr w:rsidR="00884F00" w:rsidRPr="00131DA2" w14:paraId="56243822" w14:textId="77777777" w:rsidTr="00CD42BD">
        <w:tc>
          <w:tcPr>
            <w:tcW w:w="442" w:type="pct"/>
            <w:vMerge/>
          </w:tcPr>
          <w:p w14:paraId="240AEB64" w14:textId="77777777" w:rsidR="00884F00" w:rsidRPr="00131DA2" w:rsidRDefault="00884F00" w:rsidP="00DE06A7">
            <w:pPr>
              <w:pStyle w:val="TableText0"/>
              <w:keepLines/>
              <w:widowControl w:val="0"/>
            </w:pPr>
          </w:p>
        </w:tc>
        <w:tc>
          <w:tcPr>
            <w:tcW w:w="3171" w:type="pct"/>
            <w:tcBorders>
              <w:top w:val="nil"/>
              <w:bottom w:val="nil"/>
            </w:tcBorders>
          </w:tcPr>
          <w:p w14:paraId="51F511E0" w14:textId="77777777" w:rsidR="00884F00" w:rsidRPr="00131DA2" w:rsidRDefault="00884F00" w:rsidP="00DE06A7">
            <w:pPr>
              <w:pStyle w:val="TableText0"/>
              <w:keepLines/>
              <w:widowControl w:val="0"/>
            </w:pPr>
            <w:r w:rsidRPr="00131DA2">
              <w:t>Mirza MR, Martin AG, Graybill W, O'Malley DM, Gaba L</w:t>
            </w:r>
            <w:proofErr w:type="gramStart"/>
            <w:r w:rsidRPr="00131DA2">
              <w:t>,Yap</w:t>
            </w:r>
            <w:proofErr w:type="gramEnd"/>
            <w:r w:rsidRPr="00131DA2">
              <w:t xml:space="preserve"> OWS et al. Evaluation of an individualized starting-dose of niraparib in the PRIMA/ENGOT-OV26/GOG-3012 study.</w:t>
            </w:r>
          </w:p>
        </w:tc>
        <w:tc>
          <w:tcPr>
            <w:tcW w:w="1387" w:type="pct"/>
            <w:tcBorders>
              <w:top w:val="nil"/>
              <w:bottom w:val="nil"/>
            </w:tcBorders>
          </w:tcPr>
          <w:p w14:paraId="41BBA135" w14:textId="77777777" w:rsidR="00884F00" w:rsidRPr="00131DA2" w:rsidRDefault="00884F00" w:rsidP="00DE06A7">
            <w:pPr>
              <w:pStyle w:val="TableText0"/>
              <w:keepLines/>
              <w:widowControl w:val="0"/>
            </w:pPr>
            <w:r w:rsidRPr="00131DA2">
              <w:t>Journal of Clinical Oncology 2020;38(15 Suppl)</w:t>
            </w:r>
          </w:p>
        </w:tc>
      </w:tr>
      <w:tr w:rsidR="00884F00" w:rsidRPr="00131DA2" w14:paraId="5821A0B2" w14:textId="77777777" w:rsidTr="00CD42BD">
        <w:tc>
          <w:tcPr>
            <w:tcW w:w="442" w:type="pct"/>
            <w:vMerge/>
            <w:tcBorders>
              <w:bottom w:val="single" w:sz="4" w:space="0" w:color="auto"/>
            </w:tcBorders>
          </w:tcPr>
          <w:p w14:paraId="468A4DF0" w14:textId="77777777" w:rsidR="00884F00" w:rsidRPr="00131DA2" w:rsidRDefault="00884F00" w:rsidP="00DE06A7">
            <w:pPr>
              <w:pStyle w:val="TableText0"/>
              <w:keepLines/>
              <w:widowControl w:val="0"/>
            </w:pPr>
          </w:p>
        </w:tc>
        <w:tc>
          <w:tcPr>
            <w:tcW w:w="3171" w:type="pct"/>
            <w:tcBorders>
              <w:top w:val="nil"/>
              <w:bottom w:val="single" w:sz="4" w:space="0" w:color="auto"/>
            </w:tcBorders>
          </w:tcPr>
          <w:p w14:paraId="42DCC502" w14:textId="77777777" w:rsidR="00884F00" w:rsidRPr="00131DA2" w:rsidRDefault="00884F00" w:rsidP="00DE06A7">
            <w:pPr>
              <w:pStyle w:val="TableText0"/>
              <w:keepLines/>
              <w:widowControl w:val="0"/>
              <w:rPr>
                <w:szCs w:val="18"/>
              </w:rPr>
            </w:pPr>
            <w:r w:rsidRPr="00131DA2">
              <w:t>Han SN, Monk BJ, Gonzalez-Martin A. Time to first subsequent therapy (TFST) and progression-free survival 2 (PFS2) from the phase 3 randomized, double-blind PRIMA/ENGOT-OV26/GOG-3012 study in patients with newly diagnosed ovarian cancer.</w:t>
            </w:r>
          </w:p>
        </w:tc>
        <w:tc>
          <w:tcPr>
            <w:tcW w:w="1387" w:type="pct"/>
            <w:tcBorders>
              <w:top w:val="nil"/>
              <w:bottom w:val="single" w:sz="4" w:space="0" w:color="auto"/>
            </w:tcBorders>
          </w:tcPr>
          <w:p w14:paraId="2A7EA8E2" w14:textId="77777777" w:rsidR="00884F00" w:rsidRPr="00131DA2" w:rsidRDefault="00884F00" w:rsidP="00DE06A7">
            <w:pPr>
              <w:pStyle w:val="TableText0"/>
              <w:keepLines/>
              <w:widowControl w:val="0"/>
            </w:pPr>
            <w:r w:rsidRPr="00131DA2">
              <w:t>Gynecologic Oncology 2020;159:18-19</w:t>
            </w:r>
          </w:p>
        </w:tc>
      </w:tr>
    </w:tbl>
    <w:p w14:paraId="1D1EA827" w14:textId="77777777" w:rsidR="00884F00" w:rsidRPr="00131DA2" w:rsidRDefault="00884F00" w:rsidP="00DE06A7">
      <w:pPr>
        <w:pStyle w:val="TableFigureFooter"/>
        <w:keepNext/>
        <w:keepLines/>
        <w:rPr>
          <w:sz w:val="20"/>
        </w:rPr>
      </w:pPr>
      <w:r w:rsidRPr="00131DA2">
        <w:t>Source: Table 19, p44 of the submission.</w:t>
      </w:r>
    </w:p>
    <w:p w14:paraId="3C25B1B1" w14:textId="77777777" w:rsidR="00884F00" w:rsidRPr="00131DA2" w:rsidRDefault="00884F00" w:rsidP="00884F00">
      <w:pPr>
        <w:pStyle w:val="3-BodyText"/>
        <w:rPr>
          <w:color w:val="0066FF"/>
        </w:rPr>
      </w:pPr>
      <w:r w:rsidRPr="00131DA2">
        <w:t xml:space="preserve">The key features of the direct randomised trial are summarised in the table below. </w:t>
      </w:r>
    </w:p>
    <w:p w14:paraId="0D1E9EC2" w14:textId="77777777" w:rsidR="00884F00" w:rsidRPr="00131DA2" w:rsidRDefault="00884F00" w:rsidP="00884F00">
      <w:pPr>
        <w:pStyle w:val="TableFigureHeading"/>
        <w:rPr>
          <w:rStyle w:val="CommentReference"/>
          <w:b/>
          <w:szCs w:val="24"/>
        </w:rPr>
      </w:pPr>
      <w:r w:rsidRPr="00131DA2">
        <w:t xml:space="preserve">Table </w:t>
      </w:r>
      <w:r w:rsidR="008A7614">
        <w:rPr>
          <w:noProof/>
        </w:rPr>
        <w:t>3</w:t>
      </w:r>
      <w:r w:rsidRPr="00131DA2">
        <w:t>:</w:t>
      </w:r>
      <w:r w:rsidRPr="00131DA2">
        <w:rPr>
          <w:rStyle w:val="CommentReference"/>
          <w:b/>
          <w:szCs w:val="24"/>
        </w:rPr>
        <w:t xml:space="preserve">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40"/>
        <w:gridCol w:w="1410"/>
        <w:gridCol w:w="1120"/>
        <w:gridCol w:w="1546"/>
        <w:gridCol w:w="1122"/>
        <w:gridCol w:w="1693"/>
      </w:tblGrid>
      <w:tr w:rsidR="00884F00" w:rsidRPr="00131DA2" w14:paraId="5B8FFF15" w14:textId="77777777" w:rsidTr="00CD42BD">
        <w:trPr>
          <w:cantSplit/>
          <w:tblHeader/>
        </w:trPr>
        <w:tc>
          <w:tcPr>
            <w:tcW w:w="713" w:type="pct"/>
            <w:shd w:val="clear" w:color="auto" w:fill="auto"/>
            <w:vAlign w:val="center"/>
          </w:tcPr>
          <w:p w14:paraId="6ABD2894" w14:textId="77777777" w:rsidR="00884F00" w:rsidRPr="00131DA2" w:rsidRDefault="00884F00" w:rsidP="00AB7EDE">
            <w:pPr>
              <w:pStyle w:val="In-tableHeading"/>
              <w:rPr>
                <w:lang w:val="en-AU"/>
              </w:rPr>
            </w:pPr>
            <w:r w:rsidRPr="00131DA2">
              <w:rPr>
                <w:lang w:val="en-AU"/>
              </w:rPr>
              <w:t>Trial</w:t>
            </w:r>
          </w:p>
        </w:tc>
        <w:tc>
          <w:tcPr>
            <w:tcW w:w="466" w:type="pct"/>
            <w:shd w:val="clear" w:color="auto" w:fill="auto"/>
            <w:vAlign w:val="center"/>
          </w:tcPr>
          <w:p w14:paraId="75CAA721" w14:textId="77777777" w:rsidR="00884F00" w:rsidRPr="00131DA2" w:rsidRDefault="00884F00" w:rsidP="00AB7EDE">
            <w:pPr>
              <w:pStyle w:val="In-tableHeading"/>
              <w:jc w:val="center"/>
              <w:rPr>
                <w:lang w:val="en-AU"/>
              </w:rPr>
            </w:pPr>
            <w:r w:rsidRPr="00131DA2">
              <w:rPr>
                <w:lang w:val="en-AU"/>
              </w:rPr>
              <w:t>N</w:t>
            </w:r>
          </w:p>
        </w:tc>
        <w:tc>
          <w:tcPr>
            <w:tcW w:w="782" w:type="pct"/>
            <w:shd w:val="clear" w:color="auto" w:fill="auto"/>
            <w:vAlign w:val="center"/>
          </w:tcPr>
          <w:p w14:paraId="7A7A965E" w14:textId="77777777" w:rsidR="00884F00" w:rsidRPr="00131DA2" w:rsidRDefault="00884F00" w:rsidP="00AB7EDE">
            <w:pPr>
              <w:pStyle w:val="In-tableHeading"/>
              <w:jc w:val="center"/>
              <w:rPr>
                <w:lang w:val="en-AU"/>
              </w:rPr>
            </w:pPr>
            <w:r w:rsidRPr="00131DA2">
              <w:rPr>
                <w:lang w:val="en-AU"/>
              </w:rPr>
              <w:t>Design/ duration</w:t>
            </w:r>
          </w:p>
        </w:tc>
        <w:tc>
          <w:tcPr>
            <w:tcW w:w="621" w:type="pct"/>
            <w:shd w:val="clear" w:color="auto" w:fill="auto"/>
            <w:vAlign w:val="center"/>
          </w:tcPr>
          <w:p w14:paraId="4BE79E3E" w14:textId="77777777" w:rsidR="00884F00" w:rsidRPr="00131DA2" w:rsidRDefault="00884F00" w:rsidP="00AB7EDE">
            <w:pPr>
              <w:pStyle w:val="In-tableHeading"/>
              <w:jc w:val="center"/>
              <w:rPr>
                <w:lang w:val="en-AU"/>
              </w:rPr>
            </w:pPr>
            <w:r w:rsidRPr="00131DA2">
              <w:rPr>
                <w:lang w:val="en-AU"/>
              </w:rPr>
              <w:t>Risk of bias</w:t>
            </w:r>
          </w:p>
        </w:tc>
        <w:tc>
          <w:tcPr>
            <w:tcW w:w="857" w:type="pct"/>
            <w:shd w:val="clear" w:color="auto" w:fill="auto"/>
            <w:vAlign w:val="center"/>
          </w:tcPr>
          <w:p w14:paraId="0FAE8160" w14:textId="77777777" w:rsidR="00884F00" w:rsidRPr="00131DA2" w:rsidRDefault="00884F00" w:rsidP="00AB7EDE">
            <w:pPr>
              <w:pStyle w:val="In-tableHeading"/>
              <w:jc w:val="center"/>
              <w:rPr>
                <w:lang w:val="en-AU"/>
              </w:rPr>
            </w:pPr>
            <w:r w:rsidRPr="00131DA2">
              <w:rPr>
                <w:lang w:val="en-AU"/>
              </w:rPr>
              <w:t>Patient population</w:t>
            </w:r>
          </w:p>
        </w:tc>
        <w:tc>
          <w:tcPr>
            <w:tcW w:w="622" w:type="pct"/>
            <w:shd w:val="clear" w:color="auto" w:fill="auto"/>
            <w:vAlign w:val="center"/>
          </w:tcPr>
          <w:p w14:paraId="34A5F2FA" w14:textId="77777777" w:rsidR="00884F00" w:rsidRPr="00131DA2" w:rsidRDefault="00884F00" w:rsidP="00AB7EDE">
            <w:pPr>
              <w:pStyle w:val="In-tableHeading"/>
              <w:jc w:val="center"/>
              <w:rPr>
                <w:lang w:val="en-AU"/>
              </w:rPr>
            </w:pPr>
            <w:r w:rsidRPr="00131DA2">
              <w:rPr>
                <w:lang w:val="en-AU"/>
              </w:rPr>
              <w:t>Outcome(s)</w:t>
            </w:r>
          </w:p>
        </w:tc>
        <w:tc>
          <w:tcPr>
            <w:tcW w:w="939" w:type="pct"/>
            <w:shd w:val="clear" w:color="auto" w:fill="auto"/>
            <w:vAlign w:val="center"/>
          </w:tcPr>
          <w:p w14:paraId="5D673603" w14:textId="77777777" w:rsidR="00884F00" w:rsidRPr="00131DA2" w:rsidRDefault="00884F00" w:rsidP="00AB7EDE">
            <w:pPr>
              <w:pStyle w:val="In-tableHeading"/>
              <w:jc w:val="center"/>
              <w:rPr>
                <w:lang w:val="en-AU"/>
              </w:rPr>
            </w:pPr>
            <w:r w:rsidRPr="00131DA2">
              <w:rPr>
                <w:lang w:val="en-AU"/>
              </w:rPr>
              <w:t>Use in modelled evaluation</w:t>
            </w:r>
          </w:p>
        </w:tc>
      </w:tr>
      <w:tr w:rsidR="00884F00" w:rsidRPr="00131DA2" w14:paraId="47D4FC54" w14:textId="77777777" w:rsidTr="00CD42BD">
        <w:trPr>
          <w:cantSplit/>
        </w:trPr>
        <w:tc>
          <w:tcPr>
            <w:tcW w:w="5000" w:type="pct"/>
            <w:gridSpan w:val="7"/>
            <w:shd w:val="clear" w:color="auto" w:fill="auto"/>
            <w:vAlign w:val="center"/>
          </w:tcPr>
          <w:p w14:paraId="3E39BB58" w14:textId="77777777" w:rsidR="00884F00" w:rsidRPr="00131DA2" w:rsidRDefault="00884F00" w:rsidP="00AB7EDE">
            <w:pPr>
              <w:pStyle w:val="In-tableHeading"/>
              <w:rPr>
                <w:lang w:val="en-AU"/>
              </w:rPr>
            </w:pPr>
            <w:r w:rsidRPr="00131DA2">
              <w:rPr>
                <w:lang w:val="en-AU"/>
              </w:rPr>
              <w:t>Niraparib versus placebo</w:t>
            </w:r>
          </w:p>
        </w:tc>
      </w:tr>
      <w:tr w:rsidR="00884F00" w:rsidRPr="00131DA2" w14:paraId="30752646" w14:textId="77777777" w:rsidTr="00CD42BD">
        <w:trPr>
          <w:cantSplit/>
        </w:trPr>
        <w:tc>
          <w:tcPr>
            <w:tcW w:w="713" w:type="pct"/>
            <w:shd w:val="clear" w:color="auto" w:fill="auto"/>
            <w:vAlign w:val="center"/>
          </w:tcPr>
          <w:p w14:paraId="50E108CB" w14:textId="77777777" w:rsidR="00884F00" w:rsidRPr="00131DA2" w:rsidRDefault="00884F00" w:rsidP="00AB7EDE">
            <w:pPr>
              <w:pStyle w:val="TableText0"/>
            </w:pPr>
            <w:r w:rsidRPr="00131DA2">
              <w:t>PRIMA</w:t>
            </w:r>
          </w:p>
        </w:tc>
        <w:tc>
          <w:tcPr>
            <w:tcW w:w="466" w:type="pct"/>
            <w:shd w:val="clear" w:color="auto" w:fill="auto"/>
            <w:vAlign w:val="center"/>
          </w:tcPr>
          <w:p w14:paraId="641B2B43" w14:textId="77777777" w:rsidR="00884F00" w:rsidRPr="00131DA2" w:rsidRDefault="00884F00" w:rsidP="00AB7EDE">
            <w:pPr>
              <w:pStyle w:val="TableText0"/>
              <w:jc w:val="center"/>
            </w:pPr>
            <w:r w:rsidRPr="00131DA2">
              <w:t>Niraparib (n=487); Placebo (n=246)</w:t>
            </w:r>
          </w:p>
        </w:tc>
        <w:tc>
          <w:tcPr>
            <w:tcW w:w="782" w:type="pct"/>
            <w:shd w:val="clear" w:color="auto" w:fill="auto"/>
            <w:vAlign w:val="center"/>
          </w:tcPr>
          <w:p w14:paraId="0157892D" w14:textId="77777777" w:rsidR="00884F00" w:rsidRPr="00131DA2" w:rsidRDefault="00884F00" w:rsidP="00AB7EDE">
            <w:pPr>
              <w:pStyle w:val="TableText0"/>
              <w:jc w:val="center"/>
            </w:pPr>
            <w:r w:rsidRPr="00131DA2">
              <w:t>R^, DB, MC</w:t>
            </w:r>
          </w:p>
          <w:p w14:paraId="1636430A" w14:textId="77777777" w:rsidR="00884F00" w:rsidRPr="00131DA2" w:rsidRDefault="00884F00" w:rsidP="00AB7EDE">
            <w:pPr>
              <w:pStyle w:val="TableText0"/>
              <w:jc w:val="center"/>
            </w:pPr>
            <w:r w:rsidRPr="00131DA2">
              <w:t>15 mths*</w:t>
            </w:r>
          </w:p>
        </w:tc>
        <w:tc>
          <w:tcPr>
            <w:tcW w:w="621" w:type="pct"/>
            <w:shd w:val="clear" w:color="auto" w:fill="auto"/>
            <w:vAlign w:val="center"/>
          </w:tcPr>
          <w:p w14:paraId="3AB6993F" w14:textId="77777777" w:rsidR="00884F00" w:rsidRPr="00131DA2" w:rsidRDefault="00884F00" w:rsidP="00AB7EDE">
            <w:pPr>
              <w:pStyle w:val="TableText0"/>
              <w:jc w:val="center"/>
            </w:pPr>
            <w:r w:rsidRPr="00131DA2">
              <w:t>Low</w:t>
            </w:r>
          </w:p>
        </w:tc>
        <w:tc>
          <w:tcPr>
            <w:tcW w:w="857" w:type="pct"/>
            <w:shd w:val="clear" w:color="auto" w:fill="auto"/>
            <w:vAlign w:val="center"/>
          </w:tcPr>
          <w:p w14:paraId="0A21D73A" w14:textId="77777777" w:rsidR="00884F00" w:rsidRPr="00131DA2" w:rsidRDefault="00884F00" w:rsidP="00C415AE">
            <w:pPr>
              <w:pStyle w:val="TableText0"/>
              <w:jc w:val="center"/>
            </w:pPr>
            <w:r w:rsidRPr="00131DA2">
              <w:t>Patients with NDA, high-grade ovarian cancer who are in PR or CR to PBC</w:t>
            </w:r>
          </w:p>
        </w:tc>
        <w:tc>
          <w:tcPr>
            <w:tcW w:w="622" w:type="pct"/>
            <w:shd w:val="clear" w:color="auto" w:fill="auto"/>
            <w:vAlign w:val="center"/>
          </w:tcPr>
          <w:p w14:paraId="4F4A72E2" w14:textId="77777777" w:rsidR="00884F00" w:rsidRPr="00131DA2" w:rsidRDefault="00884F00" w:rsidP="00AB7EDE">
            <w:pPr>
              <w:pStyle w:val="TableText0"/>
              <w:jc w:val="center"/>
            </w:pPr>
            <w:r w:rsidRPr="00131DA2">
              <w:t>PFS; OS</w:t>
            </w:r>
          </w:p>
        </w:tc>
        <w:tc>
          <w:tcPr>
            <w:tcW w:w="939" w:type="pct"/>
            <w:shd w:val="clear" w:color="auto" w:fill="auto"/>
            <w:vAlign w:val="center"/>
          </w:tcPr>
          <w:p w14:paraId="76262562" w14:textId="77777777" w:rsidR="00884F00" w:rsidRPr="00131DA2" w:rsidRDefault="00884F00" w:rsidP="00AB7EDE">
            <w:pPr>
              <w:pStyle w:val="TableText0"/>
              <w:jc w:val="center"/>
            </w:pPr>
            <w:r w:rsidRPr="00131DA2">
              <w:t>Used</w:t>
            </w:r>
          </w:p>
        </w:tc>
      </w:tr>
    </w:tbl>
    <w:p w14:paraId="194A2712" w14:textId="77777777" w:rsidR="00884F00" w:rsidRPr="00131DA2" w:rsidRDefault="00884F00" w:rsidP="00884F00">
      <w:pPr>
        <w:pStyle w:val="TableFigureFooter"/>
      </w:pPr>
      <w:r w:rsidRPr="00131DA2">
        <w:t>Source: in the submission.</w:t>
      </w:r>
    </w:p>
    <w:p w14:paraId="4CC996A2" w14:textId="77777777" w:rsidR="00884F00" w:rsidRPr="00131DA2" w:rsidRDefault="00884F00" w:rsidP="00884F00">
      <w:pPr>
        <w:pStyle w:val="TableFigureFooter"/>
      </w:pPr>
      <w:r w:rsidRPr="00131DA2">
        <w:t>R = randomised; DB = double blind; MC = multi-centre; mths = months; NDA = newly diagnosed, advanced; PR = partial response; CR = complete response; PBC = platinum based chemotherapy; OS = overall survival; PFS = progression-free survival.</w:t>
      </w:r>
    </w:p>
    <w:p w14:paraId="6CA4AE6C" w14:textId="77777777" w:rsidR="00884F00" w:rsidRPr="00131DA2" w:rsidRDefault="00884F00" w:rsidP="00884F00">
      <w:pPr>
        <w:pStyle w:val="TableFigureFooter"/>
      </w:pPr>
      <w:r w:rsidRPr="00131DA2">
        <w:t>^Patients were stratified by the use of neoadjuvant chemotherapy (yes or no), best response to platinum therapy (CR or PR), and homologous recombination deficiency test status (positive or negative/not determined)</w:t>
      </w:r>
    </w:p>
    <w:p w14:paraId="04C462D1" w14:textId="77777777" w:rsidR="00884F00" w:rsidRPr="00131DA2" w:rsidRDefault="00884F00" w:rsidP="00884F00">
      <w:pPr>
        <w:pStyle w:val="TableFigureFooter"/>
        <w:rPr>
          <w:sz w:val="20"/>
        </w:rPr>
      </w:pPr>
      <w:r w:rsidRPr="00131DA2">
        <w:t>*Median duration of follow up for OS.</w:t>
      </w:r>
      <w:r w:rsidR="00697FC6" w:rsidRPr="00131DA2">
        <w:t xml:space="preserve"> Median duration follow-up for PFS was 13.8 months</w:t>
      </w:r>
    </w:p>
    <w:p w14:paraId="7D0FAFE2" w14:textId="77777777" w:rsidR="00884F00" w:rsidRPr="00131DA2" w:rsidRDefault="00884F00" w:rsidP="00884F00">
      <w:pPr>
        <w:pStyle w:val="3-BodyText"/>
      </w:pPr>
      <w:r w:rsidRPr="00131DA2">
        <w:t>There were two important amendments to the PRIMA study protocol (PRIMA CSR, Table 12, p92) during the course of the trial:</w:t>
      </w:r>
    </w:p>
    <w:p w14:paraId="5DDB67A3" w14:textId="77777777" w:rsidR="00884F00" w:rsidRPr="00131DA2" w:rsidRDefault="00884F00" w:rsidP="00E7222F">
      <w:pPr>
        <w:pStyle w:val="ListParagraph"/>
        <w:numPr>
          <w:ilvl w:val="0"/>
          <w:numId w:val="8"/>
        </w:numPr>
      </w:pPr>
      <w:r w:rsidRPr="00131DA2">
        <w:t xml:space="preserve">As per the original PRIMA protocol, only patients who had homologous recombination deficiency (HRD) positive tumours </w:t>
      </w:r>
      <w:r w:rsidR="00C415AE">
        <w:t xml:space="preserve">(Myriad myChoice Score </w:t>
      </w:r>
      <w:r w:rsidR="00C415AE">
        <w:rPr>
          <w:rFonts w:cstheme="minorHAnsi"/>
        </w:rPr>
        <w:t>≥</w:t>
      </w:r>
      <w:r w:rsidR="00C415AE">
        <w:t xml:space="preserve">42) </w:t>
      </w:r>
      <w:r w:rsidRPr="00131DA2">
        <w:t xml:space="preserve">were eligible to enter the study, however, as per Amendment 1 (December 2016); the study allowed the inclusion of all patients irrespective of the HRD status (after 44 subjects were enrolled regardless of the HRD status). </w:t>
      </w:r>
    </w:p>
    <w:p w14:paraId="4523BFD7" w14:textId="77777777" w:rsidR="00884F00" w:rsidRPr="00131DA2" w:rsidRDefault="00884F00" w:rsidP="00E7222F">
      <w:pPr>
        <w:pStyle w:val="ListParagraph"/>
        <w:numPr>
          <w:ilvl w:val="0"/>
          <w:numId w:val="8"/>
        </w:numPr>
      </w:pPr>
      <w:r w:rsidRPr="00131DA2">
        <w:t>As per the original PRIMA protocol, all patients initiated treatment with</w:t>
      </w:r>
      <w:r w:rsidR="00AC3BF1" w:rsidRPr="00131DA2">
        <w:t xml:space="preserve"> fixed starting dose</w:t>
      </w:r>
      <w:r w:rsidRPr="00131DA2">
        <w:t xml:space="preserve"> </w:t>
      </w:r>
      <w:r w:rsidR="00AC3BF1" w:rsidRPr="00131DA2">
        <w:t>(</w:t>
      </w:r>
      <w:r w:rsidRPr="00131DA2">
        <w:t>FSD</w:t>
      </w:r>
      <w:r w:rsidR="00AC3BF1" w:rsidRPr="00131DA2">
        <w:t>,</w:t>
      </w:r>
      <w:r w:rsidRPr="00131DA2">
        <w:t xml:space="preserve"> 300mg niraparib); however as per Amendment 2 (November 2017), dosing was changed to the ISD regimen based on baseline body weight and platelet count – 200mg/day for patients with body weight &lt;77kg or baseline platelet count &lt;150,000/</w:t>
      </w:r>
      <w:r w:rsidRPr="00131DA2">
        <w:rPr>
          <w:rFonts w:cstheme="minorHAnsi"/>
        </w:rPr>
        <w:t>µ</w:t>
      </w:r>
      <w:r w:rsidRPr="00131DA2">
        <w:t>L, while all other patients will be given 300mg/day. Dose reductions were allowed by 100mg/day decrement.</w:t>
      </w:r>
    </w:p>
    <w:p w14:paraId="07837CF7" w14:textId="77777777" w:rsidR="00884F00" w:rsidRPr="00131DA2" w:rsidRDefault="00884F00" w:rsidP="00884F00">
      <w:pPr>
        <w:pStyle w:val="4-SubsectionHeading"/>
      </w:pPr>
      <w:bookmarkStart w:id="20" w:name="_Toc72246806"/>
      <w:r w:rsidRPr="00131DA2">
        <w:t>Comparative effectiveness</w:t>
      </w:r>
      <w:bookmarkEnd w:id="20"/>
    </w:p>
    <w:p w14:paraId="5A5DCBBF" w14:textId="77777777" w:rsidR="00884F00" w:rsidRPr="00131DA2" w:rsidRDefault="00884F00" w:rsidP="00884F00">
      <w:pPr>
        <w:pStyle w:val="3-BodyText"/>
      </w:pPr>
      <w:r w:rsidRPr="00131DA2">
        <w:rPr>
          <w:snapToGrid/>
        </w:rPr>
        <w:t>A summary of progression free survival (PFS) and overall survival (OS) results in the PRIMA trial for the ITT population at data cut-off (DCO) May 2019 is presented below.</w:t>
      </w:r>
    </w:p>
    <w:p w14:paraId="5B5E4B2E" w14:textId="77777777" w:rsidR="00884F00" w:rsidRPr="00131DA2" w:rsidRDefault="00884F00" w:rsidP="00884F00">
      <w:pPr>
        <w:pStyle w:val="TableFigureHeading"/>
      </w:pPr>
      <w:r w:rsidRPr="00131DA2">
        <w:t xml:space="preserve">Table </w:t>
      </w:r>
      <w:r w:rsidR="008A7614">
        <w:rPr>
          <w:noProof/>
        </w:rPr>
        <w:t>4</w:t>
      </w:r>
      <w:r w:rsidRPr="00131DA2">
        <w:t>: PFS and OS of the PRIMA trial (DCO May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8"/>
        <w:gridCol w:w="1701"/>
        <w:gridCol w:w="1701"/>
        <w:gridCol w:w="1277"/>
        <w:gridCol w:w="1509"/>
      </w:tblGrid>
      <w:tr w:rsidR="00884F00" w:rsidRPr="00131DA2" w14:paraId="09B62BC1" w14:textId="77777777" w:rsidTr="00CD42BD">
        <w:tc>
          <w:tcPr>
            <w:tcW w:w="1569" w:type="pct"/>
            <w:gridSpan w:val="2"/>
            <w:vAlign w:val="center"/>
          </w:tcPr>
          <w:p w14:paraId="4B771A06" w14:textId="77777777" w:rsidR="00884F00" w:rsidRPr="00131DA2" w:rsidRDefault="00884F00" w:rsidP="00AB7EDE">
            <w:pPr>
              <w:pStyle w:val="In-tableHeading"/>
              <w:rPr>
                <w:lang w:val="en-AU"/>
              </w:rPr>
            </w:pPr>
          </w:p>
        </w:tc>
        <w:tc>
          <w:tcPr>
            <w:tcW w:w="943" w:type="pct"/>
            <w:vAlign w:val="center"/>
          </w:tcPr>
          <w:p w14:paraId="332E2AC0" w14:textId="77777777" w:rsidR="00884F00" w:rsidRPr="00131DA2" w:rsidRDefault="00884F00" w:rsidP="00AB7EDE">
            <w:pPr>
              <w:pStyle w:val="In-tableHeading"/>
              <w:jc w:val="center"/>
              <w:rPr>
                <w:lang w:val="en-AU"/>
              </w:rPr>
            </w:pPr>
            <w:r w:rsidRPr="00131DA2">
              <w:rPr>
                <w:lang w:val="en-AU"/>
              </w:rPr>
              <w:t xml:space="preserve">Niraparib </w:t>
            </w:r>
          </w:p>
          <w:p w14:paraId="0D2AE809" w14:textId="77777777" w:rsidR="00884F00" w:rsidRPr="00131DA2" w:rsidRDefault="00884F00" w:rsidP="00AB7EDE">
            <w:pPr>
              <w:pStyle w:val="In-tableHeading"/>
              <w:jc w:val="center"/>
              <w:rPr>
                <w:lang w:val="en-AU"/>
              </w:rPr>
            </w:pPr>
            <w:r w:rsidRPr="00131DA2">
              <w:rPr>
                <w:lang w:val="en-AU"/>
              </w:rPr>
              <w:t>487/733 (66%)</w:t>
            </w:r>
          </w:p>
        </w:tc>
        <w:tc>
          <w:tcPr>
            <w:tcW w:w="943" w:type="pct"/>
            <w:vAlign w:val="center"/>
          </w:tcPr>
          <w:p w14:paraId="42146468" w14:textId="77777777" w:rsidR="00884F00" w:rsidRPr="00131DA2" w:rsidRDefault="00884F00" w:rsidP="00AB7EDE">
            <w:pPr>
              <w:pStyle w:val="In-tableHeading"/>
              <w:jc w:val="center"/>
              <w:rPr>
                <w:lang w:val="en-AU"/>
              </w:rPr>
            </w:pPr>
            <w:r w:rsidRPr="00131DA2">
              <w:rPr>
                <w:lang w:val="en-AU"/>
              </w:rPr>
              <w:t>Placebo</w:t>
            </w:r>
          </w:p>
          <w:p w14:paraId="235CBA08" w14:textId="77777777" w:rsidR="00884F00" w:rsidRPr="00131DA2" w:rsidRDefault="00884F00" w:rsidP="00AB7EDE">
            <w:pPr>
              <w:pStyle w:val="In-tableHeading"/>
              <w:jc w:val="center"/>
              <w:rPr>
                <w:lang w:val="en-AU"/>
              </w:rPr>
            </w:pPr>
            <w:r w:rsidRPr="00131DA2">
              <w:rPr>
                <w:lang w:val="en-AU"/>
              </w:rPr>
              <w:t>246/733 (34%)</w:t>
            </w:r>
          </w:p>
        </w:tc>
        <w:tc>
          <w:tcPr>
            <w:tcW w:w="708" w:type="pct"/>
            <w:vAlign w:val="center"/>
          </w:tcPr>
          <w:p w14:paraId="37598CFD" w14:textId="77777777" w:rsidR="00884F00" w:rsidRPr="00131DA2" w:rsidRDefault="00884F00" w:rsidP="00AB7EDE">
            <w:pPr>
              <w:pStyle w:val="In-tableHeading"/>
              <w:jc w:val="center"/>
              <w:rPr>
                <w:lang w:val="en-AU"/>
              </w:rPr>
            </w:pPr>
            <w:r w:rsidRPr="00131DA2">
              <w:rPr>
                <w:lang w:val="en-AU"/>
              </w:rPr>
              <w:t>Absolute difference</w:t>
            </w:r>
          </w:p>
        </w:tc>
        <w:tc>
          <w:tcPr>
            <w:tcW w:w="837" w:type="pct"/>
            <w:vAlign w:val="center"/>
          </w:tcPr>
          <w:p w14:paraId="018295B7" w14:textId="77777777" w:rsidR="00884F00" w:rsidRPr="00131DA2" w:rsidRDefault="00884F00" w:rsidP="00AB7EDE">
            <w:pPr>
              <w:pStyle w:val="In-tableHeading"/>
              <w:jc w:val="center"/>
              <w:rPr>
                <w:lang w:val="en-AU"/>
              </w:rPr>
            </w:pPr>
            <w:r w:rsidRPr="00131DA2">
              <w:rPr>
                <w:lang w:val="en-AU"/>
              </w:rPr>
              <w:t>HR (95% CI)</w:t>
            </w:r>
          </w:p>
        </w:tc>
      </w:tr>
      <w:tr w:rsidR="00884F00" w:rsidRPr="00131DA2" w14:paraId="5BD66AAE" w14:textId="77777777" w:rsidTr="00CD42BD">
        <w:tc>
          <w:tcPr>
            <w:tcW w:w="5000" w:type="pct"/>
            <w:gridSpan w:val="6"/>
            <w:vAlign w:val="center"/>
          </w:tcPr>
          <w:p w14:paraId="2CB94D47" w14:textId="77777777" w:rsidR="00884F00" w:rsidRPr="00131DA2" w:rsidRDefault="00884F00" w:rsidP="00AB7EDE">
            <w:pPr>
              <w:pStyle w:val="In-tableHeading"/>
              <w:rPr>
                <w:lang w:val="en-AU"/>
              </w:rPr>
            </w:pPr>
            <w:r w:rsidRPr="00131DA2">
              <w:rPr>
                <w:lang w:val="en-AU"/>
              </w:rPr>
              <w:t>Primary outcome: Progression-free survival per BICR at DCO May 2019</w:t>
            </w:r>
          </w:p>
        </w:tc>
      </w:tr>
      <w:tr w:rsidR="00884F00" w:rsidRPr="00131DA2" w14:paraId="7234F11D" w14:textId="77777777" w:rsidTr="00CD42BD">
        <w:tc>
          <w:tcPr>
            <w:tcW w:w="1569" w:type="pct"/>
            <w:gridSpan w:val="2"/>
            <w:vAlign w:val="center"/>
          </w:tcPr>
          <w:p w14:paraId="4BC77B27" w14:textId="77777777" w:rsidR="00884F00" w:rsidRPr="00131DA2" w:rsidRDefault="00884F00" w:rsidP="00AB7EDE">
            <w:pPr>
              <w:pStyle w:val="TableText0"/>
            </w:pPr>
            <w:r w:rsidRPr="00131DA2">
              <w:t>Patients with event</w:t>
            </w:r>
          </w:p>
        </w:tc>
        <w:tc>
          <w:tcPr>
            <w:tcW w:w="943" w:type="pct"/>
            <w:vAlign w:val="center"/>
          </w:tcPr>
          <w:p w14:paraId="3ECC528C" w14:textId="77777777" w:rsidR="00884F00" w:rsidRPr="00131DA2" w:rsidRDefault="00884F00" w:rsidP="00AB7EDE">
            <w:pPr>
              <w:pStyle w:val="TableText0"/>
              <w:jc w:val="center"/>
            </w:pPr>
            <w:r w:rsidRPr="00131DA2">
              <w:rPr>
                <w:rFonts w:eastAsia="Times New Roman" w:cs="Calibri"/>
                <w:szCs w:val="20"/>
              </w:rPr>
              <w:t>232 (47.6)</w:t>
            </w:r>
          </w:p>
        </w:tc>
        <w:tc>
          <w:tcPr>
            <w:tcW w:w="943" w:type="pct"/>
            <w:vAlign w:val="center"/>
          </w:tcPr>
          <w:p w14:paraId="3F87945C" w14:textId="77777777" w:rsidR="00884F00" w:rsidRPr="00131DA2" w:rsidRDefault="00884F00" w:rsidP="00AB7EDE">
            <w:pPr>
              <w:pStyle w:val="TableText0"/>
              <w:jc w:val="center"/>
            </w:pPr>
            <w:r w:rsidRPr="00131DA2">
              <w:rPr>
                <w:rFonts w:eastAsia="Times New Roman" w:cs="Calibri"/>
                <w:szCs w:val="20"/>
              </w:rPr>
              <w:t>155 (63.0)</w:t>
            </w:r>
          </w:p>
        </w:tc>
        <w:tc>
          <w:tcPr>
            <w:tcW w:w="708" w:type="pct"/>
            <w:vAlign w:val="center"/>
          </w:tcPr>
          <w:p w14:paraId="4F535C8C" w14:textId="77777777" w:rsidR="00884F00" w:rsidRPr="00131DA2" w:rsidRDefault="00884F00" w:rsidP="00AB7EDE">
            <w:pPr>
              <w:pStyle w:val="TableText0"/>
              <w:jc w:val="center"/>
            </w:pPr>
            <w:r w:rsidRPr="00131DA2">
              <w:t>15.4%</w:t>
            </w:r>
          </w:p>
        </w:tc>
        <w:tc>
          <w:tcPr>
            <w:tcW w:w="837" w:type="pct"/>
            <w:vAlign w:val="center"/>
          </w:tcPr>
          <w:p w14:paraId="4C123981" w14:textId="77777777" w:rsidR="00884F00" w:rsidRPr="00131DA2" w:rsidRDefault="00884F00" w:rsidP="00AB7EDE">
            <w:pPr>
              <w:pStyle w:val="TableText0"/>
              <w:jc w:val="center"/>
            </w:pPr>
            <w:r w:rsidRPr="00131DA2">
              <w:t>-</w:t>
            </w:r>
          </w:p>
        </w:tc>
      </w:tr>
      <w:tr w:rsidR="00884F00" w:rsidRPr="00131DA2" w14:paraId="21F3080C" w14:textId="77777777" w:rsidTr="00CD42BD">
        <w:tc>
          <w:tcPr>
            <w:tcW w:w="1569" w:type="pct"/>
            <w:gridSpan w:val="2"/>
            <w:vAlign w:val="center"/>
          </w:tcPr>
          <w:p w14:paraId="7412CAE9" w14:textId="77777777" w:rsidR="00884F00" w:rsidRPr="00131DA2" w:rsidRDefault="00884F00" w:rsidP="00AB7EDE">
            <w:pPr>
              <w:pStyle w:val="TableText0"/>
            </w:pPr>
            <w:r w:rsidRPr="00131DA2">
              <w:t>Median PFS months (95% CI)</w:t>
            </w:r>
          </w:p>
        </w:tc>
        <w:tc>
          <w:tcPr>
            <w:tcW w:w="943" w:type="pct"/>
            <w:vAlign w:val="center"/>
          </w:tcPr>
          <w:p w14:paraId="0FFF43B5" w14:textId="77777777" w:rsidR="00884F00" w:rsidRPr="00131DA2" w:rsidRDefault="00884F00" w:rsidP="00AB7EDE">
            <w:pPr>
              <w:pStyle w:val="TableText0"/>
              <w:jc w:val="center"/>
            </w:pPr>
            <w:r w:rsidRPr="00131DA2">
              <w:rPr>
                <w:rFonts w:eastAsia="Times New Roman" w:cs="Calibri"/>
                <w:szCs w:val="20"/>
              </w:rPr>
              <w:t>13.8 (11.5, 14.9)</w:t>
            </w:r>
          </w:p>
        </w:tc>
        <w:tc>
          <w:tcPr>
            <w:tcW w:w="943" w:type="pct"/>
            <w:vAlign w:val="center"/>
          </w:tcPr>
          <w:p w14:paraId="4ED5425B" w14:textId="77777777" w:rsidR="00884F00" w:rsidRPr="00131DA2" w:rsidRDefault="00884F00" w:rsidP="00AB7EDE">
            <w:pPr>
              <w:pStyle w:val="TableText0"/>
              <w:jc w:val="center"/>
            </w:pPr>
            <w:r w:rsidRPr="00131DA2">
              <w:rPr>
                <w:rFonts w:eastAsia="Times New Roman" w:cs="Calibri"/>
                <w:szCs w:val="20"/>
              </w:rPr>
              <w:t>8.2 (7.3, 8.5)</w:t>
            </w:r>
          </w:p>
        </w:tc>
        <w:tc>
          <w:tcPr>
            <w:tcW w:w="708" w:type="pct"/>
            <w:vAlign w:val="center"/>
          </w:tcPr>
          <w:p w14:paraId="665F8176" w14:textId="77777777" w:rsidR="00884F00" w:rsidRPr="00131DA2" w:rsidRDefault="00884F00" w:rsidP="00AB7EDE">
            <w:pPr>
              <w:pStyle w:val="TableText0"/>
              <w:jc w:val="center"/>
            </w:pPr>
            <w:r w:rsidRPr="00131DA2">
              <w:t xml:space="preserve">5.6 months </w:t>
            </w:r>
          </w:p>
        </w:tc>
        <w:tc>
          <w:tcPr>
            <w:tcW w:w="837" w:type="pct"/>
            <w:vAlign w:val="center"/>
          </w:tcPr>
          <w:p w14:paraId="78F674FD" w14:textId="77777777" w:rsidR="00884F00" w:rsidRPr="00131DA2" w:rsidRDefault="00884F00" w:rsidP="00AB7EDE">
            <w:pPr>
              <w:pStyle w:val="TableText0"/>
              <w:jc w:val="center"/>
            </w:pPr>
            <w:r w:rsidRPr="00131DA2">
              <w:rPr>
                <w:rFonts w:eastAsia="Times New Roman" w:cs="Calibri"/>
                <w:b/>
                <w:bCs w:val="0"/>
                <w:szCs w:val="20"/>
              </w:rPr>
              <w:t xml:space="preserve">0.62 (0.50, 0.76) </w:t>
            </w:r>
          </w:p>
        </w:tc>
      </w:tr>
      <w:tr w:rsidR="00884F00" w:rsidRPr="00131DA2" w14:paraId="0DEF1253" w14:textId="77777777" w:rsidTr="00CD42BD">
        <w:tc>
          <w:tcPr>
            <w:tcW w:w="705" w:type="pct"/>
            <w:vMerge w:val="restart"/>
            <w:vAlign w:val="center"/>
          </w:tcPr>
          <w:p w14:paraId="03886AD6" w14:textId="77777777" w:rsidR="00884F00" w:rsidRPr="00131DA2" w:rsidRDefault="00884F00" w:rsidP="00AB7EDE">
            <w:pPr>
              <w:pStyle w:val="TableText0"/>
            </w:pPr>
            <w:r w:rsidRPr="00131DA2">
              <w:t xml:space="preserve">PFS (95% CI) at^ </w:t>
            </w:r>
          </w:p>
        </w:tc>
        <w:tc>
          <w:tcPr>
            <w:tcW w:w="864" w:type="pct"/>
            <w:vAlign w:val="center"/>
          </w:tcPr>
          <w:p w14:paraId="2377493E" w14:textId="77777777" w:rsidR="00884F00" w:rsidRPr="00131DA2" w:rsidRDefault="00884F00" w:rsidP="00AB7EDE">
            <w:pPr>
              <w:pStyle w:val="TableText0"/>
            </w:pPr>
            <w:r w:rsidRPr="00131DA2">
              <w:t>6 months</w:t>
            </w:r>
          </w:p>
        </w:tc>
        <w:tc>
          <w:tcPr>
            <w:tcW w:w="943" w:type="pct"/>
            <w:vAlign w:val="center"/>
          </w:tcPr>
          <w:p w14:paraId="32419D86" w14:textId="77777777" w:rsidR="00884F00" w:rsidRPr="00131DA2" w:rsidRDefault="00884F00" w:rsidP="00AB7EDE">
            <w:pPr>
              <w:pStyle w:val="TableText0"/>
              <w:jc w:val="center"/>
            </w:pPr>
            <w:r w:rsidRPr="00131DA2">
              <w:rPr>
                <w:rFonts w:eastAsia="Times New Roman" w:cs="Calibri"/>
                <w:szCs w:val="20"/>
              </w:rPr>
              <w:t>0.73 (0.69, 0.77)</w:t>
            </w:r>
          </w:p>
        </w:tc>
        <w:tc>
          <w:tcPr>
            <w:tcW w:w="943" w:type="pct"/>
            <w:vAlign w:val="center"/>
          </w:tcPr>
          <w:p w14:paraId="1A44FAE5" w14:textId="77777777" w:rsidR="00884F00" w:rsidRPr="00131DA2" w:rsidRDefault="00884F00" w:rsidP="00AB7EDE">
            <w:pPr>
              <w:pStyle w:val="TableText0"/>
              <w:jc w:val="center"/>
            </w:pPr>
            <w:r w:rsidRPr="00131DA2">
              <w:rPr>
                <w:rFonts w:eastAsia="Times New Roman" w:cs="Calibri"/>
                <w:szCs w:val="20"/>
              </w:rPr>
              <w:t>0.60 (0.53, 0.66)</w:t>
            </w:r>
          </w:p>
        </w:tc>
        <w:tc>
          <w:tcPr>
            <w:tcW w:w="708" w:type="pct"/>
            <w:vAlign w:val="center"/>
          </w:tcPr>
          <w:p w14:paraId="6359D52B" w14:textId="77777777" w:rsidR="00884F00" w:rsidRPr="00131DA2" w:rsidRDefault="00884F00" w:rsidP="00AB7EDE">
            <w:pPr>
              <w:pStyle w:val="TableText0"/>
              <w:jc w:val="center"/>
            </w:pPr>
            <w:r w:rsidRPr="00131DA2">
              <w:t>13%*</w:t>
            </w:r>
          </w:p>
        </w:tc>
        <w:tc>
          <w:tcPr>
            <w:tcW w:w="837" w:type="pct"/>
          </w:tcPr>
          <w:p w14:paraId="0853B262" w14:textId="77777777" w:rsidR="00884F00" w:rsidRPr="00131DA2" w:rsidRDefault="00884F00" w:rsidP="00AB7EDE">
            <w:pPr>
              <w:pStyle w:val="TableText0"/>
              <w:jc w:val="center"/>
            </w:pPr>
            <w:r w:rsidRPr="00131DA2">
              <w:t>-</w:t>
            </w:r>
          </w:p>
        </w:tc>
      </w:tr>
      <w:tr w:rsidR="00884F00" w:rsidRPr="00131DA2" w14:paraId="76251E8D" w14:textId="77777777" w:rsidTr="00CD42BD">
        <w:tc>
          <w:tcPr>
            <w:tcW w:w="705" w:type="pct"/>
            <w:vMerge/>
            <w:vAlign w:val="center"/>
          </w:tcPr>
          <w:p w14:paraId="279EC0E3" w14:textId="77777777" w:rsidR="00884F00" w:rsidRPr="00131DA2" w:rsidRDefault="00884F00" w:rsidP="00AB7EDE">
            <w:pPr>
              <w:pStyle w:val="TableText0"/>
            </w:pPr>
          </w:p>
        </w:tc>
        <w:tc>
          <w:tcPr>
            <w:tcW w:w="864" w:type="pct"/>
            <w:vAlign w:val="center"/>
          </w:tcPr>
          <w:p w14:paraId="105A89ED" w14:textId="77777777" w:rsidR="00884F00" w:rsidRPr="00131DA2" w:rsidRDefault="00884F00" w:rsidP="00AB7EDE">
            <w:pPr>
              <w:pStyle w:val="TableText0"/>
            </w:pPr>
            <w:r w:rsidRPr="00131DA2">
              <w:t>12 months</w:t>
            </w:r>
          </w:p>
        </w:tc>
        <w:tc>
          <w:tcPr>
            <w:tcW w:w="943" w:type="pct"/>
            <w:vAlign w:val="center"/>
          </w:tcPr>
          <w:p w14:paraId="7C6A0B2E" w14:textId="77777777" w:rsidR="00884F00" w:rsidRPr="00131DA2" w:rsidRDefault="00884F00" w:rsidP="00AB7EDE">
            <w:pPr>
              <w:pStyle w:val="TableText0"/>
              <w:jc w:val="center"/>
            </w:pPr>
            <w:r w:rsidRPr="00131DA2">
              <w:rPr>
                <w:rFonts w:eastAsia="Times New Roman" w:cs="Calibri"/>
                <w:szCs w:val="20"/>
              </w:rPr>
              <w:t>0.53 (0.48, 0.58)</w:t>
            </w:r>
          </w:p>
        </w:tc>
        <w:tc>
          <w:tcPr>
            <w:tcW w:w="943" w:type="pct"/>
            <w:vAlign w:val="center"/>
          </w:tcPr>
          <w:p w14:paraId="0B3BEBDC" w14:textId="77777777" w:rsidR="00884F00" w:rsidRPr="00131DA2" w:rsidRDefault="00884F00" w:rsidP="00AB7EDE">
            <w:pPr>
              <w:pStyle w:val="TableText0"/>
              <w:jc w:val="center"/>
            </w:pPr>
            <w:r w:rsidRPr="00131DA2">
              <w:rPr>
                <w:rFonts w:eastAsia="Times New Roman" w:cs="Calibri"/>
                <w:szCs w:val="20"/>
              </w:rPr>
              <w:t>0.35 (0.29, 0.42)</w:t>
            </w:r>
          </w:p>
        </w:tc>
        <w:tc>
          <w:tcPr>
            <w:tcW w:w="708" w:type="pct"/>
            <w:vAlign w:val="center"/>
          </w:tcPr>
          <w:p w14:paraId="14D40C0D" w14:textId="77777777" w:rsidR="00884F00" w:rsidRPr="00131DA2" w:rsidRDefault="00884F00" w:rsidP="00AB7EDE">
            <w:pPr>
              <w:pStyle w:val="TableText0"/>
              <w:jc w:val="center"/>
            </w:pPr>
            <w:r w:rsidRPr="00131DA2">
              <w:t>18%*</w:t>
            </w:r>
          </w:p>
        </w:tc>
        <w:tc>
          <w:tcPr>
            <w:tcW w:w="837" w:type="pct"/>
          </w:tcPr>
          <w:p w14:paraId="25DEF9E2" w14:textId="77777777" w:rsidR="00884F00" w:rsidRPr="00131DA2" w:rsidRDefault="00884F00" w:rsidP="00AB7EDE">
            <w:pPr>
              <w:pStyle w:val="TableText0"/>
              <w:jc w:val="center"/>
            </w:pPr>
            <w:r w:rsidRPr="00131DA2">
              <w:t>-</w:t>
            </w:r>
          </w:p>
        </w:tc>
      </w:tr>
      <w:tr w:rsidR="00884F00" w:rsidRPr="00131DA2" w14:paraId="5A6610C1" w14:textId="77777777" w:rsidTr="00CD42BD">
        <w:tc>
          <w:tcPr>
            <w:tcW w:w="705" w:type="pct"/>
            <w:vMerge/>
            <w:vAlign w:val="center"/>
          </w:tcPr>
          <w:p w14:paraId="0912040F" w14:textId="77777777" w:rsidR="00884F00" w:rsidRPr="00131DA2" w:rsidRDefault="00884F00" w:rsidP="00AB7EDE">
            <w:pPr>
              <w:pStyle w:val="TableText0"/>
            </w:pPr>
          </w:p>
        </w:tc>
        <w:tc>
          <w:tcPr>
            <w:tcW w:w="864" w:type="pct"/>
            <w:vAlign w:val="center"/>
          </w:tcPr>
          <w:p w14:paraId="1332583E" w14:textId="77777777" w:rsidR="00884F00" w:rsidRPr="00131DA2" w:rsidRDefault="00884F00" w:rsidP="00AB7EDE">
            <w:pPr>
              <w:pStyle w:val="TableText0"/>
            </w:pPr>
            <w:r w:rsidRPr="00131DA2">
              <w:t>18 months</w:t>
            </w:r>
          </w:p>
        </w:tc>
        <w:tc>
          <w:tcPr>
            <w:tcW w:w="943" w:type="pct"/>
            <w:vAlign w:val="center"/>
          </w:tcPr>
          <w:p w14:paraId="0D6FFD1F" w14:textId="77777777" w:rsidR="00884F00" w:rsidRPr="00131DA2" w:rsidRDefault="00884F00" w:rsidP="00AB7EDE">
            <w:pPr>
              <w:pStyle w:val="TableText0"/>
              <w:jc w:val="center"/>
            </w:pPr>
            <w:r w:rsidRPr="00131DA2">
              <w:rPr>
                <w:rFonts w:eastAsia="Times New Roman" w:cs="Calibri"/>
                <w:szCs w:val="20"/>
              </w:rPr>
              <w:t>0.42 (0.36, 0.47)</w:t>
            </w:r>
          </w:p>
        </w:tc>
        <w:tc>
          <w:tcPr>
            <w:tcW w:w="943" w:type="pct"/>
            <w:vAlign w:val="center"/>
          </w:tcPr>
          <w:p w14:paraId="1C4E4363" w14:textId="77777777" w:rsidR="00884F00" w:rsidRPr="00131DA2" w:rsidRDefault="00884F00" w:rsidP="00AB7EDE">
            <w:pPr>
              <w:pStyle w:val="TableText0"/>
              <w:jc w:val="center"/>
            </w:pPr>
            <w:r w:rsidRPr="00131DA2">
              <w:rPr>
                <w:rFonts w:eastAsia="Times New Roman" w:cs="Calibri"/>
                <w:szCs w:val="20"/>
              </w:rPr>
              <w:t>0.28 (0.21, 0.35)</w:t>
            </w:r>
          </w:p>
        </w:tc>
        <w:tc>
          <w:tcPr>
            <w:tcW w:w="708" w:type="pct"/>
            <w:vAlign w:val="center"/>
          </w:tcPr>
          <w:p w14:paraId="017BFE7E" w14:textId="77777777" w:rsidR="00884F00" w:rsidRPr="00131DA2" w:rsidRDefault="00884F00" w:rsidP="00AB7EDE">
            <w:pPr>
              <w:pStyle w:val="TableText0"/>
              <w:jc w:val="center"/>
            </w:pPr>
            <w:r w:rsidRPr="00131DA2">
              <w:t>14%*</w:t>
            </w:r>
          </w:p>
        </w:tc>
        <w:tc>
          <w:tcPr>
            <w:tcW w:w="837" w:type="pct"/>
          </w:tcPr>
          <w:p w14:paraId="0CDECCDE" w14:textId="77777777" w:rsidR="00884F00" w:rsidRPr="00131DA2" w:rsidRDefault="00884F00" w:rsidP="00AB7EDE">
            <w:pPr>
              <w:pStyle w:val="TableText0"/>
              <w:jc w:val="center"/>
            </w:pPr>
            <w:r w:rsidRPr="00131DA2">
              <w:t>-</w:t>
            </w:r>
          </w:p>
        </w:tc>
      </w:tr>
      <w:tr w:rsidR="00884F00" w:rsidRPr="00131DA2" w14:paraId="257B61C0" w14:textId="77777777" w:rsidTr="00CD42BD">
        <w:tc>
          <w:tcPr>
            <w:tcW w:w="705" w:type="pct"/>
            <w:vMerge/>
            <w:vAlign w:val="center"/>
          </w:tcPr>
          <w:p w14:paraId="189D929F" w14:textId="77777777" w:rsidR="00884F00" w:rsidRPr="00131DA2" w:rsidRDefault="00884F00" w:rsidP="00AB7EDE">
            <w:pPr>
              <w:pStyle w:val="TableText0"/>
            </w:pPr>
          </w:p>
        </w:tc>
        <w:tc>
          <w:tcPr>
            <w:tcW w:w="864" w:type="pct"/>
            <w:vAlign w:val="center"/>
          </w:tcPr>
          <w:p w14:paraId="700E991A" w14:textId="77777777" w:rsidR="00884F00" w:rsidRPr="00131DA2" w:rsidRDefault="00884F00" w:rsidP="00AB7EDE">
            <w:pPr>
              <w:pStyle w:val="TableText0"/>
            </w:pPr>
            <w:r w:rsidRPr="00131DA2">
              <w:t xml:space="preserve">24 months </w:t>
            </w:r>
          </w:p>
        </w:tc>
        <w:tc>
          <w:tcPr>
            <w:tcW w:w="943" w:type="pct"/>
            <w:vAlign w:val="center"/>
          </w:tcPr>
          <w:p w14:paraId="7B147540" w14:textId="77777777" w:rsidR="00884F00" w:rsidRPr="00131DA2" w:rsidRDefault="00884F00" w:rsidP="00AB7EDE">
            <w:pPr>
              <w:pStyle w:val="TableText0"/>
              <w:jc w:val="center"/>
            </w:pPr>
            <w:r w:rsidRPr="00131DA2">
              <w:rPr>
                <w:rFonts w:eastAsia="Times New Roman" w:cs="Calibri"/>
                <w:szCs w:val="20"/>
              </w:rPr>
              <w:t>0.32 (0.25, 0.39)</w:t>
            </w:r>
          </w:p>
        </w:tc>
        <w:tc>
          <w:tcPr>
            <w:tcW w:w="943" w:type="pct"/>
            <w:vAlign w:val="center"/>
          </w:tcPr>
          <w:p w14:paraId="5AE30D5D" w14:textId="77777777" w:rsidR="00884F00" w:rsidRPr="00131DA2" w:rsidRDefault="00884F00" w:rsidP="00AB7EDE">
            <w:pPr>
              <w:pStyle w:val="TableText0"/>
              <w:jc w:val="center"/>
            </w:pPr>
            <w:r w:rsidRPr="00131DA2">
              <w:rPr>
                <w:rFonts w:eastAsia="Times New Roman" w:cs="Calibri"/>
                <w:szCs w:val="20"/>
              </w:rPr>
              <w:t>0.23 (0.14, 0.32)</w:t>
            </w:r>
          </w:p>
        </w:tc>
        <w:tc>
          <w:tcPr>
            <w:tcW w:w="708" w:type="pct"/>
            <w:vAlign w:val="center"/>
          </w:tcPr>
          <w:p w14:paraId="53847F07" w14:textId="77777777" w:rsidR="00884F00" w:rsidRPr="00131DA2" w:rsidRDefault="00884F00" w:rsidP="00AB7EDE">
            <w:pPr>
              <w:pStyle w:val="TableText0"/>
              <w:jc w:val="center"/>
            </w:pPr>
            <w:r w:rsidRPr="00131DA2">
              <w:t>9%*</w:t>
            </w:r>
          </w:p>
        </w:tc>
        <w:tc>
          <w:tcPr>
            <w:tcW w:w="837" w:type="pct"/>
          </w:tcPr>
          <w:p w14:paraId="1D0A0C02" w14:textId="77777777" w:rsidR="00884F00" w:rsidRPr="00131DA2" w:rsidRDefault="00884F00" w:rsidP="00AB7EDE">
            <w:pPr>
              <w:pStyle w:val="TableText0"/>
              <w:jc w:val="center"/>
            </w:pPr>
            <w:r w:rsidRPr="00131DA2">
              <w:t>-</w:t>
            </w:r>
          </w:p>
        </w:tc>
      </w:tr>
      <w:tr w:rsidR="00884F00" w:rsidRPr="00131DA2" w14:paraId="05E8F19D" w14:textId="77777777" w:rsidTr="00CD42BD">
        <w:tc>
          <w:tcPr>
            <w:tcW w:w="5000" w:type="pct"/>
            <w:gridSpan w:val="6"/>
            <w:vAlign w:val="center"/>
          </w:tcPr>
          <w:p w14:paraId="0961BEFF" w14:textId="77777777" w:rsidR="00884F00" w:rsidRPr="00131DA2" w:rsidRDefault="00884F00" w:rsidP="00AB7EDE">
            <w:pPr>
              <w:pStyle w:val="In-tableHeading"/>
              <w:rPr>
                <w:lang w:val="en-AU"/>
              </w:rPr>
            </w:pPr>
            <w:r w:rsidRPr="00131DA2">
              <w:rPr>
                <w:lang w:val="en-AU"/>
              </w:rPr>
              <w:t>Secondary outcome: Overall survival at DCO May 2019</w:t>
            </w:r>
          </w:p>
        </w:tc>
      </w:tr>
      <w:tr w:rsidR="00884F00" w:rsidRPr="00131DA2" w14:paraId="7B5CEE1C" w14:textId="77777777" w:rsidTr="00CD42BD">
        <w:tc>
          <w:tcPr>
            <w:tcW w:w="1569" w:type="pct"/>
            <w:gridSpan w:val="2"/>
            <w:vAlign w:val="center"/>
          </w:tcPr>
          <w:p w14:paraId="5489D79F" w14:textId="77777777" w:rsidR="00884F00" w:rsidRPr="00131DA2" w:rsidRDefault="00884F00" w:rsidP="00AB7EDE">
            <w:pPr>
              <w:pStyle w:val="TableText0"/>
            </w:pPr>
            <w:r w:rsidRPr="00131DA2">
              <w:t>Patients with event</w:t>
            </w:r>
          </w:p>
        </w:tc>
        <w:tc>
          <w:tcPr>
            <w:tcW w:w="943" w:type="pct"/>
            <w:vAlign w:val="center"/>
          </w:tcPr>
          <w:p w14:paraId="4721C275" w14:textId="77777777" w:rsidR="00884F00" w:rsidRPr="00131DA2" w:rsidRDefault="00884F00" w:rsidP="00AB7EDE">
            <w:pPr>
              <w:pStyle w:val="TableText0"/>
              <w:jc w:val="center"/>
            </w:pPr>
            <w:r w:rsidRPr="00131DA2">
              <w:rPr>
                <w:rFonts w:eastAsia="Times New Roman" w:cs="Calibri"/>
                <w:szCs w:val="20"/>
              </w:rPr>
              <w:t>48 (9.9)</w:t>
            </w:r>
          </w:p>
        </w:tc>
        <w:tc>
          <w:tcPr>
            <w:tcW w:w="943" w:type="pct"/>
            <w:vAlign w:val="center"/>
          </w:tcPr>
          <w:p w14:paraId="752DD838" w14:textId="77777777" w:rsidR="00884F00" w:rsidRPr="00131DA2" w:rsidRDefault="00884F00" w:rsidP="00AB7EDE">
            <w:pPr>
              <w:pStyle w:val="TableText0"/>
              <w:jc w:val="center"/>
            </w:pPr>
            <w:r w:rsidRPr="00131DA2">
              <w:rPr>
                <w:rFonts w:eastAsia="Times New Roman" w:cs="Calibri"/>
                <w:szCs w:val="20"/>
              </w:rPr>
              <w:t>31 (12.6)</w:t>
            </w:r>
          </w:p>
        </w:tc>
        <w:tc>
          <w:tcPr>
            <w:tcW w:w="708" w:type="pct"/>
            <w:vAlign w:val="center"/>
          </w:tcPr>
          <w:p w14:paraId="7ACCD4C0" w14:textId="77777777" w:rsidR="00884F00" w:rsidRPr="00131DA2" w:rsidRDefault="00884F00" w:rsidP="00AB7EDE">
            <w:pPr>
              <w:pStyle w:val="TableText0"/>
              <w:jc w:val="center"/>
            </w:pPr>
            <w:r w:rsidRPr="00131DA2">
              <w:t>2.7%</w:t>
            </w:r>
          </w:p>
        </w:tc>
        <w:tc>
          <w:tcPr>
            <w:tcW w:w="837" w:type="pct"/>
            <w:vAlign w:val="center"/>
          </w:tcPr>
          <w:p w14:paraId="1F0AC60F" w14:textId="77777777" w:rsidR="00884F00" w:rsidRPr="00131DA2" w:rsidRDefault="00884F00" w:rsidP="00AB7EDE">
            <w:pPr>
              <w:pStyle w:val="TableText0"/>
              <w:jc w:val="center"/>
            </w:pPr>
            <w:r w:rsidRPr="00131DA2">
              <w:t>-</w:t>
            </w:r>
          </w:p>
        </w:tc>
      </w:tr>
      <w:tr w:rsidR="00884F00" w:rsidRPr="00131DA2" w14:paraId="114C5951" w14:textId="77777777" w:rsidTr="00CD42BD">
        <w:tc>
          <w:tcPr>
            <w:tcW w:w="1569" w:type="pct"/>
            <w:gridSpan w:val="2"/>
            <w:vAlign w:val="center"/>
          </w:tcPr>
          <w:p w14:paraId="37279F02" w14:textId="77777777" w:rsidR="00884F00" w:rsidRPr="00131DA2" w:rsidRDefault="00884F00" w:rsidP="00AB7EDE">
            <w:pPr>
              <w:pStyle w:val="TableText0"/>
            </w:pPr>
            <w:r w:rsidRPr="00131DA2">
              <w:t>Median months OS (95% CI)</w:t>
            </w:r>
          </w:p>
        </w:tc>
        <w:tc>
          <w:tcPr>
            <w:tcW w:w="943" w:type="pct"/>
            <w:vAlign w:val="center"/>
          </w:tcPr>
          <w:p w14:paraId="060BECDE" w14:textId="77777777" w:rsidR="00884F00" w:rsidRPr="00131DA2" w:rsidRDefault="00884F00" w:rsidP="00AB7EDE">
            <w:pPr>
              <w:pStyle w:val="TableText0"/>
              <w:jc w:val="center"/>
            </w:pPr>
            <w:r w:rsidRPr="00131DA2">
              <w:t>NR</w:t>
            </w:r>
          </w:p>
        </w:tc>
        <w:tc>
          <w:tcPr>
            <w:tcW w:w="943" w:type="pct"/>
            <w:vAlign w:val="center"/>
          </w:tcPr>
          <w:p w14:paraId="128AABA9" w14:textId="77777777" w:rsidR="00884F00" w:rsidRPr="00131DA2" w:rsidRDefault="00884F00" w:rsidP="00AB7EDE">
            <w:pPr>
              <w:pStyle w:val="TableText0"/>
              <w:jc w:val="center"/>
            </w:pPr>
            <w:r w:rsidRPr="00131DA2">
              <w:t>NR</w:t>
            </w:r>
          </w:p>
        </w:tc>
        <w:tc>
          <w:tcPr>
            <w:tcW w:w="708" w:type="pct"/>
            <w:vAlign w:val="center"/>
          </w:tcPr>
          <w:p w14:paraId="6CE82FE9" w14:textId="77777777" w:rsidR="00884F00" w:rsidRPr="00131DA2" w:rsidRDefault="00884F00" w:rsidP="00AB7EDE">
            <w:pPr>
              <w:pStyle w:val="TableText0"/>
              <w:jc w:val="center"/>
            </w:pPr>
            <w:r w:rsidRPr="00131DA2">
              <w:t>NA</w:t>
            </w:r>
          </w:p>
        </w:tc>
        <w:tc>
          <w:tcPr>
            <w:tcW w:w="837" w:type="pct"/>
            <w:vAlign w:val="center"/>
          </w:tcPr>
          <w:p w14:paraId="2282DC5B" w14:textId="77777777" w:rsidR="00884F00" w:rsidRPr="00131DA2" w:rsidRDefault="00884F00" w:rsidP="00AB7EDE">
            <w:pPr>
              <w:pStyle w:val="TableText0"/>
              <w:jc w:val="center"/>
            </w:pPr>
            <w:r w:rsidRPr="00131DA2">
              <w:t>0.70 (0.44, 1.11)</w:t>
            </w:r>
          </w:p>
        </w:tc>
      </w:tr>
      <w:tr w:rsidR="00884F00" w:rsidRPr="00131DA2" w14:paraId="141DAC29" w14:textId="77777777" w:rsidTr="00CD42BD">
        <w:tc>
          <w:tcPr>
            <w:tcW w:w="705" w:type="pct"/>
            <w:vMerge w:val="restart"/>
            <w:vAlign w:val="center"/>
          </w:tcPr>
          <w:p w14:paraId="390B2C21" w14:textId="77777777" w:rsidR="00884F00" w:rsidRPr="00131DA2" w:rsidRDefault="00884F00" w:rsidP="00AB7EDE">
            <w:pPr>
              <w:pStyle w:val="TableText0"/>
            </w:pPr>
            <w:r w:rsidRPr="00131DA2">
              <w:t>OS (95% CI) at^</w:t>
            </w:r>
          </w:p>
        </w:tc>
        <w:tc>
          <w:tcPr>
            <w:tcW w:w="864" w:type="pct"/>
            <w:vAlign w:val="center"/>
          </w:tcPr>
          <w:p w14:paraId="7CA8AE33" w14:textId="77777777" w:rsidR="00884F00" w:rsidRPr="00131DA2" w:rsidRDefault="00884F00" w:rsidP="00AB7EDE">
            <w:pPr>
              <w:pStyle w:val="TableText0"/>
              <w:rPr>
                <w:b/>
              </w:rPr>
            </w:pPr>
            <w:r w:rsidRPr="00131DA2">
              <w:rPr>
                <w:rFonts w:eastAsia="Times New Roman" w:cs="Calibri"/>
                <w:szCs w:val="20"/>
              </w:rPr>
              <w:t>6 months</w:t>
            </w:r>
          </w:p>
        </w:tc>
        <w:tc>
          <w:tcPr>
            <w:tcW w:w="943" w:type="pct"/>
            <w:vAlign w:val="center"/>
          </w:tcPr>
          <w:p w14:paraId="6E2FCDEA" w14:textId="77777777" w:rsidR="00884F00" w:rsidRPr="00131DA2" w:rsidRDefault="00884F00" w:rsidP="00AB7EDE">
            <w:pPr>
              <w:pStyle w:val="TableText0"/>
              <w:jc w:val="center"/>
            </w:pPr>
            <w:r w:rsidRPr="00131DA2">
              <w:rPr>
                <w:rFonts w:eastAsia="Times New Roman" w:cs="Calibri"/>
                <w:szCs w:val="20"/>
              </w:rPr>
              <w:t>1.00 (0.98, 1.00)</w:t>
            </w:r>
          </w:p>
        </w:tc>
        <w:tc>
          <w:tcPr>
            <w:tcW w:w="943" w:type="pct"/>
            <w:vAlign w:val="center"/>
          </w:tcPr>
          <w:p w14:paraId="3AFB7FB9" w14:textId="77777777" w:rsidR="00884F00" w:rsidRPr="00131DA2" w:rsidRDefault="00884F00" w:rsidP="00AB7EDE">
            <w:pPr>
              <w:pStyle w:val="TableText0"/>
              <w:jc w:val="center"/>
            </w:pPr>
            <w:r w:rsidRPr="00131DA2">
              <w:rPr>
                <w:rFonts w:eastAsia="Times New Roman" w:cs="Calibri"/>
                <w:szCs w:val="20"/>
              </w:rPr>
              <w:t>0.99 (0.97, 1.00)</w:t>
            </w:r>
          </w:p>
        </w:tc>
        <w:tc>
          <w:tcPr>
            <w:tcW w:w="708" w:type="pct"/>
            <w:vAlign w:val="center"/>
          </w:tcPr>
          <w:p w14:paraId="5D5F9D78" w14:textId="77777777" w:rsidR="00884F00" w:rsidRPr="00131DA2" w:rsidRDefault="00884F00" w:rsidP="00AB7EDE">
            <w:pPr>
              <w:pStyle w:val="TableText0"/>
              <w:jc w:val="center"/>
              <w:rPr>
                <w:vertAlign w:val="superscript"/>
              </w:rPr>
            </w:pPr>
            <w:r w:rsidRPr="00131DA2">
              <w:t>1%</w:t>
            </w:r>
            <w:r w:rsidRPr="00131DA2">
              <w:rPr>
                <w:vertAlign w:val="superscript"/>
              </w:rPr>
              <w:t>#</w:t>
            </w:r>
          </w:p>
        </w:tc>
        <w:tc>
          <w:tcPr>
            <w:tcW w:w="837" w:type="pct"/>
          </w:tcPr>
          <w:p w14:paraId="3828E673" w14:textId="77777777" w:rsidR="00884F00" w:rsidRPr="00131DA2" w:rsidRDefault="00884F00" w:rsidP="00AB7EDE">
            <w:pPr>
              <w:pStyle w:val="TableText0"/>
              <w:jc w:val="center"/>
            </w:pPr>
            <w:r w:rsidRPr="00131DA2">
              <w:t>-</w:t>
            </w:r>
          </w:p>
        </w:tc>
      </w:tr>
      <w:tr w:rsidR="00884F00" w:rsidRPr="00131DA2" w14:paraId="2FD75C9A" w14:textId="77777777" w:rsidTr="00CD42BD">
        <w:tc>
          <w:tcPr>
            <w:tcW w:w="705" w:type="pct"/>
            <w:vMerge/>
            <w:vAlign w:val="center"/>
          </w:tcPr>
          <w:p w14:paraId="51626754" w14:textId="77777777" w:rsidR="00884F00" w:rsidRPr="00131DA2" w:rsidRDefault="00884F00" w:rsidP="00AB7EDE">
            <w:pPr>
              <w:pStyle w:val="TableText0"/>
            </w:pPr>
          </w:p>
        </w:tc>
        <w:tc>
          <w:tcPr>
            <w:tcW w:w="864" w:type="pct"/>
            <w:vAlign w:val="center"/>
          </w:tcPr>
          <w:p w14:paraId="4722D177" w14:textId="77777777" w:rsidR="00884F00" w:rsidRPr="00131DA2" w:rsidRDefault="00884F00" w:rsidP="00AB7EDE">
            <w:pPr>
              <w:pStyle w:val="TableText0"/>
            </w:pPr>
            <w:r w:rsidRPr="00131DA2">
              <w:rPr>
                <w:rFonts w:eastAsia="Times New Roman" w:cs="Calibri"/>
                <w:szCs w:val="20"/>
              </w:rPr>
              <w:t>12 months</w:t>
            </w:r>
          </w:p>
        </w:tc>
        <w:tc>
          <w:tcPr>
            <w:tcW w:w="943" w:type="pct"/>
            <w:vAlign w:val="center"/>
          </w:tcPr>
          <w:p w14:paraId="1DCA94CE" w14:textId="77777777" w:rsidR="00884F00" w:rsidRPr="00131DA2" w:rsidRDefault="00884F00" w:rsidP="00AB7EDE">
            <w:pPr>
              <w:pStyle w:val="TableText0"/>
              <w:jc w:val="center"/>
            </w:pPr>
            <w:r w:rsidRPr="00131DA2">
              <w:rPr>
                <w:rFonts w:eastAsia="Times New Roman" w:cs="Calibri"/>
                <w:szCs w:val="20"/>
              </w:rPr>
              <w:t>0.94 (0.91, 0.96)</w:t>
            </w:r>
          </w:p>
        </w:tc>
        <w:tc>
          <w:tcPr>
            <w:tcW w:w="943" w:type="pct"/>
            <w:vAlign w:val="center"/>
          </w:tcPr>
          <w:p w14:paraId="7FBB5CC0" w14:textId="77777777" w:rsidR="00884F00" w:rsidRPr="00131DA2" w:rsidRDefault="00884F00" w:rsidP="00AB7EDE">
            <w:pPr>
              <w:pStyle w:val="TableText0"/>
              <w:jc w:val="center"/>
            </w:pPr>
            <w:r w:rsidRPr="00131DA2">
              <w:rPr>
                <w:rFonts w:eastAsia="Times New Roman" w:cs="Calibri"/>
                <w:szCs w:val="20"/>
              </w:rPr>
              <w:t>0.92 (0.88, 0.95)</w:t>
            </w:r>
          </w:p>
        </w:tc>
        <w:tc>
          <w:tcPr>
            <w:tcW w:w="708" w:type="pct"/>
            <w:vAlign w:val="center"/>
          </w:tcPr>
          <w:p w14:paraId="51E2419D" w14:textId="77777777" w:rsidR="00884F00" w:rsidRPr="00131DA2" w:rsidRDefault="00884F00" w:rsidP="00AB7EDE">
            <w:pPr>
              <w:pStyle w:val="TableText0"/>
              <w:jc w:val="center"/>
            </w:pPr>
            <w:r w:rsidRPr="00131DA2">
              <w:t>2%</w:t>
            </w:r>
            <w:r w:rsidRPr="00131DA2">
              <w:rPr>
                <w:vertAlign w:val="superscript"/>
              </w:rPr>
              <w:t>#</w:t>
            </w:r>
          </w:p>
        </w:tc>
        <w:tc>
          <w:tcPr>
            <w:tcW w:w="837" w:type="pct"/>
          </w:tcPr>
          <w:p w14:paraId="6FFBF448" w14:textId="77777777" w:rsidR="00884F00" w:rsidRPr="00131DA2" w:rsidRDefault="00884F00" w:rsidP="00AB7EDE">
            <w:pPr>
              <w:pStyle w:val="TableText0"/>
              <w:jc w:val="center"/>
            </w:pPr>
            <w:r w:rsidRPr="00131DA2">
              <w:t>-</w:t>
            </w:r>
          </w:p>
        </w:tc>
      </w:tr>
      <w:tr w:rsidR="00884F00" w:rsidRPr="00131DA2" w14:paraId="34DF076E" w14:textId="77777777" w:rsidTr="00CD42BD">
        <w:tc>
          <w:tcPr>
            <w:tcW w:w="705" w:type="pct"/>
            <w:vMerge/>
            <w:vAlign w:val="center"/>
          </w:tcPr>
          <w:p w14:paraId="74084FE4" w14:textId="77777777" w:rsidR="00884F00" w:rsidRPr="00131DA2" w:rsidRDefault="00884F00" w:rsidP="00AB7EDE">
            <w:pPr>
              <w:pStyle w:val="TableText0"/>
            </w:pPr>
          </w:p>
        </w:tc>
        <w:tc>
          <w:tcPr>
            <w:tcW w:w="864" w:type="pct"/>
            <w:vAlign w:val="center"/>
          </w:tcPr>
          <w:p w14:paraId="7DEDD6C2" w14:textId="77777777" w:rsidR="00884F00" w:rsidRPr="00131DA2" w:rsidRDefault="00884F00" w:rsidP="00AB7EDE">
            <w:pPr>
              <w:pStyle w:val="TableText0"/>
            </w:pPr>
            <w:r w:rsidRPr="00131DA2">
              <w:rPr>
                <w:rFonts w:eastAsia="Times New Roman" w:cs="Calibri"/>
                <w:szCs w:val="20"/>
              </w:rPr>
              <w:t>18 months</w:t>
            </w:r>
          </w:p>
        </w:tc>
        <w:tc>
          <w:tcPr>
            <w:tcW w:w="943" w:type="pct"/>
            <w:vAlign w:val="center"/>
          </w:tcPr>
          <w:p w14:paraId="2854D746" w14:textId="77777777" w:rsidR="00884F00" w:rsidRPr="00131DA2" w:rsidRDefault="00884F00" w:rsidP="00AB7EDE">
            <w:pPr>
              <w:pStyle w:val="TableText0"/>
              <w:jc w:val="center"/>
            </w:pPr>
            <w:r w:rsidRPr="00131DA2">
              <w:rPr>
                <w:rFonts w:eastAsia="Times New Roman" w:cs="Calibri"/>
                <w:szCs w:val="20"/>
              </w:rPr>
              <w:t>0.89 (0.84, 0.92)</w:t>
            </w:r>
          </w:p>
        </w:tc>
        <w:tc>
          <w:tcPr>
            <w:tcW w:w="943" w:type="pct"/>
            <w:vAlign w:val="center"/>
          </w:tcPr>
          <w:p w14:paraId="59D36993" w14:textId="77777777" w:rsidR="00884F00" w:rsidRPr="00131DA2" w:rsidRDefault="00884F00" w:rsidP="00AB7EDE">
            <w:pPr>
              <w:pStyle w:val="TableText0"/>
              <w:jc w:val="center"/>
            </w:pPr>
            <w:r w:rsidRPr="00131DA2">
              <w:rPr>
                <w:rFonts w:eastAsia="Times New Roman" w:cs="Calibri"/>
                <w:szCs w:val="20"/>
              </w:rPr>
              <w:t>0.84 (0.76, 0.89)</w:t>
            </w:r>
          </w:p>
        </w:tc>
        <w:tc>
          <w:tcPr>
            <w:tcW w:w="708" w:type="pct"/>
            <w:vAlign w:val="center"/>
          </w:tcPr>
          <w:p w14:paraId="1E8621BE" w14:textId="77777777" w:rsidR="00884F00" w:rsidRPr="00131DA2" w:rsidRDefault="00884F00" w:rsidP="00AB7EDE">
            <w:pPr>
              <w:pStyle w:val="TableText0"/>
              <w:jc w:val="center"/>
            </w:pPr>
            <w:r w:rsidRPr="00131DA2">
              <w:t>5%</w:t>
            </w:r>
            <w:r w:rsidRPr="00131DA2">
              <w:rPr>
                <w:vertAlign w:val="superscript"/>
              </w:rPr>
              <w:t>#</w:t>
            </w:r>
          </w:p>
        </w:tc>
        <w:tc>
          <w:tcPr>
            <w:tcW w:w="837" w:type="pct"/>
          </w:tcPr>
          <w:p w14:paraId="1AC93ABC" w14:textId="77777777" w:rsidR="00884F00" w:rsidRPr="00131DA2" w:rsidRDefault="00884F00" w:rsidP="00AB7EDE">
            <w:pPr>
              <w:pStyle w:val="TableText0"/>
              <w:jc w:val="center"/>
            </w:pPr>
            <w:r w:rsidRPr="00131DA2">
              <w:t>-</w:t>
            </w:r>
          </w:p>
        </w:tc>
      </w:tr>
      <w:tr w:rsidR="00884F00" w:rsidRPr="00131DA2" w14:paraId="5FCA0229" w14:textId="77777777" w:rsidTr="00CD42BD">
        <w:tc>
          <w:tcPr>
            <w:tcW w:w="705" w:type="pct"/>
            <w:vMerge/>
            <w:vAlign w:val="center"/>
          </w:tcPr>
          <w:p w14:paraId="6B2CC539" w14:textId="77777777" w:rsidR="00884F00" w:rsidRPr="00131DA2" w:rsidRDefault="00884F00" w:rsidP="00AB7EDE">
            <w:pPr>
              <w:pStyle w:val="TableText0"/>
            </w:pPr>
          </w:p>
        </w:tc>
        <w:tc>
          <w:tcPr>
            <w:tcW w:w="864" w:type="pct"/>
            <w:vAlign w:val="center"/>
          </w:tcPr>
          <w:p w14:paraId="2F9719BD" w14:textId="77777777" w:rsidR="00884F00" w:rsidRPr="00131DA2" w:rsidRDefault="00884F00" w:rsidP="00AB7EDE">
            <w:pPr>
              <w:pStyle w:val="TableText0"/>
            </w:pPr>
            <w:r w:rsidRPr="00131DA2">
              <w:rPr>
                <w:rFonts w:eastAsia="Times New Roman" w:cs="Calibri"/>
                <w:szCs w:val="20"/>
              </w:rPr>
              <w:t>24 months</w:t>
            </w:r>
          </w:p>
        </w:tc>
        <w:tc>
          <w:tcPr>
            <w:tcW w:w="943" w:type="pct"/>
            <w:vAlign w:val="center"/>
          </w:tcPr>
          <w:p w14:paraId="52C32F37" w14:textId="77777777" w:rsidR="00884F00" w:rsidRPr="00131DA2" w:rsidRDefault="00884F00" w:rsidP="00AB7EDE">
            <w:pPr>
              <w:pStyle w:val="TableText0"/>
              <w:jc w:val="center"/>
            </w:pPr>
            <w:r w:rsidRPr="00131DA2">
              <w:rPr>
                <w:rFonts w:eastAsia="Times New Roman" w:cs="Calibri"/>
                <w:szCs w:val="20"/>
              </w:rPr>
              <w:t>0.84 (0.78, 0.89)</w:t>
            </w:r>
          </w:p>
        </w:tc>
        <w:tc>
          <w:tcPr>
            <w:tcW w:w="943" w:type="pct"/>
            <w:vAlign w:val="center"/>
          </w:tcPr>
          <w:p w14:paraId="24F73CBB" w14:textId="77777777" w:rsidR="00884F00" w:rsidRPr="00131DA2" w:rsidRDefault="00884F00" w:rsidP="00AB7EDE">
            <w:pPr>
              <w:pStyle w:val="TableText0"/>
              <w:jc w:val="center"/>
            </w:pPr>
            <w:r w:rsidRPr="00131DA2">
              <w:rPr>
                <w:rFonts w:eastAsia="Times New Roman" w:cs="Calibri"/>
                <w:szCs w:val="20"/>
              </w:rPr>
              <w:t>0.77 (0.63, 0.86)</w:t>
            </w:r>
          </w:p>
        </w:tc>
        <w:tc>
          <w:tcPr>
            <w:tcW w:w="708" w:type="pct"/>
            <w:vAlign w:val="center"/>
          </w:tcPr>
          <w:p w14:paraId="3BE18D0D" w14:textId="77777777" w:rsidR="00884F00" w:rsidRPr="00131DA2" w:rsidRDefault="00884F00" w:rsidP="00AB7EDE">
            <w:pPr>
              <w:pStyle w:val="TableText0"/>
              <w:jc w:val="center"/>
            </w:pPr>
            <w:r w:rsidRPr="00131DA2">
              <w:t>7%</w:t>
            </w:r>
            <w:r w:rsidRPr="00131DA2">
              <w:rPr>
                <w:vertAlign w:val="superscript"/>
              </w:rPr>
              <w:t>#</w:t>
            </w:r>
          </w:p>
        </w:tc>
        <w:tc>
          <w:tcPr>
            <w:tcW w:w="837" w:type="pct"/>
          </w:tcPr>
          <w:p w14:paraId="56ED11A0" w14:textId="77777777" w:rsidR="00884F00" w:rsidRPr="00131DA2" w:rsidRDefault="00884F00" w:rsidP="00AB7EDE">
            <w:pPr>
              <w:pStyle w:val="TableText0"/>
              <w:jc w:val="center"/>
            </w:pPr>
            <w:r w:rsidRPr="00131DA2">
              <w:t>-</w:t>
            </w:r>
          </w:p>
        </w:tc>
      </w:tr>
      <w:tr w:rsidR="00884F00" w:rsidRPr="00131DA2" w14:paraId="47494970" w14:textId="77777777" w:rsidTr="00CD42BD">
        <w:tc>
          <w:tcPr>
            <w:tcW w:w="705" w:type="pct"/>
            <w:vMerge/>
            <w:vAlign w:val="center"/>
          </w:tcPr>
          <w:p w14:paraId="63C1D355" w14:textId="77777777" w:rsidR="00884F00" w:rsidRPr="00131DA2" w:rsidRDefault="00884F00" w:rsidP="00AB7EDE">
            <w:pPr>
              <w:pStyle w:val="TableText0"/>
            </w:pPr>
          </w:p>
        </w:tc>
        <w:tc>
          <w:tcPr>
            <w:tcW w:w="864" w:type="pct"/>
            <w:vAlign w:val="center"/>
          </w:tcPr>
          <w:p w14:paraId="1DD5480F" w14:textId="77777777" w:rsidR="00884F00" w:rsidRPr="00131DA2" w:rsidRDefault="00884F00" w:rsidP="00AB7EDE">
            <w:pPr>
              <w:pStyle w:val="TableText0"/>
            </w:pPr>
            <w:r w:rsidRPr="00131DA2">
              <w:rPr>
                <w:rFonts w:eastAsia="Times New Roman" w:cs="Calibri"/>
                <w:szCs w:val="20"/>
              </w:rPr>
              <w:t>30 months</w:t>
            </w:r>
          </w:p>
        </w:tc>
        <w:tc>
          <w:tcPr>
            <w:tcW w:w="943" w:type="pct"/>
            <w:vAlign w:val="center"/>
          </w:tcPr>
          <w:p w14:paraId="1A3A3BAC" w14:textId="77777777" w:rsidR="00884F00" w:rsidRPr="00131DA2" w:rsidRDefault="00884F00" w:rsidP="00AB7EDE">
            <w:pPr>
              <w:pStyle w:val="TableText0"/>
              <w:jc w:val="center"/>
            </w:pPr>
            <w:r w:rsidRPr="00131DA2">
              <w:rPr>
                <w:rFonts w:eastAsia="Times New Roman" w:cs="Calibri"/>
                <w:szCs w:val="20"/>
              </w:rPr>
              <w:t>0.76 (0.62, 0.86)</w:t>
            </w:r>
          </w:p>
        </w:tc>
        <w:tc>
          <w:tcPr>
            <w:tcW w:w="943" w:type="pct"/>
            <w:vAlign w:val="center"/>
          </w:tcPr>
          <w:p w14:paraId="470FEF41" w14:textId="77777777" w:rsidR="00884F00" w:rsidRPr="00131DA2" w:rsidRDefault="00884F00" w:rsidP="00AB7EDE">
            <w:pPr>
              <w:pStyle w:val="TableText0"/>
              <w:jc w:val="center"/>
            </w:pPr>
            <w:r w:rsidRPr="00131DA2">
              <w:rPr>
                <w:rFonts w:eastAsia="Times New Roman" w:cs="Calibri"/>
                <w:szCs w:val="20"/>
              </w:rPr>
              <w:t>0.68 (0.46, 0.83)</w:t>
            </w:r>
          </w:p>
        </w:tc>
        <w:tc>
          <w:tcPr>
            <w:tcW w:w="708" w:type="pct"/>
            <w:vAlign w:val="center"/>
          </w:tcPr>
          <w:p w14:paraId="495A6C2D" w14:textId="77777777" w:rsidR="00884F00" w:rsidRPr="00131DA2" w:rsidRDefault="00884F00" w:rsidP="00AB7EDE">
            <w:pPr>
              <w:pStyle w:val="TableText0"/>
              <w:jc w:val="center"/>
            </w:pPr>
            <w:r w:rsidRPr="00131DA2">
              <w:t>8%</w:t>
            </w:r>
            <w:r w:rsidRPr="00131DA2">
              <w:rPr>
                <w:vertAlign w:val="superscript"/>
              </w:rPr>
              <w:t>#</w:t>
            </w:r>
          </w:p>
        </w:tc>
        <w:tc>
          <w:tcPr>
            <w:tcW w:w="837" w:type="pct"/>
          </w:tcPr>
          <w:p w14:paraId="2CF4D2D7" w14:textId="77777777" w:rsidR="00884F00" w:rsidRPr="00131DA2" w:rsidRDefault="00884F00" w:rsidP="00AB7EDE">
            <w:pPr>
              <w:pStyle w:val="TableText0"/>
              <w:jc w:val="center"/>
            </w:pPr>
            <w:r w:rsidRPr="00131DA2">
              <w:t>-</w:t>
            </w:r>
          </w:p>
        </w:tc>
      </w:tr>
    </w:tbl>
    <w:p w14:paraId="61932487" w14:textId="77777777" w:rsidR="00884F00" w:rsidRPr="00131DA2" w:rsidRDefault="00884F00" w:rsidP="00884F00">
      <w:pPr>
        <w:pStyle w:val="TableFigureFooter"/>
      </w:pPr>
      <w:r w:rsidRPr="00131DA2">
        <w:t>Source: Table 48, p81 and Table 49, p84 of the submission</w:t>
      </w:r>
    </w:p>
    <w:p w14:paraId="64ED3CE3" w14:textId="77777777" w:rsidR="00884F00" w:rsidRPr="00131DA2" w:rsidRDefault="00884F00" w:rsidP="00884F00">
      <w:pPr>
        <w:pStyle w:val="TableFigureFooter"/>
      </w:pPr>
      <w:r w:rsidRPr="00131DA2">
        <w:t>BICR = blinded independent central review; CI = confidence interval; DCO = data cut-off; HR = hazard ratio; NA= not applicable; NR= not reported; OS= overall survival; PFS= progression free survival</w:t>
      </w:r>
    </w:p>
    <w:p w14:paraId="7C45B53D" w14:textId="77777777" w:rsidR="00884F00" w:rsidRPr="00131DA2" w:rsidRDefault="00884F00" w:rsidP="00884F00">
      <w:pPr>
        <w:pStyle w:val="TableFigureFooter"/>
      </w:pPr>
      <w:r w:rsidRPr="00131DA2">
        <w:t>*Absolute difference in risk of progression or death at each time point (calculated during the evaluation)</w:t>
      </w:r>
    </w:p>
    <w:p w14:paraId="1946F121" w14:textId="77777777" w:rsidR="00884F00" w:rsidRPr="00131DA2" w:rsidRDefault="00884F00" w:rsidP="00884F00">
      <w:pPr>
        <w:pStyle w:val="TableFigureFooter"/>
      </w:pPr>
      <w:r w:rsidRPr="00131DA2">
        <w:rPr>
          <w:vertAlign w:val="superscript"/>
        </w:rPr>
        <w:t>#</w:t>
      </w:r>
      <w:r w:rsidRPr="00131DA2">
        <w:t>Absolute difference in risk of death at each time point (calculated during the evaluation)</w:t>
      </w:r>
    </w:p>
    <w:p w14:paraId="519D3E27" w14:textId="77777777" w:rsidR="00884F00" w:rsidRDefault="00884F00" w:rsidP="00884F00">
      <w:pPr>
        <w:pStyle w:val="TableFigureFooter"/>
      </w:pPr>
      <w:r w:rsidRPr="00131DA2">
        <w:t>^ Results were presented in the submission as survival distribution function with estimates calculated from product-limit (Kaplan-Meier) method. Confidence intervals constructed using log-log transformation</w:t>
      </w:r>
    </w:p>
    <w:p w14:paraId="18663CBB" w14:textId="77777777" w:rsidR="0070372A" w:rsidRPr="0070372A" w:rsidRDefault="0070372A" w:rsidP="00884F00">
      <w:pPr>
        <w:pStyle w:val="TableFigureFooter"/>
        <w:rPr>
          <w:i/>
        </w:rPr>
      </w:pPr>
      <w:r w:rsidRPr="0070372A">
        <w:rPr>
          <w:i/>
        </w:rPr>
        <w:t>Note that the results denoted by (*</w:t>
      </w:r>
      <w:proofErr w:type="gramStart"/>
      <w:r w:rsidRPr="0070372A">
        <w:rPr>
          <w:i/>
        </w:rPr>
        <w:t>,#</w:t>
      </w:r>
      <w:proofErr w:type="gramEnd"/>
      <w:r w:rsidRPr="0070372A">
        <w:rPr>
          <w:i/>
        </w:rPr>
        <w:t>) presented in Table 4 are derived from post-hoc analyses conducted by the evaluation specifically for the purposes of informing the PBAC consideration. These analyses were not part of the pre-specified statistical plan for PRIMA. Interpretation of the results and their application should therefore be limited to seeking to understand the basis for the PBAC outcome and should not be used for any other purpose.</w:t>
      </w:r>
    </w:p>
    <w:p w14:paraId="25348E41" w14:textId="77777777" w:rsidR="00884F00" w:rsidRPr="00131DA2" w:rsidRDefault="00884F00" w:rsidP="00884F00">
      <w:pPr>
        <w:pStyle w:val="3-BodyText"/>
      </w:pPr>
      <w:r w:rsidRPr="00131DA2">
        <w:t>The Kaplan-Meier plots of PFS and OS for the ITT population in PRIMA are presented below.</w:t>
      </w:r>
    </w:p>
    <w:p w14:paraId="6C420F8E" w14:textId="77777777" w:rsidR="00884F00" w:rsidRPr="00131DA2" w:rsidRDefault="00884F00" w:rsidP="00884F00">
      <w:pPr>
        <w:pStyle w:val="TableFigureHeading"/>
      </w:pPr>
      <w:r w:rsidRPr="00131DA2">
        <w:t xml:space="preserve">Figure </w:t>
      </w:r>
      <w:r w:rsidR="008A7614">
        <w:rPr>
          <w:noProof/>
        </w:rPr>
        <w:t>1</w:t>
      </w:r>
      <w:r w:rsidRPr="00131DA2">
        <w:t>: Kaplan-Meier plot for PFS per BICR assessment – primary analyses (PRIMA, overall ITT population, DCO: May 2019)</w:t>
      </w:r>
    </w:p>
    <w:p w14:paraId="3D5BA06A" w14:textId="77777777" w:rsidR="00884F00" w:rsidRPr="00131DA2" w:rsidRDefault="00884F00" w:rsidP="00884F00">
      <w:pPr>
        <w:pStyle w:val="TableFigureHeading"/>
        <w:rPr>
          <w:color w:val="0066FF"/>
        </w:rPr>
      </w:pPr>
      <w:r w:rsidRPr="00131DA2">
        <w:rPr>
          <w:noProof/>
          <w:color w:val="0066FF"/>
        </w:rPr>
        <w:drawing>
          <wp:inline distT="0" distB="0" distL="0" distR="0" wp14:anchorId="2EBE45DF" wp14:editId="6E550AFB">
            <wp:extent cx="5852160" cy="2702257"/>
            <wp:effectExtent l="0" t="0" r="0" b="3175"/>
            <wp:docPr id="23" name="Picture 23" title="Figure 1: Kaplan-Meier plot for PFS per BICR assessment – primary analyses (PRIMA, overall ITT population, DCO: May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2364" cy="2706969"/>
                    </a:xfrm>
                    <a:prstGeom prst="rect">
                      <a:avLst/>
                    </a:prstGeom>
                    <a:noFill/>
                  </pic:spPr>
                </pic:pic>
              </a:graphicData>
            </a:graphic>
          </wp:inline>
        </w:drawing>
      </w:r>
    </w:p>
    <w:p w14:paraId="7F25D6A6" w14:textId="77777777" w:rsidR="00884F00" w:rsidRPr="00131DA2" w:rsidRDefault="00884F00" w:rsidP="00884F00">
      <w:pPr>
        <w:pStyle w:val="TableFigureFooter"/>
      </w:pPr>
      <w:r w:rsidRPr="00131DA2">
        <w:t>Source: Figure 10, p82 of the submission.</w:t>
      </w:r>
    </w:p>
    <w:p w14:paraId="69A89DD5" w14:textId="77777777" w:rsidR="00884F00" w:rsidRPr="00131DA2" w:rsidRDefault="00884F00" w:rsidP="00884F00">
      <w:pPr>
        <w:pStyle w:val="TableFigureFooter"/>
      </w:pPr>
      <w:r w:rsidRPr="00131DA2">
        <w:t>PFS = progression free survival; BICR = blinded independent central review; ITT = intention to treat; DCO = data cut off.</w:t>
      </w:r>
    </w:p>
    <w:p w14:paraId="04BBD437" w14:textId="77777777" w:rsidR="00884F00" w:rsidRPr="00131DA2" w:rsidRDefault="00884F00" w:rsidP="00884F00"/>
    <w:p w14:paraId="34C901AC" w14:textId="77777777" w:rsidR="00884F00" w:rsidRPr="00131DA2" w:rsidRDefault="00884F00" w:rsidP="00884F00">
      <w:pPr>
        <w:pStyle w:val="TableFigureHeading"/>
      </w:pPr>
      <w:r w:rsidRPr="00131DA2">
        <w:t xml:space="preserve">Figure </w:t>
      </w:r>
      <w:r w:rsidR="008A7614">
        <w:rPr>
          <w:noProof/>
        </w:rPr>
        <w:t>2</w:t>
      </w:r>
      <w:r w:rsidRPr="00131DA2">
        <w:t>: Kaplan-Meier plot for overall survival (PRIMA, overall ITT population, DCO: May 2019)</w:t>
      </w:r>
    </w:p>
    <w:p w14:paraId="1E51E619" w14:textId="77777777" w:rsidR="00884F00" w:rsidRPr="00131DA2" w:rsidRDefault="00884F00" w:rsidP="00884F00">
      <w:pPr>
        <w:pStyle w:val="In-tableHeading"/>
        <w:rPr>
          <w:lang w:val="en-AU"/>
        </w:rPr>
      </w:pPr>
      <w:r w:rsidRPr="00131DA2">
        <w:rPr>
          <w:noProof/>
          <w:lang w:val="en-AU"/>
        </w:rPr>
        <w:drawing>
          <wp:inline distT="0" distB="0" distL="0" distR="0" wp14:anchorId="007A9D18" wp14:editId="080BC35A">
            <wp:extent cx="5788025" cy="2906973"/>
            <wp:effectExtent l="0" t="0" r="3175" b="8255"/>
            <wp:docPr id="24" name="Picture 24" title="Figure 2: Kaplan-Meier plot for overall survival (PRIMA, overall ITT population, DCO: May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141" cy="2913560"/>
                    </a:xfrm>
                    <a:prstGeom prst="rect">
                      <a:avLst/>
                    </a:prstGeom>
                    <a:noFill/>
                  </pic:spPr>
                </pic:pic>
              </a:graphicData>
            </a:graphic>
          </wp:inline>
        </w:drawing>
      </w:r>
    </w:p>
    <w:p w14:paraId="46F512EA" w14:textId="77777777" w:rsidR="00884F00" w:rsidRPr="00131DA2" w:rsidRDefault="00884F00" w:rsidP="00884F00">
      <w:pPr>
        <w:pStyle w:val="TableFigureFooter"/>
      </w:pPr>
      <w:r w:rsidRPr="00131DA2">
        <w:t>Source: Figure 13, p84 of the submission.</w:t>
      </w:r>
    </w:p>
    <w:p w14:paraId="42E37FF0" w14:textId="77777777" w:rsidR="00884F00" w:rsidRPr="00131DA2" w:rsidRDefault="00884F00" w:rsidP="00884F00">
      <w:pPr>
        <w:pStyle w:val="TableFigureFooter"/>
      </w:pPr>
      <w:r w:rsidRPr="00131DA2">
        <w:t>ITT = intention to treat; DCO = data cut off</w:t>
      </w:r>
    </w:p>
    <w:p w14:paraId="2CAFE75D" w14:textId="77777777" w:rsidR="00884F00" w:rsidRPr="00F60318" w:rsidRDefault="00884F00" w:rsidP="00884F00">
      <w:pPr>
        <w:pStyle w:val="3-BodyText"/>
      </w:pPr>
      <w:r w:rsidRPr="00131DA2">
        <w:t xml:space="preserve">Over a median follow-up of 14 months (for PFS), there was a 38% reduction in the risk of progression or death according to the blinded independent central review (BICR) </w:t>
      </w:r>
      <w:r w:rsidRPr="00F60318">
        <w:t xml:space="preserve">assessment in the niraparib arm compared to the placebo arm. The median PFS was extended by 5.6 months in favour of niraparib. The PFS Kaplan-Meier plot demonstrated </w:t>
      </w:r>
      <w:r w:rsidRPr="00F60318">
        <w:rPr>
          <w:bCs/>
        </w:rPr>
        <w:t>a distinct separation in the curves in favour of niraparib.</w:t>
      </w:r>
    </w:p>
    <w:p w14:paraId="734BB811" w14:textId="77777777" w:rsidR="00577C49" w:rsidRPr="00F60318" w:rsidRDefault="00884F00" w:rsidP="00F30B8E">
      <w:pPr>
        <w:pStyle w:val="3-BodyText"/>
      </w:pPr>
      <w:r w:rsidRPr="00F60318">
        <w:t xml:space="preserve">OS data were immature. Over a median follow-up of 15.3 months, a total of 79 patients had died, including 48 </w:t>
      </w:r>
      <w:r w:rsidR="00693782">
        <w:t xml:space="preserve">of 487 </w:t>
      </w:r>
      <w:r w:rsidRPr="00F60318">
        <w:t xml:space="preserve">(9.9%) and 31 </w:t>
      </w:r>
      <w:r w:rsidR="00693782">
        <w:t xml:space="preserve">of 246 </w:t>
      </w:r>
      <w:r w:rsidRPr="00F60318">
        <w:t xml:space="preserve">(12.6%) randomised to the niraparib and placebo arms, respectively. The median OS was not reached </w:t>
      </w:r>
      <w:r w:rsidR="00AC3BF1" w:rsidRPr="00F60318">
        <w:t>in either</w:t>
      </w:r>
      <w:r w:rsidRPr="00F60318">
        <w:t xml:space="preserve"> arm of the trial, with hazard ratio showing no statistically significant OS benefit</w:t>
      </w:r>
      <w:r w:rsidR="00AC3BF1" w:rsidRPr="00F60318">
        <w:t xml:space="preserve"> (</w:t>
      </w:r>
      <w:r w:rsidR="00AC3BF1" w:rsidRPr="00F60318">
        <w:rPr>
          <w:rFonts w:cs="Times New Roman"/>
        </w:rPr>
        <w:t>HR = 0.70, 95% CI: 0.44, 1.11</w:t>
      </w:r>
      <w:r w:rsidR="00AC3BF1" w:rsidRPr="00F60318">
        <w:t>)</w:t>
      </w:r>
      <w:r w:rsidRPr="00F60318">
        <w:t>.</w:t>
      </w:r>
      <w:r w:rsidR="002A6053" w:rsidRPr="00F60318">
        <w:t xml:space="preserve"> The PSCR noted that further reporting of OS from PRIMA is not expected until 2025 and acknowledged that the current estimates from the primary </w:t>
      </w:r>
      <w:r w:rsidR="00A1787B" w:rsidRPr="00F60318">
        <w:t>data cut</w:t>
      </w:r>
      <w:r w:rsidR="002A6053" w:rsidRPr="00F60318">
        <w:t xml:space="preserve"> are based on limited event rates. </w:t>
      </w:r>
    </w:p>
    <w:p w14:paraId="3AE169D9" w14:textId="77777777" w:rsidR="00884F00" w:rsidRPr="00131DA2" w:rsidRDefault="00884F00" w:rsidP="00884F00">
      <w:pPr>
        <w:pStyle w:val="3-BodyText"/>
      </w:pPr>
      <w:r w:rsidRPr="00F60318">
        <w:t>Baseline global health status/quality of life per EORTC-QLQ-C30 were similar between placebo and niraparib subjects in the overall population. No statistically significant differences (p&gt;0.05) were observed between the two treatment arms during the treatment period for most assessment visits. The QLQ-C30 supplement specifically for ovarian cancer patients, OV28, also did not indicate any consistent differences in health</w:t>
      </w:r>
      <w:r w:rsidRPr="00131DA2">
        <w:t>-related quality of life scores between niraparib- and placebo treated subjects in the overall population.</w:t>
      </w:r>
    </w:p>
    <w:p w14:paraId="74A68577" w14:textId="77777777" w:rsidR="00D35A5B" w:rsidRPr="00131DA2" w:rsidRDefault="00E80AE2" w:rsidP="008C40C8">
      <w:pPr>
        <w:pStyle w:val="3-BodyText"/>
      </w:pPr>
      <w:r w:rsidRPr="00131DA2">
        <w:t xml:space="preserve">The submission </w:t>
      </w:r>
      <w:r w:rsidR="00AC3BF1" w:rsidRPr="00131DA2">
        <w:t xml:space="preserve">noted that the </w:t>
      </w:r>
      <w:r w:rsidRPr="00131DA2">
        <w:t>ISD</w:t>
      </w:r>
      <w:r w:rsidR="00AC3BF1" w:rsidRPr="00131DA2">
        <w:t xml:space="preserve"> is expected to be used in practice</w:t>
      </w:r>
      <w:r w:rsidRPr="00131DA2">
        <w:t xml:space="preserve">. The </w:t>
      </w:r>
      <w:r w:rsidR="00155EE0" w:rsidRPr="00131DA2">
        <w:t xml:space="preserve">Commentary </w:t>
      </w:r>
      <w:r w:rsidR="00007E7D">
        <w:t>noted</w:t>
      </w:r>
      <w:r w:rsidRPr="00131DA2">
        <w:t xml:space="preserve"> that</w:t>
      </w:r>
      <w:r w:rsidR="00007E7D">
        <w:t xml:space="preserve"> the </w:t>
      </w:r>
      <w:r w:rsidRPr="00131DA2">
        <w:t xml:space="preserve">HR was </w:t>
      </w:r>
      <w:r w:rsidR="003A6989">
        <w:t>superior</w:t>
      </w:r>
      <w:r w:rsidR="003A6989" w:rsidRPr="00131DA2">
        <w:t xml:space="preserve"> </w:t>
      </w:r>
      <w:r w:rsidRPr="00131DA2">
        <w:t xml:space="preserve">for the FSD compared with the HR for the ISD subgroup (HR= 0.59, 95% CI: 0.46, 0.76 for the FSD and HR= 0.69, 95% CI: 0.48, 0.98 for the ISD), though the PRIMA trial was not powered to detect differences between the ISD and the FSD. </w:t>
      </w:r>
      <w:bookmarkStart w:id="21" w:name="_Ref74821551"/>
      <w:r w:rsidR="00155EE0" w:rsidRPr="00131DA2">
        <w:t xml:space="preserve">The TGA delegate noted that the comparison of ISD to FSD was limited by the small sample size and the post-hoc, indirect nature of the analysis. However, there was no signal of reduced efficacy and haematological toxicity was significantly reduced. </w:t>
      </w:r>
      <w:r w:rsidR="00D35A5B" w:rsidRPr="00131DA2">
        <w:t xml:space="preserve">The ESC </w:t>
      </w:r>
      <w:r w:rsidR="00526D7F" w:rsidRPr="00131DA2">
        <w:t xml:space="preserve">noted that in PRIMA 76% of patients on FSD had dose reductions, suggesting that the doses between groups were likely to be similar. The ESC </w:t>
      </w:r>
      <w:r w:rsidR="00D35A5B" w:rsidRPr="00131DA2">
        <w:t xml:space="preserve">considered that </w:t>
      </w:r>
      <w:r w:rsidR="00F03628" w:rsidRPr="00131DA2">
        <w:t xml:space="preserve">the ISD approach is unlikely to have </w:t>
      </w:r>
      <w:r w:rsidR="009B1094" w:rsidRPr="00131DA2">
        <w:t xml:space="preserve">had </w:t>
      </w:r>
      <w:r w:rsidR="00F03628" w:rsidRPr="00131DA2">
        <w:t xml:space="preserve">a major impact on efficacy outcomes </w:t>
      </w:r>
      <w:r w:rsidR="009B1094" w:rsidRPr="00131DA2">
        <w:t xml:space="preserve">and differences in the HR for the subgroups are likely to be due to chance rather than any </w:t>
      </w:r>
      <w:r w:rsidR="00AC3BF1" w:rsidRPr="00131DA2">
        <w:t xml:space="preserve">true </w:t>
      </w:r>
      <w:r w:rsidR="009B1094" w:rsidRPr="00131DA2">
        <w:t>underlying differences in efficacy based on the approach to dosing.</w:t>
      </w:r>
      <w:bookmarkEnd w:id="21"/>
      <w:r w:rsidR="004D10AE">
        <w:t xml:space="preserve">  The PBAC agreed </w:t>
      </w:r>
      <w:r w:rsidR="00007E7D">
        <w:t xml:space="preserve">with the ESC </w:t>
      </w:r>
      <w:r w:rsidR="004D10AE">
        <w:t xml:space="preserve">that in clinical practice, efficacy is likely to be similar for ISD </w:t>
      </w:r>
      <w:r w:rsidR="00906BD2">
        <w:t xml:space="preserve">and FSD approaches </w:t>
      </w:r>
      <w:r w:rsidR="004D10AE">
        <w:t xml:space="preserve">because a high rate of dose reductions would be expected </w:t>
      </w:r>
      <w:r w:rsidR="00906BD2">
        <w:t>for the latter approach</w:t>
      </w:r>
      <w:r w:rsidR="004D10AE">
        <w:t>, as seen in PRIMA.</w:t>
      </w:r>
    </w:p>
    <w:p w14:paraId="335B2C0E" w14:textId="77777777" w:rsidR="00884F00" w:rsidRPr="00131DA2" w:rsidRDefault="00884F00" w:rsidP="00884F00">
      <w:pPr>
        <w:pStyle w:val="3-BodyText"/>
      </w:pPr>
      <w:bookmarkStart w:id="22" w:name="_Ref78797195"/>
      <w:r w:rsidRPr="00131DA2">
        <w:t>The benefit of niraparib versus placebo in terms of PFS in clinical practice may have been overestimated, based on the results in the ITT analysis in PRIMA:</w:t>
      </w:r>
      <w:bookmarkEnd w:id="22"/>
    </w:p>
    <w:p w14:paraId="4BB5D872" w14:textId="77777777" w:rsidR="00884F00" w:rsidRPr="00131DA2" w:rsidRDefault="00884F00" w:rsidP="0095519F">
      <w:pPr>
        <w:pStyle w:val="ListParagraph"/>
        <w:ind w:left="1077" w:hanging="357"/>
      </w:pPr>
      <w:r w:rsidRPr="00131DA2">
        <w:t xml:space="preserve">About 30% (223/733) of patients in PRIMA had BRCAm and the treatment benefit of niraparib in the BRCAm subgroup was larger than that in the ITT population. There was a 60% reduction in the risk of progression or death (per BICR) for patients randomised to receive niraparib compared to placebo for BRCAm subgroup (HR = 0.40, 95% CI: 0.265, 0.618). Comparing niraparib with placebo within the BRCAm patients in PRIMA biased the results in favour of niraparib, since placebo </w:t>
      </w:r>
      <w:r w:rsidR="001931D0" w:rsidRPr="00131DA2">
        <w:t xml:space="preserve">is </w:t>
      </w:r>
      <w:r w:rsidRPr="00131DA2">
        <w:t>an inferior comparator for thes</w:t>
      </w:r>
      <w:r w:rsidR="009F1778" w:rsidRPr="00131DA2">
        <w:t xml:space="preserve">e patients in </w:t>
      </w:r>
      <w:r w:rsidR="00525565" w:rsidRPr="00131DA2">
        <w:t xml:space="preserve">current </w:t>
      </w:r>
      <w:r w:rsidR="009F1778" w:rsidRPr="00131DA2">
        <w:t>clinical practice</w:t>
      </w:r>
      <w:r w:rsidR="000B73DD" w:rsidRPr="00131DA2">
        <w:t>.</w:t>
      </w:r>
    </w:p>
    <w:p w14:paraId="1A3D7292" w14:textId="77777777" w:rsidR="003576BE" w:rsidRPr="003576BE" w:rsidRDefault="00884F00" w:rsidP="003576BE">
      <w:pPr>
        <w:pStyle w:val="ListParagraph"/>
        <w:ind w:left="1077" w:hanging="357"/>
      </w:pPr>
      <w:r w:rsidRPr="00131DA2">
        <w:t xml:space="preserve">Fifty one percent of patients in PRIMA had HRD positive tumours. Niraparib appears to be more effective in terms of PFS among patients with HRD positive tumours (HR= 0.43, 95% CI: 0.31, 0.59) compared to patients with HRD negative </w:t>
      </w:r>
      <w:r w:rsidR="000B1989" w:rsidRPr="00131DA2">
        <w:t xml:space="preserve">tumours </w:t>
      </w:r>
      <w:r w:rsidRPr="00131DA2">
        <w:t>(HR= 0.68, 95% CI: 0.49, 0.94) or no</w:t>
      </w:r>
      <w:r w:rsidR="00D22F7B" w:rsidRPr="00131DA2">
        <w:t xml:space="preserve">t determined </w:t>
      </w:r>
      <w:r w:rsidRPr="00131DA2">
        <w:t xml:space="preserve">(HR= 0.85, 95% CI: 0.51, 1.43). </w:t>
      </w:r>
    </w:p>
    <w:p w14:paraId="426106C2" w14:textId="77777777" w:rsidR="003A35DE" w:rsidRPr="00131DA2" w:rsidRDefault="00653113" w:rsidP="0095519F">
      <w:pPr>
        <w:pStyle w:val="ListParagraph"/>
        <w:ind w:left="1077" w:hanging="357"/>
      </w:pPr>
      <w:r w:rsidRPr="00131DA2">
        <w:t>PRIMA was only relevant to Stage III R0-1 non-BRCAm patients in clinical practice</w:t>
      </w:r>
      <w:r w:rsidR="00FE4E0C" w:rsidRPr="00131DA2">
        <w:t xml:space="preserve"> and higher risk non-BRCAm patients who do not elect to be treated with bevacizumab</w:t>
      </w:r>
      <w:r w:rsidRPr="00131DA2">
        <w:t xml:space="preserve">, as this was the group for which placebo </w:t>
      </w:r>
      <w:r w:rsidR="00824248" w:rsidRPr="00131DA2">
        <w:t>i</w:t>
      </w:r>
      <w:r w:rsidRPr="00131DA2">
        <w:t xml:space="preserve">s an appropriate comparator. </w:t>
      </w:r>
      <w:r w:rsidR="00824248" w:rsidRPr="00131DA2">
        <w:t xml:space="preserve">The submission presented the subgroup analysis for Stage III R0-1 non-BRCAm patients </w:t>
      </w:r>
      <w:r w:rsidR="002C0CB6" w:rsidRPr="00131DA2">
        <w:t>(HR 0.52, 95% CI: 0.38, 0.72)</w:t>
      </w:r>
      <w:r w:rsidR="0070372A">
        <w:rPr>
          <w:rStyle w:val="FootnoteReference"/>
        </w:rPr>
        <w:footnoteReference w:id="8"/>
      </w:r>
      <w:r w:rsidR="002C0CB6" w:rsidRPr="00131DA2">
        <w:t xml:space="preserve">. </w:t>
      </w:r>
      <w:r w:rsidRPr="00131DA2">
        <w:t xml:space="preserve">However, BRCAm status was not a stratification factor at randomisation and </w:t>
      </w:r>
      <w:r w:rsidR="002C0CB6" w:rsidRPr="00131DA2">
        <w:t xml:space="preserve">the </w:t>
      </w:r>
      <w:r w:rsidRPr="00131DA2">
        <w:t>subgroup analysis for Stage III R0-1 non-BRCAm patients was post-hoc and exploratory. Although niraparib may be more effective than placebo in terms of reduction in the risk of progression, the magnitude of the treatment benefit cannot be reliably assessed based on the subgroup analysis.</w:t>
      </w:r>
      <w:r w:rsidR="00552C83" w:rsidRPr="00131DA2">
        <w:t xml:space="preserve"> </w:t>
      </w:r>
      <w:r w:rsidR="000F47F8" w:rsidRPr="00131DA2">
        <w:t>The ESC noted that insufficient information regarding this subgroup was provided in the submission to allow a comprehensive evaluation of the clinical effectiveness reported. Importantly, baseline demographic information was not provided, particularly with regard to HRD status. Therefore, t</w:t>
      </w:r>
      <w:r w:rsidR="003A35DE" w:rsidRPr="00131DA2">
        <w:t>he ESC</w:t>
      </w:r>
      <w:r w:rsidR="005E2B7F" w:rsidRPr="00131DA2">
        <w:t xml:space="preserve"> agreed with the Commentary that there was a high degree of uncertainty associated with this post</w:t>
      </w:r>
      <w:r w:rsidR="00552C83" w:rsidRPr="00131DA2">
        <w:noBreakHyphen/>
      </w:r>
      <w:r w:rsidR="005E2B7F" w:rsidRPr="00131DA2">
        <w:t>hoc subgroup analysis and noted that this subgroup was modelled in a scenario analysis in the economic model.</w:t>
      </w:r>
    </w:p>
    <w:p w14:paraId="1F4D1167" w14:textId="77777777" w:rsidR="004A3EC4" w:rsidRDefault="003576BE" w:rsidP="00E94935">
      <w:pPr>
        <w:pStyle w:val="3-BodyText"/>
      </w:pPr>
      <w:r>
        <w:t xml:space="preserve">The PBAC noted that the </w:t>
      </w:r>
      <w:r w:rsidR="00FA5546">
        <w:t>PFS</w:t>
      </w:r>
      <w:r>
        <w:t xml:space="preserve"> results for niraparib </w:t>
      </w:r>
      <w:r w:rsidR="002436EF">
        <w:t xml:space="preserve">compared with placebo </w:t>
      </w:r>
      <w:r>
        <w:t xml:space="preserve">differed substantially </w:t>
      </w:r>
      <w:r w:rsidR="00906BD2">
        <w:t>for</w:t>
      </w:r>
      <w:r>
        <w:t xml:space="preserve"> patient subgroup</w:t>
      </w:r>
      <w:r w:rsidR="00906BD2">
        <w:t>s based on BRCA and HRD status</w:t>
      </w:r>
      <w:r w:rsidR="007E08CC">
        <w:t xml:space="preserve"> and this was consistent with trials for other PARP inhibitors</w:t>
      </w:r>
      <w:r w:rsidR="00DB2123">
        <w:t xml:space="preserve"> in the first line setting</w:t>
      </w:r>
      <w:r w:rsidR="007E08CC">
        <w:t xml:space="preserve"> (olaparib + bevacizumab PAOLA-1 trial, and veliparib VELIA trial)</w:t>
      </w:r>
      <w:r w:rsidR="00E94935">
        <w:t>.</w:t>
      </w:r>
    </w:p>
    <w:p w14:paraId="6AA1567C" w14:textId="77777777" w:rsidR="00794E95" w:rsidRPr="00131DA2" w:rsidRDefault="00884F00" w:rsidP="00D647B5">
      <w:pPr>
        <w:pStyle w:val="3-BodyText"/>
      </w:pPr>
      <w:r w:rsidRPr="00131DA2">
        <w:t xml:space="preserve">The relevance of the ITT results of PRIMA to Australian clinical practice was limited </w:t>
      </w:r>
      <w:r w:rsidR="00974457" w:rsidRPr="00131DA2">
        <w:t xml:space="preserve">as </w:t>
      </w:r>
      <w:r w:rsidRPr="00131DA2">
        <w:t>a considerable proportion of patients in the control arm (BRCAm, sub</w:t>
      </w:r>
      <w:r w:rsidR="00BC317C" w:rsidRPr="00131DA2">
        <w:t>-</w:t>
      </w:r>
      <w:r w:rsidRPr="00131DA2">
        <w:t xml:space="preserve">optimally debulked </w:t>
      </w:r>
      <w:r w:rsidR="00AB7EDE" w:rsidRPr="00131DA2">
        <w:t xml:space="preserve">Stage IIIB/IIIC </w:t>
      </w:r>
      <w:r w:rsidRPr="00131DA2">
        <w:t xml:space="preserve">and Stage IV) were treated with placebo, while there are active treatments </w:t>
      </w:r>
      <w:r w:rsidR="00525565" w:rsidRPr="00131DA2">
        <w:t xml:space="preserve">(olaparib and bevacizumab) </w:t>
      </w:r>
      <w:r w:rsidRPr="00131DA2">
        <w:t xml:space="preserve">available in </w:t>
      </w:r>
      <w:r w:rsidR="005A78E2" w:rsidRPr="00131DA2">
        <w:t xml:space="preserve">current </w:t>
      </w:r>
      <w:r w:rsidRPr="00131DA2">
        <w:t>clinical practice</w:t>
      </w:r>
      <w:r w:rsidR="002C0CB6" w:rsidRPr="00131DA2">
        <w:t>.</w:t>
      </w:r>
      <w:r w:rsidR="00D647B5" w:rsidRPr="00131DA2">
        <w:t xml:space="preserve"> The ESC noted that approximately one quarter of the proposed patient population would be expected to be BRCAm and therefore eligible for PBS olaparib, consistent with the estimate of 25.3% recognised by the PBAC previously (olaparib PSD, July 2020 PBAC meeting), thereby supporting the importance</w:t>
      </w:r>
      <w:r w:rsidR="00983E2E" w:rsidRPr="00131DA2">
        <w:t xml:space="preserve"> of</w:t>
      </w:r>
      <w:r w:rsidR="00D647B5" w:rsidRPr="00131DA2">
        <w:t xml:space="preserve"> olaparib as a relevant comparator in Australian clinical practice.</w:t>
      </w:r>
    </w:p>
    <w:p w14:paraId="4A7FCA7B" w14:textId="77777777" w:rsidR="00914DE5" w:rsidRPr="00131DA2" w:rsidRDefault="00884F00" w:rsidP="00940464">
      <w:pPr>
        <w:pStyle w:val="3-BodyText"/>
      </w:pPr>
      <w:r w:rsidRPr="00131DA2">
        <w:t>A</w:t>
      </w:r>
      <w:r w:rsidR="0097600E" w:rsidRPr="00131DA2">
        <w:t>n</w:t>
      </w:r>
      <w:r w:rsidRPr="00131DA2">
        <w:t xml:space="preserve"> </w:t>
      </w:r>
      <w:r w:rsidR="0097600E" w:rsidRPr="00131DA2">
        <w:t xml:space="preserve">anchored </w:t>
      </w:r>
      <w:r w:rsidRPr="00131DA2">
        <w:t xml:space="preserve">indirect comparison (performed during the evaluation) between niraparib and olaparib (in terms of PFS) was numerically in favour of olaparib and did not rule out inferiority of niraparib to olaparib (HR = 1.43, 95% CI: 0.83, 2.45 </w:t>
      </w:r>
      <w:r w:rsidR="00552C83" w:rsidRPr="00131DA2">
        <w:t xml:space="preserve">for niraparib versus olaparib in the overall BRCAm patient population, </w:t>
      </w:r>
      <w:r w:rsidRPr="00131DA2">
        <w:t xml:space="preserve">and HR = 1.11, 95% CI: 0.58, </w:t>
      </w:r>
      <w:r w:rsidR="00A01554" w:rsidRPr="00131DA2">
        <w:t>2.12 for</w:t>
      </w:r>
      <w:r w:rsidR="00552C83" w:rsidRPr="00131DA2">
        <w:t xml:space="preserve"> </w:t>
      </w:r>
      <w:r w:rsidRPr="00131DA2">
        <w:t>niraparib versus olaparib in BRCAm patient population post NACT-IDS</w:t>
      </w:r>
      <w:r w:rsidR="00552C83" w:rsidRPr="00131DA2">
        <w:t xml:space="preserve"> subgroup</w:t>
      </w:r>
      <w:r w:rsidR="0097600E" w:rsidRPr="00131DA2">
        <w:t>)</w:t>
      </w:r>
      <w:r w:rsidR="0070372A">
        <w:rPr>
          <w:rStyle w:val="FootnoteReference"/>
        </w:rPr>
        <w:footnoteReference w:id="9"/>
      </w:r>
      <w:r w:rsidR="00BA2F50">
        <w:rPr>
          <w:vertAlign w:val="superscript"/>
        </w:rPr>
        <w:t>,</w:t>
      </w:r>
      <w:r w:rsidR="0070372A">
        <w:rPr>
          <w:rStyle w:val="FootnoteReference"/>
        </w:rPr>
        <w:footnoteReference w:id="10"/>
      </w:r>
      <w:r w:rsidRPr="00131DA2">
        <w:t>.</w:t>
      </w:r>
      <w:r w:rsidR="007236BB" w:rsidRPr="00131DA2">
        <w:t xml:space="preserve"> Th</w:t>
      </w:r>
      <w:r w:rsidR="00544133" w:rsidRPr="00131DA2">
        <w:t>e PSCR stated that these analyses have the potential to mislead (due to heteroge</w:t>
      </w:r>
      <w:r w:rsidR="00A1787B" w:rsidRPr="00131DA2">
        <w:t>ne</w:t>
      </w:r>
      <w:r w:rsidR="00544133" w:rsidRPr="00131DA2">
        <w:t>ity across the trials</w:t>
      </w:r>
      <w:r w:rsidR="007236BB" w:rsidRPr="00131DA2">
        <w:t xml:space="preserve"> that may confound the ITC</w:t>
      </w:r>
      <w:r w:rsidR="00544133" w:rsidRPr="00131DA2">
        <w:t>).</w:t>
      </w:r>
    </w:p>
    <w:p w14:paraId="2387BF0E" w14:textId="77777777" w:rsidR="00AB7813" w:rsidRPr="00131DA2" w:rsidRDefault="00CA5A9E" w:rsidP="006472CA">
      <w:pPr>
        <w:pStyle w:val="3-BodyText"/>
        <w:numPr>
          <w:ilvl w:val="0"/>
          <w:numId w:val="0"/>
        </w:numPr>
        <w:ind w:left="720"/>
      </w:pPr>
      <w:r w:rsidRPr="00131DA2">
        <w:t>The Commentary suggested that to inform the treatment effect of niraparib compared with its appropriate comparators, a more reasonable approach may have been to pursue an indirect comparison using the Bucher method, or a matched-adjusted indirect comparison</w:t>
      </w:r>
      <w:r w:rsidR="00E94935">
        <w:t xml:space="preserve"> (MAIC)</w:t>
      </w:r>
      <w:r w:rsidRPr="00131DA2">
        <w:t xml:space="preserve">, and discuss concerns regarding the transitivity of the studies in the context of the results. </w:t>
      </w:r>
      <w:r w:rsidR="00D647B5" w:rsidRPr="00131DA2">
        <w:t>The PSCR</w:t>
      </w:r>
      <w:r w:rsidR="005B1D46" w:rsidRPr="00131DA2">
        <w:t xml:space="preserve"> </w:t>
      </w:r>
      <w:r w:rsidR="000728C4">
        <w:t xml:space="preserve">and pre-PBAC </w:t>
      </w:r>
      <w:r w:rsidR="005B1D46" w:rsidRPr="00131DA2">
        <w:t xml:space="preserve">maintained that </w:t>
      </w:r>
      <w:r w:rsidR="005B1D46" w:rsidRPr="000728C4">
        <w:rPr>
          <w:color w:val="000000" w:themeColor="text1"/>
        </w:rPr>
        <w:t xml:space="preserve">significant issues of heterogeneity across PRIMA </w:t>
      </w:r>
      <w:r w:rsidR="00794E95" w:rsidRPr="000728C4">
        <w:rPr>
          <w:color w:val="000000" w:themeColor="text1"/>
        </w:rPr>
        <w:t xml:space="preserve">and </w:t>
      </w:r>
      <w:r w:rsidR="005B1D46" w:rsidRPr="000728C4">
        <w:rPr>
          <w:color w:val="000000" w:themeColor="text1"/>
        </w:rPr>
        <w:t>SOLO</w:t>
      </w:r>
      <w:r w:rsidR="005B1D46" w:rsidRPr="000728C4">
        <w:rPr>
          <w:color w:val="000000" w:themeColor="text1"/>
        </w:rPr>
        <w:noBreakHyphen/>
        <w:t>1</w:t>
      </w:r>
      <w:r w:rsidR="00794E95" w:rsidRPr="000728C4">
        <w:rPr>
          <w:color w:val="000000" w:themeColor="text1"/>
        </w:rPr>
        <w:t xml:space="preserve"> </w:t>
      </w:r>
      <w:r w:rsidR="005B1D46" w:rsidRPr="000728C4">
        <w:rPr>
          <w:color w:val="000000" w:themeColor="text1"/>
        </w:rPr>
        <w:t xml:space="preserve">trials </w:t>
      </w:r>
      <w:r w:rsidRPr="000728C4">
        <w:rPr>
          <w:color w:val="000000" w:themeColor="text1"/>
        </w:rPr>
        <w:t xml:space="preserve">(in terms of disease stage and extent of residual disease) </w:t>
      </w:r>
      <w:r w:rsidR="005B1D46" w:rsidRPr="000728C4">
        <w:rPr>
          <w:color w:val="000000" w:themeColor="text1"/>
        </w:rPr>
        <w:t>will confound an indirect treatment comparison,</w:t>
      </w:r>
      <w:r w:rsidR="00637B66" w:rsidRPr="000728C4">
        <w:rPr>
          <w:color w:val="000000" w:themeColor="text1"/>
        </w:rPr>
        <w:t xml:space="preserve"> and argued that a MAIC between gBRCA cohorts in SOLO-1 and PRIMA is not feasible given the limited overlap in residual disease categories,</w:t>
      </w:r>
      <w:r w:rsidR="005B1D46" w:rsidRPr="000728C4">
        <w:rPr>
          <w:color w:val="000000" w:themeColor="text1"/>
        </w:rPr>
        <w:t xml:space="preserve"> thereby precluding a clinical conclusion based on niraparib vs olaparib</w:t>
      </w:r>
      <w:r w:rsidR="00104A3D">
        <w:rPr>
          <w:color w:val="000000" w:themeColor="text1"/>
        </w:rPr>
        <w:t xml:space="preserve"> (see also paragraph </w:t>
      </w:r>
      <w:r w:rsidR="00440139">
        <w:rPr>
          <w:color w:val="000000" w:themeColor="text1"/>
        </w:rPr>
        <w:t>6.9)</w:t>
      </w:r>
      <w:r w:rsidR="005B1D46" w:rsidRPr="000728C4">
        <w:rPr>
          <w:color w:val="000000" w:themeColor="text1"/>
        </w:rPr>
        <w:t xml:space="preserve">. </w:t>
      </w:r>
    </w:p>
    <w:p w14:paraId="29B944EB" w14:textId="77777777" w:rsidR="00884F00" w:rsidRPr="00131DA2" w:rsidRDefault="00884F00" w:rsidP="00884F00">
      <w:pPr>
        <w:pStyle w:val="4-SubsectionHeading"/>
      </w:pPr>
      <w:bookmarkStart w:id="23" w:name="_Toc72246807"/>
      <w:r w:rsidRPr="00131DA2">
        <w:t>Comparative harms</w:t>
      </w:r>
      <w:bookmarkEnd w:id="23"/>
    </w:p>
    <w:p w14:paraId="4395B420" w14:textId="77777777" w:rsidR="00884F00" w:rsidRPr="00131DA2" w:rsidRDefault="00884F00" w:rsidP="00884F00">
      <w:pPr>
        <w:pStyle w:val="3-BodyText"/>
      </w:pPr>
      <w:r w:rsidRPr="00131DA2">
        <w:t>The key safety data in the PRIMA trial is presented below.</w:t>
      </w:r>
    </w:p>
    <w:p w14:paraId="612C17C6" w14:textId="77777777" w:rsidR="00884F00" w:rsidRPr="00131DA2" w:rsidRDefault="00884F00" w:rsidP="00CD42BD">
      <w:pPr>
        <w:pStyle w:val="TableFigureHeading"/>
        <w:keepLines/>
        <w:rPr>
          <w:rStyle w:val="CommentReference"/>
          <w:b/>
          <w:szCs w:val="24"/>
        </w:rPr>
      </w:pPr>
      <w:bookmarkStart w:id="24" w:name="_Ref74908081"/>
      <w:r w:rsidRPr="00131DA2">
        <w:t xml:space="preserve">Table </w:t>
      </w:r>
      <w:r w:rsidR="008A7614">
        <w:rPr>
          <w:noProof/>
        </w:rPr>
        <w:t>5</w:t>
      </w:r>
      <w:bookmarkEnd w:id="24"/>
      <w:r w:rsidRPr="00131DA2">
        <w:t xml:space="preserve">: </w:t>
      </w:r>
      <w:r w:rsidRPr="00131DA2">
        <w:rPr>
          <w:rStyle w:val="CommentReference"/>
          <w:b/>
          <w:szCs w:val="24"/>
        </w:rPr>
        <w:t>Summary of key adverse events in the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1134"/>
        <w:gridCol w:w="1134"/>
        <w:gridCol w:w="1701"/>
        <w:gridCol w:w="1933"/>
      </w:tblGrid>
      <w:tr w:rsidR="00884F00" w:rsidRPr="00131DA2" w14:paraId="1A00340F" w14:textId="77777777" w:rsidTr="00CD42BD">
        <w:trPr>
          <w:tblHeader/>
        </w:trPr>
        <w:tc>
          <w:tcPr>
            <w:tcW w:w="1727" w:type="pct"/>
            <w:vAlign w:val="center"/>
          </w:tcPr>
          <w:p w14:paraId="7398F333" w14:textId="77777777" w:rsidR="00884F00" w:rsidRPr="00131DA2" w:rsidRDefault="00884F00" w:rsidP="00CD42BD">
            <w:pPr>
              <w:pStyle w:val="In-tableHeading"/>
              <w:keepLines/>
              <w:rPr>
                <w:lang w:val="en-AU"/>
              </w:rPr>
            </w:pPr>
            <w:r w:rsidRPr="00131DA2">
              <w:rPr>
                <w:lang w:val="en-AU"/>
              </w:rPr>
              <w:t>PRIMA (DCO May 2019)</w:t>
            </w:r>
          </w:p>
        </w:tc>
        <w:tc>
          <w:tcPr>
            <w:tcW w:w="629" w:type="pct"/>
            <w:vAlign w:val="center"/>
          </w:tcPr>
          <w:p w14:paraId="4DB6D76C" w14:textId="77777777" w:rsidR="00884F00" w:rsidRPr="00131DA2" w:rsidRDefault="00884F00" w:rsidP="00CD42BD">
            <w:pPr>
              <w:pStyle w:val="In-tableHeading"/>
              <w:keepLines/>
              <w:jc w:val="center"/>
              <w:rPr>
                <w:lang w:val="en-AU"/>
              </w:rPr>
            </w:pPr>
            <w:r w:rsidRPr="00131DA2">
              <w:rPr>
                <w:lang w:val="en-AU"/>
              </w:rPr>
              <w:t xml:space="preserve">Niraparib </w:t>
            </w:r>
          </w:p>
        </w:tc>
        <w:tc>
          <w:tcPr>
            <w:tcW w:w="629" w:type="pct"/>
            <w:vAlign w:val="center"/>
          </w:tcPr>
          <w:p w14:paraId="7A7339A6" w14:textId="77777777" w:rsidR="00884F00" w:rsidRPr="00131DA2" w:rsidRDefault="00884F00" w:rsidP="00CD42BD">
            <w:pPr>
              <w:pStyle w:val="In-tableHeading"/>
              <w:keepLines/>
              <w:jc w:val="center"/>
              <w:rPr>
                <w:lang w:val="en-AU"/>
              </w:rPr>
            </w:pPr>
            <w:r w:rsidRPr="00131DA2">
              <w:rPr>
                <w:lang w:val="en-AU"/>
              </w:rPr>
              <w:t>Placebo</w:t>
            </w:r>
          </w:p>
        </w:tc>
        <w:tc>
          <w:tcPr>
            <w:tcW w:w="943" w:type="pct"/>
            <w:vAlign w:val="center"/>
          </w:tcPr>
          <w:p w14:paraId="31779954" w14:textId="77777777" w:rsidR="00884F00" w:rsidRPr="00131DA2" w:rsidRDefault="00884F00" w:rsidP="00CD42BD">
            <w:pPr>
              <w:pStyle w:val="In-tableHeading"/>
              <w:keepLines/>
              <w:jc w:val="center"/>
              <w:rPr>
                <w:lang w:val="en-AU"/>
              </w:rPr>
            </w:pPr>
            <w:r w:rsidRPr="00131DA2">
              <w:rPr>
                <w:lang w:val="en-AU"/>
              </w:rPr>
              <w:t xml:space="preserve">Risk difference </w:t>
            </w:r>
          </w:p>
          <w:p w14:paraId="54420774" w14:textId="77777777" w:rsidR="00884F00" w:rsidRPr="00131DA2" w:rsidRDefault="00884F00" w:rsidP="00CD42BD">
            <w:pPr>
              <w:pStyle w:val="In-tableHeading"/>
              <w:keepLines/>
              <w:jc w:val="center"/>
              <w:rPr>
                <w:lang w:val="en-AU"/>
              </w:rPr>
            </w:pPr>
            <w:r w:rsidRPr="00131DA2">
              <w:rPr>
                <w:lang w:val="en-AU"/>
              </w:rPr>
              <w:t>(95% CI)</w:t>
            </w:r>
            <w:r w:rsidR="00BA2F50">
              <w:rPr>
                <w:lang w:val="en-AU"/>
              </w:rPr>
              <w:t>*</w:t>
            </w:r>
          </w:p>
        </w:tc>
        <w:tc>
          <w:tcPr>
            <w:tcW w:w="1072" w:type="pct"/>
          </w:tcPr>
          <w:p w14:paraId="0424C21D" w14:textId="77777777" w:rsidR="00884F00" w:rsidRPr="00131DA2" w:rsidRDefault="00884F00" w:rsidP="00CD42BD">
            <w:pPr>
              <w:pStyle w:val="In-tableHeading"/>
              <w:keepLines/>
              <w:jc w:val="center"/>
              <w:rPr>
                <w:lang w:val="en-AU"/>
              </w:rPr>
            </w:pPr>
            <w:r w:rsidRPr="00131DA2">
              <w:rPr>
                <w:lang w:val="en-AU"/>
              </w:rPr>
              <w:t>Relative risk</w:t>
            </w:r>
          </w:p>
          <w:p w14:paraId="11378544" w14:textId="77777777" w:rsidR="00884F00" w:rsidRPr="00131DA2" w:rsidRDefault="00884F00" w:rsidP="00CD42BD">
            <w:pPr>
              <w:pStyle w:val="In-tableHeading"/>
              <w:keepLines/>
              <w:jc w:val="center"/>
              <w:rPr>
                <w:lang w:val="en-AU"/>
              </w:rPr>
            </w:pPr>
            <w:r w:rsidRPr="00131DA2">
              <w:rPr>
                <w:lang w:val="en-AU"/>
              </w:rPr>
              <w:t xml:space="preserve"> (95% CI)</w:t>
            </w:r>
            <w:r w:rsidR="00BA2F50">
              <w:rPr>
                <w:lang w:val="en-AU"/>
              </w:rPr>
              <w:t>*</w:t>
            </w:r>
          </w:p>
        </w:tc>
      </w:tr>
      <w:tr w:rsidR="00884F00" w:rsidRPr="00131DA2" w14:paraId="04730FA3" w14:textId="77777777" w:rsidTr="00CD42BD">
        <w:tc>
          <w:tcPr>
            <w:tcW w:w="5000" w:type="pct"/>
            <w:gridSpan w:val="5"/>
            <w:vAlign w:val="center"/>
          </w:tcPr>
          <w:p w14:paraId="14D9D953" w14:textId="77777777" w:rsidR="00884F00" w:rsidRPr="00131DA2" w:rsidRDefault="00884F00" w:rsidP="00CD42BD">
            <w:pPr>
              <w:pStyle w:val="TableText0"/>
              <w:keepLines/>
              <w:jc w:val="center"/>
            </w:pPr>
            <w:r w:rsidRPr="00131DA2">
              <w:rPr>
                <w:b/>
              </w:rPr>
              <w:t>Overall population (SAF)</w:t>
            </w:r>
          </w:p>
        </w:tc>
      </w:tr>
      <w:tr w:rsidR="00884F00" w:rsidRPr="00131DA2" w14:paraId="16978F77" w14:textId="77777777" w:rsidTr="00CD42BD">
        <w:tc>
          <w:tcPr>
            <w:tcW w:w="1727" w:type="pct"/>
            <w:vAlign w:val="center"/>
          </w:tcPr>
          <w:p w14:paraId="4D2B8275" w14:textId="77777777" w:rsidR="00884F00" w:rsidRPr="00131DA2" w:rsidRDefault="00884F00" w:rsidP="00CD42BD">
            <w:pPr>
              <w:pStyle w:val="TableText0"/>
              <w:keepLines/>
              <w:rPr>
                <w:b/>
              </w:rPr>
            </w:pPr>
            <w:r w:rsidRPr="00131DA2">
              <w:rPr>
                <w:b/>
              </w:rPr>
              <w:t xml:space="preserve">N </w:t>
            </w:r>
          </w:p>
        </w:tc>
        <w:tc>
          <w:tcPr>
            <w:tcW w:w="629" w:type="pct"/>
            <w:vAlign w:val="center"/>
          </w:tcPr>
          <w:p w14:paraId="19389CB8" w14:textId="77777777" w:rsidR="00884F00" w:rsidRPr="00131DA2" w:rsidRDefault="00884F00" w:rsidP="00CD42BD">
            <w:pPr>
              <w:pStyle w:val="TableText0"/>
              <w:keepLines/>
              <w:jc w:val="center"/>
              <w:rPr>
                <w:b/>
              </w:rPr>
            </w:pPr>
            <w:r w:rsidRPr="00131DA2">
              <w:rPr>
                <w:b/>
              </w:rPr>
              <w:t>484</w:t>
            </w:r>
          </w:p>
        </w:tc>
        <w:tc>
          <w:tcPr>
            <w:tcW w:w="629" w:type="pct"/>
            <w:vAlign w:val="center"/>
          </w:tcPr>
          <w:p w14:paraId="2BE10CFF" w14:textId="77777777" w:rsidR="00884F00" w:rsidRPr="00131DA2" w:rsidRDefault="00884F00" w:rsidP="00CD42BD">
            <w:pPr>
              <w:pStyle w:val="TableText0"/>
              <w:keepLines/>
              <w:jc w:val="center"/>
              <w:rPr>
                <w:b/>
              </w:rPr>
            </w:pPr>
            <w:r w:rsidRPr="00131DA2">
              <w:rPr>
                <w:b/>
              </w:rPr>
              <w:t>244</w:t>
            </w:r>
          </w:p>
        </w:tc>
        <w:tc>
          <w:tcPr>
            <w:tcW w:w="943" w:type="pct"/>
            <w:vAlign w:val="center"/>
          </w:tcPr>
          <w:p w14:paraId="73BC576B" w14:textId="77777777" w:rsidR="00884F00" w:rsidRPr="00131DA2" w:rsidRDefault="00884F00" w:rsidP="00CD42BD">
            <w:pPr>
              <w:pStyle w:val="TableText0"/>
              <w:keepLines/>
              <w:jc w:val="center"/>
            </w:pPr>
            <w:r w:rsidRPr="00131DA2">
              <w:t>-</w:t>
            </w:r>
          </w:p>
        </w:tc>
        <w:tc>
          <w:tcPr>
            <w:tcW w:w="1072" w:type="pct"/>
          </w:tcPr>
          <w:p w14:paraId="1B729A56" w14:textId="77777777" w:rsidR="00884F00" w:rsidRPr="00131DA2" w:rsidRDefault="00884F00" w:rsidP="00CD42BD">
            <w:pPr>
              <w:pStyle w:val="TableText0"/>
              <w:keepLines/>
              <w:jc w:val="center"/>
            </w:pPr>
            <w:r w:rsidRPr="00131DA2">
              <w:t>-</w:t>
            </w:r>
          </w:p>
        </w:tc>
      </w:tr>
      <w:tr w:rsidR="00884F00" w:rsidRPr="00131DA2" w14:paraId="6C98701D" w14:textId="77777777" w:rsidTr="00CD42BD">
        <w:tc>
          <w:tcPr>
            <w:tcW w:w="1727" w:type="pct"/>
            <w:vAlign w:val="center"/>
          </w:tcPr>
          <w:p w14:paraId="4F6780E0" w14:textId="77777777" w:rsidR="00884F00" w:rsidRPr="00131DA2" w:rsidRDefault="00884F00" w:rsidP="00CD42BD">
            <w:pPr>
              <w:pStyle w:val="TableText0"/>
              <w:keepLines/>
            </w:pPr>
            <w:r w:rsidRPr="00131DA2">
              <w:t>Mean treatment duration months (SD)</w:t>
            </w:r>
          </w:p>
        </w:tc>
        <w:tc>
          <w:tcPr>
            <w:tcW w:w="629" w:type="pct"/>
            <w:vAlign w:val="center"/>
          </w:tcPr>
          <w:p w14:paraId="50C7F780" w14:textId="77777777" w:rsidR="00884F00" w:rsidRPr="00131DA2" w:rsidRDefault="00884F00" w:rsidP="00CD42BD">
            <w:pPr>
              <w:pStyle w:val="TableText0"/>
              <w:keepLines/>
              <w:jc w:val="center"/>
            </w:pPr>
            <w:r w:rsidRPr="00131DA2">
              <w:t>10.3  (6.6)</w:t>
            </w:r>
          </w:p>
        </w:tc>
        <w:tc>
          <w:tcPr>
            <w:tcW w:w="629" w:type="pct"/>
            <w:vAlign w:val="center"/>
          </w:tcPr>
          <w:p w14:paraId="226ED972" w14:textId="77777777" w:rsidR="00884F00" w:rsidRPr="00131DA2" w:rsidRDefault="00884F00" w:rsidP="00CD42BD">
            <w:pPr>
              <w:pStyle w:val="TableText0"/>
              <w:keepLines/>
              <w:jc w:val="center"/>
            </w:pPr>
            <w:r w:rsidRPr="00131DA2">
              <w:t>9.5  (5.9)</w:t>
            </w:r>
          </w:p>
        </w:tc>
        <w:tc>
          <w:tcPr>
            <w:tcW w:w="943" w:type="pct"/>
            <w:vAlign w:val="center"/>
          </w:tcPr>
          <w:p w14:paraId="1198AC21" w14:textId="77777777" w:rsidR="00884F00" w:rsidRPr="00131DA2" w:rsidRDefault="00884F00" w:rsidP="00CD42BD">
            <w:pPr>
              <w:pStyle w:val="TableText0"/>
              <w:keepLines/>
              <w:jc w:val="center"/>
            </w:pPr>
            <w:r w:rsidRPr="00131DA2">
              <w:t>-</w:t>
            </w:r>
          </w:p>
        </w:tc>
        <w:tc>
          <w:tcPr>
            <w:tcW w:w="1072" w:type="pct"/>
          </w:tcPr>
          <w:p w14:paraId="29102CEE" w14:textId="77777777" w:rsidR="00884F00" w:rsidRPr="00131DA2" w:rsidRDefault="00884F00" w:rsidP="00CD42BD">
            <w:pPr>
              <w:pStyle w:val="TableText0"/>
              <w:keepLines/>
              <w:jc w:val="center"/>
            </w:pPr>
            <w:r w:rsidRPr="00131DA2">
              <w:t>-</w:t>
            </w:r>
          </w:p>
        </w:tc>
      </w:tr>
      <w:tr w:rsidR="00884F00" w:rsidRPr="00131DA2" w14:paraId="66B6AD23" w14:textId="77777777" w:rsidTr="00CD42BD">
        <w:tc>
          <w:tcPr>
            <w:tcW w:w="1727" w:type="pct"/>
            <w:vAlign w:val="center"/>
          </w:tcPr>
          <w:p w14:paraId="2F11F795" w14:textId="77777777" w:rsidR="00884F00" w:rsidRPr="00131DA2" w:rsidRDefault="00884F00" w:rsidP="00CD42BD">
            <w:pPr>
              <w:pStyle w:val="TableText0"/>
              <w:keepLines/>
            </w:pPr>
            <w:r w:rsidRPr="00131DA2">
              <w:t>Any TEAE</w:t>
            </w:r>
          </w:p>
        </w:tc>
        <w:tc>
          <w:tcPr>
            <w:tcW w:w="629" w:type="pct"/>
          </w:tcPr>
          <w:p w14:paraId="5F53CA19" w14:textId="77777777" w:rsidR="00884F00" w:rsidRPr="00131DA2" w:rsidRDefault="00884F00" w:rsidP="00CD42BD">
            <w:pPr>
              <w:pStyle w:val="TableText0"/>
              <w:keepLines/>
              <w:jc w:val="center"/>
            </w:pPr>
            <w:r w:rsidRPr="00131DA2">
              <w:t>478 (98.8)</w:t>
            </w:r>
          </w:p>
        </w:tc>
        <w:tc>
          <w:tcPr>
            <w:tcW w:w="629" w:type="pct"/>
          </w:tcPr>
          <w:p w14:paraId="2C7CF90D" w14:textId="77777777" w:rsidR="00884F00" w:rsidRPr="00131DA2" w:rsidRDefault="00884F00" w:rsidP="00CD42BD">
            <w:pPr>
              <w:pStyle w:val="TableText0"/>
              <w:keepLines/>
              <w:jc w:val="center"/>
            </w:pPr>
            <w:r w:rsidRPr="00131DA2">
              <w:t>224 (91.8)</w:t>
            </w:r>
          </w:p>
        </w:tc>
        <w:tc>
          <w:tcPr>
            <w:tcW w:w="943" w:type="pct"/>
            <w:vAlign w:val="center"/>
          </w:tcPr>
          <w:p w14:paraId="516B24A3" w14:textId="77777777" w:rsidR="00884F00" w:rsidRPr="00164082" w:rsidRDefault="00884F00" w:rsidP="00CD42BD">
            <w:pPr>
              <w:pStyle w:val="TableText0"/>
              <w:keepLines/>
              <w:jc w:val="center"/>
            </w:pPr>
            <w:r w:rsidRPr="00164082">
              <w:t>7.0 (3.4, 10.5)</w:t>
            </w:r>
          </w:p>
        </w:tc>
        <w:tc>
          <w:tcPr>
            <w:tcW w:w="1072" w:type="pct"/>
          </w:tcPr>
          <w:p w14:paraId="166974E8" w14:textId="77777777" w:rsidR="00884F00" w:rsidRPr="00164082" w:rsidRDefault="00884F00" w:rsidP="00CD42BD">
            <w:pPr>
              <w:pStyle w:val="TableText0"/>
              <w:keepLines/>
              <w:jc w:val="center"/>
            </w:pPr>
            <w:r w:rsidRPr="00164082">
              <w:t>1.08 (1.04, 1.12)</w:t>
            </w:r>
          </w:p>
        </w:tc>
      </w:tr>
      <w:tr w:rsidR="00884F00" w:rsidRPr="00131DA2" w14:paraId="20D0E1F9" w14:textId="77777777" w:rsidTr="00CD42BD">
        <w:tc>
          <w:tcPr>
            <w:tcW w:w="1727" w:type="pct"/>
            <w:vAlign w:val="center"/>
          </w:tcPr>
          <w:p w14:paraId="091D1526" w14:textId="77777777" w:rsidR="00884F00" w:rsidRPr="00131DA2" w:rsidRDefault="00884F00" w:rsidP="00CD42BD">
            <w:pPr>
              <w:pStyle w:val="TableText0"/>
              <w:keepLines/>
            </w:pPr>
            <w:r w:rsidRPr="00131DA2">
              <w:t>Grade ≥ 3 TEAE</w:t>
            </w:r>
          </w:p>
        </w:tc>
        <w:tc>
          <w:tcPr>
            <w:tcW w:w="629" w:type="pct"/>
          </w:tcPr>
          <w:p w14:paraId="3BC108D4" w14:textId="77777777" w:rsidR="00884F00" w:rsidRPr="00131DA2" w:rsidRDefault="00884F00" w:rsidP="00CD42BD">
            <w:pPr>
              <w:pStyle w:val="TableText0"/>
              <w:keepLines/>
              <w:jc w:val="center"/>
            </w:pPr>
            <w:r w:rsidRPr="00131DA2">
              <w:t>341 (70.5)</w:t>
            </w:r>
          </w:p>
        </w:tc>
        <w:tc>
          <w:tcPr>
            <w:tcW w:w="629" w:type="pct"/>
          </w:tcPr>
          <w:p w14:paraId="777C856E" w14:textId="77777777" w:rsidR="00884F00" w:rsidRPr="00131DA2" w:rsidRDefault="00884F00" w:rsidP="00CD42BD">
            <w:pPr>
              <w:pStyle w:val="TableText0"/>
              <w:keepLines/>
              <w:jc w:val="center"/>
            </w:pPr>
            <w:r w:rsidRPr="00131DA2">
              <w:t>46 (18.9)</w:t>
            </w:r>
          </w:p>
        </w:tc>
        <w:tc>
          <w:tcPr>
            <w:tcW w:w="943" w:type="pct"/>
            <w:vAlign w:val="center"/>
          </w:tcPr>
          <w:p w14:paraId="7F17B3AF" w14:textId="77777777" w:rsidR="00884F00" w:rsidRPr="00164082" w:rsidRDefault="00884F00" w:rsidP="00CD42BD">
            <w:pPr>
              <w:pStyle w:val="TableText0"/>
              <w:keepLines/>
              <w:jc w:val="center"/>
            </w:pPr>
            <w:r w:rsidRPr="00164082">
              <w:t>51.6 (45.2, 58.0)</w:t>
            </w:r>
          </w:p>
        </w:tc>
        <w:tc>
          <w:tcPr>
            <w:tcW w:w="1072" w:type="pct"/>
          </w:tcPr>
          <w:p w14:paraId="4B5541FA" w14:textId="77777777" w:rsidR="00884F00" w:rsidRPr="00164082" w:rsidRDefault="00884F00" w:rsidP="00CD42BD">
            <w:pPr>
              <w:pStyle w:val="TableText0"/>
              <w:keepLines/>
              <w:jc w:val="center"/>
            </w:pPr>
            <w:r w:rsidRPr="00164082">
              <w:t>3.74 (2.86, 4.88)</w:t>
            </w:r>
          </w:p>
        </w:tc>
      </w:tr>
      <w:tr w:rsidR="00884F00" w:rsidRPr="00131DA2" w14:paraId="457E5586" w14:textId="77777777" w:rsidTr="00CD42BD">
        <w:tc>
          <w:tcPr>
            <w:tcW w:w="1727" w:type="pct"/>
            <w:vAlign w:val="center"/>
          </w:tcPr>
          <w:p w14:paraId="0879D23F" w14:textId="77777777" w:rsidR="00884F00" w:rsidRPr="00131DA2" w:rsidRDefault="00884F00" w:rsidP="00CD42BD">
            <w:pPr>
              <w:pStyle w:val="TableText0"/>
              <w:keepLines/>
            </w:pPr>
            <w:r w:rsidRPr="00131DA2">
              <w:t>SAE</w:t>
            </w:r>
          </w:p>
        </w:tc>
        <w:tc>
          <w:tcPr>
            <w:tcW w:w="629" w:type="pct"/>
          </w:tcPr>
          <w:p w14:paraId="4483649F" w14:textId="77777777" w:rsidR="00884F00" w:rsidRPr="00131DA2" w:rsidRDefault="00884F00" w:rsidP="00CD42BD">
            <w:pPr>
              <w:pStyle w:val="TableText0"/>
              <w:keepLines/>
              <w:jc w:val="center"/>
            </w:pPr>
            <w:r w:rsidRPr="00131DA2">
              <w:t>156 (32.2)</w:t>
            </w:r>
          </w:p>
        </w:tc>
        <w:tc>
          <w:tcPr>
            <w:tcW w:w="629" w:type="pct"/>
          </w:tcPr>
          <w:p w14:paraId="7FB80844" w14:textId="77777777" w:rsidR="00884F00" w:rsidRPr="00131DA2" w:rsidRDefault="00884F00" w:rsidP="00CD42BD">
            <w:pPr>
              <w:pStyle w:val="TableText0"/>
              <w:keepLines/>
              <w:jc w:val="center"/>
            </w:pPr>
            <w:r w:rsidRPr="00131DA2">
              <w:t>32 (13.1)</w:t>
            </w:r>
          </w:p>
        </w:tc>
        <w:tc>
          <w:tcPr>
            <w:tcW w:w="943" w:type="pct"/>
            <w:vAlign w:val="center"/>
          </w:tcPr>
          <w:p w14:paraId="5222171B" w14:textId="77777777" w:rsidR="00884F00" w:rsidRPr="00164082" w:rsidRDefault="00884F00" w:rsidP="00CD42BD">
            <w:pPr>
              <w:pStyle w:val="TableText0"/>
              <w:keepLines/>
              <w:jc w:val="center"/>
            </w:pPr>
            <w:r w:rsidRPr="00164082">
              <w:t>19.1 (13.2, 25.1)</w:t>
            </w:r>
          </w:p>
        </w:tc>
        <w:tc>
          <w:tcPr>
            <w:tcW w:w="1072" w:type="pct"/>
          </w:tcPr>
          <w:p w14:paraId="00DD5123" w14:textId="77777777" w:rsidR="00884F00" w:rsidRPr="00164082" w:rsidRDefault="00884F00" w:rsidP="00CD42BD">
            <w:pPr>
              <w:pStyle w:val="TableText0"/>
              <w:keepLines/>
              <w:jc w:val="center"/>
            </w:pPr>
            <w:r w:rsidRPr="00164082">
              <w:t>2.46 (1.74, 3.48)</w:t>
            </w:r>
          </w:p>
        </w:tc>
      </w:tr>
      <w:tr w:rsidR="00884F00" w:rsidRPr="00131DA2" w14:paraId="13A30791" w14:textId="77777777" w:rsidTr="00CD42BD">
        <w:tc>
          <w:tcPr>
            <w:tcW w:w="1727" w:type="pct"/>
          </w:tcPr>
          <w:p w14:paraId="1AA3DD29" w14:textId="77777777" w:rsidR="00884F00" w:rsidRPr="00131DA2" w:rsidRDefault="00884F00" w:rsidP="00CD42BD">
            <w:pPr>
              <w:pStyle w:val="TableText0"/>
              <w:keepLines/>
            </w:pPr>
            <w:r w:rsidRPr="00131DA2">
              <w:t>Any TEAE leading drug interruption</w:t>
            </w:r>
          </w:p>
        </w:tc>
        <w:tc>
          <w:tcPr>
            <w:tcW w:w="629" w:type="pct"/>
          </w:tcPr>
          <w:p w14:paraId="1B6826EB" w14:textId="77777777" w:rsidR="00884F00" w:rsidRPr="00131DA2" w:rsidRDefault="00884F00" w:rsidP="00CD42BD">
            <w:pPr>
              <w:pStyle w:val="TableText0"/>
              <w:keepLines/>
              <w:jc w:val="center"/>
            </w:pPr>
            <w:r w:rsidRPr="00131DA2">
              <w:t>385 (79.5)</w:t>
            </w:r>
          </w:p>
        </w:tc>
        <w:tc>
          <w:tcPr>
            <w:tcW w:w="629" w:type="pct"/>
          </w:tcPr>
          <w:p w14:paraId="05A9C19E" w14:textId="77777777" w:rsidR="00884F00" w:rsidRPr="00131DA2" w:rsidRDefault="00884F00" w:rsidP="00CD42BD">
            <w:pPr>
              <w:pStyle w:val="TableText0"/>
              <w:keepLines/>
              <w:jc w:val="center"/>
            </w:pPr>
            <w:r w:rsidRPr="00131DA2">
              <w:t>44 (18.0)</w:t>
            </w:r>
          </w:p>
        </w:tc>
        <w:tc>
          <w:tcPr>
            <w:tcW w:w="943" w:type="pct"/>
          </w:tcPr>
          <w:p w14:paraId="5C757F5F" w14:textId="77777777" w:rsidR="00884F00" w:rsidRPr="00164082" w:rsidRDefault="00884F00" w:rsidP="00CD42BD">
            <w:pPr>
              <w:pStyle w:val="TableText0"/>
              <w:keepLines/>
              <w:jc w:val="center"/>
            </w:pPr>
            <w:r w:rsidRPr="00164082">
              <w:t>61.5 (55.5, 67.5)</w:t>
            </w:r>
          </w:p>
        </w:tc>
        <w:tc>
          <w:tcPr>
            <w:tcW w:w="1072" w:type="pct"/>
          </w:tcPr>
          <w:p w14:paraId="22A44976" w14:textId="77777777" w:rsidR="00884F00" w:rsidRPr="00164082" w:rsidRDefault="00884F00" w:rsidP="00CD42BD">
            <w:pPr>
              <w:pStyle w:val="TableText0"/>
              <w:keepLines/>
              <w:jc w:val="center"/>
            </w:pPr>
            <w:r w:rsidRPr="00164082">
              <w:t>4.41 (3.36, 5.79)</w:t>
            </w:r>
          </w:p>
        </w:tc>
      </w:tr>
      <w:tr w:rsidR="00884F00" w:rsidRPr="00131DA2" w14:paraId="03923276" w14:textId="77777777" w:rsidTr="00CD42BD">
        <w:tc>
          <w:tcPr>
            <w:tcW w:w="1727" w:type="pct"/>
          </w:tcPr>
          <w:p w14:paraId="7065F507" w14:textId="77777777" w:rsidR="00884F00" w:rsidRPr="00131DA2" w:rsidRDefault="00884F00" w:rsidP="00CD42BD">
            <w:pPr>
              <w:pStyle w:val="TableText0"/>
              <w:keepLines/>
            </w:pPr>
            <w:r w:rsidRPr="00131DA2">
              <w:t>Any TEAE leading drug dose reduction</w:t>
            </w:r>
          </w:p>
        </w:tc>
        <w:tc>
          <w:tcPr>
            <w:tcW w:w="629" w:type="pct"/>
          </w:tcPr>
          <w:p w14:paraId="127605F5" w14:textId="77777777" w:rsidR="00884F00" w:rsidRPr="00131DA2" w:rsidRDefault="00884F00" w:rsidP="00CD42BD">
            <w:pPr>
              <w:pStyle w:val="TableText0"/>
              <w:keepLines/>
              <w:jc w:val="center"/>
            </w:pPr>
            <w:r w:rsidRPr="00131DA2">
              <w:t>343 (70.9)</w:t>
            </w:r>
          </w:p>
        </w:tc>
        <w:tc>
          <w:tcPr>
            <w:tcW w:w="629" w:type="pct"/>
          </w:tcPr>
          <w:p w14:paraId="54CF3795" w14:textId="77777777" w:rsidR="00884F00" w:rsidRPr="00131DA2" w:rsidRDefault="00884F00" w:rsidP="00CD42BD">
            <w:pPr>
              <w:pStyle w:val="TableText0"/>
              <w:keepLines/>
              <w:jc w:val="center"/>
            </w:pPr>
            <w:r w:rsidRPr="00131DA2">
              <w:t>20 (8.2)</w:t>
            </w:r>
          </w:p>
        </w:tc>
        <w:tc>
          <w:tcPr>
            <w:tcW w:w="943" w:type="pct"/>
          </w:tcPr>
          <w:p w14:paraId="2C943615" w14:textId="77777777" w:rsidR="00884F00" w:rsidRPr="00164082" w:rsidRDefault="00884F00" w:rsidP="00CD42BD">
            <w:pPr>
              <w:pStyle w:val="TableText0"/>
              <w:keepLines/>
              <w:jc w:val="center"/>
            </w:pPr>
            <w:r w:rsidRPr="00164082">
              <w:t>62.7 (57.4, 68.0)</w:t>
            </w:r>
          </w:p>
        </w:tc>
        <w:tc>
          <w:tcPr>
            <w:tcW w:w="1072" w:type="pct"/>
          </w:tcPr>
          <w:p w14:paraId="4CEB8D22" w14:textId="77777777" w:rsidR="00884F00" w:rsidRPr="00164082" w:rsidRDefault="00884F00" w:rsidP="00CD42BD">
            <w:pPr>
              <w:pStyle w:val="TableText0"/>
              <w:keepLines/>
              <w:jc w:val="center"/>
            </w:pPr>
            <w:r w:rsidRPr="00164082">
              <w:t xml:space="preserve">8.65 (5.66, 13.21) </w:t>
            </w:r>
          </w:p>
        </w:tc>
      </w:tr>
      <w:tr w:rsidR="00884F00" w:rsidRPr="00131DA2" w14:paraId="6782DF16" w14:textId="77777777" w:rsidTr="00CD42BD">
        <w:tc>
          <w:tcPr>
            <w:tcW w:w="1727" w:type="pct"/>
          </w:tcPr>
          <w:p w14:paraId="1AA69BEE" w14:textId="77777777" w:rsidR="00884F00" w:rsidRPr="00131DA2" w:rsidRDefault="00884F00" w:rsidP="00CD42BD">
            <w:pPr>
              <w:pStyle w:val="TableText0"/>
              <w:keepLines/>
            </w:pPr>
            <w:r w:rsidRPr="00131DA2">
              <w:t>Any TEAE leading drug withdrawal</w:t>
            </w:r>
          </w:p>
        </w:tc>
        <w:tc>
          <w:tcPr>
            <w:tcW w:w="629" w:type="pct"/>
          </w:tcPr>
          <w:p w14:paraId="04B8C2BF" w14:textId="77777777" w:rsidR="00884F00" w:rsidRPr="00131DA2" w:rsidRDefault="00884F00" w:rsidP="00CD42BD">
            <w:pPr>
              <w:pStyle w:val="TableText0"/>
              <w:keepLines/>
              <w:jc w:val="center"/>
            </w:pPr>
            <w:r w:rsidRPr="00131DA2">
              <w:t>58 (12.0)</w:t>
            </w:r>
          </w:p>
        </w:tc>
        <w:tc>
          <w:tcPr>
            <w:tcW w:w="629" w:type="pct"/>
          </w:tcPr>
          <w:p w14:paraId="3F13BF3A" w14:textId="77777777" w:rsidR="00884F00" w:rsidRPr="00131DA2" w:rsidRDefault="00884F00" w:rsidP="00CD42BD">
            <w:pPr>
              <w:pStyle w:val="TableText0"/>
              <w:keepLines/>
              <w:jc w:val="center"/>
            </w:pPr>
            <w:r w:rsidRPr="00131DA2">
              <w:t>6 (2.5)</w:t>
            </w:r>
          </w:p>
        </w:tc>
        <w:tc>
          <w:tcPr>
            <w:tcW w:w="943" w:type="pct"/>
          </w:tcPr>
          <w:p w14:paraId="739BE37E" w14:textId="77777777" w:rsidR="00884F00" w:rsidRPr="00164082" w:rsidRDefault="00884F00" w:rsidP="00CD42BD">
            <w:pPr>
              <w:pStyle w:val="TableText0"/>
              <w:keepLines/>
              <w:jc w:val="center"/>
            </w:pPr>
            <w:r w:rsidRPr="00164082">
              <w:t>9.5 (6.0, 13.0)</w:t>
            </w:r>
          </w:p>
        </w:tc>
        <w:tc>
          <w:tcPr>
            <w:tcW w:w="1072" w:type="pct"/>
          </w:tcPr>
          <w:p w14:paraId="3E73474B" w14:textId="77777777" w:rsidR="00884F00" w:rsidRPr="00164082" w:rsidRDefault="00884F00" w:rsidP="00CD42BD">
            <w:pPr>
              <w:pStyle w:val="TableText0"/>
              <w:keepLines/>
              <w:jc w:val="center"/>
            </w:pPr>
            <w:r w:rsidRPr="00164082">
              <w:t>4.87 (2.13, 11.13)</w:t>
            </w:r>
          </w:p>
        </w:tc>
      </w:tr>
      <w:tr w:rsidR="00884F00" w:rsidRPr="00131DA2" w14:paraId="617FD616" w14:textId="77777777" w:rsidTr="00CD42BD">
        <w:tc>
          <w:tcPr>
            <w:tcW w:w="1727" w:type="pct"/>
          </w:tcPr>
          <w:p w14:paraId="22B53CD7" w14:textId="77777777" w:rsidR="00884F00" w:rsidRPr="00131DA2" w:rsidRDefault="00884F00" w:rsidP="00CD42BD">
            <w:pPr>
              <w:pStyle w:val="TableText0"/>
              <w:keepLines/>
            </w:pPr>
            <w:r w:rsidRPr="00131DA2">
              <w:t>Any TEAE leading to death</w:t>
            </w:r>
          </w:p>
        </w:tc>
        <w:tc>
          <w:tcPr>
            <w:tcW w:w="629" w:type="pct"/>
          </w:tcPr>
          <w:p w14:paraId="1DEBC286" w14:textId="77777777" w:rsidR="00884F00" w:rsidRPr="00131DA2" w:rsidRDefault="00884F00" w:rsidP="00CD42BD">
            <w:pPr>
              <w:pStyle w:val="TableText0"/>
              <w:keepLines/>
              <w:jc w:val="center"/>
            </w:pPr>
            <w:r w:rsidRPr="00131DA2">
              <w:t>2 (0.4)</w:t>
            </w:r>
          </w:p>
        </w:tc>
        <w:tc>
          <w:tcPr>
            <w:tcW w:w="629" w:type="pct"/>
          </w:tcPr>
          <w:p w14:paraId="78924DEB" w14:textId="77777777" w:rsidR="00884F00" w:rsidRPr="00131DA2" w:rsidRDefault="00884F00" w:rsidP="00CD42BD">
            <w:pPr>
              <w:pStyle w:val="TableText0"/>
              <w:keepLines/>
              <w:jc w:val="center"/>
            </w:pPr>
            <w:r w:rsidRPr="00131DA2">
              <w:t>1 (0.4)</w:t>
            </w:r>
          </w:p>
        </w:tc>
        <w:tc>
          <w:tcPr>
            <w:tcW w:w="943" w:type="pct"/>
          </w:tcPr>
          <w:p w14:paraId="1FC415E7" w14:textId="77777777" w:rsidR="00884F00" w:rsidRPr="00131DA2" w:rsidRDefault="00884F00" w:rsidP="00CD42BD">
            <w:pPr>
              <w:pStyle w:val="TableText0"/>
              <w:keepLines/>
              <w:jc w:val="center"/>
            </w:pPr>
            <w:r w:rsidRPr="00131DA2">
              <w:t>0.003 (-0.98, 0.99)</w:t>
            </w:r>
          </w:p>
        </w:tc>
        <w:tc>
          <w:tcPr>
            <w:tcW w:w="1072" w:type="pct"/>
          </w:tcPr>
          <w:p w14:paraId="4088F730" w14:textId="77777777" w:rsidR="00884F00" w:rsidRPr="00131DA2" w:rsidRDefault="00884F00" w:rsidP="00CD42BD">
            <w:pPr>
              <w:pStyle w:val="TableText0"/>
              <w:keepLines/>
              <w:jc w:val="center"/>
            </w:pPr>
            <w:r w:rsidRPr="00131DA2">
              <w:t>1.01 (0.09, 11.07)</w:t>
            </w:r>
          </w:p>
        </w:tc>
      </w:tr>
      <w:tr w:rsidR="00884F00" w:rsidRPr="00131DA2" w14:paraId="6E8BEC8C" w14:textId="77777777" w:rsidTr="00CD42BD">
        <w:tc>
          <w:tcPr>
            <w:tcW w:w="5000" w:type="pct"/>
            <w:gridSpan w:val="5"/>
            <w:vAlign w:val="center"/>
          </w:tcPr>
          <w:p w14:paraId="0044E82E" w14:textId="77777777" w:rsidR="00884F00" w:rsidRPr="00131DA2" w:rsidRDefault="00884F00" w:rsidP="00CD42BD">
            <w:pPr>
              <w:pStyle w:val="TableText0"/>
              <w:keepLines/>
              <w:jc w:val="center"/>
            </w:pPr>
            <w:r w:rsidRPr="00131DA2">
              <w:rPr>
                <w:b/>
              </w:rPr>
              <w:t>Fixed starting dose</w:t>
            </w:r>
          </w:p>
        </w:tc>
      </w:tr>
      <w:tr w:rsidR="00884F00" w:rsidRPr="00131DA2" w14:paraId="2A380482" w14:textId="77777777" w:rsidTr="00CD42BD">
        <w:tc>
          <w:tcPr>
            <w:tcW w:w="1727" w:type="pct"/>
            <w:shd w:val="clear" w:color="auto" w:fill="auto"/>
            <w:vAlign w:val="center"/>
          </w:tcPr>
          <w:p w14:paraId="08FEADC7" w14:textId="77777777" w:rsidR="00884F00" w:rsidRPr="00131DA2" w:rsidRDefault="00884F00" w:rsidP="00CD42BD">
            <w:pPr>
              <w:pStyle w:val="TableText0"/>
              <w:keepLines/>
              <w:rPr>
                <w:b/>
              </w:rPr>
            </w:pPr>
            <w:r w:rsidRPr="00131DA2">
              <w:rPr>
                <w:b/>
              </w:rPr>
              <w:t xml:space="preserve">N </w:t>
            </w:r>
          </w:p>
        </w:tc>
        <w:tc>
          <w:tcPr>
            <w:tcW w:w="629" w:type="pct"/>
            <w:shd w:val="clear" w:color="auto" w:fill="auto"/>
            <w:vAlign w:val="center"/>
          </w:tcPr>
          <w:p w14:paraId="2D5D50FC" w14:textId="77777777" w:rsidR="00884F00" w:rsidRPr="00131DA2" w:rsidRDefault="00884F00" w:rsidP="00CD42BD">
            <w:pPr>
              <w:pStyle w:val="TableText0"/>
              <w:keepLines/>
              <w:jc w:val="center"/>
              <w:rPr>
                <w:b/>
              </w:rPr>
            </w:pPr>
            <w:r w:rsidRPr="00131DA2">
              <w:rPr>
                <w:b/>
              </w:rPr>
              <w:t>315</w:t>
            </w:r>
          </w:p>
        </w:tc>
        <w:tc>
          <w:tcPr>
            <w:tcW w:w="629" w:type="pct"/>
            <w:shd w:val="clear" w:color="auto" w:fill="auto"/>
            <w:vAlign w:val="center"/>
          </w:tcPr>
          <w:p w14:paraId="6FF89508" w14:textId="77777777" w:rsidR="00884F00" w:rsidRPr="00131DA2" w:rsidRDefault="00884F00" w:rsidP="00CD42BD">
            <w:pPr>
              <w:pStyle w:val="TableText0"/>
              <w:keepLines/>
              <w:jc w:val="center"/>
              <w:rPr>
                <w:b/>
              </w:rPr>
            </w:pPr>
            <w:r w:rsidRPr="00131DA2">
              <w:rPr>
                <w:b/>
              </w:rPr>
              <w:t>158</w:t>
            </w:r>
          </w:p>
        </w:tc>
        <w:tc>
          <w:tcPr>
            <w:tcW w:w="943" w:type="pct"/>
            <w:vAlign w:val="center"/>
          </w:tcPr>
          <w:p w14:paraId="2E7A4AAB" w14:textId="77777777" w:rsidR="00884F00" w:rsidRPr="00131DA2" w:rsidRDefault="00884F00" w:rsidP="00CD42BD">
            <w:pPr>
              <w:pStyle w:val="TableText0"/>
              <w:keepLines/>
              <w:jc w:val="center"/>
            </w:pPr>
            <w:r w:rsidRPr="00131DA2">
              <w:t>-</w:t>
            </w:r>
          </w:p>
        </w:tc>
        <w:tc>
          <w:tcPr>
            <w:tcW w:w="1072" w:type="pct"/>
          </w:tcPr>
          <w:p w14:paraId="248F5837" w14:textId="77777777" w:rsidR="00884F00" w:rsidRPr="00131DA2" w:rsidRDefault="00884F00" w:rsidP="00CD42BD">
            <w:pPr>
              <w:pStyle w:val="TableText0"/>
              <w:keepLines/>
              <w:jc w:val="center"/>
            </w:pPr>
            <w:r w:rsidRPr="00131DA2">
              <w:t>-</w:t>
            </w:r>
          </w:p>
        </w:tc>
      </w:tr>
      <w:tr w:rsidR="00884F00" w:rsidRPr="00131DA2" w14:paraId="4F03DC6E" w14:textId="77777777" w:rsidTr="00CD42BD">
        <w:tc>
          <w:tcPr>
            <w:tcW w:w="1727" w:type="pct"/>
            <w:shd w:val="clear" w:color="auto" w:fill="auto"/>
            <w:vAlign w:val="center"/>
          </w:tcPr>
          <w:p w14:paraId="4211B07D" w14:textId="77777777" w:rsidR="00884F00" w:rsidRPr="00131DA2" w:rsidRDefault="00884F00" w:rsidP="00CD42BD">
            <w:pPr>
              <w:pStyle w:val="TableText0"/>
              <w:keepLines/>
            </w:pPr>
            <w:r w:rsidRPr="00131DA2">
              <w:t>Mean treatment duration months (SD)</w:t>
            </w:r>
          </w:p>
        </w:tc>
        <w:tc>
          <w:tcPr>
            <w:tcW w:w="629" w:type="pct"/>
            <w:shd w:val="clear" w:color="auto" w:fill="auto"/>
          </w:tcPr>
          <w:p w14:paraId="3BAC8D44" w14:textId="77777777" w:rsidR="00884F00" w:rsidRPr="00131DA2" w:rsidRDefault="00884F00" w:rsidP="00CD42BD">
            <w:pPr>
              <w:pStyle w:val="TableText0"/>
              <w:keepLines/>
              <w:jc w:val="center"/>
            </w:pPr>
            <w:r w:rsidRPr="00131DA2">
              <w:t>11.3 (7.3)</w:t>
            </w:r>
          </w:p>
        </w:tc>
        <w:tc>
          <w:tcPr>
            <w:tcW w:w="629" w:type="pct"/>
            <w:shd w:val="clear" w:color="auto" w:fill="auto"/>
          </w:tcPr>
          <w:p w14:paraId="65B44C15" w14:textId="77777777" w:rsidR="00884F00" w:rsidRPr="00131DA2" w:rsidRDefault="00884F00" w:rsidP="00CD42BD">
            <w:pPr>
              <w:pStyle w:val="TableText0"/>
              <w:keepLines/>
              <w:jc w:val="center"/>
            </w:pPr>
            <w:r w:rsidRPr="00131DA2">
              <w:t>10.0 (6.6)</w:t>
            </w:r>
          </w:p>
        </w:tc>
        <w:tc>
          <w:tcPr>
            <w:tcW w:w="943" w:type="pct"/>
            <w:vAlign w:val="center"/>
          </w:tcPr>
          <w:p w14:paraId="50D7AE6D" w14:textId="77777777" w:rsidR="00884F00" w:rsidRPr="00131DA2" w:rsidRDefault="00884F00" w:rsidP="00CD42BD">
            <w:pPr>
              <w:pStyle w:val="TableText0"/>
              <w:keepLines/>
              <w:jc w:val="center"/>
            </w:pPr>
            <w:r w:rsidRPr="00131DA2">
              <w:t>-</w:t>
            </w:r>
          </w:p>
        </w:tc>
        <w:tc>
          <w:tcPr>
            <w:tcW w:w="1072" w:type="pct"/>
          </w:tcPr>
          <w:p w14:paraId="7D4B5B8B" w14:textId="77777777" w:rsidR="00884F00" w:rsidRPr="00131DA2" w:rsidRDefault="00884F00" w:rsidP="00CD42BD">
            <w:pPr>
              <w:pStyle w:val="TableText0"/>
              <w:keepLines/>
              <w:jc w:val="center"/>
            </w:pPr>
            <w:r w:rsidRPr="00131DA2">
              <w:t>-</w:t>
            </w:r>
          </w:p>
        </w:tc>
      </w:tr>
      <w:tr w:rsidR="00884F00" w:rsidRPr="00131DA2" w14:paraId="6A246B8E" w14:textId="77777777" w:rsidTr="00CD42BD">
        <w:tc>
          <w:tcPr>
            <w:tcW w:w="1727" w:type="pct"/>
            <w:shd w:val="clear" w:color="auto" w:fill="auto"/>
            <w:vAlign w:val="center"/>
          </w:tcPr>
          <w:p w14:paraId="622C4864" w14:textId="77777777" w:rsidR="00884F00" w:rsidRPr="00131DA2" w:rsidRDefault="00884F00" w:rsidP="00CD42BD">
            <w:pPr>
              <w:pStyle w:val="TableText0"/>
              <w:keepLines/>
            </w:pPr>
            <w:r w:rsidRPr="00131DA2">
              <w:t>Any TEAE</w:t>
            </w:r>
          </w:p>
        </w:tc>
        <w:tc>
          <w:tcPr>
            <w:tcW w:w="629" w:type="pct"/>
            <w:shd w:val="clear" w:color="auto" w:fill="auto"/>
          </w:tcPr>
          <w:p w14:paraId="57E21BC3" w14:textId="77777777" w:rsidR="00884F00" w:rsidRPr="00131DA2" w:rsidRDefault="00884F00" w:rsidP="00CD42BD">
            <w:pPr>
              <w:pStyle w:val="TableText0"/>
              <w:keepLines/>
              <w:jc w:val="center"/>
            </w:pPr>
            <w:r w:rsidRPr="00131DA2">
              <w:t>313 (99.4)</w:t>
            </w:r>
          </w:p>
        </w:tc>
        <w:tc>
          <w:tcPr>
            <w:tcW w:w="629" w:type="pct"/>
            <w:shd w:val="clear" w:color="auto" w:fill="auto"/>
          </w:tcPr>
          <w:p w14:paraId="184FF636" w14:textId="77777777" w:rsidR="00884F00" w:rsidRPr="00131DA2" w:rsidRDefault="00884F00" w:rsidP="00CD42BD">
            <w:pPr>
              <w:pStyle w:val="TableText0"/>
              <w:keepLines/>
              <w:jc w:val="center"/>
            </w:pPr>
            <w:r w:rsidRPr="00131DA2">
              <w:t>148 (93.7)</w:t>
            </w:r>
          </w:p>
        </w:tc>
        <w:tc>
          <w:tcPr>
            <w:tcW w:w="943" w:type="pct"/>
            <w:vAlign w:val="center"/>
          </w:tcPr>
          <w:p w14:paraId="4EA53E72" w14:textId="77777777" w:rsidR="00884F00" w:rsidRPr="00164082" w:rsidRDefault="00884F00" w:rsidP="00CD42BD">
            <w:pPr>
              <w:pStyle w:val="TableText0"/>
              <w:keepLines/>
              <w:jc w:val="center"/>
            </w:pPr>
            <w:r w:rsidRPr="00164082">
              <w:t>5.7 (1.8, 9.6)</w:t>
            </w:r>
          </w:p>
        </w:tc>
        <w:tc>
          <w:tcPr>
            <w:tcW w:w="1072" w:type="pct"/>
          </w:tcPr>
          <w:p w14:paraId="34598A89" w14:textId="77777777" w:rsidR="00884F00" w:rsidRPr="00164082" w:rsidRDefault="00884F00" w:rsidP="00CD42BD">
            <w:pPr>
              <w:pStyle w:val="TableText0"/>
              <w:keepLines/>
              <w:jc w:val="center"/>
            </w:pPr>
            <w:r w:rsidRPr="00164082">
              <w:t>1.06 (1.02, 1.11)</w:t>
            </w:r>
          </w:p>
        </w:tc>
      </w:tr>
      <w:tr w:rsidR="00884F00" w:rsidRPr="00131DA2" w14:paraId="0F59B0E7" w14:textId="77777777" w:rsidTr="00CD42BD">
        <w:tc>
          <w:tcPr>
            <w:tcW w:w="1727" w:type="pct"/>
            <w:shd w:val="clear" w:color="auto" w:fill="auto"/>
            <w:vAlign w:val="center"/>
          </w:tcPr>
          <w:p w14:paraId="123F12DC" w14:textId="77777777" w:rsidR="00884F00" w:rsidRPr="00131DA2" w:rsidRDefault="00884F00" w:rsidP="00CD42BD">
            <w:pPr>
              <w:pStyle w:val="TableText0"/>
              <w:keepLines/>
            </w:pPr>
            <w:r w:rsidRPr="00131DA2">
              <w:t>Grade ≥ 3 TEAE</w:t>
            </w:r>
          </w:p>
        </w:tc>
        <w:tc>
          <w:tcPr>
            <w:tcW w:w="629" w:type="pct"/>
            <w:shd w:val="clear" w:color="auto" w:fill="auto"/>
          </w:tcPr>
          <w:p w14:paraId="18C34775" w14:textId="77777777" w:rsidR="00884F00" w:rsidRPr="00131DA2" w:rsidRDefault="00884F00" w:rsidP="00CD42BD">
            <w:pPr>
              <w:pStyle w:val="TableText0"/>
              <w:keepLines/>
              <w:jc w:val="center"/>
            </w:pPr>
            <w:r w:rsidRPr="00131DA2">
              <w:t>239 (75.9)</w:t>
            </w:r>
          </w:p>
        </w:tc>
        <w:tc>
          <w:tcPr>
            <w:tcW w:w="629" w:type="pct"/>
            <w:shd w:val="clear" w:color="auto" w:fill="auto"/>
          </w:tcPr>
          <w:p w14:paraId="16991C90" w14:textId="77777777" w:rsidR="00884F00" w:rsidRPr="00131DA2" w:rsidRDefault="00884F00" w:rsidP="00CD42BD">
            <w:pPr>
              <w:pStyle w:val="TableText0"/>
              <w:keepLines/>
              <w:jc w:val="center"/>
            </w:pPr>
            <w:r w:rsidRPr="00131DA2">
              <w:t>30 (19.0)</w:t>
            </w:r>
          </w:p>
        </w:tc>
        <w:tc>
          <w:tcPr>
            <w:tcW w:w="943" w:type="pct"/>
            <w:vAlign w:val="center"/>
          </w:tcPr>
          <w:p w14:paraId="0AE9779D" w14:textId="77777777" w:rsidR="00884F00" w:rsidRPr="00164082" w:rsidRDefault="00884F00" w:rsidP="00CD42BD">
            <w:pPr>
              <w:pStyle w:val="TableText0"/>
              <w:keepLines/>
              <w:jc w:val="center"/>
            </w:pPr>
            <w:r w:rsidRPr="00164082">
              <w:t>56.9 (49.2, 64.6)</w:t>
            </w:r>
          </w:p>
        </w:tc>
        <w:tc>
          <w:tcPr>
            <w:tcW w:w="1072" w:type="pct"/>
          </w:tcPr>
          <w:p w14:paraId="399E7776" w14:textId="77777777" w:rsidR="00884F00" w:rsidRPr="00164082" w:rsidRDefault="00884F00" w:rsidP="00CD42BD">
            <w:pPr>
              <w:pStyle w:val="TableText0"/>
              <w:keepLines/>
              <w:jc w:val="center"/>
            </w:pPr>
            <w:r w:rsidRPr="00164082">
              <w:t>4.00 (2.88, 5.55)</w:t>
            </w:r>
          </w:p>
        </w:tc>
      </w:tr>
      <w:tr w:rsidR="00884F00" w:rsidRPr="00131DA2" w14:paraId="5CE36E8F" w14:textId="77777777" w:rsidTr="00CD42BD">
        <w:tc>
          <w:tcPr>
            <w:tcW w:w="1727" w:type="pct"/>
            <w:shd w:val="clear" w:color="auto" w:fill="auto"/>
            <w:vAlign w:val="center"/>
          </w:tcPr>
          <w:p w14:paraId="7EE448E2" w14:textId="77777777" w:rsidR="00884F00" w:rsidRPr="00131DA2" w:rsidRDefault="00884F00" w:rsidP="00CD42BD">
            <w:pPr>
              <w:pStyle w:val="TableText0"/>
              <w:keepLines/>
            </w:pPr>
            <w:r w:rsidRPr="00131DA2">
              <w:t>SAE</w:t>
            </w:r>
          </w:p>
        </w:tc>
        <w:tc>
          <w:tcPr>
            <w:tcW w:w="629" w:type="pct"/>
            <w:shd w:val="clear" w:color="auto" w:fill="auto"/>
            <w:vAlign w:val="center"/>
          </w:tcPr>
          <w:p w14:paraId="16CD046F" w14:textId="77777777" w:rsidR="00884F00" w:rsidRPr="00131DA2" w:rsidRDefault="00884F00" w:rsidP="00CD42BD">
            <w:pPr>
              <w:pStyle w:val="TableText0"/>
              <w:keepLines/>
              <w:jc w:val="center"/>
            </w:pPr>
            <w:r w:rsidRPr="00131DA2">
              <w:t>111 (35.2)</w:t>
            </w:r>
          </w:p>
        </w:tc>
        <w:tc>
          <w:tcPr>
            <w:tcW w:w="629" w:type="pct"/>
            <w:shd w:val="clear" w:color="auto" w:fill="auto"/>
            <w:vAlign w:val="center"/>
          </w:tcPr>
          <w:p w14:paraId="522FD364" w14:textId="77777777" w:rsidR="00884F00" w:rsidRPr="00131DA2" w:rsidRDefault="00884F00" w:rsidP="00CD42BD">
            <w:pPr>
              <w:pStyle w:val="TableText0"/>
              <w:keepLines/>
              <w:jc w:val="center"/>
            </w:pPr>
            <w:r w:rsidRPr="00131DA2">
              <w:t>18 (11.4)</w:t>
            </w:r>
          </w:p>
        </w:tc>
        <w:tc>
          <w:tcPr>
            <w:tcW w:w="943" w:type="pct"/>
            <w:vAlign w:val="center"/>
          </w:tcPr>
          <w:p w14:paraId="0FCD7E98" w14:textId="77777777" w:rsidR="00884F00" w:rsidRPr="00164082" w:rsidRDefault="00884F00" w:rsidP="00CD42BD">
            <w:pPr>
              <w:pStyle w:val="TableText0"/>
              <w:keepLines/>
              <w:jc w:val="center"/>
            </w:pPr>
            <w:r w:rsidRPr="00164082">
              <w:t>23.8 (16.6, 31.1)</w:t>
            </w:r>
          </w:p>
        </w:tc>
        <w:tc>
          <w:tcPr>
            <w:tcW w:w="1072" w:type="pct"/>
          </w:tcPr>
          <w:p w14:paraId="597E49D6" w14:textId="77777777" w:rsidR="00884F00" w:rsidRPr="00164082" w:rsidRDefault="00884F00" w:rsidP="00CD42BD">
            <w:pPr>
              <w:pStyle w:val="TableText0"/>
              <w:keepLines/>
              <w:jc w:val="center"/>
            </w:pPr>
            <w:r w:rsidRPr="00164082">
              <w:t>3.09 (1.95, 4.90)</w:t>
            </w:r>
          </w:p>
        </w:tc>
      </w:tr>
      <w:tr w:rsidR="00526BD0" w:rsidRPr="00131DA2" w14:paraId="36013C85" w14:textId="77777777" w:rsidTr="00CD42BD">
        <w:tc>
          <w:tcPr>
            <w:tcW w:w="1727" w:type="pct"/>
            <w:shd w:val="clear" w:color="auto" w:fill="auto"/>
          </w:tcPr>
          <w:p w14:paraId="1C15394C" w14:textId="77777777" w:rsidR="00526BD0" w:rsidRPr="00131DA2" w:rsidRDefault="00526BD0" w:rsidP="00526BD0">
            <w:pPr>
              <w:pStyle w:val="TableText0"/>
              <w:keepLines/>
            </w:pPr>
            <w:r w:rsidRPr="00131DA2">
              <w:t>Any TEAE leading drug interruption</w:t>
            </w:r>
          </w:p>
        </w:tc>
        <w:tc>
          <w:tcPr>
            <w:tcW w:w="629" w:type="pct"/>
            <w:shd w:val="clear" w:color="auto" w:fill="auto"/>
          </w:tcPr>
          <w:p w14:paraId="7543C7D0" w14:textId="77777777" w:rsidR="00526BD0" w:rsidRPr="00131DA2" w:rsidRDefault="00526BD0" w:rsidP="00526BD0">
            <w:pPr>
              <w:pStyle w:val="TableText0"/>
              <w:keepLines/>
              <w:jc w:val="center"/>
            </w:pPr>
            <w:r w:rsidRPr="00131DA2">
              <w:t>264 (83.8)</w:t>
            </w:r>
          </w:p>
        </w:tc>
        <w:tc>
          <w:tcPr>
            <w:tcW w:w="629" w:type="pct"/>
            <w:shd w:val="clear" w:color="auto" w:fill="auto"/>
          </w:tcPr>
          <w:p w14:paraId="44556109" w14:textId="77777777" w:rsidR="00526BD0" w:rsidRPr="00131DA2" w:rsidRDefault="00526BD0" w:rsidP="00526BD0">
            <w:pPr>
              <w:pStyle w:val="TableText0"/>
              <w:keepLines/>
              <w:jc w:val="center"/>
            </w:pPr>
            <w:r w:rsidRPr="00131DA2">
              <w:t>3</w:t>
            </w:r>
            <w:r>
              <w:t>0</w:t>
            </w:r>
            <w:r w:rsidRPr="00131DA2">
              <w:t xml:space="preserve"> (19</w:t>
            </w:r>
            <w:r>
              <w:t>.0</w:t>
            </w:r>
            <w:r w:rsidRPr="00131DA2">
              <w:t>)</w:t>
            </w:r>
          </w:p>
        </w:tc>
        <w:tc>
          <w:tcPr>
            <w:tcW w:w="943" w:type="pct"/>
            <w:vAlign w:val="center"/>
          </w:tcPr>
          <w:p w14:paraId="1A787475" w14:textId="77777777" w:rsidR="00526BD0" w:rsidRPr="00164082" w:rsidRDefault="00526BD0" w:rsidP="00526BD0">
            <w:pPr>
              <w:pStyle w:val="TableText0"/>
              <w:keepLines/>
              <w:jc w:val="center"/>
            </w:pPr>
            <w:r>
              <w:t>64.8</w:t>
            </w:r>
            <w:r w:rsidRPr="00164082">
              <w:t xml:space="preserve"> (</w:t>
            </w:r>
            <w:r>
              <w:t>57.5</w:t>
            </w:r>
            <w:r w:rsidRPr="00164082">
              <w:t xml:space="preserve">, </w:t>
            </w:r>
            <w:r>
              <w:t>72.2</w:t>
            </w:r>
            <w:r w:rsidRPr="00164082">
              <w:t>)</w:t>
            </w:r>
          </w:p>
        </w:tc>
        <w:tc>
          <w:tcPr>
            <w:tcW w:w="1072" w:type="pct"/>
          </w:tcPr>
          <w:p w14:paraId="1A186C58" w14:textId="77777777" w:rsidR="00526BD0" w:rsidRPr="00164082" w:rsidRDefault="00526BD0" w:rsidP="00526BD0">
            <w:pPr>
              <w:pStyle w:val="TableText0"/>
              <w:keepLines/>
              <w:jc w:val="center"/>
            </w:pPr>
            <w:r w:rsidRPr="00164082">
              <w:t>4.</w:t>
            </w:r>
            <w:r>
              <w:t>4</w:t>
            </w:r>
            <w:r w:rsidRPr="00164082">
              <w:t>1 (</w:t>
            </w:r>
            <w:r>
              <w:t>3.19</w:t>
            </w:r>
            <w:r w:rsidRPr="00164082">
              <w:t xml:space="preserve">, </w:t>
            </w:r>
            <w:r>
              <w:t>6.11</w:t>
            </w:r>
            <w:r w:rsidRPr="00164082">
              <w:t>)</w:t>
            </w:r>
          </w:p>
        </w:tc>
      </w:tr>
      <w:tr w:rsidR="00884F00" w:rsidRPr="00131DA2" w14:paraId="1528F650" w14:textId="77777777" w:rsidTr="00CD42BD">
        <w:tc>
          <w:tcPr>
            <w:tcW w:w="1727" w:type="pct"/>
            <w:shd w:val="clear" w:color="auto" w:fill="auto"/>
          </w:tcPr>
          <w:p w14:paraId="687B77E8" w14:textId="77777777" w:rsidR="00884F00" w:rsidRPr="00131DA2" w:rsidRDefault="00884F00" w:rsidP="00CD42BD">
            <w:pPr>
              <w:pStyle w:val="TableText0"/>
              <w:keepLines/>
            </w:pPr>
            <w:r w:rsidRPr="00131DA2">
              <w:t>Any TEAE leading drug dose reduction</w:t>
            </w:r>
          </w:p>
        </w:tc>
        <w:tc>
          <w:tcPr>
            <w:tcW w:w="629" w:type="pct"/>
            <w:shd w:val="clear" w:color="auto" w:fill="auto"/>
          </w:tcPr>
          <w:p w14:paraId="63B3E4F5" w14:textId="77777777" w:rsidR="00884F00" w:rsidRPr="00131DA2" w:rsidRDefault="00884F00" w:rsidP="00CD42BD">
            <w:pPr>
              <w:pStyle w:val="TableText0"/>
              <w:keepLines/>
              <w:jc w:val="center"/>
            </w:pPr>
            <w:r w:rsidRPr="00131DA2">
              <w:t>239 (75.9)</w:t>
            </w:r>
          </w:p>
        </w:tc>
        <w:tc>
          <w:tcPr>
            <w:tcW w:w="629" w:type="pct"/>
            <w:shd w:val="clear" w:color="auto" w:fill="auto"/>
          </w:tcPr>
          <w:p w14:paraId="07637781" w14:textId="77777777" w:rsidR="00884F00" w:rsidRPr="00131DA2" w:rsidRDefault="00884F00" w:rsidP="00CD42BD">
            <w:pPr>
              <w:pStyle w:val="TableText0"/>
              <w:keepLines/>
              <w:jc w:val="center"/>
            </w:pPr>
            <w:r w:rsidRPr="00131DA2">
              <w:t>15 (9.5)</w:t>
            </w:r>
          </w:p>
        </w:tc>
        <w:tc>
          <w:tcPr>
            <w:tcW w:w="943" w:type="pct"/>
            <w:vAlign w:val="center"/>
          </w:tcPr>
          <w:p w14:paraId="0DEC43F1" w14:textId="77777777" w:rsidR="00884F00" w:rsidRPr="00164082" w:rsidRDefault="00884F00" w:rsidP="00CD42BD">
            <w:pPr>
              <w:pStyle w:val="TableText0"/>
              <w:keepLines/>
              <w:jc w:val="center"/>
            </w:pPr>
            <w:r w:rsidRPr="00164082">
              <w:t>66.4 (59.8, 73.0)</w:t>
            </w:r>
          </w:p>
        </w:tc>
        <w:tc>
          <w:tcPr>
            <w:tcW w:w="1072" w:type="pct"/>
          </w:tcPr>
          <w:p w14:paraId="3BF7313E" w14:textId="77777777" w:rsidR="00884F00" w:rsidRPr="00164082" w:rsidRDefault="00884F00" w:rsidP="00CD42BD">
            <w:pPr>
              <w:pStyle w:val="TableText0"/>
              <w:keepLines/>
              <w:jc w:val="center"/>
            </w:pPr>
            <w:r w:rsidRPr="00164082">
              <w:t>8.00 (4.92, 13.0)</w:t>
            </w:r>
          </w:p>
        </w:tc>
      </w:tr>
      <w:tr w:rsidR="00884F00" w:rsidRPr="00131DA2" w14:paraId="3F5080BC" w14:textId="77777777" w:rsidTr="00CD42BD">
        <w:tc>
          <w:tcPr>
            <w:tcW w:w="1727" w:type="pct"/>
            <w:shd w:val="clear" w:color="auto" w:fill="auto"/>
          </w:tcPr>
          <w:p w14:paraId="5F7E05EB" w14:textId="77777777" w:rsidR="00884F00" w:rsidRPr="00131DA2" w:rsidRDefault="00884F00" w:rsidP="00CD42BD">
            <w:pPr>
              <w:pStyle w:val="TableText0"/>
              <w:keepLines/>
            </w:pPr>
            <w:r w:rsidRPr="00131DA2">
              <w:t>Any TEAE leading drug withdrawal</w:t>
            </w:r>
          </w:p>
        </w:tc>
        <w:tc>
          <w:tcPr>
            <w:tcW w:w="629" w:type="pct"/>
            <w:shd w:val="clear" w:color="auto" w:fill="auto"/>
          </w:tcPr>
          <w:p w14:paraId="00B604AE" w14:textId="77777777" w:rsidR="00884F00" w:rsidRPr="00131DA2" w:rsidRDefault="00884F00" w:rsidP="00CD42BD">
            <w:pPr>
              <w:pStyle w:val="TableText0"/>
              <w:keepLines/>
              <w:jc w:val="center"/>
            </w:pPr>
            <w:r w:rsidRPr="00131DA2">
              <w:t>35 (11.1)</w:t>
            </w:r>
          </w:p>
        </w:tc>
        <w:tc>
          <w:tcPr>
            <w:tcW w:w="629" w:type="pct"/>
            <w:shd w:val="clear" w:color="auto" w:fill="auto"/>
          </w:tcPr>
          <w:p w14:paraId="61DE47CC" w14:textId="77777777" w:rsidR="00884F00" w:rsidRPr="00131DA2" w:rsidRDefault="00884F00" w:rsidP="00CD42BD">
            <w:pPr>
              <w:pStyle w:val="TableText0"/>
              <w:keepLines/>
              <w:jc w:val="center"/>
            </w:pPr>
            <w:r w:rsidRPr="00131DA2">
              <w:t>4 (2.5)</w:t>
            </w:r>
          </w:p>
        </w:tc>
        <w:tc>
          <w:tcPr>
            <w:tcW w:w="943" w:type="pct"/>
            <w:vAlign w:val="center"/>
          </w:tcPr>
          <w:p w14:paraId="27754CFB" w14:textId="77777777" w:rsidR="00884F00" w:rsidRPr="00164082" w:rsidRDefault="00884F00" w:rsidP="00CD42BD">
            <w:pPr>
              <w:pStyle w:val="TableText0"/>
              <w:keepLines/>
              <w:jc w:val="center"/>
            </w:pPr>
            <w:r w:rsidRPr="00164082">
              <w:t>8.6 (4.3, 12.8)</w:t>
            </w:r>
          </w:p>
        </w:tc>
        <w:tc>
          <w:tcPr>
            <w:tcW w:w="1072" w:type="pct"/>
          </w:tcPr>
          <w:p w14:paraId="5A16FF64" w14:textId="77777777" w:rsidR="00884F00" w:rsidRPr="00164082" w:rsidRDefault="00884F00" w:rsidP="00CD42BD">
            <w:pPr>
              <w:pStyle w:val="TableText0"/>
              <w:keepLines/>
              <w:jc w:val="center"/>
            </w:pPr>
            <w:r w:rsidRPr="00164082">
              <w:t>4.39 (1.59, 12.13)</w:t>
            </w:r>
          </w:p>
        </w:tc>
      </w:tr>
      <w:tr w:rsidR="00884F00" w:rsidRPr="00131DA2" w14:paraId="03A89D0D" w14:textId="77777777" w:rsidTr="00CD42BD">
        <w:tc>
          <w:tcPr>
            <w:tcW w:w="1727" w:type="pct"/>
            <w:shd w:val="clear" w:color="auto" w:fill="auto"/>
          </w:tcPr>
          <w:p w14:paraId="0E678B3C" w14:textId="77777777" w:rsidR="00884F00" w:rsidRPr="00131DA2" w:rsidRDefault="00884F00" w:rsidP="00CD42BD">
            <w:pPr>
              <w:pStyle w:val="TableText0"/>
              <w:keepLines/>
            </w:pPr>
            <w:r w:rsidRPr="00131DA2">
              <w:t>Any TEAE leading to death</w:t>
            </w:r>
          </w:p>
        </w:tc>
        <w:tc>
          <w:tcPr>
            <w:tcW w:w="629" w:type="pct"/>
            <w:shd w:val="clear" w:color="auto" w:fill="auto"/>
          </w:tcPr>
          <w:p w14:paraId="35553598" w14:textId="77777777" w:rsidR="00884F00" w:rsidRPr="00131DA2" w:rsidRDefault="00884F00" w:rsidP="00CD42BD">
            <w:pPr>
              <w:pStyle w:val="TableText0"/>
              <w:keepLines/>
              <w:jc w:val="center"/>
            </w:pPr>
            <w:r w:rsidRPr="00131DA2">
              <w:t>2 (0.6)</w:t>
            </w:r>
          </w:p>
        </w:tc>
        <w:tc>
          <w:tcPr>
            <w:tcW w:w="629" w:type="pct"/>
            <w:shd w:val="clear" w:color="auto" w:fill="auto"/>
          </w:tcPr>
          <w:p w14:paraId="20F5D5EC" w14:textId="77777777" w:rsidR="00884F00" w:rsidRPr="00131DA2" w:rsidRDefault="00884F00" w:rsidP="00CD42BD">
            <w:pPr>
              <w:pStyle w:val="TableText0"/>
              <w:keepLines/>
              <w:jc w:val="center"/>
            </w:pPr>
            <w:r w:rsidRPr="00131DA2">
              <w:t>0</w:t>
            </w:r>
          </w:p>
        </w:tc>
        <w:tc>
          <w:tcPr>
            <w:tcW w:w="943" w:type="pct"/>
            <w:vAlign w:val="center"/>
          </w:tcPr>
          <w:p w14:paraId="121C8013" w14:textId="77777777" w:rsidR="00884F00" w:rsidRPr="00131DA2" w:rsidRDefault="00884F00" w:rsidP="00CD42BD">
            <w:pPr>
              <w:pStyle w:val="TableText0"/>
              <w:keepLines/>
              <w:jc w:val="center"/>
            </w:pPr>
            <w:r w:rsidRPr="00131DA2">
              <w:t>NA</w:t>
            </w:r>
          </w:p>
        </w:tc>
        <w:tc>
          <w:tcPr>
            <w:tcW w:w="1072" w:type="pct"/>
          </w:tcPr>
          <w:p w14:paraId="6A6A1B5D" w14:textId="77777777" w:rsidR="00884F00" w:rsidRPr="00131DA2" w:rsidRDefault="00884F00" w:rsidP="00CD42BD">
            <w:pPr>
              <w:pStyle w:val="TableText0"/>
              <w:keepLines/>
              <w:jc w:val="center"/>
            </w:pPr>
            <w:r w:rsidRPr="00131DA2">
              <w:t>NA</w:t>
            </w:r>
          </w:p>
        </w:tc>
      </w:tr>
      <w:tr w:rsidR="00884F00" w:rsidRPr="00131DA2" w14:paraId="177CEA0D" w14:textId="77777777" w:rsidTr="00CD42BD">
        <w:tc>
          <w:tcPr>
            <w:tcW w:w="5000" w:type="pct"/>
            <w:gridSpan w:val="5"/>
            <w:shd w:val="clear" w:color="auto" w:fill="auto"/>
            <w:vAlign w:val="center"/>
          </w:tcPr>
          <w:p w14:paraId="769D9C2A" w14:textId="77777777" w:rsidR="00884F00" w:rsidRPr="00131DA2" w:rsidRDefault="00884F00" w:rsidP="00CD42BD">
            <w:pPr>
              <w:pStyle w:val="TableText0"/>
              <w:keepLines/>
              <w:jc w:val="center"/>
              <w:rPr>
                <w:b/>
              </w:rPr>
            </w:pPr>
            <w:r w:rsidRPr="00131DA2">
              <w:rPr>
                <w:b/>
              </w:rPr>
              <w:t>Individualised starting dose</w:t>
            </w:r>
            <w:r w:rsidR="001B4249" w:rsidRPr="00131DA2">
              <w:rPr>
                <w:b/>
              </w:rPr>
              <w:t>**</w:t>
            </w:r>
          </w:p>
        </w:tc>
      </w:tr>
      <w:tr w:rsidR="00884F00" w:rsidRPr="00131DA2" w14:paraId="08E2B720" w14:textId="77777777" w:rsidTr="00CD42BD">
        <w:tc>
          <w:tcPr>
            <w:tcW w:w="1727" w:type="pct"/>
            <w:shd w:val="clear" w:color="auto" w:fill="auto"/>
            <w:vAlign w:val="center"/>
          </w:tcPr>
          <w:p w14:paraId="2E2BB2B1" w14:textId="77777777" w:rsidR="00884F00" w:rsidRPr="00131DA2" w:rsidRDefault="00884F00" w:rsidP="00CD42BD">
            <w:pPr>
              <w:pStyle w:val="TableText0"/>
              <w:keepLines/>
              <w:rPr>
                <w:b/>
              </w:rPr>
            </w:pPr>
            <w:r w:rsidRPr="00131DA2">
              <w:rPr>
                <w:b/>
              </w:rPr>
              <w:t xml:space="preserve">N </w:t>
            </w:r>
          </w:p>
        </w:tc>
        <w:tc>
          <w:tcPr>
            <w:tcW w:w="629" w:type="pct"/>
            <w:shd w:val="clear" w:color="auto" w:fill="auto"/>
          </w:tcPr>
          <w:p w14:paraId="5D72EC18" w14:textId="77777777" w:rsidR="00884F00" w:rsidRPr="00131DA2" w:rsidRDefault="00884F00" w:rsidP="00CD42BD">
            <w:pPr>
              <w:pStyle w:val="TableText0"/>
              <w:keepLines/>
              <w:jc w:val="center"/>
              <w:rPr>
                <w:b/>
              </w:rPr>
            </w:pPr>
            <w:r w:rsidRPr="00131DA2">
              <w:rPr>
                <w:b/>
              </w:rPr>
              <w:t>169</w:t>
            </w:r>
          </w:p>
        </w:tc>
        <w:tc>
          <w:tcPr>
            <w:tcW w:w="629" w:type="pct"/>
            <w:shd w:val="clear" w:color="auto" w:fill="auto"/>
          </w:tcPr>
          <w:p w14:paraId="1CD82C9D" w14:textId="77777777" w:rsidR="00884F00" w:rsidRPr="00131DA2" w:rsidRDefault="00884F00" w:rsidP="00CD42BD">
            <w:pPr>
              <w:pStyle w:val="TableText0"/>
              <w:keepLines/>
              <w:jc w:val="center"/>
              <w:rPr>
                <w:b/>
              </w:rPr>
            </w:pPr>
            <w:r w:rsidRPr="00131DA2">
              <w:rPr>
                <w:b/>
              </w:rPr>
              <w:t>86</w:t>
            </w:r>
          </w:p>
        </w:tc>
        <w:tc>
          <w:tcPr>
            <w:tcW w:w="943" w:type="pct"/>
            <w:vAlign w:val="center"/>
          </w:tcPr>
          <w:p w14:paraId="2C3438FC" w14:textId="77777777" w:rsidR="00884F00" w:rsidRPr="00131DA2" w:rsidRDefault="00884F00" w:rsidP="00CD42BD">
            <w:pPr>
              <w:pStyle w:val="TableText0"/>
              <w:keepLines/>
              <w:jc w:val="center"/>
            </w:pPr>
            <w:r w:rsidRPr="00131DA2">
              <w:t>-</w:t>
            </w:r>
          </w:p>
        </w:tc>
        <w:tc>
          <w:tcPr>
            <w:tcW w:w="1072" w:type="pct"/>
          </w:tcPr>
          <w:p w14:paraId="6A7AECFE" w14:textId="77777777" w:rsidR="00884F00" w:rsidRPr="00131DA2" w:rsidRDefault="00884F00" w:rsidP="00CD42BD">
            <w:pPr>
              <w:pStyle w:val="TableText0"/>
              <w:keepLines/>
              <w:jc w:val="center"/>
            </w:pPr>
            <w:r w:rsidRPr="00131DA2">
              <w:t>-</w:t>
            </w:r>
          </w:p>
        </w:tc>
      </w:tr>
      <w:tr w:rsidR="00884F00" w:rsidRPr="00131DA2" w14:paraId="2BAA9E2E" w14:textId="77777777" w:rsidTr="00CD42BD">
        <w:tc>
          <w:tcPr>
            <w:tcW w:w="1727" w:type="pct"/>
            <w:shd w:val="clear" w:color="auto" w:fill="auto"/>
            <w:vAlign w:val="center"/>
          </w:tcPr>
          <w:p w14:paraId="7C97FAD9" w14:textId="77777777" w:rsidR="00884F00" w:rsidRPr="00131DA2" w:rsidRDefault="00884F00" w:rsidP="00CD42BD">
            <w:pPr>
              <w:pStyle w:val="TableText0"/>
              <w:keepLines/>
            </w:pPr>
            <w:r w:rsidRPr="00131DA2">
              <w:t>Mean treatment duration months (SD)</w:t>
            </w:r>
          </w:p>
        </w:tc>
        <w:tc>
          <w:tcPr>
            <w:tcW w:w="629" w:type="pct"/>
            <w:shd w:val="clear" w:color="auto" w:fill="auto"/>
          </w:tcPr>
          <w:p w14:paraId="6D7F47D2" w14:textId="77777777" w:rsidR="00884F00" w:rsidRPr="00131DA2" w:rsidRDefault="00884F00" w:rsidP="00CD42BD">
            <w:pPr>
              <w:pStyle w:val="TableText0"/>
              <w:keepLines/>
              <w:jc w:val="center"/>
            </w:pPr>
            <w:r w:rsidRPr="00131DA2">
              <w:t>8.6 (4.8)</w:t>
            </w:r>
          </w:p>
        </w:tc>
        <w:tc>
          <w:tcPr>
            <w:tcW w:w="629" w:type="pct"/>
            <w:shd w:val="clear" w:color="auto" w:fill="auto"/>
          </w:tcPr>
          <w:p w14:paraId="46F34032" w14:textId="77777777" w:rsidR="00884F00" w:rsidRPr="00131DA2" w:rsidRDefault="00884F00" w:rsidP="00CD42BD">
            <w:pPr>
              <w:pStyle w:val="TableText0"/>
              <w:keepLines/>
              <w:jc w:val="center"/>
            </w:pPr>
            <w:r w:rsidRPr="00131DA2">
              <w:t>8.6 (4.4)</w:t>
            </w:r>
          </w:p>
        </w:tc>
        <w:tc>
          <w:tcPr>
            <w:tcW w:w="943" w:type="pct"/>
            <w:vAlign w:val="center"/>
          </w:tcPr>
          <w:p w14:paraId="7CF29035" w14:textId="77777777" w:rsidR="00884F00" w:rsidRPr="00131DA2" w:rsidRDefault="00884F00" w:rsidP="00CD42BD">
            <w:pPr>
              <w:pStyle w:val="TableText0"/>
              <w:keepLines/>
              <w:jc w:val="center"/>
            </w:pPr>
            <w:r w:rsidRPr="00131DA2">
              <w:t>-</w:t>
            </w:r>
          </w:p>
        </w:tc>
        <w:tc>
          <w:tcPr>
            <w:tcW w:w="1072" w:type="pct"/>
          </w:tcPr>
          <w:p w14:paraId="00933D7D" w14:textId="77777777" w:rsidR="00884F00" w:rsidRPr="00131DA2" w:rsidRDefault="00884F00" w:rsidP="00CD42BD">
            <w:pPr>
              <w:pStyle w:val="TableText0"/>
              <w:keepLines/>
              <w:jc w:val="center"/>
            </w:pPr>
            <w:r w:rsidRPr="00131DA2">
              <w:t>-</w:t>
            </w:r>
          </w:p>
        </w:tc>
      </w:tr>
      <w:tr w:rsidR="00884F00" w:rsidRPr="00131DA2" w14:paraId="777171EA" w14:textId="77777777" w:rsidTr="00CD42BD">
        <w:tc>
          <w:tcPr>
            <w:tcW w:w="1727" w:type="pct"/>
            <w:shd w:val="clear" w:color="auto" w:fill="auto"/>
            <w:vAlign w:val="center"/>
          </w:tcPr>
          <w:p w14:paraId="4B832646" w14:textId="77777777" w:rsidR="00884F00" w:rsidRPr="00131DA2" w:rsidRDefault="00884F00" w:rsidP="00CD42BD">
            <w:pPr>
              <w:pStyle w:val="TableText0"/>
              <w:keepLines/>
            </w:pPr>
            <w:r w:rsidRPr="00131DA2">
              <w:t>Any TEAE</w:t>
            </w:r>
          </w:p>
        </w:tc>
        <w:tc>
          <w:tcPr>
            <w:tcW w:w="629" w:type="pct"/>
            <w:shd w:val="clear" w:color="auto" w:fill="auto"/>
          </w:tcPr>
          <w:p w14:paraId="01602F6D" w14:textId="77777777" w:rsidR="00884F00" w:rsidRPr="00131DA2" w:rsidRDefault="00884F00" w:rsidP="00CD42BD">
            <w:pPr>
              <w:pStyle w:val="TableText0"/>
              <w:keepLines/>
              <w:jc w:val="center"/>
            </w:pPr>
            <w:r w:rsidRPr="00131DA2">
              <w:t>165 (97.6)</w:t>
            </w:r>
          </w:p>
        </w:tc>
        <w:tc>
          <w:tcPr>
            <w:tcW w:w="629" w:type="pct"/>
            <w:shd w:val="clear" w:color="auto" w:fill="auto"/>
          </w:tcPr>
          <w:p w14:paraId="62081840" w14:textId="77777777" w:rsidR="00884F00" w:rsidRPr="00131DA2" w:rsidRDefault="00884F00" w:rsidP="00CD42BD">
            <w:pPr>
              <w:pStyle w:val="TableText0"/>
              <w:keepLines/>
              <w:jc w:val="center"/>
            </w:pPr>
            <w:r w:rsidRPr="00131DA2">
              <w:t>76 (88.4)</w:t>
            </w:r>
          </w:p>
        </w:tc>
        <w:tc>
          <w:tcPr>
            <w:tcW w:w="943" w:type="pct"/>
            <w:vAlign w:val="center"/>
          </w:tcPr>
          <w:p w14:paraId="6B973D2B" w14:textId="77777777" w:rsidR="00884F00" w:rsidRPr="00164082" w:rsidRDefault="00884F00" w:rsidP="00CD42BD">
            <w:pPr>
              <w:pStyle w:val="TableText0"/>
              <w:keepLines/>
              <w:jc w:val="center"/>
            </w:pPr>
            <w:r w:rsidRPr="00164082">
              <w:t>9.3 (2.1, 16.4)</w:t>
            </w:r>
          </w:p>
        </w:tc>
        <w:tc>
          <w:tcPr>
            <w:tcW w:w="1072" w:type="pct"/>
          </w:tcPr>
          <w:p w14:paraId="241291D6" w14:textId="77777777" w:rsidR="00884F00" w:rsidRPr="00164082" w:rsidRDefault="00884F00" w:rsidP="00CD42BD">
            <w:pPr>
              <w:pStyle w:val="TableText0"/>
              <w:keepLines/>
              <w:jc w:val="center"/>
            </w:pPr>
            <w:r w:rsidRPr="00164082">
              <w:t>1.11 (1.02, 1.20)</w:t>
            </w:r>
          </w:p>
        </w:tc>
      </w:tr>
      <w:tr w:rsidR="00884F00" w:rsidRPr="00131DA2" w14:paraId="7748319D" w14:textId="77777777" w:rsidTr="00CD42BD">
        <w:tc>
          <w:tcPr>
            <w:tcW w:w="1727" w:type="pct"/>
            <w:shd w:val="clear" w:color="auto" w:fill="auto"/>
            <w:vAlign w:val="center"/>
          </w:tcPr>
          <w:p w14:paraId="562C2088" w14:textId="77777777" w:rsidR="00884F00" w:rsidRPr="00131DA2" w:rsidRDefault="00884F00" w:rsidP="00CD42BD">
            <w:pPr>
              <w:pStyle w:val="TableText0"/>
              <w:keepLines/>
            </w:pPr>
            <w:r w:rsidRPr="00131DA2">
              <w:t>Grade ≥ 3 TEAE</w:t>
            </w:r>
          </w:p>
        </w:tc>
        <w:tc>
          <w:tcPr>
            <w:tcW w:w="629" w:type="pct"/>
            <w:shd w:val="clear" w:color="auto" w:fill="auto"/>
          </w:tcPr>
          <w:p w14:paraId="75E8EB6D" w14:textId="77777777" w:rsidR="00884F00" w:rsidRPr="00131DA2" w:rsidRDefault="00884F00" w:rsidP="00CD42BD">
            <w:pPr>
              <w:pStyle w:val="TableText0"/>
              <w:keepLines/>
              <w:jc w:val="center"/>
            </w:pPr>
            <w:r w:rsidRPr="00131DA2">
              <w:t>102 (60.4)</w:t>
            </w:r>
          </w:p>
        </w:tc>
        <w:tc>
          <w:tcPr>
            <w:tcW w:w="629" w:type="pct"/>
            <w:shd w:val="clear" w:color="auto" w:fill="auto"/>
          </w:tcPr>
          <w:p w14:paraId="039CB5A1" w14:textId="77777777" w:rsidR="00884F00" w:rsidRPr="00131DA2" w:rsidRDefault="00884F00" w:rsidP="00CD42BD">
            <w:pPr>
              <w:pStyle w:val="TableText0"/>
              <w:keepLines/>
              <w:jc w:val="center"/>
            </w:pPr>
            <w:r w:rsidRPr="00131DA2">
              <w:t>16 (18.6)</w:t>
            </w:r>
          </w:p>
        </w:tc>
        <w:tc>
          <w:tcPr>
            <w:tcW w:w="943" w:type="pct"/>
            <w:vAlign w:val="center"/>
          </w:tcPr>
          <w:p w14:paraId="2DF08CE0" w14:textId="77777777" w:rsidR="00884F00" w:rsidRPr="00164082" w:rsidRDefault="00884F00" w:rsidP="00CD42BD">
            <w:pPr>
              <w:pStyle w:val="TableText0"/>
              <w:keepLines/>
              <w:jc w:val="center"/>
            </w:pPr>
            <w:r w:rsidRPr="00164082">
              <w:t>41.8 (30.7, 52.8)</w:t>
            </w:r>
          </w:p>
        </w:tc>
        <w:tc>
          <w:tcPr>
            <w:tcW w:w="1072" w:type="pct"/>
          </w:tcPr>
          <w:p w14:paraId="00592760" w14:textId="77777777" w:rsidR="00884F00" w:rsidRPr="00164082" w:rsidRDefault="00884F00" w:rsidP="00CD42BD">
            <w:pPr>
              <w:pStyle w:val="TableText0"/>
              <w:keepLines/>
              <w:jc w:val="center"/>
            </w:pPr>
            <w:r w:rsidRPr="00164082">
              <w:t>3.24 (2.05, 5.13)</w:t>
            </w:r>
          </w:p>
        </w:tc>
      </w:tr>
      <w:tr w:rsidR="00884F00" w:rsidRPr="00131DA2" w14:paraId="34587ED5" w14:textId="77777777" w:rsidTr="00CD42BD">
        <w:tc>
          <w:tcPr>
            <w:tcW w:w="1727" w:type="pct"/>
            <w:shd w:val="clear" w:color="auto" w:fill="auto"/>
            <w:vAlign w:val="center"/>
          </w:tcPr>
          <w:p w14:paraId="27A44687" w14:textId="77777777" w:rsidR="00884F00" w:rsidRPr="00131DA2" w:rsidRDefault="00884F00" w:rsidP="00CD42BD">
            <w:pPr>
              <w:pStyle w:val="TableText0"/>
              <w:keepLines/>
            </w:pPr>
            <w:r w:rsidRPr="00131DA2">
              <w:t>SAE</w:t>
            </w:r>
          </w:p>
        </w:tc>
        <w:tc>
          <w:tcPr>
            <w:tcW w:w="629" w:type="pct"/>
            <w:shd w:val="clear" w:color="auto" w:fill="auto"/>
          </w:tcPr>
          <w:p w14:paraId="64327FE2" w14:textId="77777777" w:rsidR="00884F00" w:rsidRPr="00131DA2" w:rsidRDefault="00884F00" w:rsidP="00CD42BD">
            <w:pPr>
              <w:pStyle w:val="TableText0"/>
              <w:keepLines/>
              <w:jc w:val="center"/>
            </w:pPr>
            <w:r w:rsidRPr="00131DA2">
              <w:t>45 (26.6)</w:t>
            </w:r>
          </w:p>
        </w:tc>
        <w:tc>
          <w:tcPr>
            <w:tcW w:w="629" w:type="pct"/>
            <w:shd w:val="clear" w:color="auto" w:fill="auto"/>
          </w:tcPr>
          <w:p w14:paraId="0060EEF3" w14:textId="77777777" w:rsidR="00884F00" w:rsidRPr="00131DA2" w:rsidRDefault="00884F00" w:rsidP="00CD42BD">
            <w:pPr>
              <w:pStyle w:val="TableText0"/>
              <w:keepLines/>
              <w:jc w:val="center"/>
            </w:pPr>
            <w:r w:rsidRPr="00131DA2">
              <w:t>14 (16.3)</w:t>
            </w:r>
          </w:p>
        </w:tc>
        <w:tc>
          <w:tcPr>
            <w:tcW w:w="943" w:type="pct"/>
            <w:vAlign w:val="center"/>
          </w:tcPr>
          <w:p w14:paraId="21BB9EB2" w14:textId="77777777" w:rsidR="00884F00" w:rsidRPr="00164082" w:rsidRDefault="00884F00" w:rsidP="00CD42BD">
            <w:pPr>
              <w:pStyle w:val="TableText0"/>
              <w:keepLines/>
              <w:jc w:val="center"/>
            </w:pPr>
            <w:r w:rsidRPr="00164082">
              <w:t>10.3 (0.09, 20.6)</w:t>
            </w:r>
          </w:p>
        </w:tc>
        <w:tc>
          <w:tcPr>
            <w:tcW w:w="1072" w:type="pct"/>
          </w:tcPr>
          <w:p w14:paraId="35C3D1E8" w14:textId="77777777" w:rsidR="00884F00" w:rsidRPr="00164082" w:rsidRDefault="00884F00" w:rsidP="00CD42BD">
            <w:pPr>
              <w:pStyle w:val="TableText0"/>
              <w:keepLines/>
              <w:jc w:val="center"/>
            </w:pPr>
            <w:r w:rsidRPr="00164082">
              <w:t>1.64 (0.95, 2.81)</w:t>
            </w:r>
          </w:p>
        </w:tc>
      </w:tr>
      <w:tr w:rsidR="0013521D" w:rsidRPr="00131DA2" w14:paraId="12603414" w14:textId="77777777" w:rsidTr="00CD42BD">
        <w:tc>
          <w:tcPr>
            <w:tcW w:w="1727" w:type="pct"/>
            <w:shd w:val="clear" w:color="auto" w:fill="auto"/>
          </w:tcPr>
          <w:p w14:paraId="42068B25" w14:textId="77777777" w:rsidR="0013521D" w:rsidRPr="00131DA2" w:rsidRDefault="0013521D" w:rsidP="0013521D">
            <w:pPr>
              <w:pStyle w:val="TableText0"/>
              <w:keepLines/>
            </w:pPr>
            <w:r w:rsidRPr="00131DA2">
              <w:t>Any TEAE leading drug interruption</w:t>
            </w:r>
          </w:p>
        </w:tc>
        <w:tc>
          <w:tcPr>
            <w:tcW w:w="629" w:type="pct"/>
            <w:shd w:val="clear" w:color="auto" w:fill="auto"/>
          </w:tcPr>
          <w:p w14:paraId="1014D526" w14:textId="77777777" w:rsidR="0013521D" w:rsidRPr="00131DA2" w:rsidRDefault="0013521D" w:rsidP="0013521D">
            <w:pPr>
              <w:pStyle w:val="TableText0"/>
              <w:keepLines/>
              <w:jc w:val="center"/>
            </w:pPr>
            <w:r>
              <w:t>121</w:t>
            </w:r>
            <w:r w:rsidRPr="00131DA2">
              <w:t xml:space="preserve"> (</w:t>
            </w:r>
            <w:r>
              <w:t>71.6</w:t>
            </w:r>
            <w:r w:rsidRPr="00131DA2">
              <w:t>)</w:t>
            </w:r>
          </w:p>
        </w:tc>
        <w:tc>
          <w:tcPr>
            <w:tcW w:w="629" w:type="pct"/>
            <w:shd w:val="clear" w:color="auto" w:fill="auto"/>
          </w:tcPr>
          <w:p w14:paraId="0A41C9F5" w14:textId="77777777" w:rsidR="0013521D" w:rsidRPr="00131DA2" w:rsidRDefault="0013521D" w:rsidP="0013521D">
            <w:pPr>
              <w:pStyle w:val="TableText0"/>
              <w:keepLines/>
              <w:jc w:val="center"/>
            </w:pPr>
            <w:r>
              <w:t>14</w:t>
            </w:r>
            <w:r w:rsidRPr="00131DA2">
              <w:t xml:space="preserve"> (</w:t>
            </w:r>
            <w:r>
              <w:t>16.3</w:t>
            </w:r>
            <w:r w:rsidRPr="00131DA2">
              <w:t>)</w:t>
            </w:r>
          </w:p>
        </w:tc>
        <w:tc>
          <w:tcPr>
            <w:tcW w:w="943" w:type="pct"/>
            <w:vAlign w:val="center"/>
          </w:tcPr>
          <w:p w14:paraId="18ED637E" w14:textId="77777777" w:rsidR="0013521D" w:rsidRDefault="0013521D" w:rsidP="0013521D">
            <w:pPr>
              <w:pStyle w:val="TableText0"/>
              <w:keepLines/>
              <w:jc w:val="center"/>
            </w:pPr>
            <w:r>
              <w:t>55.3 (45.0, 65.7)</w:t>
            </w:r>
          </w:p>
          <w:p w14:paraId="660EA80C" w14:textId="77777777" w:rsidR="0013521D" w:rsidRPr="00164082" w:rsidRDefault="0013521D" w:rsidP="0013521D">
            <w:pPr>
              <w:pStyle w:val="TableText0"/>
              <w:keepLines/>
              <w:jc w:val="center"/>
            </w:pPr>
          </w:p>
        </w:tc>
        <w:tc>
          <w:tcPr>
            <w:tcW w:w="1072" w:type="pct"/>
          </w:tcPr>
          <w:p w14:paraId="5B51B4F1" w14:textId="77777777" w:rsidR="0013521D" w:rsidRDefault="0013521D" w:rsidP="0013521D">
            <w:pPr>
              <w:pStyle w:val="TableText0"/>
              <w:keepLines/>
              <w:jc w:val="center"/>
            </w:pPr>
            <w:r>
              <w:t>4.40 (2.70, 7.17)</w:t>
            </w:r>
          </w:p>
          <w:p w14:paraId="6897608F" w14:textId="77777777" w:rsidR="0013521D" w:rsidRPr="00164082" w:rsidRDefault="0013521D" w:rsidP="0013521D">
            <w:pPr>
              <w:pStyle w:val="TableText0"/>
              <w:keepLines/>
              <w:jc w:val="center"/>
            </w:pPr>
          </w:p>
        </w:tc>
      </w:tr>
      <w:tr w:rsidR="00884F00" w:rsidRPr="00131DA2" w14:paraId="14C8244E" w14:textId="77777777" w:rsidTr="00CD42BD">
        <w:tc>
          <w:tcPr>
            <w:tcW w:w="1727" w:type="pct"/>
            <w:shd w:val="clear" w:color="auto" w:fill="auto"/>
          </w:tcPr>
          <w:p w14:paraId="0FBAACD9" w14:textId="77777777" w:rsidR="00884F00" w:rsidRPr="00131DA2" w:rsidRDefault="00884F00" w:rsidP="00CD42BD">
            <w:pPr>
              <w:pStyle w:val="TableText0"/>
              <w:keepLines/>
            </w:pPr>
            <w:r w:rsidRPr="00131DA2">
              <w:t>Any TEAE leading drug dose reduction</w:t>
            </w:r>
          </w:p>
        </w:tc>
        <w:tc>
          <w:tcPr>
            <w:tcW w:w="629" w:type="pct"/>
            <w:shd w:val="clear" w:color="auto" w:fill="auto"/>
          </w:tcPr>
          <w:p w14:paraId="0785C28C" w14:textId="77777777" w:rsidR="00884F00" w:rsidRPr="00131DA2" w:rsidRDefault="00884F00" w:rsidP="00CD42BD">
            <w:pPr>
              <w:pStyle w:val="TableText0"/>
              <w:keepLines/>
              <w:jc w:val="center"/>
            </w:pPr>
            <w:r w:rsidRPr="00131DA2">
              <w:t>104 (61.5)</w:t>
            </w:r>
          </w:p>
        </w:tc>
        <w:tc>
          <w:tcPr>
            <w:tcW w:w="629" w:type="pct"/>
            <w:shd w:val="clear" w:color="auto" w:fill="auto"/>
          </w:tcPr>
          <w:p w14:paraId="318533CD" w14:textId="77777777" w:rsidR="00884F00" w:rsidRPr="00131DA2" w:rsidRDefault="00884F00" w:rsidP="00CD42BD">
            <w:pPr>
              <w:pStyle w:val="TableText0"/>
              <w:keepLines/>
              <w:jc w:val="center"/>
            </w:pPr>
            <w:r w:rsidRPr="00131DA2">
              <w:t>5 (5.8)</w:t>
            </w:r>
          </w:p>
        </w:tc>
        <w:tc>
          <w:tcPr>
            <w:tcW w:w="943" w:type="pct"/>
            <w:vAlign w:val="center"/>
          </w:tcPr>
          <w:p w14:paraId="5E210920" w14:textId="77777777" w:rsidR="00884F00" w:rsidRPr="00164082" w:rsidRDefault="00884F00" w:rsidP="00CD42BD">
            <w:pPr>
              <w:pStyle w:val="TableText0"/>
              <w:keepLines/>
              <w:jc w:val="center"/>
            </w:pPr>
            <w:r w:rsidRPr="00164082">
              <w:t>55.7 (46.9, 64.6)</w:t>
            </w:r>
          </w:p>
        </w:tc>
        <w:tc>
          <w:tcPr>
            <w:tcW w:w="1072" w:type="pct"/>
          </w:tcPr>
          <w:p w14:paraId="3467FFAB" w14:textId="77777777" w:rsidR="00884F00" w:rsidRPr="00164082" w:rsidRDefault="00884F00" w:rsidP="00CD42BD">
            <w:pPr>
              <w:pStyle w:val="TableText0"/>
              <w:keepLines/>
              <w:jc w:val="center"/>
            </w:pPr>
            <w:r w:rsidRPr="00164082">
              <w:t>10.6 (4.5, 25.0)</w:t>
            </w:r>
          </w:p>
        </w:tc>
      </w:tr>
      <w:tr w:rsidR="00884F00" w:rsidRPr="00131DA2" w14:paraId="7CA54B67" w14:textId="77777777" w:rsidTr="00CD42BD">
        <w:tc>
          <w:tcPr>
            <w:tcW w:w="1727" w:type="pct"/>
            <w:shd w:val="clear" w:color="auto" w:fill="auto"/>
          </w:tcPr>
          <w:p w14:paraId="5D258E5D" w14:textId="77777777" w:rsidR="00884F00" w:rsidRPr="00131DA2" w:rsidRDefault="00884F00" w:rsidP="00CD42BD">
            <w:pPr>
              <w:pStyle w:val="TableText0"/>
              <w:keepLines/>
            </w:pPr>
            <w:r w:rsidRPr="00131DA2">
              <w:t>Any TEAE leading drug withdrawal</w:t>
            </w:r>
          </w:p>
        </w:tc>
        <w:tc>
          <w:tcPr>
            <w:tcW w:w="629" w:type="pct"/>
            <w:shd w:val="clear" w:color="auto" w:fill="auto"/>
          </w:tcPr>
          <w:p w14:paraId="04D37150" w14:textId="77777777" w:rsidR="00884F00" w:rsidRPr="00131DA2" w:rsidRDefault="00884F00" w:rsidP="00CD42BD">
            <w:pPr>
              <w:pStyle w:val="TableText0"/>
              <w:keepLines/>
              <w:jc w:val="center"/>
            </w:pPr>
            <w:r w:rsidRPr="00131DA2">
              <w:t>23 (13.6)</w:t>
            </w:r>
          </w:p>
        </w:tc>
        <w:tc>
          <w:tcPr>
            <w:tcW w:w="629" w:type="pct"/>
            <w:shd w:val="clear" w:color="auto" w:fill="auto"/>
          </w:tcPr>
          <w:p w14:paraId="3EAEB047" w14:textId="77777777" w:rsidR="00884F00" w:rsidRPr="00131DA2" w:rsidRDefault="00884F00" w:rsidP="00CD42BD">
            <w:pPr>
              <w:pStyle w:val="TableText0"/>
              <w:keepLines/>
              <w:jc w:val="center"/>
            </w:pPr>
            <w:r w:rsidRPr="00131DA2">
              <w:t>2 (2.3)</w:t>
            </w:r>
          </w:p>
        </w:tc>
        <w:tc>
          <w:tcPr>
            <w:tcW w:w="943" w:type="pct"/>
            <w:vAlign w:val="center"/>
          </w:tcPr>
          <w:p w14:paraId="4EAD5FB2" w14:textId="77777777" w:rsidR="00884F00" w:rsidRPr="00164082" w:rsidRDefault="00884F00" w:rsidP="00CD42BD">
            <w:pPr>
              <w:pStyle w:val="TableText0"/>
              <w:keepLines/>
              <w:jc w:val="center"/>
            </w:pPr>
            <w:r w:rsidRPr="00164082">
              <w:t>11.3 (5.2, 17.4)</w:t>
            </w:r>
          </w:p>
        </w:tc>
        <w:tc>
          <w:tcPr>
            <w:tcW w:w="1072" w:type="pct"/>
          </w:tcPr>
          <w:p w14:paraId="6C3D0993" w14:textId="77777777" w:rsidR="00884F00" w:rsidRPr="00164082" w:rsidRDefault="00884F00" w:rsidP="00CD42BD">
            <w:pPr>
              <w:pStyle w:val="TableText0"/>
              <w:keepLines/>
              <w:jc w:val="center"/>
            </w:pPr>
            <w:r w:rsidRPr="00164082">
              <w:t>5.85 (1.41, 24.25)</w:t>
            </w:r>
          </w:p>
        </w:tc>
      </w:tr>
      <w:tr w:rsidR="00884F00" w:rsidRPr="00131DA2" w14:paraId="17C3DB64" w14:textId="77777777" w:rsidTr="00CD42BD">
        <w:tc>
          <w:tcPr>
            <w:tcW w:w="1727" w:type="pct"/>
            <w:shd w:val="clear" w:color="auto" w:fill="auto"/>
          </w:tcPr>
          <w:p w14:paraId="6C4AAA1F" w14:textId="77777777" w:rsidR="00884F00" w:rsidRPr="00131DA2" w:rsidRDefault="00884F00" w:rsidP="00CD42BD">
            <w:pPr>
              <w:pStyle w:val="TableText0"/>
              <w:keepLines/>
            </w:pPr>
            <w:r w:rsidRPr="00131DA2">
              <w:t>Any TEAE leading to death</w:t>
            </w:r>
          </w:p>
        </w:tc>
        <w:tc>
          <w:tcPr>
            <w:tcW w:w="629" w:type="pct"/>
            <w:shd w:val="clear" w:color="auto" w:fill="auto"/>
          </w:tcPr>
          <w:p w14:paraId="076D6346" w14:textId="77777777" w:rsidR="00884F00" w:rsidRPr="00131DA2" w:rsidRDefault="00884F00" w:rsidP="00CD42BD">
            <w:pPr>
              <w:pStyle w:val="TableText0"/>
              <w:keepLines/>
              <w:jc w:val="center"/>
            </w:pPr>
            <w:r w:rsidRPr="00131DA2">
              <w:t>0</w:t>
            </w:r>
          </w:p>
        </w:tc>
        <w:tc>
          <w:tcPr>
            <w:tcW w:w="629" w:type="pct"/>
            <w:shd w:val="clear" w:color="auto" w:fill="auto"/>
          </w:tcPr>
          <w:p w14:paraId="0A861939" w14:textId="77777777" w:rsidR="00884F00" w:rsidRPr="00131DA2" w:rsidRDefault="00884F00" w:rsidP="00CD42BD">
            <w:pPr>
              <w:pStyle w:val="TableText0"/>
              <w:keepLines/>
              <w:jc w:val="center"/>
            </w:pPr>
            <w:r w:rsidRPr="00131DA2">
              <w:t>1 (1.2)</w:t>
            </w:r>
          </w:p>
        </w:tc>
        <w:tc>
          <w:tcPr>
            <w:tcW w:w="943" w:type="pct"/>
            <w:vAlign w:val="center"/>
          </w:tcPr>
          <w:p w14:paraId="55825A4D" w14:textId="77777777" w:rsidR="00884F00" w:rsidRPr="00131DA2" w:rsidRDefault="00884F00" w:rsidP="00CD42BD">
            <w:pPr>
              <w:pStyle w:val="TableText0"/>
              <w:keepLines/>
              <w:jc w:val="center"/>
            </w:pPr>
            <w:r w:rsidRPr="00131DA2">
              <w:t>NA</w:t>
            </w:r>
          </w:p>
        </w:tc>
        <w:tc>
          <w:tcPr>
            <w:tcW w:w="1072" w:type="pct"/>
          </w:tcPr>
          <w:p w14:paraId="04CF1777" w14:textId="77777777" w:rsidR="00884F00" w:rsidRPr="00131DA2" w:rsidRDefault="00884F00" w:rsidP="00CD42BD">
            <w:pPr>
              <w:pStyle w:val="TableText0"/>
              <w:keepLines/>
              <w:jc w:val="center"/>
            </w:pPr>
            <w:r w:rsidRPr="00131DA2">
              <w:t>NA</w:t>
            </w:r>
          </w:p>
        </w:tc>
      </w:tr>
    </w:tbl>
    <w:p w14:paraId="4FC456C8" w14:textId="77777777" w:rsidR="00884F00" w:rsidRPr="00131DA2" w:rsidRDefault="00884F00" w:rsidP="00CD42BD">
      <w:pPr>
        <w:pStyle w:val="TableFooter"/>
        <w:keepNext/>
        <w:keepLines/>
      </w:pPr>
      <w:r w:rsidRPr="00131DA2">
        <w:t>Source: Table 36 of the submission, p65 and Table 14.3.1.1A and 14.3.1.1B, PRIMA CSR</w:t>
      </w:r>
    </w:p>
    <w:p w14:paraId="3A420D20" w14:textId="77777777" w:rsidR="00884F00" w:rsidRPr="00131DA2" w:rsidRDefault="00884F00" w:rsidP="00CD42BD">
      <w:pPr>
        <w:pStyle w:val="TableFooter"/>
        <w:keepNext/>
        <w:keepLines/>
      </w:pPr>
      <w:r w:rsidRPr="00131DA2">
        <w:t>DCO = data cut-off; SAF = safety population; TEAE = treatment emergent adverse event, SAE= serious adverse events; SD= standard deviation; NA = not applicable.</w:t>
      </w:r>
    </w:p>
    <w:p w14:paraId="12FE4FA2" w14:textId="77777777" w:rsidR="00884F00" w:rsidRPr="00131DA2" w:rsidRDefault="00884F00" w:rsidP="00CD42BD">
      <w:pPr>
        <w:pStyle w:val="TableFooter"/>
        <w:keepNext/>
        <w:keepLines/>
      </w:pPr>
      <w:r w:rsidRPr="00164082">
        <w:t>*Calculated during the evaluation using R software</w:t>
      </w:r>
    </w:p>
    <w:p w14:paraId="4141A682" w14:textId="77777777" w:rsidR="001B4249" w:rsidRDefault="001B4249" w:rsidP="00BA2F50">
      <w:pPr>
        <w:pStyle w:val="TableFooter"/>
        <w:keepNext/>
        <w:keepLines/>
      </w:pPr>
      <w:r w:rsidRPr="00131DA2">
        <w:rPr>
          <w:snapToGrid w:val="0"/>
          <w:szCs w:val="22"/>
        </w:rPr>
        <w:t xml:space="preserve">** 44 patients received 300mg starting dose, </w:t>
      </w:r>
      <w:r w:rsidRPr="00131DA2">
        <w:t>125 patients received 200mg starting dose</w:t>
      </w:r>
    </w:p>
    <w:p w14:paraId="0E9DACF6" w14:textId="77777777" w:rsidR="00BA2F50" w:rsidRPr="00BA2F50" w:rsidRDefault="00BA2F50" w:rsidP="00BA2F50">
      <w:pPr>
        <w:pStyle w:val="TableFooter"/>
        <w:keepNext/>
        <w:keepLines/>
        <w:rPr>
          <w:i/>
        </w:rPr>
      </w:pPr>
      <w:r w:rsidRPr="00BA2F50">
        <w:rPr>
          <w:i/>
        </w:rPr>
        <w:t>Note that the results denoted by (*) presented in Table 5 are derived from post-hoc analyses conducted by the evaluation specifically for the purposes of informing the PBAC consideration. These analyses were not part of the pre-specified statistical plan for PRIMA. Interpretation of the results and their application should therefore be limited to seeking to understand the basis for the PBAC outcome and should not be used for any other purpose.</w:t>
      </w:r>
    </w:p>
    <w:p w14:paraId="520103C7" w14:textId="77777777" w:rsidR="001207E3" w:rsidRPr="00131DA2" w:rsidRDefault="00884F00" w:rsidP="001207E3">
      <w:pPr>
        <w:pStyle w:val="3-BodyText"/>
      </w:pPr>
      <w:r w:rsidRPr="00131DA2">
        <w:t>Overall, there were higher rates of treatment emergent adverse events (TEAEs), grade ≥3 TEAEs, serious adverse events (SAE), TEAEs leading to drug interruption, drug reduction and drug withdrawal in the niraparib arm compared to placebo arm. This was observed in the overall population, in the FSD population and the ISD population. Two deaths due to TEAEs were reported in the niraparib arm (with the FSD). The rate of grade ≥3 TEAEs, serious adverse events (SAE), TEAEs leading to drug interruption, or drug reduction were lower with the use of ISD compared to the FSD, however, TEAEs leading to drug withdrawal were almost the same (albeit slightly higher with the ISD).</w:t>
      </w:r>
      <w:r w:rsidR="001207E3" w:rsidRPr="00131DA2">
        <w:t xml:space="preserve">  </w:t>
      </w:r>
    </w:p>
    <w:p w14:paraId="0BFABBCB" w14:textId="77777777" w:rsidR="00723A7B" w:rsidRPr="00131DA2" w:rsidRDefault="00E410E9" w:rsidP="006934D9">
      <w:pPr>
        <w:pStyle w:val="3-BodyText"/>
      </w:pPr>
      <w:r w:rsidRPr="00131DA2">
        <w:t>The ESC noted that</w:t>
      </w:r>
      <w:r w:rsidR="00A8751F" w:rsidRPr="00131DA2">
        <w:t>,</w:t>
      </w:r>
      <w:r w:rsidRPr="00131DA2">
        <w:t xml:space="preserve"> a</w:t>
      </w:r>
      <w:r w:rsidR="002E0BE9" w:rsidRPr="00131DA2">
        <w:t>s discussed in the TGA clinical evaluation report</w:t>
      </w:r>
      <w:r w:rsidR="00A8751F" w:rsidRPr="00131DA2">
        <w:t>,</w:t>
      </w:r>
      <w:r w:rsidR="002E0BE9" w:rsidRPr="00131DA2">
        <w:t xml:space="preserve"> there remains a clinical concern about the rates of myelodysplastic syndromes (MDS) and/or acute myeloid leukaemia (AML)</w:t>
      </w:r>
      <w:r w:rsidR="00A8751F" w:rsidRPr="00131DA2">
        <w:t xml:space="preserve"> for patients treated with PARP inhibitors</w:t>
      </w:r>
      <w:r w:rsidR="002E0BE9" w:rsidRPr="00131DA2">
        <w:t>. The rate of MDS/AML based on review of niraparib trials was 1</w:t>
      </w:r>
      <w:r w:rsidR="00DA7138">
        <w:t>5/178</w:t>
      </w:r>
      <w:r w:rsidR="002E0BE9" w:rsidRPr="00131DA2">
        <w:t>5 patients (0.8%) in December 2019 but further follow-up data would provide a more accurate estimate of risk.</w:t>
      </w:r>
      <w:r w:rsidRPr="00131DA2">
        <w:t xml:space="preserve"> </w:t>
      </w:r>
    </w:p>
    <w:p w14:paraId="2D030DB3" w14:textId="77777777" w:rsidR="00F54005" w:rsidRPr="00131DA2" w:rsidRDefault="006877E0" w:rsidP="006877E0">
      <w:pPr>
        <w:pStyle w:val="3-BodyText"/>
      </w:pPr>
      <w:r w:rsidRPr="00131DA2">
        <w:t xml:space="preserve">Olaparib and bevacizumab safety data were presented in the submission, however no </w:t>
      </w:r>
      <w:r w:rsidR="00ED70F5" w:rsidRPr="00131DA2">
        <w:t xml:space="preserve">formal </w:t>
      </w:r>
      <w:r w:rsidRPr="00131DA2">
        <w:t xml:space="preserve">comparison of safety outcomes were provided. </w:t>
      </w:r>
      <w:r w:rsidR="00F54005" w:rsidRPr="00131DA2">
        <w:t>Overall, olaparib s</w:t>
      </w:r>
      <w:r w:rsidR="00974457" w:rsidRPr="00131DA2">
        <w:t>eems to have a better safety profile</w:t>
      </w:r>
      <w:r w:rsidR="00F54005" w:rsidRPr="00131DA2">
        <w:t xml:space="preserve"> compared to niraparib: </w:t>
      </w:r>
    </w:p>
    <w:p w14:paraId="69315348" w14:textId="77777777" w:rsidR="00F54005" w:rsidRPr="00131DA2" w:rsidRDefault="00F54005" w:rsidP="00E7222F">
      <w:pPr>
        <w:pStyle w:val="3-BodyText"/>
        <w:numPr>
          <w:ilvl w:val="0"/>
          <w:numId w:val="13"/>
        </w:numPr>
        <w:ind w:left="1077" w:hanging="357"/>
      </w:pPr>
      <w:r w:rsidRPr="00131DA2">
        <w:t xml:space="preserve">The rate of dose reduction in the SOLO-1 trial was much lower than that in the PRIMA trial (28.5% in olaparib arm, compared to 70.9% in the niraparib arm (ITT) and 61.5% in the niraparib ISD arm) despite the longer duration of treatment exposure in the SOLO-1 trial (20 months versus 10 months respectively). </w:t>
      </w:r>
    </w:p>
    <w:p w14:paraId="2454E765" w14:textId="77777777" w:rsidR="00826EE2" w:rsidRPr="00131DA2" w:rsidRDefault="006877E0" w:rsidP="00E7222F">
      <w:pPr>
        <w:pStyle w:val="3-BodyText"/>
        <w:numPr>
          <w:ilvl w:val="0"/>
          <w:numId w:val="13"/>
        </w:numPr>
        <w:ind w:left="1077" w:hanging="357"/>
      </w:pPr>
      <w:r w:rsidRPr="00131DA2">
        <w:t>An indirect comparison</w:t>
      </w:r>
      <w:r w:rsidR="00F54005" w:rsidRPr="00131DA2">
        <w:t xml:space="preserve"> performed during the evaluation</w:t>
      </w:r>
      <w:r w:rsidRPr="00131DA2">
        <w:t xml:space="preserve"> between olaparib and niraparib </w:t>
      </w:r>
      <w:r w:rsidR="00C62528" w:rsidRPr="00131DA2">
        <w:t xml:space="preserve">(ISD), </w:t>
      </w:r>
      <w:r w:rsidRPr="00131DA2">
        <w:t>although underpowered</w:t>
      </w:r>
      <w:r w:rsidR="00C62528" w:rsidRPr="00131DA2">
        <w:t>,</w:t>
      </w:r>
      <w:r w:rsidRPr="00131DA2">
        <w:t xml:space="preserve"> showed that the rate </w:t>
      </w:r>
      <w:r w:rsidR="00A01554" w:rsidRPr="00131DA2">
        <w:t>of TEAEs</w:t>
      </w:r>
      <w:r w:rsidRPr="00131DA2">
        <w:t xml:space="preserve">, TEAEs of ≥ Grade 3 and discontinuation due to TEAEs were consistently in favour of olaparib, with statistical significance reached for Grade </w:t>
      </w:r>
      <w:r w:rsidRPr="00131DA2">
        <w:rPr>
          <w:rFonts w:cs="Calibri"/>
        </w:rPr>
        <w:t>≥</w:t>
      </w:r>
      <w:r w:rsidRPr="00131DA2">
        <w:t>3 TEAEs.</w:t>
      </w:r>
    </w:p>
    <w:p w14:paraId="683DD94B" w14:textId="77777777" w:rsidR="00372F7F" w:rsidRDefault="00884F00" w:rsidP="00372F7F">
      <w:pPr>
        <w:pStyle w:val="3-BodyText"/>
      </w:pPr>
      <w:r w:rsidRPr="00131DA2">
        <w:t>Given the lack of head-to-head trials of niraparib versus olaparib in the BRCAm population, and versus bevacizumab in the sub</w:t>
      </w:r>
      <w:r w:rsidR="00BC317C" w:rsidRPr="00131DA2">
        <w:t>-</w:t>
      </w:r>
      <w:r w:rsidRPr="00131DA2">
        <w:t xml:space="preserve">optimally debulked </w:t>
      </w:r>
      <w:r w:rsidR="00AB7EDE" w:rsidRPr="00131DA2">
        <w:t>Stage IIIB/</w:t>
      </w:r>
      <w:r w:rsidR="00972364" w:rsidRPr="00131DA2">
        <w:t>IIIC and</w:t>
      </w:r>
      <w:r w:rsidRPr="00131DA2">
        <w:t xml:space="preserve"> </w:t>
      </w:r>
      <w:r w:rsidR="00972364" w:rsidRPr="00131DA2">
        <w:t>S</w:t>
      </w:r>
      <w:r w:rsidRPr="00131DA2">
        <w:t xml:space="preserve">tage IV patients, </w:t>
      </w:r>
      <w:r w:rsidR="00A8751F" w:rsidRPr="00131DA2">
        <w:t>conclusions regarding the</w:t>
      </w:r>
      <w:r w:rsidRPr="00131DA2">
        <w:t xml:space="preserve"> safety of niraparib relative to appropriate comparators</w:t>
      </w:r>
      <w:r w:rsidR="00A8751F" w:rsidRPr="00131DA2">
        <w:t xml:space="preserve"> </w:t>
      </w:r>
      <w:r w:rsidR="00F944F5" w:rsidRPr="00131DA2">
        <w:t>are limited</w:t>
      </w:r>
      <w:r w:rsidRPr="00131DA2">
        <w:t xml:space="preserve">. </w:t>
      </w:r>
    </w:p>
    <w:p w14:paraId="27C5F6A7" w14:textId="77777777" w:rsidR="008734A0" w:rsidRPr="00805281" w:rsidRDefault="00AB7813" w:rsidP="00920CF7">
      <w:pPr>
        <w:pStyle w:val="3-BodyText"/>
      </w:pPr>
      <w:r w:rsidRPr="00805281">
        <w:t>The PBAC noted that for niraparib, the rates of some adverse events were reduced in the ISD cohort compared with the FSD cohort</w:t>
      </w:r>
      <w:r w:rsidR="00BC69E4" w:rsidRPr="00805281">
        <w:t>, and the ISD would be most applicable to the PBS population if used as proposed in the draft PI</w:t>
      </w:r>
      <w:r w:rsidR="00805281" w:rsidRPr="00805281">
        <w:t>.</w:t>
      </w:r>
    </w:p>
    <w:p w14:paraId="7094276D" w14:textId="77777777" w:rsidR="008734A0" w:rsidRPr="00131DA2" w:rsidRDefault="008734A0" w:rsidP="00920CF7">
      <w:pPr>
        <w:pStyle w:val="3-BodyText"/>
        <w:numPr>
          <w:ilvl w:val="0"/>
          <w:numId w:val="0"/>
        </w:numPr>
      </w:pPr>
    </w:p>
    <w:p w14:paraId="7EB97ABA" w14:textId="77777777" w:rsidR="00884F00" w:rsidRPr="00131DA2" w:rsidRDefault="00884F00" w:rsidP="00372F7F">
      <w:pPr>
        <w:pStyle w:val="4-SubsectionHeading"/>
      </w:pPr>
      <w:bookmarkStart w:id="25" w:name="_Toc72246808"/>
      <w:r w:rsidRPr="00131DA2">
        <w:t>Benefits/harms</w:t>
      </w:r>
      <w:bookmarkEnd w:id="25"/>
    </w:p>
    <w:p w14:paraId="2CA634C5" w14:textId="77777777" w:rsidR="00884F00" w:rsidRPr="00131DA2" w:rsidRDefault="00884F00" w:rsidP="00884F00">
      <w:pPr>
        <w:pStyle w:val="3-BodyText"/>
        <w:rPr>
          <w:rStyle w:val="CommentReference"/>
        </w:rPr>
      </w:pPr>
      <w:r w:rsidRPr="00131DA2">
        <w:t>A summary of the comparative benefits and harms for niraparib versus placebo is presented in the table below.</w:t>
      </w:r>
    </w:p>
    <w:p w14:paraId="7F434580" w14:textId="77777777" w:rsidR="00884F00" w:rsidRPr="00131DA2" w:rsidRDefault="00884F00" w:rsidP="005A78E2">
      <w:pPr>
        <w:pStyle w:val="TableFigureHeading"/>
        <w:keepLines/>
        <w:rPr>
          <w:rStyle w:val="CommentReference"/>
          <w:b/>
          <w:szCs w:val="24"/>
        </w:rPr>
      </w:pPr>
      <w:r w:rsidRPr="00131DA2">
        <w:t xml:space="preserve">Table </w:t>
      </w:r>
      <w:r w:rsidR="008A7614">
        <w:rPr>
          <w:noProof/>
        </w:rPr>
        <w:t>6</w:t>
      </w:r>
      <w:r w:rsidRPr="00131DA2">
        <w:t xml:space="preserve">: Summary of comparative benefits and harms for niraparib versus placebo </w:t>
      </w:r>
      <w:r w:rsidR="0027630B" w:rsidRPr="00131DA2">
        <w:t>in</w:t>
      </w:r>
      <w:r w:rsidRPr="00131DA2">
        <w:t xml:space="preserve"> the</w:t>
      </w:r>
      <w:r w:rsidR="0027630B" w:rsidRPr="00131DA2">
        <w:t xml:space="preserve"> PRIMA</w:t>
      </w:r>
      <w:r w:rsidRPr="00131DA2">
        <w:t xml:space="preserve"> ITT population </w:t>
      </w:r>
    </w:p>
    <w:tbl>
      <w:tblPr>
        <w:tblStyle w:val="TableGrid"/>
        <w:tblW w:w="4938" w:type="pct"/>
        <w:tblInd w:w="28" w:type="dxa"/>
        <w:tblLayout w:type="fixed"/>
        <w:tblCellMar>
          <w:left w:w="28" w:type="dxa"/>
          <w:right w:w="28" w:type="dxa"/>
        </w:tblCellMar>
        <w:tblLook w:val="04A0" w:firstRow="1" w:lastRow="0" w:firstColumn="1" w:lastColumn="0" w:noHBand="0" w:noVBand="1"/>
        <w:tblCaption w:val="Table 6: Summary of comparative benefits and harms for niraparib versus placebo in the PRIMA ITT population "/>
      </w:tblPr>
      <w:tblGrid>
        <w:gridCol w:w="1671"/>
        <w:gridCol w:w="850"/>
        <w:gridCol w:w="144"/>
        <w:gridCol w:w="851"/>
        <w:gridCol w:w="563"/>
        <w:gridCol w:w="855"/>
        <w:gridCol w:w="703"/>
        <w:gridCol w:w="290"/>
        <w:gridCol w:w="994"/>
        <w:gridCol w:w="420"/>
        <w:gridCol w:w="1564"/>
      </w:tblGrid>
      <w:tr w:rsidR="00884F00" w:rsidRPr="00131DA2" w14:paraId="4CB3D69E" w14:textId="77777777" w:rsidTr="000E1532">
        <w:trPr>
          <w:trHeight w:val="20"/>
          <w:tblHeader/>
        </w:trPr>
        <w:tc>
          <w:tcPr>
            <w:tcW w:w="5000" w:type="pct"/>
            <w:gridSpan w:val="11"/>
            <w:shd w:val="clear" w:color="auto" w:fill="auto"/>
            <w:vAlign w:val="center"/>
          </w:tcPr>
          <w:p w14:paraId="52CE3AD5" w14:textId="77777777" w:rsidR="00884F00" w:rsidRPr="00131DA2" w:rsidRDefault="00884F00" w:rsidP="005A78E2">
            <w:pPr>
              <w:pStyle w:val="In-tableHeading"/>
              <w:keepLines/>
              <w:widowControl w:val="0"/>
              <w:rPr>
                <w:lang w:val="en-AU"/>
              </w:rPr>
            </w:pPr>
            <w:r w:rsidRPr="00131DA2">
              <w:rPr>
                <w:lang w:val="en-AU"/>
              </w:rPr>
              <w:t>Benefits</w:t>
            </w:r>
          </w:p>
        </w:tc>
      </w:tr>
      <w:tr w:rsidR="00884F00" w:rsidRPr="00131DA2" w14:paraId="0D8190B8" w14:textId="77777777" w:rsidTr="00AB7EDE">
        <w:trPr>
          <w:trHeight w:val="20"/>
        </w:trPr>
        <w:tc>
          <w:tcPr>
            <w:tcW w:w="5000" w:type="pct"/>
            <w:gridSpan w:val="11"/>
            <w:shd w:val="clear" w:color="auto" w:fill="auto"/>
            <w:vAlign w:val="center"/>
          </w:tcPr>
          <w:p w14:paraId="2A3D520D" w14:textId="77777777" w:rsidR="00884F00" w:rsidRPr="00131DA2" w:rsidRDefault="00884F00" w:rsidP="005A78E2">
            <w:pPr>
              <w:pStyle w:val="In-tableHeading"/>
              <w:keepLines/>
              <w:widowControl w:val="0"/>
              <w:rPr>
                <w:lang w:val="en-AU"/>
              </w:rPr>
            </w:pPr>
            <w:r w:rsidRPr="00131DA2">
              <w:rPr>
                <w:lang w:val="en-AU"/>
              </w:rPr>
              <w:t>Progression-free survival (PFS) (DCO May 2019) according to BICR</w:t>
            </w:r>
          </w:p>
        </w:tc>
      </w:tr>
      <w:tr w:rsidR="00884F00" w:rsidRPr="00131DA2" w14:paraId="404D3043" w14:textId="77777777" w:rsidTr="00AB7EDE">
        <w:trPr>
          <w:trHeight w:val="20"/>
        </w:trPr>
        <w:tc>
          <w:tcPr>
            <w:tcW w:w="1415" w:type="pct"/>
            <w:gridSpan w:val="2"/>
            <w:tcBorders>
              <w:bottom w:val="single" w:sz="4" w:space="0" w:color="auto"/>
            </w:tcBorders>
            <w:shd w:val="clear" w:color="auto" w:fill="auto"/>
            <w:vAlign w:val="center"/>
          </w:tcPr>
          <w:p w14:paraId="3E99AE12" w14:textId="77777777" w:rsidR="00884F00" w:rsidRPr="00131DA2" w:rsidRDefault="00884F00" w:rsidP="005A78E2">
            <w:pPr>
              <w:pStyle w:val="In-tableHeading"/>
              <w:keepLines/>
              <w:widowControl w:val="0"/>
              <w:jc w:val="center"/>
              <w:rPr>
                <w:lang w:val="en-AU"/>
              </w:rPr>
            </w:pPr>
            <w:r w:rsidRPr="00131DA2">
              <w:rPr>
                <w:lang w:val="en-AU"/>
              </w:rPr>
              <w:t>Event</w:t>
            </w:r>
          </w:p>
        </w:tc>
        <w:tc>
          <w:tcPr>
            <w:tcW w:w="875" w:type="pct"/>
            <w:gridSpan w:val="3"/>
            <w:tcBorders>
              <w:bottom w:val="single" w:sz="4" w:space="0" w:color="auto"/>
            </w:tcBorders>
            <w:shd w:val="clear" w:color="auto" w:fill="auto"/>
            <w:vAlign w:val="center"/>
          </w:tcPr>
          <w:p w14:paraId="28B7D077" w14:textId="77777777" w:rsidR="00884F00" w:rsidRPr="00131DA2" w:rsidRDefault="00884F00" w:rsidP="005A78E2">
            <w:pPr>
              <w:pStyle w:val="In-tableHeading"/>
              <w:keepLines/>
              <w:widowControl w:val="0"/>
              <w:jc w:val="center"/>
              <w:rPr>
                <w:lang w:val="en-AU"/>
              </w:rPr>
            </w:pPr>
            <w:r w:rsidRPr="00131DA2">
              <w:rPr>
                <w:lang w:val="en-AU"/>
              </w:rPr>
              <w:t>Niraparib</w:t>
            </w:r>
          </w:p>
        </w:tc>
        <w:tc>
          <w:tcPr>
            <w:tcW w:w="875" w:type="pct"/>
            <w:gridSpan w:val="2"/>
            <w:tcBorders>
              <w:bottom w:val="single" w:sz="4" w:space="0" w:color="auto"/>
            </w:tcBorders>
            <w:shd w:val="clear" w:color="auto" w:fill="auto"/>
            <w:vAlign w:val="center"/>
          </w:tcPr>
          <w:p w14:paraId="2EC53C99" w14:textId="77777777" w:rsidR="00884F00" w:rsidRPr="00131DA2" w:rsidRDefault="00884F00" w:rsidP="005A78E2">
            <w:pPr>
              <w:pStyle w:val="In-tableHeading"/>
              <w:keepLines/>
              <w:widowControl w:val="0"/>
              <w:jc w:val="center"/>
              <w:rPr>
                <w:lang w:val="en-AU"/>
              </w:rPr>
            </w:pPr>
            <w:r w:rsidRPr="00131DA2">
              <w:rPr>
                <w:lang w:val="en-AU"/>
              </w:rPr>
              <w:t>Placebo</w:t>
            </w:r>
          </w:p>
        </w:tc>
        <w:tc>
          <w:tcPr>
            <w:tcW w:w="957" w:type="pct"/>
            <w:gridSpan w:val="3"/>
            <w:tcBorders>
              <w:bottom w:val="single" w:sz="4" w:space="0" w:color="auto"/>
            </w:tcBorders>
            <w:shd w:val="clear" w:color="auto" w:fill="auto"/>
            <w:vAlign w:val="center"/>
          </w:tcPr>
          <w:p w14:paraId="5FB28B7A" w14:textId="77777777" w:rsidR="00884F00" w:rsidRPr="00131DA2" w:rsidRDefault="00884F00" w:rsidP="005A78E2">
            <w:pPr>
              <w:pStyle w:val="In-tableHeading"/>
              <w:keepLines/>
              <w:widowControl w:val="0"/>
              <w:jc w:val="center"/>
              <w:rPr>
                <w:rFonts w:asciiTheme="minorHAnsi" w:hAnsiTheme="minorHAnsi"/>
                <w:lang w:val="en-AU"/>
              </w:rPr>
            </w:pPr>
            <w:r w:rsidRPr="00131DA2">
              <w:rPr>
                <w:lang w:val="en-AU"/>
              </w:rPr>
              <w:t>Absolute difference</w:t>
            </w:r>
          </w:p>
        </w:tc>
        <w:tc>
          <w:tcPr>
            <w:tcW w:w="879" w:type="pct"/>
            <w:tcBorders>
              <w:bottom w:val="single" w:sz="4" w:space="0" w:color="auto"/>
            </w:tcBorders>
            <w:shd w:val="clear" w:color="auto" w:fill="auto"/>
            <w:vAlign w:val="center"/>
          </w:tcPr>
          <w:p w14:paraId="5F9DB59D" w14:textId="77777777" w:rsidR="00884F00" w:rsidRPr="00131DA2" w:rsidRDefault="00884F00" w:rsidP="005A78E2">
            <w:pPr>
              <w:pStyle w:val="In-tableHeading"/>
              <w:keepLines/>
              <w:widowControl w:val="0"/>
              <w:jc w:val="center"/>
              <w:rPr>
                <w:lang w:val="en-AU"/>
              </w:rPr>
            </w:pPr>
            <w:r w:rsidRPr="00131DA2">
              <w:rPr>
                <w:lang w:val="en-AU"/>
              </w:rPr>
              <w:t>HR (95% CI)</w:t>
            </w:r>
          </w:p>
        </w:tc>
      </w:tr>
      <w:tr w:rsidR="00884F00" w:rsidRPr="00131DA2" w14:paraId="0B1DC4FC" w14:textId="77777777" w:rsidTr="00AB7EDE">
        <w:trPr>
          <w:trHeight w:val="20"/>
        </w:trPr>
        <w:tc>
          <w:tcPr>
            <w:tcW w:w="1415" w:type="pct"/>
            <w:gridSpan w:val="2"/>
            <w:tcBorders>
              <w:bottom w:val="single" w:sz="4" w:space="0" w:color="auto"/>
              <w:right w:val="single" w:sz="4" w:space="0" w:color="auto"/>
            </w:tcBorders>
            <w:shd w:val="clear" w:color="auto" w:fill="auto"/>
            <w:vAlign w:val="center"/>
          </w:tcPr>
          <w:p w14:paraId="6C414737" w14:textId="77777777" w:rsidR="00884F00" w:rsidRPr="00131DA2" w:rsidRDefault="00884F00" w:rsidP="005A78E2">
            <w:pPr>
              <w:pStyle w:val="TableText0"/>
              <w:keepLines/>
              <w:widowControl w:val="0"/>
              <w:jc w:val="center"/>
            </w:pPr>
            <w:r w:rsidRPr="00131DA2">
              <w:t>Progressed or died, n (%)</w:t>
            </w:r>
          </w:p>
        </w:tc>
        <w:tc>
          <w:tcPr>
            <w:tcW w:w="875" w:type="pct"/>
            <w:gridSpan w:val="3"/>
            <w:tcBorders>
              <w:left w:val="single" w:sz="4" w:space="0" w:color="auto"/>
              <w:bottom w:val="single" w:sz="4" w:space="0" w:color="auto"/>
              <w:right w:val="single" w:sz="4" w:space="0" w:color="auto"/>
            </w:tcBorders>
            <w:shd w:val="clear" w:color="auto" w:fill="auto"/>
            <w:vAlign w:val="center"/>
          </w:tcPr>
          <w:p w14:paraId="1F55F0C2" w14:textId="77777777" w:rsidR="00884F00" w:rsidRPr="00131DA2" w:rsidRDefault="00884F00" w:rsidP="005A78E2">
            <w:pPr>
              <w:pStyle w:val="TableText0"/>
              <w:keepLines/>
              <w:widowControl w:val="0"/>
              <w:jc w:val="center"/>
            </w:pPr>
            <w:r w:rsidRPr="00131DA2">
              <w:t>232/487 (47.6%)</w:t>
            </w:r>
          </w:p>
        </w:tc>
        <w:tc>
          <w:tcPr>
            <w:tcW w:w="875" w:type="pct"/>
            <w:gridSpan w:val="2"/>
            <w:tcBorders>
              <w:left w:val="single" w:sz="4" w:space="0" w:color="auto"/>
              <w:bottom w:val="single" w:sz="4" w:space="0" w:color="auto"/>
              <w:right w:val="single" w:sz="4" w:space="0" w:color="auto"/>
            </w:tcBorders>
            <w:shd w:val="clear" w:color="auto" w:fill="auto"/>
            <w:vAlign w:val="center"/>
          </w:tcPr>
          <w:p w14:paraId="3F020BFB" w14:textId="77777777" w:rsidR="00884F00" w:rsidRPr="00131DA2" w:rsidRDefault="00884F00" w:rsidP="005A78E2">
            <w:pPr>
              <w:pStyle w:val="TableText0"/>
              <w:keepLines/>
              <w:widowControl w:val="0"/>
              <w:jc w:val="center"/>
            </w:pPr>
            <w:r w:rsidRPr="00131DA2">
              <w:t>155/246 (63.0%)</w:t>
            </w:r>
          </w:p>
        </w:tc>
        <w:tc>
          <w:tcPr>
            <w:tcW w:w="957" w:type="pct"/>
            <w:gridSpan w:val="3"/>
            <w:tcBorders>
              <w:left w:val="single" w:sz="4" w:space="0" w:color="auto"/>
              <w:bottom w:val="single" w:sz="4" w:space="0" w:color="auto"/>
              <w:right w:val="single" w:sz="4" w:space="0" w:color="auto"/>
            </w:tcBorders>
            <w:shd w:val="clear" w:color="auto" w:fill="auto"/>
            <w:vAlign w:val="center"/>
          </w:tcPr>
          <w:p w14:paraId="4C927D4A" w14:textId="77777777" w:rsidR="00884F00" w:rsidRPr="00131DA2" w:rsidRDefault="00884F00" w:rsidP="005A78E2">
            <w:pPr>
              <w:pStyle w:val="TableText0"/>
              <w:keepLines/>
              <w:widowControl w:val="0"/>
              <w:jc w:val="center"/>
            </w:pPr>
            <w:r w:rsidRPr="00131DA2">
              <w:t>15.4%</w:t>
            </w:r>
          </w:p>
        </w:tc>
        <w:tc>
          <w:tcPr>
            <w:tcW w:w="879" w:type="pct"/>
            <w:tcBorders>
              <w:left w:val="single" w:sz="4" w:space="0" w:color="auto"/>
              <w:bottom w:val="nil"/>
            </w:tcBorders>
            <w:shd w:val="clear" w:color="auto" w:fill="auto"/>
            <w:vAlign w:val="center"/>
          </w:tcPr>
          <w:p w14:paraId="2ADD694F" w14:textId="77777777" w:rsidR="00884F00" w:rsidRPr="00131DA2" w:rsidRDefault="00884F00" w:rsidP="005A78E2">
            <w:pPr>
              <w:pStyle w:val="TableText0"/>
              <w:keepLines/>
              <w:widowControl w:val="0"/>
              <w:jc w:val="center"/>
            </w:pPr>
          </w:p>
        </w:tc>
      </w:tr>
      <w:tr w:rsidR="00884F00" w:rsidRPr="00131DA2" w14:paraId="270AE055" w14:textId="77777777" w:rsidTr="00AB7EDE">
        <w:trPr>
          <w:trHeight w:val="20"/>
        </w:trPr>
        <w:tc>
          <w:tcPr>
            <w:tcW w:w="1415" w:type="pct"/>
            <w:gridSpan w:val="2"/>
            <w:tcBorders>
              <w:bottom w:val="single" w:sz="4" w:space="0" w:color="auto"/>
              <w:right w:val="single" w:sz="4" w:space="0" w:color="auto"/>
            </w:tcBorders>
            <w:shd w:val="clear" w:color="auto" w:fill="auto"/>
            <w:vAlign w:val="center"/>
          </w:tcPr>
          <w:p w14:paraId="101A9D64" w14:textId="77777777" w:rsidR="00884F00" w:rsidRPr="00131DA2" w:rsidRDefault="00884F00" w:rsidP="005A78E2">
            <w:pPr>
              <w:pStyle w:val="TableText0"/>
              <w:keepLines/>
              <w:widowControl w:val="0"/>
              <w:jc w:val="center"/>
            </w:pPr>
            <w:r w:rsidRPr="00131DA2">
              <w:t>Median PFS (95% CI), months</w:t>
            </w:r>
          </w:p>
        </w:tc>
        <w:tc>
          <w:tcPr>
            <w:tcW w:w="8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14AE63" w14:textId="77777777" w:rsidR="00884F00" w:rsidRPr="00131DA2" w:rsidRDefault="00884F00" w:rsidP="005A78E2">
            <w:pPr>
              <w:pStyle w:val="TableText0"/>
              <w:keepLines/>
              <w:widowControl w:val="0"/>
              <w:jc w:val="center"/>
              <w:rPr>
                <w:rFonts w:cs="Times New Roman"/>
              </w:rPr>
            </w:pPr>
            <w:r w:rsidRPr="00131DA2">
              <w:t>13.8 (11.5, 14.9)</w:t>
            </w:r>
          </w:p>
        </w:tc>
        <w:tc>
          <w:tcPr>
            <w:tcW w:w="8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2FA7B" w14:textId="77777777" w:rsidR="00884F00" w:rsidRPr="00131DA2" w:rsidRDefault="00884F00" w:rsidP="005A78E2">
            <w:pPr>
              <w:pStyle w:val="TableText0"/>
              <w:keepLines/>
              <w:widowControl w:val="0"/>
              <w:jc w:val="center"/>
              <w:rPr>
                <w:rFonts w:cs="Times New Roman"/>
              </w:rPr>
            </w:pPr>
            <w:r w:rsidRPr="00131DA2">
              <w:t>8.2 (7.3, 8.5)</w:t>
            </w:r>
          </w:p>
        </w:tc>
        <w:tc>
          <w:tcPr>
            <w:tcW w:w="957" w:type="pct"/>
            <w:gridSpan w:val="3"/>
            <w:tcBorders>
              <w:left w:val="single" w:sz="4" w:space="0" w:color="auto"/>
              <w:bottom w:val="single" w:sz="4" w:space="0" w:color="auto"/>
              <w:right w:val="single" w:sz="4" w:space="0" w:color="auto"/>
            </w:tcBorders>
            <w:shd w:val="clear" w:color="auto" w:fill="auto"/>
            <w:vAlign w:val="center"/>
          </w:tcPr>
          <w:p w14:paraId="62003DD0" w14:textId="77777777" w:rsidR="00884F00" w:rsidRPr="00131DA2" w:rsidRDefault="00884F00" w:rsidP="005A78E2">
            <w:pPr>
              <w:pStyle w:val="TableText0"/>
              <w:keepLines/>
              <w:widowControl w:val="0"/>
              <w:jc w:val="center"/>
            </w:pPr>
            <w:r w:rsidRPr="00131DA2">
              <w:t>5.6 months</w:t>
            </w:r>
          </w:p>
        </w:tc>
        <w:tc>
          <w:tcPr>
            <w:tcW w:w="879" w:type="pct"/>
            <w:tcBorders>
              <w:top w:val="nil"/>
              <w:left w:val="single" w:sz="4" w:space="0" w:color="auto"/>
              <w:bottom w:val="nil"/>
            </w:tcBorders>
            <w:shd w:val="clear" w:color="auto" w:fill="auto"/>
            <w:vAlign w:val="center"/>
          </w:tcPr>
          <w:p w14:paraId="3E503B97" w14:textId="77777777" w:rsidR="00884F00" w:rsidRPr="00131DA2" w:rsidRDefault="00884F00" w:rsidP="005A78E2">
            <w:pPr>
              <w:pStyle w:val="TableText0"/>
              <w:keepLines/>
              <w:widowControl w:val="0"/>
              <w:jc w:val="center"/>
            </w:pPr>
            <w:r w:rsidRPr="00131DA2">
              <w:t>0.62 (0.50, 0.76)</w:t>
            </w:r>
          </w:p>
        </w:tc>
      </w:tr>
      <w:tr w:rsidR="00884F00" w:rsidRPr="00131DA2" w14:paraId="7CD8AB66" w14:textId="77777777" w:rsidTr="00AB7EDE">
        <w:trPr>
          <w:trHeight w:val="20"/>
        </w:trPr>
        <w:tc>
          <w:tcPr>
            <w:tcW w:w="1415" w:type="pct"/>
            <w:gridSpan w:val="2"/>
            <w:tcBorders>
              <w:top w:val="single" w:sz="4" w:space="0" w:color="auto"/>
              <w:bottom w:val="single" w:sz="4" w:space="0" w:color="auto"/>
              <w:right w:val="single" w:sz="4" w:space="0" w:color="auto"/>
            </w:tcBorders>
            <w:shd w:val="clear" w:color="auto" w:fill="auto"/>
            <w:vAlign w:val="center"/>
          </w:tcPr>
          <w:p w14:paraId="674CD380" w14:textId="77777777" w:rsidR="00884F00" w:rsidRPr="00131DA2" w:rsidRDefault="00884F00" w:rsidP="005A78E2">
            <w:pPr>
              <w:pStyle w:val="TableText0"/>
              <w:keepLines/>
              <w:widowControl w:val="0"/>
              <w:jc w:val="center"/>
              <w:rPr>
                <w:vertAlign w:val="superscript"/>
              </w:rPr>
            </w:pPr>
            <w:r w:rsidRPr="00131DA2">
              <w:t>PFS at 12 months</w:t>
            </w:r>
            <w:r w:rsidRPr="00131DA2">
              <w:rPr>
                <w:vertAlign w:val="superscript"/>
              </w:rPr>
              <w:t>^</w:t>
            </w:r>
          </w:p>
          <w:p w14:paraId="095ABF4D" w14:textId="77777777" w:rsidR="00884F00" w:rsidRPr="00131DA2" w:rsidRDefault="00884F00" w:rsidP="005A78E2">
            <w:pPr>
              <w:pStyle w:val="TableText0"/>
              <w:keepLines/>
              <w:widowControl w:val="0"/>
              <w:jc w:val="center"/>
            </w:pPr>
            <w:r w:rsidRPr="00131DA2">
              <w:t xml:space="preserve"> (95 % CI) </w:t>
            </w:r>
          </w:p>
        </w:tc>
        <w:tc>
          <w:tcPr>
            <w:tcW w:w="8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69B2BA" w14:textId="77777777" w:rsidR="00884F00" w:rsidRPr="00131DA2" w:rsidRDefault="00884F00" w:rsidP="005A78E2">
            <w:pPr>
              <w:pStyle w:val="TableText0"/>
              <w:keepLines/>
              <w:widowControl w:val="0"/>
              <w:jc w:val="center"/>
            </w:pPr>
            <w:r w:rsidRPr="00131DA2">
              <w:t>0.53 (0.48, 0.58)</w:t>
            </w:r>
          </w:p>
        </w:tc>
        <w:tc>
          <w:tcPr>
            <w:tcW w:w="8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A8DE4" w14:textId="77777777" w:rsidR="00884F00" w:rsidRPr="00131DA2" w:rsidRDefault="00884F00" w:rsidP="005A78E2">
            <w:pPr>
              <w:pStyle w:val="TableText0"/>
              <w:keepLines/>
              <w:widowControl w:val="0"/>
              <w:jc w:val="center"/>
            </w:pPr>
            <w:r w:rsidRPr="00131DA2">
              <w:t>0.35 (0.29, 0.42)</w:t>
            </w:r>
          </w:p>
        </w:tc>
        <w:tc>
          <w:tcPr>
            <w:tcW w:w="95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225BA4" w14:textId="77777777" w:rsidR="00884F00" w:rsidRPr="00131DA2" w:rsidRDefault="00884F00" w:rsidP="005A78E2">
            <w:pPr>
              <w:pStyle w:val="TableText0"/>
              <w:keepLines/>
              <w:widowControl w:val="0"/>
              <w:jc w:val="center"/>
            </w:pPr>
            <w:r w:rsidRPr="00131DA2">
              <w:t>18%*</w:t>
            </w:r>
          </w:p>
        </w:tc>
        <w:tc>
          <w:tcPr>
            <w:tcW w:w="879" w:type="pct"/>
            <w:tcBorders>
              <w:top w:val="nil"/>
              <w:left w:val="single" w:sz="4" w:space="0" w:color="auto"/>
              <w:bottom w:val="nil"/>
            </w:tcBorders>
            <w:shd w:val="clear" w:color="auto" w:fill="auto"/>
            <w:vAlign w:val="center"/>
          </w:tcPr>
          <w:p w14:paraId="02226711" w14:textId="77777777" w:rsidR="00884F00" w:rsidRPr="00131DA2" w:rsidRDefault="00884F00" w:rsidP="00FB6EE9">
            <w:pPr>
              <w:pStyle w:val="TableText0"/>
              <w:keepLines/>
              <w:widowControl w:val="0"/>
            </w:pPr>
          </w:p>
        </w:tc>
      </w:tr>
      <w:tr w:rsidR="00884F00" w:rsidRPr="00131DA2" w14:paraId="1084F686" w14:textId="77777777" w:rsidTr="00AB7EDE">
        <w:trPr>
          <w:trHeight w:val="20"/>
        </w:trPr>
        <w:tc>
          <w:tcPr>
            <w:tcW w:w="1415" w:type="pct"/>
            <w:gridSpan w:val="2"/>
            <w:tcBorders>
              <w:top w:val="single" w:sz="4" w:space="0" w:color="auto"/>
              <w:bottom w:val="single" w:sz="4" w:space="0" w:color="auto"/>
              <w:right w:val="single" w:sz="4" w:space="0" w:color="auto"/>
            </w:tcBorders>
            <w:shd w:val="clear" w:color="auto" w:fill="auto"/>
            <w:vAlign w:val="center"/>
          </w:tcPr>
          <w:p w14:paraId="1F34590D" w14:textId="77777777" w:rsidR="00884F00" w:rsidRPr="00131DA2" w:rsidRDefault="00884F00" w:rsidP="005A78E2">
            <w:pPr>
              <w:pStyle w:val="TableText0"/>
              <w:keepLines/>
              <w:widowControl w:val="0"/>
              <w:jc w:val="center"/>
            </w:pPr>
            <w:r w:rsidRPr="00131DA2">
              <w:t>PFS at 24 months</w:t>
            </w:r>
            <w:r w:rsidRPr="00131DA2">
              <w:rPr>
                <w:vertAlign w:val="superscript"/>
              </w:rPr>
              <w:t>^</w:t>
            </w:r>
            <w:r w:rsidRPr="00131DA2">
              <w:t xml:space="preserve"> </w:t>
            </w:r>
          </w:p>
          <w:p w14:paraId="36490EFB" w14:textId="77777777" w:rsidR="00884F00" w:rsidRPr="00131DA2" w:rsidRDefault="00884F00" w:rsidP="005A78E2">
            <w:pPr>
              <w:pStyle w:val="TableText0"/>
              <w:keepLines/>
              <w:widowControl w:val="0"/>
              <w:jc w:val="center"/>
            </w:pPr>
            <w:r w:rsidRPr="00131DA2">
              <w:t xml:space="preserve">(95 % CI) </w:t>
            </w:r>
          </w:p>
        </w:tc>
        <w:tc>
          <w:tcPr>
            <w:tcW w:w="8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D0830F" w14:textId="77777777" w:rsidR="00884F00" w:rsidRPr="00131DA2" w:rsidRDefault="00884F00" w:rsidP="005A78E2">
            <w:pPr>
              <w:pStyle w:val="TableText0"/>
              <w:keepLines/>
              <w:widowControl w:val="0"/>
              <w:jc w:val="center"/>
            </w:pPr>
            <w:r w:rsidRPr="00131DA2">
              <w:t>0.32 (0.25, 0.39</w:t>
            </w:r>
          </w:p>
        </w:tc>
        <w:tc>
          <w:tcPr>
            <w:tcW w:w="8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0A20C" w14:textId="77777777" w:rsidR="00884F00" w:rsidRPr="00131DA2" w:rsidRDefault="00884F00" w:rsidP="005A78E2">
            <w:pPr>
              <w:pStyle w:val="TableText0"/>
              <w:keepLines/>
              <w:widowControl w:val="0"/>
              <w:jc w:val="center"/>
            </w:pPr>
            <w:r w:rsidRPr="00131DA2">
              <w:t>0.23 (0.14, 0.32)</w:t>
            </w:r>
          </w:p>
        </w:tc>
        <w:tc>
          <w:tcPr>
            <w:tcW w:w="95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95B120" w14:textId="77777777" w:rsidR="00884F00" w:rsidRPr="00131DA2" w:rsidRDefault="00884F00" w:rsidP="005A78E2">
            <w:pPr>
              <w:pStyle w:val="TableText0"/>
              <w:keepLines/>
              <w:widowControl w:val="0"/>
              <w:jc w:val="center"/>
              <w:rPr>
                <w:rFonts w:cs="Times New Roman"/>
              </w:rPr>
            </w:pPr>
            <w:r w:rsidRPr="00131DA2">
              <w:t>9%*</w:t>
            </w:r>
          </w:p>
        </w:tc>
        <w:tc>
          <w:tcPr>
            <w:tcW w:w="879" w:type="pct"/>
            <w:tcBorders>
              <w:top w:val="nil"/>
              <w:left w:val="single" w:sz="4" w:space="0" w:color="auto"/>
              <w:bottom w:val="single" w:sz="4" w:space="0" w:color="auto"/>
            </w:tcBorders>
            <w:shd w:val="clear" w:color="auto" w:fill="auto"/>
            <w:vAlign w:val="center"/>
          </w:tcPr>
          <w:p w14:paraId="6CB901BF" w14:textId="77777777" w:rsidR="00884F00" w:rsidRPr="00131DA2" w:rsidRDefault="00884F00" w:rsidP="005A78E2">
            <w:pPr>
              <w:pStyle w:val="TableText0"/>
              <w:keepLines/>
              <w:widowControl w:val="0"/>
              <w:jc w:val="center"/>
            </w:pPr>
          </w:p>
        </w:tc>
      </w:tr>
      <w:tr w:rsidR="00884F00" w:rsidRPr="00131DA2" w14:paraId="00219909" w14:textId="77777777" w:rsidTr="00AB7EDE">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7F22927" w14:textId="77777777" w:rsidR="00884F00" w:rsidRPr="00131DA2" w:rsidRDefault="00884F00" w:rsidP="005A78E2">
            <w:pPr>
              <w:pStyle w:val="TableText0"/>
              <w:keepLines/>
              <w:widowControl w:val="0"/>
              <w:rPr>
                <w:b/>
              </w:rPr>
            </w:pPr>
            <w:r w:rsidRPr="00131DA2">
              <w:rPr>
                <w:b/>
              </w:rPr>
              <w:t>Overall  survival (OS) (DCO May 2019)</w:t>
            </w:r>
          </w:p>
        </w:tc>
      </w:tr>
      <w:tr w:rsidR="00884F00" w:rsidRPr="00131DA2" w14:paraId="7A489248" w14:textId="77777777" w:rsidTr="00AB7EDE">
        <w:trPr>
          <w:trHeight w:val="20"/>
        </w:trPr>
        <w:tc>
          <w:tcPr>
            <w:tcW w:w="1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895E9" w14:textId="77777777" w:rsidR="00884F00" w:rsidRPr="00131DA2" w:rsidRDefault="00884F00" w:rsidP="005A78E2">
            <w:pPr>
              <w:pStyle w:val="TableText0"/>
              <w:keepLines/>
              <w:widowControl w:val="0"/>
              <w:jc w:val="center"/>
            </w:pPr>
            <w:r w:rsidRPr="00131DA2">
              <w:t>Deaths, n/N (%)</w:t>
            </w:r>
          </w:p>
        </w:tc>
        <w:tc>
          <w:tcPr>
            <w:tcW w:w="8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9BC27F" w14:textId="77777777" w:rsidR="00884F00" w:rsidRPr="00131DA2" w:rsidRDefault="00884F00" w:rsidP="005A78E2">
            <w:pPr>
              <w:pStyle w:val="TableText0"/>
              <w:keepLines/>
              <w:widowControl w:val="0"/>
              <w:jc w:val="center"/>
            </w:pPr>
            <w:r w:rsidRPr="00131DA2">
              <w:t>48/487 (9.9%)</w:t>
            </w:r>
          </w:p>
        </w:tc>
        <w:tc>
          <w:tcPr>
            <w:tcW w:w="8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1427F" w14:textId="77777777" w:rsidR="00884F00" w:rsidRPr="00131DA2" w:rsidRDefault="00884F00" w:rsidP="005A78E2">
            <w:pPr>
              <w:pStyle w:val="TableText0"/>
              <w:keepLines/>
              <w:widowControl w:val="0"/>
              <w:jc w:val="center"/>
            </w:pPr>
            <w:r w:rsidRPr="00131DA2">
              <w:t>31/246 (12.6%)</w:t>
            </w:r>
          </w:p>
        </w:tc>
        <w:tc>
          <w:tcPr>
            <w:tcW w:w="95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E10378" w14:textId="77777777" w:rsidR="00884F00" w:rsidRPr="00131DA2" w:rsidRDefault="00884F00" w:rsidP="005A78E2">
            <w:pPr>
              <w:pStyle w:val="TableText0"/>
              <w:keepLines/>
              <w:widowControl w:val="0"/>
              <w:jc w:val="center"/>
            </w:pPr>
            <w:r w:rsidRPr="00131DA2">
              <w:t>2.7%</w:t>
            </w:r>
          </w:p>
        </w:tc>
        <w:tc>
          <w:tcPr>
            <w:tcW w:w="879" w:type="pct"/>
            <w:tcBorders>
              <w:top w:val="single" w:sz="4" w:space="0" w:color="auto"/>
              <w:left w:val="single" w:sz="4" w:space="0" w:color="auto"/>
              <w:bottom w:val="nil"/>
              <w:right w:val="single" w:sz="4" w:space="0" w:color="auto"/>
            </w:tcBorders>
            <w:shd w:val="clear" w:color="auto" w:fill="auto"/>
            <w:vAlign w:val="center"/>
          </w:tcPr>
          <w:p w14:paraId="244EB37D" w14:textId="77777777" w:rsidR="00884F00" w:rsidRPr="00131DA2" w:rsidRDefault="00884F00" w:rsidP="005A78E2">
            <w:pPr>
              <w:pStyle w:val="TableText0"/>
              <w:keepLines/>
              <w:widowControl w:val="0"/>
              <w:jc w:val="center"/>
            </w:pPr>
          </w:p>
        </w:tc>
      </w:tr>
      <w:tr w:rsidR="00884F00" w:rsidRPr="00131DA2" w14:paraId="5DF74D52" w14:textId="77777777" w:rsidTr="00AB7EDE">
        <w:trPr>
          <w:trHeight w:val="20"/>
        </w:trPr>
        <w:tc>
          <w:tcPr>
            <w:tcW w:w="1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0C61F" w14:textId="77777777" w:rsidR="00884F00" w:rsidRPr="00131DA2" w:rsidRDefault="00884F00" w:rsidP="005A78E2">
            <w:pPr>
              <w:pStyle w:val="TableText0"/>
              <w:keepLines/>
              <w:widowControl w:val="0"/>
              <w:jc w:val="center"/>
            </w:pPr>
            <w:r w:rsidRPr="00131DA2">
              <w:t>Median OS (95% CI) months</w:t>
            </w:r>
          </w:p>
        </w:tc>
        <w:tc>
          <w:tcPr>
            <w:tcW w:w="8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5D77BD" w14:textId="77777777" w:rsidR="00884F00" w:rsidRPr="00131DA2" w:rsidRDefault="00884F00" w:rsidP="005A78E2">
            <w:pPr>
              <w:pStyle w:val="TableText0"/>
              <w:keepLines/>
              <w:widowControl w:val="0"/>
              <w:jc w:val="center"/>
              <w:rPr>
                <w:rFonts w:cs="Times New Roman"/>
              </w:rPr>
            </w:pPr>
            <w:r w:rsidRPr="00131DA2">
              <w:rPr>
                <w:rFonts w:eastAsia="Times New Roman" w:cs="Calibri"/>
                <w:color w:val="000000"/>
                <w:szCs w:val="20"/>
              </w:rPr>
              <w:t>NR</w:t>
            </w:r>
          </w:p>
        </w:tc>
        <w:tc>
          <w:tcPr>
            <w:tcW w:w="8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77DC2" w14:textId="77777777" w:rsidR="00884F00" w:rsidRPr="00131DA2" w:rsidRDefault="00884F00" w:rsidP="005A78E2">
            <w:pPr>
              <w:pStyle w:val="TableText0"/>
              <w:keepLines/>
              <w:widowControl w:val="0"/>
              <w:jc w:val="center"/>
              <w:rPr>
                <w:rFonts w:cs="Times New Roman"/>
              </w:rPr>
            </w:pPr>
            <w:r w:rsidRPr="00131DA2">
              <w:rPr>
                <w:rFonts w:eastAsia="Times New Roman" w:cs="Calibri"/>
                <w:color w:val="000000"/>
                <w:szCs w:val="20"/>
              </w:rPr>
              <w:t>NR</w:t>
            </w:r>
          </w:p>
        </w:tc>
        <w:tc>
          <w:tcPr>
            <w:tcW w:w="95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3024C3" w14:textId="77777777" w:rsidR="00884F00" w:rsidRPr="00131DA2" w:rsidRDefault="00884F00" w:rsidP="005A78E2">
            <w:pPr>
              <w:pStyle w:val="TableText0"/>
              <w:keepLines/>
              <w:widowControl w:val="0"/>
              <w:jc w:val="center"/>
            </w:pPr>
            <w:r w:rsidRPr="00131DA2">
              <w:t>NA</w:t>
            </w:r>
          </w:p>
        </w:tc>
        <w:tc>
          <w:tcPr>
            <w:tcW w:w="879" w:type="pct"/>
            <w:tcBorders>
              <w:top w:val="nil"/>
              <w:left w:val="single" w:sz="4" w:space="0" w:color="auto"/>
              <w:bottom w:val="nil"/>
              <w:right w:val="single" w:sz="4" w:space="0" w:color="auto"/>
            </w:tcBorders>
            <w:shd w:val="clear" w:color="auto" w:fill="auto"/>
            <w:vAlign w:val="center"/>
          </w:tcPr>
          <w:p w14:paraId="3EFF29E7" w14:textId="77777777" w:rsidR="00884F00" w:rsidRPr="00131DA2" w:rsidRDefault="00884F00" w:rsidP="005A78E2">
            <w:pPr>
              <w:pStyle w:val="TableText0"/>
              <w:keepLines/>
              <w:widowControl w:val="0"/>
              <w:jc w:val="center"/>
              <w:rPr>
                <w:vertAlign w:val="superscript"/>
              </w:rPr>
            </w:pPr>
            <w:r w:rsidRPr="00131DA2">
              <w:rPr>
                <w:rFonts w:eastAsia="Times New Roman" w:cs="Calibri"/>
                <w:color w:val="000000"/>
                <w:szCs w:val="20"/>
              </w:rPr>
              <w:t>0.70 (0.44, 1.11)</w:t>
            </w:r>
          </w:p>
        </w:tc>
      </w:tr>
      <w:tr w:rsidR="00884F00" w:rsidRPr="00131DA2" w14:paraId="7B2AA8CE" w14:textId="77777777" w:rsidTr="00AB7EDE">
        <w:trPr>
          <w:trHeight w:val="20"/>
        </w:trPr>
        <w:tc>
          <w:tcPr>
            <w:tcW w:w="14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E2AC9" w14:textId="77777777" w:rsidR="00884F00" w:rsidRPr="00131DA2" w:rsidRDefault="00884F00" w:rsidP="005A78E2">
            <w:pPr>
              <w:pStyle w:val="TableText0"/>
              <w:keepLines/>
              <w:widowControl w:val="0"/>
              <w:jc w:val="center"/>
            </w:pPr>
            <w:r w:rsidRPr="00131DA2">
              <w:t>OS at 12 months</w:t>
            </w:r>
            <w:r w:rsidRPr="00131DA2">
              <w:rPr>
                <w:vertAlign w:val="superscript"/>
              </w:rPr>
              <w:t>^</w:t>
            </w:r>
            <w:r w:rsidRPr="00131DA2">
              <w:t xml:space="preserve"> </w:t>
            </w:r>
          </w:p>
          <w:p w14:paraId="7E9C65B7" w14:textId="77777777" w:rsidR="00884F00" w:rsidRPr="00131DA2" w:rsidRDefault="00884F00" w:rsidP="005A78E2">
            <w:pPr>
              <w:pStyle w:val="TableText0"/>
              <w:keepLines/>
              <w:widowControl w:val="0"/>
              <w:jc w:val="center"/>
            </w:pPr>
            <w:r w:rsidRPr="00131DA2">
              <w:t xml:space="preserve">(95 % CI) </w:t>
            </w:r>
          </w:p>
        </w:tc>
        <w:tc>
          <w:tcPr>
            <w:tcW w:w="8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F711B2" w14:textId="77777777" w:rsidR="00884F00" w:rsidRPr="00131DA2" w:rsidRDefault="00884F00" w:rsidP="005A78E2">
            <w:pPr>
              <w:pStyle w:val="TableText0"/>
              <w:keepLines/>
              <w:widowControl w:val="0"/>
              <w:jc w:val="center"/>
            </w:pPr>
            <w:r w:rsidRPr="00131DA2">
              <w:rPr>
                <w:rFonts w:eastAsia="Times New Roman" w:cs="Calibri"/>
                <w:color w:val="000000"/>
                <w:szCs w:val="20"/>
              </w:rPr>
              <w:t>0.94 (0.91, 0.96)</w:t>
            </w:r>
          </w:p>
        </w:tc>
        <w:tc>
          <w:tcPr>
            <w:tcW w:w="8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EA904" w14:textId="77777777" w:rsidR="00884F00" w:rsidRPr="00131DA2" w:rsidRDefault="00884F00" w:rsidP="005A78E2">
            <w:pPr>
              <w:pStyle w:val="TableText0"/>
              <w:keepLines/>
              <w:widowControl w:val="0"/>
              <w:jc w:val="center"/>
            </w:pPr>
            <w:r w:rsidRPr="00131DA2">
              <w:rPr>
                <w:rFonts w:eastAsia="Times New Roman" w:cs="Calibri"/>
                <w:color w:val="000000"/>
                <w:szCs w:val="20"/>
              </w:rPr>
              <w:t>0.92 (0.88, 0.95)</w:t>
            </w:r>
          </w:p>
        </w:tc>
        <w:tc>
          <w:tcPr>
            <w:tcW w:w="95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56BFA3" w14:textId="77777777" w:rsidR="00884F00" w:rsidRPr="00131DA2" w:rsidRDefault="00884F00" w:rsidP="005A78E2">
            <w:pPr>
              <w:pStyle w:val="TableText0"/>
              <w:keepLines/>
              <w:widowControl w:val="0"/>
              <w:jc w:val="center"/>
            </w:pPr>
            <w:r w:rsidRPr="00131DA2">
              <w:t>2%</w:t>
            </w:r>
            <w:r w:rsidRPr="00131DA2">
              <w:rPr>
                <w:vertAlign w:val="superscript"/>
              </w:rPr>
              <w:t>#</w:t>
            </w:r>
          </w:p>
        </w:tc>
        <w:tc>
          <w:tcPr>
            <w:tcW w:w="879" w:type="pct"/>
            <w:tcBorders>
              <w:top w:val="nil"/>
              <w:left w:val="single" w:sz="4" w:space="0" w:color="auto"/>
              <w:bottom w:val="nil"/>
              <w:right w:val="single" w:sz="4" w:space="0" w:color="auto"/>
            </w:tcBorders>
            <w:shd w:val="clear" w:color="auto" w:fill="auto"/>
            <w:vAlign w:val="center"/>
          </w:tcPr>
          <w:p w14:paraId="0402D178" w14:textId="77777777" w:rsidR="00884F00" w:rsidRPr="00131DA2" w:rsidRDefault="00884F00" w:rsidP="005A78E2">
            <w:pPr>
              <w:pStyle w:val="TableText0"/>
              <w:keepLines/>
              <w:widowControl w:val="0"/>
              <w:jc w:val="center"/>
            </w:pPr>
          </w:p>
        </w:tc>
      </w:tr>
      <w:tr w:rsidR="00884F00" w:rsidRPr="00131DA2" w14:paraId="5E015DCF" w14:textId="77777777" w:rsidTr="00AB7EDE">
        <w:trPr>
          <w:trHeight w:val="20"/>
        </w:trPr>
        <w:tc>
          <w:tcPr>
            <w:tcW w:w="1415" w:type="pct"/>
            <w:gridSpan w:val="2"/>
            <w:tcBorders>
              <w:top w:val="single" w:sz="4" w:space="0" w:color="auto"/>
              <w:left w:val="single" w:sz="4" w:space="0" w:color="auto"/>
              <w:bottom w:val="single" w:sz="18" w:space="0" w:color="auto"/>
              <w:right w:val="single" w:sz="4" w:space="0" w:color="auto"/>
            </w:tcBorders>
            <w:shd w:val="clear" w:color="auto" w:fill="auto"/>
            <w:vAlign w:val="center"/>
          </w:tcPr>
          <w:p w14:paraId="2E9ADA3A" w14:textId="77777777" w:rsidR="00884F00" w:rsidRPr="00131DA2" w:rsidRDefault="00884F00" w:rsidP="005A78E2">
            <w:pPr>
              <w:pStyle w:val="TableText0"/>
              <w:keepLines/>
              <w:widowControl w:val="0"/>
              <w:jc w:val="center"/>
            </w:pPr>
            <w:r w:rsidRPr="00131DA2">
              <w:t>OS at 24 months</w:t>
            </w:r>
            <w:r w:rsidRPr="00131DA2">
              <w:rPr>
                <w:vertAlign w:val="superscript"/>
              </w:rPr>
              <w:t>^</w:t>
            </w:r>
            <w:r w:rsidRPr="00131DA2">
              <w:t xml:space="preserve"> </w:t>
            </w:r>
          </w:p>
          <w:p w14:paraId="05B2B26C" w14:textId="77777777" w:rsidR="00884F00" w:rsidRPr="00131DA2" w:rsidRDefault="00884F00" w:rsidP="005A78E2">
            <w:pPr>
              <w:pStyle w:val="TableText0"/>
              <w:keepLines/>
              <w:widowControl w:val="0"/>
              <w:jc w:val="center"/>
            </w:pPr>
            <w:r w:rsidRPr="00131DA2">
              <w:t xml:space="preserve">(95 % CI) </w:t>
            </w:r>
          </w:p>
        </w:tc>
        <w:tc>
          <w:tcPr>
            <w:tcW w:w="875" w:type="pct"/>
            <w:gridSpan w:val="3"/>
            <w:tcBorders>
              <w:top w:val="single" w:sz="4" w:space="0" w:color="auto"/>
              <w:left w:val="single" w:sz="4" w:space="0" w:color="auto"/>
              <w:bottom w:val="single" w:sz="18" w:space="0" w:color="auto"/>
              <w:right w:val="single" w:sz="4" w:space="0" w:color="auto"/>
            </w:tcBorders>
            <w:shd w:val="clear" w:color="auto" w:fill="auto"/>
            <w:vAlign w:val="center"/>
          </w:tcPr>
          <w:p w14:paraId="33739A6C" w14:textId="77777777" w:rsidR="00884F00" w:rsidRPr="00131DA2" w:rsidRDefault="00884F00" w:rsidP="005A78E2">
            <w:pPr>
              <w:pStyle w:val="TableText0"/>
              <w:keepLines/>
              <w:widowControl w:val="0"/>
              <w:jc w:val="center"/>
            </w:pPr>
            <w:r w:rsidRPr="00131DA2">
              <w:rPr>
                <w:rFonts w:eastAsia="Times New Roman" w:cs="Calibri"/>
                <w:color w:val="000000"/>
                <w:szCs w:val="20"/>
              </w:rPr>
              <w:t>0.84 (0.78, 0.89)</w:t>
            </w:r>
          </w:p>
        </w:tc>
        <w:tc>
          <w:tcPr>
            <w:tcW w:w="875" w:type="pct"/>
            <w:gridSpan w:val="2"/>
            <w:tcBorders>
              <w:top w:val="single" w:sz="4" w:space="0" w:color="auto"/>
              <w:left w:val="single" w:sz="4" w:space="0" w:color="auto"/>
              <w:bottom w:val="single" w:sz="18" w:space="0" w:color="auto"/>
              <w:right w:val="single" w:sz="4" w:space="0" w:color="auto"/>
            </w:tcBorders>
            <w:shd w:val="clear" w:color="auto" w:fill="auto"/>
            <w:vAlign w:val="center"/>
          </w:tcPr>
          <w:p w14:paraId="74F7FC1F" w14:textId="77777777" w:rsidR="00884F00" w:rsidRPr="00131DA2" w:rsidRDefault="00884F00" w:rsidP="005A78E2">
            <w:pPr>
              <w:pStyle w:val="TableText0"/>
              <w:keepLines/>
              <w:widowControl w:val="0"/>
              <w:jc w:val="center"/>
            </w:pPr>
            <w:r w:rsidRPr="00131DA2">
              <w:rPr>
                <w:rFonts w:eastAsia="Times New Roman" w:cs="Calibri"/>
                <w:color w:val="000000"/>
                <w:szCs w:val="20"/>
              </w:rPr>
              <w:t>0.77 (0.63, 0.86)</w:t>
            </w:r>
          </w:p>
        </w:tc>
        <w:tc>
          <w:tcPr>
            <w:tcW w:w="957" w:type="pct"/>
            <w:gridSpan w:val="3"/>
            <w:tcBorders>
              <w:top w:val="single" w:sz="4" w:space="0" w:color="auto"/>
              <w:left w:val="single" w:sz="4" w:space="0" w:color="auto"/>
              <w:bottom w:val="single" w:sz="18" w:space="0" w:color="auto"/>
              <w:right w:val="single" w:sz="4" w:space="0" w:color="auto"/>
            </w:tcBorders>
            <w:shd w:val="clear" w:color="auto" w:fill="auto"/>
            <w:vAlign w:val="center"/>
          </w:tcPr>
          <w:p w14:paraId="689017C3" w14:textId="77777777" w:rsidR="00884F00" w:rsidRPr="00131DA2" w:rsidRDefault="00884F00" w:rsidP="005A78E2">
            <w:pPr>
              <w:pStyle w:val="TableText0"/>
              <w:keepLines/>
              <w:widowControl w:val="0"/>
              <w:jc w:val="center"/>
            </w:pPr>
            <w:r w:rsidRPr="00131DA2">
              <w:t>7%</w:t>
            </w:r>
            <w:r w:rsidRPr="00131DA2">
              <w:rPr>
                <w:vertAlign w:val="superscript"/>
              </w:rPr>
              <w:t>#</w:t>
            </w:r>
          </w:p>
        </w:tc>
        <w:tc>
          <w:tcPr>
            <w:tcW w:w="879" w:type="pct"/>
            <w:tcBorders>
              <w:top w:val="nil"/>
              <w:left w:val="single" w:sz="4" w:space="0" w:color="auto"/>
              <w:bottom w:val="single" w:sz="18" w:space="0" w:color="auto"/>
              <w:right w:val="single" w:sz="4" w:space="0" w:color="auto"/>
            </w:tcBorders>
            <w:shd w:val="clear" w:color="auto" w:fill="auto"/>
            <w:vAlign w:val="center"/>
          </w:tcPr>
          <w:p w14:paraId="7AEC8042" w14:textId="77777777" w:rsidR="00884F00" w:rsidRPr="00131DA2" w:rsidRDefault="00884F00" w:rsidP="005A78E2">
            <w:pPr>
              <w:pStyle w:val="TableText0"/>
              <w:keepLines/>
              <w:widowControl w:val="0"/>
              <w:jc w:val="center"/>
            </w:pPr>
          </w:p>
        </w:tc>
      </w:tr>
      <w:tr w:rsidR="00884F00" w:rsidRPr="00131DA2" w14:paraId="32D8C207" w14:textId="77777777" w:rsidTr="00AB7EDE">
        <w:trPr>
          <w:trHeight w:val="20"/>
        </w:trPr>
        <w:tc>
          <w:tcPr>
            <w:tcW w:w="5000" w:type="pct"/>
            <w:gridSpan w:val="11"/>
            <w:tcBorders>
              <w:top w:val="single" w:sz="18" w:space="0" w:color="auto"/>
              <w:left w:val="single" w:sz="4" w:space="0" w:color="auto"/>
              <w:right w:val="single" w:sz="4" w:space="0" w:color="auto"/>
            </w:tcBorders>
            <w:shd w:val="clear" w:color="auto" w:fill="auto"/>
            <w:vAlign w:val="center"/>
          </w:tcPr>
          <w:p w14:paraId="7578B586" w14:textId="77777777" w:rsidR="00884F00" w:rsidRPr="00131DA2" w:rsidRDefault="00884F00" w:rsidP="005A78E2">
            <w:pPr>
              <w:pStyle w:val="In-tableHeading"/>
              <w:keepLines/>
              <w:widowControl w:val="0"/>
              <w:rPr>
                <w:lang w:val="en-AU"/>
              </w:rPr>
            </w:pPr>
            <w:r w:rsidRPr="00131DA2">
              <w:rPr>
                <w:lang w:val="en-AU"/>
              </w:rPr>
              <w:t>Harms</w:t>
            </w:r>
          </w:p>
        </w:tc>
      </w:tr>
      <w:tr w:rsidR="00884F00" w:rsidRPr="00131DA2" w14:paraId="538587D2" w14:textId="77777777" w:rsidTr="00AB7EDE">
        <w:trPr>
          <w:trHeight w:val="20"/>
        </w:trPr>
        <w:tc>
          <w:tcPr>
            <w:tcW w:w="938" w:type="pct"/>
            <w:vMerge w:val="restart"/>
            <w:tcBorders>
              <w:left w:val="single" w:sz="4" w:space="0" w:color="auto"/>
              <w:right w:val="single" w:sz="4" w:space="0" w:color="auto"/>
            </w:tcBorders>
            <w:shd w:val="clear" w:color="auto" w:fill="auto"/>
            <w:vAlign w:val="center"/>
          </w:tcPr>
          <w:p w14:paraId="40985332" w14:textId="77777777" w:rsidR="00884F00" w:rsidRPr="00131DA2" w:rsidRDefault="00884F00" w:rsidP="005A78E2">
            <w:pPr>
              <w:pStyle w:val="TableText0"/>
              <w:keepLines/>
              <w:widowControl w:val="0"/>
              <w:jc w:val="center"/>
            </w:pPr>
          </w:p>
        </w:tc>
        <w:tc>
          <w:tcPr>
            <w:tcW w:w="558" w:type="pct"/>
            <w:gridSpan w:val="2"/>
            <w:vMerge w:val="restart"/>
            <w:tcBorders>
              <w:left w:val="single" w:sz="4" w:space="0" w:color="auto"/>
              <w:right w:val="single" w:sz="4" w:space="0" w:color="auto"/>
            </w:tcBorders>
            <w:shd w:val="clear" w:color="auto" w:fill="auto"/>
            <w:vAlign w:val="center"/>
          </w:tcPr>
          <w:p w14:paraId="2EBC7809" w14:textId="77777777" w:rsidR="00884F00" w:rsidRPr="00131DA2" w:rsidRDefault="00884F00" w:rsidP="005A78E2">
            <w:pPr>
              <w:pStyle w:val="TableText0"/>
              <w:keepLines/>
              <w:widowControl w:val="0"/>
              <w:jc w:val="center"/>
              <w:rPr>
                <w:b/>
              </w:rPr>
            </w:pPr>
            <w:r w:rsidRPr="00131DA2">
              <w:rPr>
                <w:b/>
              </w:rPr>
              <w:t>Niraparib</w:t>
            </w:r>
          </w:p>
          <w:p w14:paraId="0F55C711" w14:textId="77777777" w:rsidR="00884F00" w:rsidRPr="00131DA2" w:rsidRDefault="00884F00" w:rsidP="005A78E2">
            <w:pPr>
              <w:pStyle w:val="TableText0"/>
              <w:keepLines/>
              <w:widowControl w:val="0"/>
              <w:jc w:val="center"/>
              <w:rPr>
                <w:b/>
              </w:rPr>
            </w:pPr>
            <w:r w:rsidRPr="00131DA2">
              <w:rPr>
                <w:b/>
              </w:rPr>
              <w:t>n/N</w:t>
            </w:r>
          </w:p>
        </w:tc>
        <w:tc>
          <w:tcPr>
            <w:tcW w:w="478" w:type="pct"/>
            <w:vMerge w:val="restart"/>
            <w:tcBorders>
              <w:top w:val="single" w:sz="4" w:space="0" w:color="auto"/>
              <w:left w:val="single" w:sz="4" w:space="0" w:color="auto"/>
              <w:right w:val="single" w:sz="4" w:space="0" w:color="auto"/>
            </w:tcBorders>
            <w:shd w:val="clear" w:color="auto" w:fill="auto"/>
            <w:vAlign w:val="center"/>
          </w:tcPr>
          <w:p w14:paraId="68C289D3" w14:textId="77777777" w:rsidR="00884F00" w:rsidRPr="00131DA2" w:rsidRDefault="00884F00" w:rsidP="005A78E2">
            <w:pPr>
              <w:pStyle w:val="In-tableHeading"/>
              <w:keepLines/>
              <w:widowControl w:val="0"/>
              <w:jc w:val="center"/>
              <w:rPr>
                <w:lang w:val="en-AU" w:eastAsia="zh-CN" w:bidi="en-US"/>
              </w:rPr>
            </w:pPr>
            <w:r w:rsidRPr="00131DA2">
              <w:rPr>
                <w:lang w:val="en-AU" w:eastAsia="zh-CN" w:bidi="en-US"/>
              </w:rPr>
              <w:t>Placebo</w:t>
            </w:r>
          </w:p>
          <w:p w14:paraId="0A2E5BC4" w14:textId="77777777" w:rsidR="00884F00" w:rsidRPr="00131DA2" w:rsidRDefault="00884F00" w:rsidP="005A78E2">
            <w:pPr>
              <w:pStyle w:val="In-tableHeading"/>
              <w:keepLines/>
              <w:widowControl w:val="0"/>
              <w:jc w:val="center"/>
              <w:rPr>
                <w:lang w:val="en-AU" w:eastAsia="zh-CN" w:bidi="en-US"/>
              </w:rPr>
            </w:pPr>
            <w:r w:rsidRPr="00131DA2">
              <w:rPr>
                <w:lang w:val="en-AU" w:eastAsia="zh-CN" w:bidi="en-US"/>
              </w:rPr>
              <w:t>n/N</w:t>
            </w:r>
          </w:p>
        </w:tc>
        <w:tc>
          <w:tcPr>
            <w:tcW w:w="796" w:type="pct"/>
            <w:gridSpan w:val="2"/>
            <w:vMerge w:val="restart"/>
            <w:tcBorders>
              <w:top w:val="single" w:sz="4" w:space="0" w:color="auto"/>
              <w:left w:val="single" w:sz="4" w:space="0" w:color="auto"/>
              <w:right w:val="single" w:sz="4" w:space="0" w:color="auto"/>
            </w:tcBorders>
            <w:shd w:val="clear" w:color="auto" w:fill="auto"/>
            <w:vAlign w:val="center"/>
          </w:tcPr>
          <w:p w14:paraId="2F832833" w14:textId="77777777" w:rsidR="00884F00" w:rsidRPr="00131DA2" w:rsidRDefault="00884F00" w:rsidP="005A78E2">
            <w:pPr>
              <w:pStyle w:val="In-tableHeading"/>
              <w:keepLines/>
              <w:widowControl w:val="0"/>
              <w:jc w:val="center"/>
              <w:rPr>
                <w:color w:val="000000"/>
                <w:szCs w:val="18"/>
                <w:lang w:val="en-AU"/>
              </w:rPr>
            </w:pPr>
            <w:r w:rsidRPr="00131DA2">
              <w:rPr>
                <w:color w:val="000000"/>
                <w:szCs w:val="18"/>
                <w:lang w:val="en-AU"/>
              </w:rPr>
              <w:t>Relative risk</w:t>
            </w:r>
          </w:p>
          <w:p w14:paraId="55A9F6A1" w14:textId="77777777" w:rsidR="00884F00" w:rsidRPr="00131DA2" w:rsidRDefault="00884F00" w:rsidP="005A78E2">
            <w:pPr>
              <w:pStyle w:val="In-tableHeading"/>
              <w:keepLines/>
              <w:widowControl w:val="0"/>
              <w:jc w:val="center"/>
              <w:rPr>
                <w:vertAlign w:val="superscript"/>
                <w:lang w:val="en-AU" w:eastAsia="zh-CN" w:bidi="en-US"/>
              </w:rPr>
            </w:pPr>
            <w:r w:rsidRPr="00131DA2">
              <w:rPr>
                <w:color w:val="000000"/>
                <w:szCs w:val="18"/>
                <w:lang w:val="en-AU"/>
              </w:rPr>
              <w:t>(95% CI)</w:t>
            </w:r>
            <w:r w:rsidRPr="00131DA2">
              <w:rPr>
                <w:color w:val="000000"/>
                <w:szCs w:val="18"/>
                <w:vertAlign w:val="superscript"/>
                <w:lang w:val="en-AU"/>
              </w:rPr>
              <w:t>$</w:t>
            </w:r>
          </w:p>
        </w:tc>
        <w:tc>
          <w:tcPr>
            <w:tcW w:w="1116" w:type="pct"/>
            <w:gridSpan w:val="3"/>
            <w:tcBorders>
              <w:left w:val="single" w:sz="4" w:space="0" w:color="auto"/>
              <w:right w:val="single" w:sz="4" w:space="0" w:color="auto"/>
            </w:tcBorders>
            <w:shd w:val="clear" w:color="auto" w:fill="auto"/>
            <w:vAlign w:val="center"/>
          </w:tcPr>
          <w:p w14:paraId="746770FA" w14:textId="77777777" w:rsidR="00884F00" w:rsidRPr="00131DA2" w:rsidRDefault="00884F00" w:rsidP="005A78E2">
            <w:pPr>
              <w:pStyle w:val="In-tableHeading"/>
              <w:keepLines/>
              <w:widowControl w:val="0"/>
              <w:jc w:val="center"/>
              <w:rPr>
                <w:lang w:val="en-AU"/>
              </w:rPr>
            </w:pPr>
            <w:r w:rsidRPr="00131DA2">
              <w:rPr>
                <w:color w:val="000000"/>
                <w:szCs w:val="18"/>
                <w:lang w:val="en-AU"/>
              </w:rPr>
              <w:t>Event rate/100 patients</w:t>
            </w:r>
          </w:p>
        </w:tc>
        <w:tc>
          <w:tcPr>
            <w:tcW w:w="1115" w:type="pct"/>
            <w:gridSpan w:val="2"/>
            <w:vMerge w:val="restart"/>
            <w:tcBorders>
              <w:top w:val="single" w:sz="4" w:space="0" w:color="auto"/>
              <w:left w:val="single" w:sz="4" w:space="0" w:color="auto"/>
              <w:right w:val="single" w:sz="4" w:space="0" w:color="auto"/>
            </w:tcBorders>
            <w:shd w:val="clear" w:color="auto" w:fill="auto"/>
            <w:vAlign w:val="center"/>
          </w:tcPr>
          <w:p w14:paraId="3F6615A4" w14:textId="77777777" w:rsidR="00884F00" w:rsidRPr="00131DA2" w:rsidRDefault="00884F00" w:rsidP="005A78E2">
            <w:pPr>
              <w:pStyle w:val="In-tableHeading"/>
              <w:keepLines/>
              <w:widowControl w:val="0"/>
              <w:jc w:val="center"/>
              <w:rPr>
                <w:lang w:val="en-AU"/>
              </w:rPr>
            </w:pPr>
            <w:r w:rsidRPr="00131DA2">
              <w:rPr>
                <w:lang w:val="en-AU"/>
              </w:rPr>
              <w:t>Risk difference</w:t>
            </w:r>
          </w:p>
          <w:p w14:paraId="4A5900EE" w14:textId="77777777" w:rsidR="00884F00" w:rsidRPr="00131DA2" w:rsidRDefault="00884F00" w:rsidP="005A78E2">
            <w:pPr>
              <w:pStyle w:val="In-tableHeading"/>
              <w:keepLines/>
              <w:widowControl w:val="0"/>
              <w:jc w:val="center"/>
              <w:rPr>
                <w:vertAlign w:val="superscript"/>
                <w:lang w:val="en-AU"/>
              </w:rPr>
            </w:pPr>
            <w:r w:rsidRPr="00131DA2">
              <w:rPr>
                <w:lang w:val="en-AU"/>
              </w:rPr>
              <w:t>(95% CI)</w:t>
            </w:r>
            <w:r w:rsidRPr="00131DA2">
              <w:rPr>
                <w:vertAlign w:val="superscript"/>
                <w:lang w:val="en-AU"/>
              </w:rPr>
              <w:t>$</w:t>
            </w:r>
          </w:p>
        </w:tc>
      </w:tr>
      <w:tr w:rsidR="00884F00" w:rsidRPr="00131DA2" w14:paraId="6E180441" w14:textId="77777777" w:rsidTr="00AB7EDE">
        <w:trPr>
          <w:trHeight w:val="20"/>
        </w:trPr>
        <w:tc>
          <w:tcPr>
            <w:tcW w:w="938" w:type="pct"/>
            <w:vMerge/>
            <w:tcBorders>
              <w:left w:val="single" w:sz="4" w:space="0" w:color="auto"/>
              <w:right w:val="single" w:sz="4" w:space="0" w:color="auto"/>
            </w:tcBorders>
            <w:shd w:val="clear" w:color="auto" w:fill="auto"/>
            <w:vAlign w:val="center"/>
          </w:tcPr>
          <w:p w14:paraId="44B86991" w14:textId="77777777" w:rsidR="00884F00" w:rsidRPr="00131DA2" w:rsidRDefault="00884F00" w:rsidP="005A78E2">
            <w:pPr>
              <w:pStyle w:val="TableText0"/>
              <w:keepLines/>
              <w:widowControl w:val="0"/>
              <w:jc w:val="center"/>
            </w:pPr>
          </w:p>
        </w:tc>
        <w:tc>
          <w:tcPr>
            <w:tcW w:w="558" w:type="pct"/>
            <w:gridSpan w:val="2"/>
            <w:vMerge/>
            <w:tcBorders>
              <w:left w:val="single" w:sz="4" w:space="0" w:color="auto"/>
              <w:right w:val="single" w:sz="4" w:space="0" w:color="auto"/>
            </w:tcBorders>
            <w:shd w:val="clear" w:color="auto" w:fill="auto"/>
            <w:vAlign w:val="center"/>
          </w:tcPr>
          <w:p w14:paraId="71B6B730" w14:textId="77777777" w:rsidR="00884F00" w:rsidRPr="00131DA2" w:rsidRDefault="00884F00" w:rsidP="005A78E2">
            <w:pPr>
              <w:pStyle w:val="TableText0"/>
              <w:keepLines/>
              <w:widowControl w:val="0"/>
              <w:jc w:val="center"/>
            </w:pPr>
          </w:p>
        </w:tc>
        <w:tc>
          <w:tcPr>
            <w:tcW w:w="478" w:type="pct"/>
            <w:vMerge/>
            <w:tcBorders>
              <w:left w:val="single" w:sz="4" w:space="0" w:color="auto"/>
              <w:bottom w:val="single" w:sz="4" w:space="0" w:color="auto"/>
              <w:right w:val="single" w:sz="4" w:space="0" w:color="auto"/>
            </w:tcBorders>
            <w:shd w:val="clear" w:color="auto" w:fill="auto"/>
            <w:vAlign w:val="center"/>
          </w:tcPr>
          <w:p w14:paraId="099EB2A3" w14:textId="77777777" w:rsidR="00884F00" w:rsidRPr="00131DA2" w:rsidRDefault="00884F00" w:rsidP="005A78E2">
            <w:pPr>
              <w:pStyle w:val="TableText0"/>
              <w:keepLines/>
              <w:widowControl w:val="0"/>
              <w:jc w:val="center"/>
              <w:rPr>
                <w:lang w:eastAsia="zh-CN" w:bidi="en-US"/>
              </w:rPr>
            </w:pPr>
          </w:p>
        </w:tc>
        <w:tc>
          <w:tcPr>
            <w:tcW w:w="796" w:type="pct"/>
            <w:gridSpan w:val="2"/>
            <w:vMerge/>
            <w:tcBorders>
              <w:left w:val="single" w:sz="4" w:space="0" w:color="auto"/>
              <w:bottom w:val="single" w:sz="4" w:space="0" w:color="auto"/>
              <w:right w:val="single" w:sz="4" w:space="0" w:color="auto"/>
            </w:tcBorders>
            <w:shd w:val="clear" w:color="auto" w:fill="auto"/>
            <w:vAlign w:val="center"/>
          </w:tcPr>
          <w:p w14:paraId="2837D6FB" w14:textId="77777777" w:rsidR="00884F00" w:rsidRPr="00131DA2" w:rsidRDefault="00884F00" w:rsidP="005A78E2">
            <w:pPr>
              <w:pStyle w:val="TableText0"/>
              <w:keepLines/>
              <w:widowControl w:val="0"/>
              <w:jc w:val="center"/>
              <w:rPr>
                <w:lang w:eastAsia="zh-CN" w:bidi="en-US"/>
              </w:rPr>
            </w:pPr>
          </w:p>
        </w:tc>
        <w:tc>
          <w:tcPr>
            <w:tcW w:w="558" w:type="pct"/>
            <w:gridSpan w:val="2"/>
            <w:tcBorders>
              <w:left w:val="single" w:sz="4" w:space="0" w:color="auto"/>
              <w:right w:val="single" w:sz="4" w:space="0" w:color="auto"/>
            </w:tcBorders>
            <w:shd w:val="clear" w:color="auto" w:fill="auto"/>
            <w:vAlign w:val="center"/>
          </w:tcPr>
          <w:p w14:paraId="013F24C4" w14:textId="77777777" w:rsidR="00884F00" w:rsidRPr="00131DA2" w:rsidRDefault="00884F00" w:rsidP="005A78E2">
            <w:pPr>
              <w:pStyle w:val="In-tableHeading"/>
              <w:keepLines/>
              <w:widowControl w:val="0"/>
              <w:jc w:val="center"/>
              <w:rPr>
                <w:lang w:val="en-AU"/>
              </w:rPr>
            </w:pPr>
            <w:r w:rsidRPr="00131DA2">
              <w:rPr>
                <w:lang w:val="en-AU"/>
              </w:rPr>
              <w:t>Niraparib</w:t>
            </w:r>
          </w:p>
        </w:tc>
        <w:tc>
          <w:tcPr>
            <w:tcW w:w="558" w:type="pct"/>
            <w:tcBorders>
              <w:left w:val="single" w:sz="4" w:space="0" w:color="auto"/>
              <w:right w:val="single" w:sz="4" w:space="0" w:color="auto"/>
            </w:tcBorders>
            <w:shd w:val="clear" w:color="auto" w:fill="auto"/>
            <w:vAlign w:val="center"/>
          </w:tcPr>
          <w:p w14:paraId="6E7234EA" w14:textId="77777777" w:rsidR="00884F00" w:rsidRPr="00131DA2" w:rsidRDefault="00884F00" w:rsidP="005A78E2">
            <w:pPr>
              <w:pStyle w:val="In-tableHeading"/>
              <w:keepLines/>
              <w:widowControl w:val="0"/>
              <w:jc w:val="center"/>
              <w:rPr>
                <w:lang w:val="en-AU"/>
              </w:rPr>
            </w:pPr>
            <w:r w:rsidRPr="00131DA2">
              <w:rPr>
                <w:lang w:val="en-AU"/>
              </w:rPr>
              <w:t>Placebo</w:t>
            </w:r>
          </w:p>
        </w:tc>
        <w:tc>
          <w:tcPr>
            <w:tcW w:w="1115" w:type="pct"/>
            <w:gridSpan w:val="2"/>
            <w:vMerge/>
            <w:tcBorders>
              <w:left w:val="single" w:sz="4" w:space="0" w:color="auto"/>
              <w:bottom w:val="single" w:sz="4" w:space="0" w:color="auto"/>
              <w:right w:val="single" w:sz="4" w:space="0" w:color="auto"/>
            </w:tcBorders>
            <w:shd w:val="clear" w:color="auto" w:fill="auto"/>
            <w:vAlign w:val="center"/>
          </w:tcPr>
          <w:p w14:paraId="2E64DA50" w14:textId="77777777" w:rsidR="00884F00" w:rsidRPr="00131DA2" w:rsidRDefault="00884F00" w:rsidP="005A78E2">
            <w:pPr>
              <w:pStyle w:val="TableText0"/>
              <w:keepLines/>
              <w:widowControl w:val="0"/>
              <w:jc w:val="center"/>
            </w:pPr>
          </w:p>
        </w:tc>
      </w:tr>
      <w:tr w:rsidR="00884F00" w:rsidRPr="00131DA2" w14:paraId="2ABC4CFA" w14:textId="77777777" w:rsidTr="00AB7EDE">
        <w:trPr>
          <w:trHeight w:val="20"/>
        </w:trPr>
        <w:tc>
          <w:tcPr>
            <w:tcW w:w="938" w:type="pct"/>
            <w:tcBorders>
              <w:left w:val="single" w:sz="4" w:space="0" w:color="auto"/>
              <w:right w:val="single" w:sz="4" w:space="0" w:color="auto"/>
            </w:tcBorders>
            <w:shd w:val="clear" w:color="auto" w:fill="auto"/>
            <w:vAlign w:val="center"/>
          </w:tcPr>
          <w:p w14:paraId="2A681F9C" w14:textId="77777777" w:rsidR="00884F00" w:rsidRPr="00131DA2" w:rsidRDefault="00884F00" w:rsidP="005A78E2">
            <w:pPr>
              <w:pStyle w:val="TableText0"/>
              <w:keepLines/>
              <w:widowControl w:val="0"/>
              <w:jc w:val="center"/>
            </w:pPr>
            <w:r w:rsidRPr="00131DA2">
              <w:t>TEAEs of grade 3-4</w:t>
            </w:r>
          </w:p>
        </w:tc>
        <w:tc>
          <w:tcPr>
            <w:tcW w:w="558" w:type="pct"/>
            <w:gridSpan w:val="2"/>
            <w:tcBorders>
              <w:left w:val="single" w:sz="4" w:space="0" w:color="auto"/>
              <w:right w:val="single" w:sz="4" w:space="0" w:color="auto"/>
            </w:tcBorders>
            <w:shd w:val="clear" w:color="auto" w:fill="auto"/>
            <w:vAlign w:val="center"/>
          </w:tcPr>
          <w:p w14:paraId="77917005" w14:textId="77777777" w:rsidR="00884F00" w:rsidRPr="00131DA2" w:rsidRDefault="00884F00" w:rsidP="005A78E2">
            <w:pPr>
              <w:pStyle w:val="TableText0"/>
              <w:keepLines/>
              <w:widowControl w:val="0"/>
              <w:jc w:val="center"/>
            </w:pPr>
            <w:r w:rsidRPr="00131DA2">
              <w:rPr>
                <w:szCs w:val="20"/>
              </w:rPr>
              <w:t>341/484</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2183738B" w14:textId="77777777" w:rsidR="00884F00" w:rsidRPr="00131DA2" w:rsidRDefault="00884F00" w:rsidP="005A78E2">
            <w:pPr>
              <w:pStyle w:val="TableText0"/>
              <w:keepLines/>
              <w:widowControl w:val="0"/>
              <w:jc w:val="center"/>
              <w:rPr>
                <w:lang w:eastAsia="zh-CN" w:bidi="en-US"/>
              </w:rPr>
            </w:pPr>
            <w:r w:rsidRPr="00131DA2">
              <w:rPr>
                <w:szCs w:val="20"/>
              </w:rPr>
              <w:t>46/244</w:t>
            </w:r>
          </w:p>
        </w:tc>
        <w:tc>
          <w:tcPr>
            <w:tcW w:w="7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45B8F" w14:textId="77777777" w:rsidR="00884F00" w:rsidRPr="00131DA2" w:rsidRDefault="00884F00" w:rsidP="005A78E2">
            <w:pPr>
              <w:pStyle w:val="TableText0"/>
              <w:keepLines/>
              <w:widowControl w:val="0"/>
              <w:jc w:val="center"/>
              <w:rPr>
                <w:lang w:eastAsia="zh-CN" w:bidi="en-US"/>
              </w:rPr>
            </w:pPr>
            <w:r w:rsidRPr="00131DA2">
              <w:rPr>
                <w:szCs w:val="20"/>
              </w:rPr>
              <w:t>3.74 (2.86, 4.88)</w:t>
            </w:r>
          </w:p>
        </w:tc>
        <w:tc>
          <w:tcPr>
            <w:tcW w:w="558" w:type="pct"/>
            <w:gridSpan w:val="2"/>
            <w:tcBorders>
              <w:left w:val="single" w:sz="4" w:space="0" w:color="auto"/>
              <w:right w:val="single" w:sz="4" w:space="0" w:color="auto"/>
            </w:tcBorders>
            <w:shd w:val="clear" w:color="auto" w:fill="auto"/>
            <w:vAlign w:val="center"/>
          </w:tcPr>
          <w:p w14:paraId="1B696268" w14:textId="77777777" w:rsidR="00884F00" w:rsidRPr="00131DA2" w:rsidRDefault="00884F00" w:rsidP="005A78E2">
            <w:pPr>
              <w:pStyle w:val="TableText0"/>
              <w:keepLines/>
              <w:widowControl w:val="0"/>
              <w:jc w:val="center"/>
            </w:pPr>
            <w:r w:rsidRPr="00131DA2">
              <w:t>70.5</w:t>
            </w:r>
          </w:p>
        </w:tc>
        <w:tc>
          <w:tcPr>
            <w:tcW w:w="558" w:type="pct"/>
            <w:tcBorders>
              <w:left w:val="single" w:sz="4" w:space="0" w:color="auto"/>
              <w:right w:val="single" w:sz="4" w:space="0" w:color="auto"/>
            </w:tcBorders>
            <w:shd w:val="clear" w:color="auto" w:fill="auto"/>
            <w:vAlign w:val="center"/>
          </w:tcPr>
          <w:p w14:paraId="34F0E103" w14:textId="77777777" w:rsidR="00884F00" w:rsidRPr="00131DA2" w:rsidRDefault="00884F00" w:rsidP="005A78E2">
            <w:pPr>
              <w:pStyle w:val="TableText0"/>
              <w:keepLines/>
              <w:widowControl w:val="0"/>
              <w:jc w:val="center"/>
            </w:pPr>
            <w:r w:rsidRPr="00131DA2">
              <w:t>18.9</w:t>
            </w:r>
          </w:p>
        </w:tc>
        <w:tc>
          <w:tcPr>
            <w:tcW w:w="11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4F088" w14:textId="77777777" w:rsidR="00884F00" w:rsidRPr="00131DA2" w:rsidRDefault="00884F00" w:rsidP="005A78E2">
            <w:pPr>
              <w:pStyle w:val="TableText0"/>
              <w:keepLines/>
              <w:widowControl w:val="0"/>
              <w:jc w:val="center"/>
              <w:rPr>
                <w:szCs w:val="20"/>
              </w:rPr>
            </w:pPr>
            <w:r w:rsidRPr="00131DA2">
              <w:rPr>
                <w:szCs w:val="20"/>
              </w:rPr>
              <w:t>51.6% (45.2%, 58.0%)</w:t>
            </w:r>
          </w:p>
        </w:tc>
      </w:tr>
      <w:tr w:rsidR="00884F00" w:rsidRPr="00131DA2" w14:paraId="40569898" w14:textId="77777777" w:rsidTr="00AB7EDE">
        <w:trPr>
          <w:trHeight w:val="20"/>
        </w:trPr>
        <w:tc>
          <w:tcPr>
            <w:tcW w:w="938" w:type="pct"/>
            <w:tcBorders>
              <w:left w:val="single" w:sz="4" w:space="0" w:color="auto"/>
              <w:right w:val="single" w:sz="4" w:space="0" w:color="auto"/>
            </w:tcBorders>
            <w:shd w:val="clear" w:color="auto" w:fill="auto"/>
            <w:vAlign w:val="center"/>
          </w:tcPr>
          <w:p w14:paraId="14E1D5CF" w14:textId="77777777" w:rsidR="00884F00" w:rsidRPr="00131DA2" w:rsidRDefault="00884F00" w:rsidP="005A78E2">
            <w:pPr>
              <w:pStyle w:val="TableText0"/>
              <w:keepLines/>
              <w:widowControl w:val="0"/>
              <w:jc w:val="center"/>
            </w:pPr>
            <w:r w:rsidRPr="00131DA2">
              <w:t>SAEs</w:t>
            </w:r>
          </w:p>
        </w:tc>
        <w:tc>
          <w:tcPr>
            <w:tcW w:w="558" w:type="pct"/>
            <w:gridSpan w:val="2"/>
            <w:tcBorders>
              <w:left w:val="single" w:sz="4" w:space="0" w:color="auto"/>
              <w:right w:val="single" w:sz="4" w:space="0" w:color="auto"/>
            </w:tcBorders>
            <w:shd w:val="clear" w:color="auto" w:fill="auto"/>
            <w:vAlign w:val="center"/>
          </w:tcPr>
          <w:p w14:paraId="36D42883" w14:textId="77777777" w:rsidR="00884F00" w:rsidRPr="00131DA2" w:rsidRDefault="00884F00" w:rsidP="005A78E2">
            <w:pPr>
              <w:pStyle w:val="TableText0"/>
              <w:keepLines/>
              <w:widowControl w:val="0"/>
              <w:jc w:val="center"/>
            </w:pPr>
            <w:r w:rsidRPr="00131DA2">
              <w:rPr>
                <w:szCs w:val="20"/>
              </w:rPr>
              <w:t>156/484</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0422F9EB" w14:textId="77777777" w:rsidR="00884F00" w:rsidRPr="00131DA2" w:rsidRDefault="00884F00" w:rsidP="005A78E2">
            <w:pPr>
              <w:pStyle w:val="TableText0"/>
              <w:keepLines/>
              <w:widowControl w:val="0"/>
              <w:jc w:val="center"/>
              <w:rPr>
                <w:lang w:eastAsia="zh-CN" w:bidi="en-US"/>
              </w:rPr>
            </w:pPr>
            <w:r w:rsidRPr="00131DA2">
              <w:rPr>
                <w:szCs w:val="20"/>
              </w:rPr>
              <w:t>32/244</w:t>
            </w:r>
          </w:p>
        </w:tc>
        <w:tc>
          <w:tcPr>
            <w:tcW w:w="7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A550F" w14:textId="77777777" w:rsidR="00884F00" w:rsidRPr="00131DA2" w:rsidRDefault="00884F00" w:rsidP="005A78E2">
            <w:pPr>
              <w:pStyle w:val="TableText0"/>
              <w:keepLines/>
              <w:widowControl w:val="0"/>
              <w:jc w:val="center"/>
              <w:rPr>
                <w:lang w:eastAsia="zh-CN" w:bidi="en-US"/>
              </w:rPr>
            </w:pPr>
            <w:r w:rsidRPr="00131DA2">
              <w:rPr>
                <w:szCs w:val="20"/>
              </w:rPr>
              <w:t>2.46 (1.74, 3.48)</w:t>
            </w:r>
          </w:p>
        </w:tc>
        <w:tc>
          <w:tcPr>
            <w:tcW w:w="558" w:type="pct"/>
            <w:gridSpan w:val="2"/>
            <w:tcBorders>
              <w:left w:val="single" w:sz="4" w:space="0" w:color="auto"/>
              <w:right w:val="single" w:sz="4" w:space="0" w:color="auto"/>
            </w:tcBorders>
            <w:shd w:val="clear" w:color="auto" w:fill="auto"/>
            <w:vAlign w:val="center"/>
          </w:tcPr>
          <w:p w14:paraId="6EFDEC20" w14:textId="77777777" w:rsidR="00884F00" w:rsidRPr="00131DA2" w:rsidRDefault="00884F00" w:rsidP="005A78E2">
            <w:pPr>
              <w:pStyle w:val="TableText0"/>
              <w:keepLines/>
              <w:widowControl w:val="0"/>
              <w:jc w:val="center"/>
            </w:pPr>
            <w:r w:rsidRPr="00131DA2">
              <w:t>32.2</w:t>
            </w:r>
          </w:p>
        </w:tc>
        <w:tc>
          <w:tcPr>
            <w:tcW w:w="558" w:type="pct"/>
            <w:tcBorders>
              <w:left w:val="single" w:sz="4" w:space="0" w:color="auto"/>
              <w:right w:val="single" w:sz="4" w:space="0" w:color="auto"/>
            </w:tcBorders>
            <w:shd w:val="clear" w:color="auto" w:fill="auto"/>
            <w:vAlign w:val="center"/>
          </w:tcPr>
          <w:p w14:paraId="1E587300" w14:textId="77777777" w:rsidR="00884F00" w:rsidRPr="00131DA2" w:rsidRDefault="00884F00" w:rsidP="005A78E2">
            <w:pPr>
              <w:pStyle w:val="TableText0"/>
              <w:keepLines/>
              <w:widowControl w:val="0"/>
              <w:jc w:val="center"/>
            </w:pPr>
            <w:r w:rsidRPr="00131DA2">
              <w:t>13.1</w:t>
            </w:r>
          </w:p>
        </w:tc>
        <w:tc>
          <w:tcPr>
            <w:tcW w:w="11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085B7" w14:textId="77777777" w:rsidR="00884F00" w:rsidRPr="00131DA2" w:rsidRDefault="00884F00" w:rsidP="005A78E2">
            <w:pPr>
              <w:pStyle w:val="TableText0"/>
              <w:keepLines/>
              <w:widowControl w:val="0"/>
              <w:jc w:val="center"/>
              <w:rPr>
                <w:szCs w:val="20"/>
              </w:rPr>
            </w:pPr>
            <w:r w:rsidRPr="00131DA2">
              <w:rPr>
                <w:szCs w:val="20"/>
              </w:rPr>
              <w:t>19.1% (13.2%, 25.1%)</w:t>
            </w:r>
          </w:p>
        </w:tc>
      </w:tr>
      <w:tr w:rsidR="00884F00" w:rsidRPr="00131DA2" w14:paraId="1BE02160" w14:textId="77777777" w:rsidTr="00AB7EDE">
        <w:trPr>
          <w:trHeight w:val="20"/>
        </w:trPr>
        <w:tc>
          <w:tcPr>
            <w:tcW w:w="938" w:type="pct"/>
            <w:tcBorders>
              <w:left w:val="single" w:sz="4" w:space="0" w:color="auto"/>
              <w:right w:val="single" w:sz="4" w:space="0" w:color="auto"/>
            </w:tcBorders>
            <w:shd w:val="clear" w:color="auto" w:fill="auto"/>
            <w:vAlign w:val="center"/>
          </w:tcPr>
          <w:p w14:paraId="5528D443" w14:textId="77777777" w:rsidR="00884F00" w:rsidRPr="00131DA2" w:rsidRDefault="00884F00" w:rsidP="005A78E2">
            <w:pPr>
              <w:pStyle w:val="TableText0"/>
              <w:keepLines/>
              <w:widowControl w:val="0"/>
              <w:jc w:val="center"/>
            </w:pPr>
            <w:r w:rsidRPr="00131DA2">
              <w:t>TEAEs leading to treatment discontinuation</w:t>
            </w:r>
          </w:p>
        </w:tc>
        <w:tc>
          <w:tcPr>
            <w:tcW w:w="558" w:type="pct"/>
            <w:gridSpan w:val="2"/>
            <w:tcBorders>
              <w:left w:val="single" w:sz="4" w:space="0" w:color="auto"/>
              <w:right w:val="single" w:sz="4" w:space="0" w:color="auto"/>
            </w:tcBorders>
            <w:shd w:val="clear" w:color="auto" w:fill="auto"/>
            <w:vAlign w:val="center"/>
          </w:tcPr>
          <w:p w14:paraId="1A63EE67" w14:textId="77777777" w:rsidR="00884F00" w:rsidRPr="00131DA2" w:rsidRDefault="00884F00" w:rsidP="005A78E2">
            <w:pPr>
              <w:pStyle w:val="TableText0"/>
              <w:keepLines/>
              <w:widowControl w:val="0"/>
              <w:jc w:val="center"/>
            </w:pPr>
            <w:r w:rsidRPr="00131DA2">
              <w:rPr>
                <w:szCs w:val="20"/>
              </w:rPr>
              <w:t>58/484</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06BD93A7" w14:textId="77777777" w:rsidR="00884F00" w:rsidRPr="00131DA2" w:rsidRDefault="00884F00" w:rsidP="005A78E2">
            <w:pPr>
              <w:pStyle w:val="TableText0"/>
              <w:keepLines/>
              <w:widowControl w:val="0"/>
              <w:jc w:val="center"/>
              <w:rPr>
                <w:lang w:eastAsia="zh-CN" w:bidi="en-US"/>
              </w:rPr>
            </w:pPr>
            <w:r w:rsidRPr="00131DA2">
              <w:rPr>
                <w:szCs w:val="20"/>
              </w:rPr>
              <w:t>6/244</w:t>
            </w:r>
          </w:p>
        </w:tc>
        <w:tc>
          <w:tcPr>
            <w:tcW w:w="7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623EB" w14:textId="77777777" w:rsidR="00884F00" w:rsidRPr="00131DA2" w:rsidRDefault="00884F00" w:rsidP="005A78E2">
            <w:pPr>
              <w:pStyle w:val="TableText0"/>
              <w:keepLines/>
              <w:widowControl w:val="0"/>
              <w:jc w:val="center"/>
              <w:rPr>
                <w:lang w:eastAsia="zh-CN" w:bidi="en-US"/>
              </w:rPr>
            </w:pPr>
            <w:r w:rsidRPr="00131DA2">
              <w:t>4.87 (2.13, 11.13)</w:t>
            </w:r>
          </w:p>
        </w:tc>
        <w:tc>
          <w:tcPr>
            <w:tcW w:w="558" w:type="pct"/>
            <w:gridSpan w:val="2"/>
            <w:tcBorders>
              <w:left w:val="single" w:sz="4" w:space="0" w:color="auto"/>
              <w:right w:val="single" w:sz="4" w:space="0" w:color="auto"/>
            </w:tcBorders>
            <w:shd w:val="clear" w:color="auto" w:fill="auto"/>
            <w:vAlign w:val="center"/>
          </w:tcPr>
          <w:p w14:paraId="7F2CB553" w14:textId="77777777" w:rsidR="00884F00" w:rsidRPr="00131DA2" w:rsidRDefault="00884F00" w:rsidP="005A78E2">
            <w:pPr>
              <w:pStyle w:val="TableText0"/>
              <w:keepLines/>
              <w:widowControl w:val="0"/>
              <w:jc w:val="center"/>
            </w:pPr>
            <w:r w:rsidRPr="00131DA2">
              <w:t>12.0</w:t>
            </w:r>
          </w:p>
        </w:tc>
        <w:tc>
          <w:tcPr>
            <w:tcW w:w="558" w:type="pct"/>
            <w:tcBorders>
              <w:left w:val="single" w:sz="4" w:space="0" w:color="auto"/>
              <w:right w:val="single" w:sz="4" w:space="0" w:color="auto"/>
            </w:tcBorders>
            <w:shd w:val="clear" w:color="auto" w:fill="auto"/>
            <w:vAlign w:val="center"/>
          </w:tcPr>
          <w:p w14:paraId="713531E0" w14:textId="77777777" w:rsidR="00884F00" w:rsidRPr="00131DA2" w:rsidRDefault="00884F00" w:rsidP="005A78E2">
            <w:pPr>
              <w:pStyle w:val="TableText0"/>
              <w:keepLines/>
              <w:widowControl w:val="0"/>
              <w:jc w:val="center"/>
            </w:pPr>
            <w:r w:rsidRPr="00131DA2">
              <w:t>2.5</w:t>
            </w:r>
          </w:p>
        </w:tc>
        <w:tc>
          <w:tcPr>
            <w:tcW w:w="11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760FA" w14:textId="77777777" w:rsidR="00884F00" w:rsidRPr="00131DA2" w:rsidRDefault="00884F00" w:rsidP="005A78E2">
            <w:pPr>
              <w:pStyle w:val="TableText0"/>
              <w:keepLines/>
              <w:widowControl w:val="0"/>
              <w:jc w:val="center"/>
            </w:pPr>
            <w:r w:rsidRPr="00131DA2">
              <w:t>9.5% (6.0%, 13.0%)</w:t>
            </w:r>
          </w:p>
        </w:tc>
      </w:tr>
    </w:tbl>
    <w:p w14:paraId="006D2F74" w14:textId="77777777" w:rsidR="00884F00" w:rsidRPr="00131DA2" w:rsidRDefault="00884F00" w:rsidP="00884F00">
      <w:pPr>
        <w:pStyle w:val="TableFigureFooter"/>
      </w:pPr>
      <w:r w:rsidRPr="00131DA2">
        <w:t>Source: Table 48, p81, Table 49, p84, and Table 58, p97 of the submission.</w:t>
      </w:r>
    </w:p>
    <w:p w14:paraId="77C224DE" w14:textId="77777777" w:rsidR="00884F00" w:rsidRPr="00131DA2" w:rsidRDefault="00884F00" w:rsidP="00884F00">
      <w:pPr>
        <w:pStyle w:val="TableFigureFooter"/>
      </w:pPr>
      <w:r w:rsidRPr="00131DA2">
        <w:t>BICR = blinded independent central review; CI = confidence interval; DCO = data cut-off; HR = hazard ratio; NA= not applicable; NR= not reported; OS= overall survival; PFS= progression free survival; TEAE = treatment emergent adverse event, SAE= serious adverse events.</w:t>
      </w:r>
    </w:p>
    <w:p w14:paraId="6E0D4D89" w14:textId="77777777" w:rsidR="00884F00" w:rsidRPr="00131DA2" w:rsidRDefault="00884F00" w:rsidP="00884F00">
      <w:pPr>
        <w:pStyle w:val="TableFigureFooter"/>
      </w:pPr>
      <w:r w:rsidRPr="00131DA2">
        <w:t>*Absolute difference in risk of progression or death at each time point (calculated during the evaluation)</w:t>
      </w:r>
    </w:p>
    <w:p w14:paraId="0F6473F0" w14:textId="77777777" w:rsidR="00884F00" w:rsidRPr="00131DA2" w:rsidRDefault="00884F00" w:rsidP="00884F00">
      <w:pPr>
        <w:pStyle w:val="TableFigureFooter"/>
      </w:pPr>
      <w:r w:rsidRPr="00131DA2">
        <w:rPr>
          <w:vertAlign w:val="superscript"/>
        </w:rPr>
        <w:t>#</w:t>
      </w:r>
      <w:r w:rsidRPr="00131DA2">
        <w:t>Absolute difference in risk of death at each time point (calculated during the evaluation)</w:t>
      </w:r>
    </w:p>
    <w:p w14:paraId="1BC078B6" w14:textId="77777777" w:rsidR="00884F00" w:rsidRPr="00131DA2" w:rsidRDefault="00884F00" w:rsidP="00884F00">
      <w:pPr>
        <w:pStyle w:val="TableFigureFooter"/>
      </w:pPr>
      <w:r w:rsidRPr="00131DA2">
        <w:t>^ Results were presented in the submission as survival distribution function with estimates calculated from product-limit (Kaplan-Meier) method. Confidence intervals constructed using log-log transformation</w:t>
      </w:r>
    </w:p>
    <w:p w14:paraId="41E38C46" w14:textId="77777777" w:rsidR="00884F00" w:rsidRDefault="00884F00" w:rsidP="00884F00">
      <w:pPr>
        <w:pStyle w:val="TableFigureFooter"/>
      </w:pPr>
      <w:r w:rsidRPr="00131DA2">
        <w:rPr>
          <w:vertAlign w:val="superscript"/>
        </w:rPr>
        <w:t>$</w:t>
      </w:r>
      <w:r w:rsidRPr="00131DA2">
        <w:t xml:space="preserve"> Calculated during the evaluation using R software</w:t>
      </w:r>
    </w:p>
    <w:p w14:paraId="51892F12" w14:textId="77777777" w:rsidR="00BA2F50" w:rsidRPr="00BA2F50" w:rsidRDefault="00BA2F50" w:rsidP="00884F00">
      <w:pPr>
        <w:pStyle w:val="TableFigureFooter"/>
        <w:rPr>
          <w:i/>
        </w:rPr>
      </w:pPr>
      <w:r w:rsidRPr="00BA2F50">
        <w:rPr>
          <w:i/>
        </w:rPr>
        <w:t>Note that the results denoted by (*</w:t>
      </w:r>
      <w:proofErr w:type="gramStart"/>
      <w:r w:rsidRPr="00BA2F50">
        <w:rPr>
          <w:i/>
        </w:rPr>
        <w:t>,#</w:t>
      </w:r>
      <w:proofErr w:type="gramEnd"/>
      <w:r w:rsidRPr="00BA2F50">
        <w:rPr>
          <w:i/>
        </w:rPr>
        <w:t>,$) presented in Table 6 are derived from post-hoc analyses conducted by the evaluation specifically for the purposes of informing the PBAC consideration. These analyses were not part of the pre-specified statistical plan for PRIMA. Interpretation of the results and their application should therefore be limited to seeking to understand the basis for the PBAC outcome and should not be used for any other purpose.</w:t>
      </w:r>
    </w:p>
    <w:p w14:paraId="16DFB6FC" w14:textId="77777777" w:rsidR="00884F00" w:rsidRPr="00131DA2" w:rsidRDefault="00884F00" w:rsidP="00884F00">
      <w:pPr>
        <w:pStyle w:val="3-BodyText"/>
      </w:pPr>
      <w:r w:rsidRPr="00131DA2">
        <w:t>Based on the direct evidence presented in the submission for the newly diagnosed advanced high-grade ovarian cancer who are in partial or complete response to platinum-based chemotherapy, irrespective of BRCA status or surgical outcomes, for every 100 patients treated with niraparib in comparison to no active treatment, and followed over a median duration of 15 months:</w:t>
      </w:r>
    </w:p>
    <w:p w14:paraId="1F7B952D" w14:textId="77777777" w:rsidR="00884F00" w:rsidRPr="00131DA2" w:rsidRDefault="00884F00" w:rsidP="00E7222F">
      <w:pPr>
        <w:pStyle w:val="ListParagraph"/>
        <w:numPr>
          <w:ilvl w:val="0"/>
          <w:numId w:val="10"/>
        </w:numPr>
      </w:pPr>
      <w:r w:rsidRPr="00131DA2">
        <w:t>Approximately 9 more patients would remain progression-free at 24 months;</w:t>
      </w:r>
    </w:p>
    <w:p w14:paraId="63169897" w14:textId="77777777" w:rsidR="00884F00" w:rsidRPr="00131DA2" w:rsidRDefault="00884F00" w:rsidP="00E7222F">
      <w:pPr>
        <w:pStyle w:val="ListParagraph"/>
        <w:numPr>
          <w:ilvl w:val="0"/>
          <w:numId w:val="10"/>
        </w:numPr>
      </w:pPr>
      <w:r w:rsidRPr="00131DA2">
        <w:t>Approximately 52 more patients would experience a grade 3-4 treatment emergent adverse event;</w:t>
      </w:r>
    </w:p>
    <w:p w14:paraId="74E8D05D" w14:textId="77777777" w:rsidR="00884F00" w:rsidRPr="00131DA2" w:rsidRDefault="00884F00" w:rsidP="00E7222F">
      <w:pPr>
        <w:pStyle w:val="ListParagraph"/>
        <w:numPr>
          <w:ilvl w:val="0"/>
          <w:numId w:val="10"/>
        </w:numPr>
      </w:pPr>
      <w:r w:rsidRPr="00131DA2">
        <w:t>Approximately 19 more patients would experience a serious adverse event;</w:t>
      </w:r>
    </w:p>
    <w:p w14:paraId="228E7520" w14:textId="77777777" w:rsidR="00884F00" w:rsidRPr="00131DA2" w:rsidRDefault="00884F00" w:rsidP="00E7222F">
      <w:pPr>
        <w:pStyle w:val="3-BodyText"/>
        <w:numPr>
          <w:ilvl w:val="0"/>
          <w:numId w:val="10"/>
        </w:numPr>
      </w:pPr>
      <w:r w:rsidRPr="00131DA2">
        <w:rPr>
          <w:rFonts w:ascii="Calibri" w:hAnsi="Calibri"/>
          <w:snapToGrid/>
        </w:rPr>
        <w:t>Approximately 10 more patients would experience a treatment-related adverse event that leads to treatment discontinuation.</w:t>
      </w:r>
    </w:p>
    <w:p w14:paraId="4E30117C" w14:textId="77777777" w:rsidR="00884F00" w:rsidRPr="00131DA2" w:rsidRDefault="00884F00" w:rsidP="00884F00">
      <w:pPr>
        <w:pStyle w:val="4-SubsectionHeading"/>
      </w:pPr>
      <w:bookmarkStart w:id="26" w:name="_Toc72246809"/>
      <w:r w:rsidRPr="00131DA2">
        <w:t>Clinical claim</w:t>
      </w:r>
      <w:bookmarkEnd w:id="26"/>
    </w:p>
    <w:p w14:paraId="251B991E" w14:textId="77777777" w:rsidR="00983E2E" w:rsidRPr="00131DA2" w:rsidRDefault="00884F00" w:rsidP="00983E2E">
      <w:pPr>
        <w:pStyle w:val="3-BodyText"/>
        <w:rPr>
          <w:rFonts w:eastAsia="Calibri"/>
        </w:rPr>
      </w:pPr>
      <w:r w:rsidRPr="00131DA2">
        <w:rPr>
          <w:rFonts w:eastAsia="Calibri"/>
        </w:rPr>
        <w:t xml:space="preserve">The submission described niraparib as superior to “no active treatment” (placebo) in terms of PFS. </w:t>
      </w:r>
      <w:r w:rsidR="00983E2E" w:rsidRPr="00131DA2">
        <w:t>OS results were immature and no statistical difference was observed in terms of OS between niraparib and placebo.</w:t>
      </w:r>
      <w:r w:rsidR="00983E2E" w:rsidRPr="00131DA2">
        <w:rPr>
          <w:rFonts w:eastAsia="Calibri"/>
        </w:rPr>
        <w:t xml:space="preserve"> </w:t>
      </w:r>
    </w:p>
    <w:p w14:paraId="2ECDC9EC" w14:textId="77777777" w:rsidR="00983E2E" w:rsidRPr="00131DA2" w:rsidRDefault="00884F00" w:rsidP="00983E2E">
      <w:pPr>
        <w:pStyle w:val="3-BodyText"/>
      </w:pPr>
      <w:r w:rsidRPr="00131DA2">
        <w:rPr>
          <w:rFonts w:eastAsia="Calibri"/>
        </w:rPr>
        <w:t>The submission described niraparib as having a manageable safety profile. Niraparib was inferior to placebo in terms of safety, with more grade ≥3 TEAEs, SAEs, and TEAEs leading to drug discontinuation being observed in the niraparib arm compared to placebo arm.</w:t>
      </w:r>
      <w:r w:rsidR="00983E2E" w:rsidRPr="00131DA2">
        <w:t xml:space="preserve"> </w:t>
      </w:r>
    </w:p>
    <w:p w14:paraId="27C83B27" w14:textId="77777777" w:rsidR="00564E35" w:rsidRPr="00564E35" w:rsidRDefault="00983E2E" w:rsidP="00084F79">
      <w:pPr>
        <w:pStyle w:val="3-BodyText"/>
        <w:rPr>
          <w:rFonts w:eastAsia="Calibri"/>
        </w:rPr>
      </w:pPr>
      <w:r w:rsidRPr="00564E35">
        <w:rPr>
          <w:rFonts w:eastAsia="Calibri"/>
        </w:rPr>
        <w:t>Although the claim of superiority in terms of PFS may be adequately supported by the PRIMA trial, its relevance to Australian clinical practice was limited</w:t>
      </w:r>
      <w:r w:rsidR="00637B66" w:rsidRPr="00564E35">
        <w:rPr>
          <w:rFonts w:eastAsia="Calibri"/>
        </w:rPr>
        <w:t xml:space="preserve"> as p</w:t>
      </w:r>
      <w:r w:rsidRPr="00564E35">
        <w:rPr>
          <w:rFonts w:eastAsia="Calibri"/>
        </w:rPr>
        <w:t>lacebo was not an appropriate comparator for a considerable proportion of patients in the ITT population of PRIMA</w:t>
      </w:r>
      <w:r w:rsidR="00104A3D">
        <w:t xml:space="preserve"> (BRCAm, sub-optimally debulked Stage IIIB/IIIC and Stage IV), where active treatments (olaparib and bevacizumab) are available in current clinical practice. </w:t>
      </w:r>
      <w:r w:rsidR="00564E35" w:rsidRPr="00084F79">
        <w:rPr>
          <w:rFonts w:eastAsia="Calibri"/>
        </w:rPr>
        <w:t xml:space="preserve">The </w:t>
      </w:r>
      <w:r w:rsidR="00084F79">
        <w:rPr>
          <w:rFonts w:eastAsia="Calibri"/>
        </w:rPr>
        <w:t>PBAC</w:t>
      </w:r>
      <w:r w:rsidR="00564E35" w:rsidRPr="00084F79">
        <w:rPr>
          <w:rFonts w:eastAsia="Calibri"/>
        </w:rPr>
        <w:t xml:space="preserve"> noted that the</w:t>
      </w:r>
      <w:r w:rsidR="00564E35" w:rsidRPr="00564E35">
        <w:rPr>
          <w:rFonts w:eastAsia="Calibri"/>
        </w:rPr>
        <w:t xml:space="preserve"> subgroup analysis for Stage III R0-1 non-BRCAm patients was post-hoc and exploratory and </w:t>
      </w:r>
      <w:r w:rsidR="00564E35">
        <w:rPr>
          <w:rFonts w:eastAsia="Calibri"/>
        </w:rPr>
        <w:t xml:space="preserve">agreed with the </w:t>
      </w:r>
      <w:r w:rsidR="00564E35" w:rsidRPr="00564E35">
        <w:rPr>
          <w:rFonts w:eastAsia="Calibri"/>
        </w:rPr>
        <w:t>ESC that the magnitude of the treatment benefit cannot be reliably assessed based on this subgroup analysis.</w:t>
      </w:r>
    </w:p>
    <w:p w14:paraId="47920788" w14:textId="77777777" w:rsidR="00983E2E" w:rsidRPr="00842F44" w:rsidRDefault="00104A3D" w:rsidP="00983E2E">
      <w:pPr>
        <w:pStyle w:val="3-BodyText"/>
      </w:pPr>
      <w:r w:rsidRPr="00AE79A9">
        <w:t xml:space="preserve">The pre-PBAC response stated that an ITC would not </w:t>
      </w:r>
      <w:r w:rsidRPr="00104A3D">
        <w:rPr>
          <w:rFonts w:cstheme="minorHAnsi"/>
          <w:color w:val="000000" w:themeColor="text1"/>
          <w:lang w:val="en-GB"/>
        </w:rPr>
        <w:t xml:space="preserve">adequately inform a clinical claim for niraparib vs olaparib, due to </w:t>
      </w:r>
      <w:r w:rsidR="00A85CD9">
        <w:rPr>
          <w:rFonts w:cstheme="minorHAnsi"/>
          <w:color w:val="000000" w:themeColor="text1"/>
          <w:lang w:val="en-GB"/>
        </w:rPr>
        <w:t xml:space="preserve">heterogeneity between the </w:t>
      </w:r>
      <w:r w:rsidRPr="00104A3D">
        <w:rPr>
          <w:rFonts w:cstheme="minorHAnsi"/>
          <w:color w:val="000000" w:themeColor="text1"/>
          <w:lang w:val="en-GB"/>
        </w:rPr>
        <w:t xml:space="preserve">SOLO-1 </w:t>
      </w:r>
      <w:r w:rsidR="00A85CD9">
        <w:rPr>
          <w:rFonts w:cstheme="minorHAnsi"/>
          <w:color w:val="000000" w:themeColor="text1"/>
          <w:lang w:val="en-GB"/>
        </w:rPr>
        <w:t>and PRIMA trials</w:t>
      </w:r>
      <w:r w:rsidRPr="00104A3D">
        <w:rPr>
          <w:rFonts w:cstheme="minorHAnsi"/>
          <w:color w:val="000000" w:themeColor="text1"/>
          <w:lang w:val="en-GB"/>
        </w:rPr>
        <w:t>.</w:t>
      </w:r>
      <w:r>
        <w:rPr>
          <w:rFonts w:cstheme="minorHAnsi"/>
          <w:color w:val="000000" w:themeColor="text1"/>
          <w:lang w:val="en-GB"/>
        </w:rPr>
        <w:t xml:space="preserve"> </w:t>
      </w:r>
      <w:r w:rsidR="00D040DF" w:rsidRPr="00131DA2">
        <w:rPr>
          <w:color w:val="000000"/>
        </w:rPr>
        <w:t>The PSCR argued “given the available evidence (PRIMA, SOLO-1, ICON-7), the comparative effectiveness and safety of niraparib vs olaparib or bevacizumab is unable to be reliably quantified; mandating a corresponding clinical conclusion is unwarranted. In such circumstances, it is reasonable that the clinical conclusion and subsequent economic evaluation be informed by the</w:t>
      </w:r>
      <w:r w:rsidR="00382E5B" w:rsidRPr="00131DA2">
        <w:rPr>
          <w:color w:val="000000"/>
        </w:rPr>
        <w:t xml:space="preserve"> comparison of niraparib vs SMM</w:t>
      </w:r>
      <w:r w:rsidR="00544133" w:rsidRPr="00131DA2">
        <w:rPr>
          <w:color w:val="000000"/>
        </w:rPr>
        <w:t>”</w:t>
      </w:r>
      <w:r w:rsidR="00D040DF" w:rsidRPr="00131DA2">
        <w:rPr>
          <w:color w:val="000000"/>
        </w:rPr>
        <w:t xml:space="preserve">. </w:t>
      </w:r>
      <w:r w:rsidR="00D040DF" w:rsidRPr="00131DA2">
        <w:rPr>
          <w:color w:val="000000" w:themeColor="text1"/>
        </w:rPr>
        <w:t>The ESC noted that the PSCR had not addressed the fundamental clinical issue raised by the Commentary that a clinical claim based purely on the PRIMA trial is not relevant to current Australian clinical practice</w:t>
      </w:r>
      <w:r w:rsidR="00382E5B" w:rsidRPr="00131DA2">
        <w:rPr>
          <w:color w:val="000000" w:themeColor="text1"/>
        </w:rPr>
        <w:t xml:space="preserve"> for the population requested for PBS listing</w:t>
      </w:r>
      <w:r w:rsidR="00D040DF" w:rsidRPr="00131DA2">
        <w:rPr>
          <w:color w:val="000000" w:themeColor="text1"/>
        </w:rPr>
        <w:t>.</w:t>
      </w:r>
      <w:r w:rsidR="00382E5B" w:rsidRPr="00131DA2">
        <w:rPr>
          <w:color w:val="000000" w:themeColor="text1"/>
        </w:rPr>
        <w:t xml:space="preserve"> </w:t>
      </w:r>
      <w:r w:rsidR="00D040DF" w:rsidRPr="00131DA2">
        <w:rPr>
          <w:color w:val="000000" w:themeColor="text1"/>
        </w:rPr>
        <w:t xml:space="preserve"> </w:t>
      </w:r>
    </w:p>
    <w:p w14:paraId="4837C75E" w14:textId="77777777" w:rsidR="000A23F8" w:rsidRDefault="00F64B29" w:rsidP="00263639">
      <w:pPr>
        <w:pStyle w:val="3-BodyText"/>
      </w:pPr>
      <w:r w:rsidRPr="0091016E">
        <w:t xml:space="preserve">The PBAC considered that the claim of superior comparative effectiveness compared </w:t>
      </w:r>
      <w:r w:rsidR="0091016E">
        <w:t xml:space="preserve">to </w:t>
      </w:r>
      <w:r w:rsidRPr="0091016E">
        <w:t xml:space="preserve">placebo, as proposed by the submission, was adequately supported by the data, noting that </w:t>
      </w:r>
      <w:r w:rsidR="00A85CD9" w:rsidRPr="0091016E">
        <w:t>the magnitude</w:t>
      </w:r>
      <w:r w:rsidRPr="0091016E">
        <w:t xml:space="preserve"> of </w:t>
      </w:r>
      <w:r w:rsidR="0091016E">
        <w:t xml:space="preserve">PFS </w:t>
      </w:r>
      <w:r w:rsidRPr="0091016E">
        <w:t xml:space="preserve">benefit varied by patient subgroup on the basis of BRCA and HRD status (paragraph </w:t>
      </w:r>
      <w:r w:rsidR="0024615C">
        <w:t>6.20</w:t>
      </w:r>
      <w:r w:rsidRPr="0091016E">
        <w:t xml:space="preserve">). </w:t>
      </w:r>
      <w:r w:rsidR="00263639">
        <w:t>Th</w:t>
      </w:r>
      <w:r w:rsidR="0091016E">
        <w:t xml:space="preserve">e PBAC considered that </w:t>
      </w:r>
      <w:r w:rsidR="00263639">
        <w:t xml:space="preserve">in the HRD negative or not determined subgroup </w:t>
      </w:r>
      <w:r w:rsidR="0091016E">
        <w:t xml:space="preserve">the </w:t>
      </w:r>
      <w:r w:rsidR="00263639">
        <w:t xml:space="preserve">PFS </w:t>
      </w:r>
      <w:r w:rsidR="0091016E">
        <w:t xml:space="preserve">benefit </w:t>
      </w:r>
      <w:r w:rsidR="00263639">
        <w:t>was small and may not be clinically meaningful. The PBAC noted that no OS benefit was demonstrated. Further,</w:t>
      </w:r>
      <w:r w:rsidR="00A85CD9">
        <w:t xml:space="preserve"> t</w:t>
      </w:r>
      <w:r w:rsidR="000A23F8">
        <w:t>he PBAC considered that the evidence presented in the submission to support the clinical claim was not fully applicable to the Australian setting because it did not present an adequate comparison versus relevant comparators, olaparib and bevacizumab.</w:t>
      </w:r>
      <w:r w:rsidR="00A85CD9" w:rsidRPr="00A85CD9">
        <w:t xml:space="preserve"> </w:t>
      </w:r>
    </w:p>
    <w:p w14:paraId="1EE84E9F" w14:textId="77777777" w:rsidR="00F64B29" w:rsidRPr="00CD42BD" w:rsidRDefault="00A85CD9" w:rsidP="00CD42BD">
      <w:pPr>
        <w:pStyle w:val="3-BodyText"/>
      </w:pPr>
      <w:r>
        <w:t>T</w:t>
      </w:r>
      <w:r w:rsidR="001604BC">
        <w:t xml:space="preserve">he PBAC considered that </w:t>
      </w:r>
      <w:r w:rsidR="002417AA">
        <w:t>n</w:t>
      </w:r>
      <w:r w:rsidR="002417AA" w:rsidRPr="002417AA">
        <w:t xml:space="preserve">iraparib was inferior to placebo in terms of safety, with more grade ≥3 TEAEs, SAEs, and TEAEs leading to drug discontinuation being observed in the niraparib arm compared to </w:t>
      </w:r>
      <w:r w:rsidR="002417AA" w:rsidRPr="0091016E">
        <w:t xml:space="preserve">placebo arm. </w:t>
      </w:r>
      <w:r w:rsidR="0091016E" w:rsidRPr="0091016E">
        <w:t xml:space="preserve">The PBAC </w:t>
      </w:r>
      <w:r w:rsidR="00263639">
        <w:t xml:space="preserve">noted that no formal comparison of safety between niraparib and olaparib was presented, but </w:t>
      </w:r>
      <w:r w:rsidR="0091016E" w:rsidRPr="0091016E">
        <w:t>considered that overall, olaparib seems to have a better safety profile compared to niraparib based on the lower rate of dose reduction in the SOLO-1 trial compared to that in the PRIMA trial.</w:t>
      </w:r>
      <w:r w:rsidR="0091016E">
        <w:t xml:space="preserve"> </w:t>
      </w:r>
      <w:r w:rsidR="00263639">
        <w:t xml:space="preserve">The PBAC also noted this was consistent with its previous consideration of comparative safety for niraparib in the 2L maintenance setting (paragraph 7.8, olaparib PSD, March 2021 PBAC Meeting). </w:t>
      </w:r>
    </w:p>
    <w:p w14:paraId="511CEBB3" w14:textId="77777777" w:rsidR="00EA712C" w:rsidRPr="00131DA2" w:rsidRDefault="00EA712C" w:rsidP="00EA712C">
      <w:pPr>
        <w:pStyle w:val="4-SubsectionHeading"/>
      </w:pPr>
      <w:bookmarkStart w:id="27" w:name="_Toc72246811"/>
      <w:bookmarkStart w:id="28" w:name="_Toc22897650"/>
      <w:bookmarkEnd w:id="4"/>
      <w:bookmarkEnd w:id="5"/>
      <w:r w:rsidRPr="00131DA2">
        <w:t xml:space="preserve">Economic analysis </w:t>
      </w:r>
    </w:p>
    <w:p w14:paraId="5D8B05DF" w14:textId="77777777" w:rsidR="00EA712C" w:rsidRPr="00131DA2" w:rsidRDefault="00EA712C" w:rsidP="00EA712C">
      <w:pPr>
        <w:pStyle w:val="3-BodyText"/>
        <w:rPr>
          <w:b/>
          <w:bCs/>
        </w:rPr>
      </w:pPr>
      <w:r w:rsidRPr="00131DA2">
        <w:t xml:space="preserve">The submission presented a CUA, based on the PRIMA trial that compared niraparib with no active treatment </w:t>
      </w:r>
      <w:r w:rsidR="00D523BE">
        <w:t xml:space="preserve">(SMM) </w:t>
      </w:r>
      <w:r w:rsidRPr="00131DA2">
        <w:t xml:space="preserve">for the first line maintenance treatment in patients with newly diagnosed advanced HGEOC who are in response to platinum based chemotherapy. While the presentation of a CUA based on the PRIMA trial was consistent with the clinical claim presented in the submission, neither the clinical claim nor the model are applicable to Australian clinical practice, as no active treatment was not the only appropriate comparator in the proposed population. </w:t>
      </w:r>
      <w:r w:rsidR="003157ED" w:rsidRPr="00131DA2">
        <w:t xml:space="preserve">The </w:t>
      </w:r>
      <w:r w:rsidR="00FB2228">
        <w:t xml:space="preserve">PBAC agreed with the ESC </w:t>
      </w:r>
      <w:r w:rsidR="003157ED" w:rsidRPr="00131DA2">
        <w:t xml:space="preserve">that this limitation is likely to mean that the economic evaluation presented is not an </w:t>
      </w:r>
      <w:r w:rsidR="00A1787B" w:rsidRPr="00131DA2">
        <w:t>accurate</w:t>
      </w:r>
      <w:r w:rsidR="003157ED" w:rsidRPr="00131DA2">
        <w:t xml:space="preserve"> representation of the cost-effectiveness of niraparib in clinical practice.</w:t>
      </w:r>
    </w:p>
    <w:p w14:paraId="396D1FAB" w14:textId="77777777" w:rsidR="003157ED" w:rsidRPr="00131DA2" w:rsidRDefault="003157ED" w:rsidP="003157ED">
      <w:pPr>
        <w:pStyle w:val="3-BodyText"/>
        <w:rPr>
          <w:b/>
          <w:bCs/>
        </w:rPr>
      </w:pPr>
      <w:r w:rsidRPr="00131DA2">
        <w:t xml:space="preserve">The submission did not present an economic evaluation of niraparib compared with olaparib for patients with BRCAm, or compared with bevacizumab for </w:t>
      </w:r>
      <w:r w:rsidR="00972B35">
        <w:t>patients with non-BRCAm who are treated with bevacizumab</w:t>
      </w:r>
      <w:r w:rsidRPr="00131DA2">
        <w:t>.</w:t>
      </w:r>
    </w:p>
    <w:p w14:paraId="2A64ACED" w14:textId="77777777" w:rsidR="003157ED" w:rsidRPr="00131DA2" w:rsidRDefault="003157ED" w:rsidP="003157ED">
      <w:pPr>
        <w:pStyle w:val="3-BodyText"/>
        <w:rPr>
          <w:color w:val="3366FF"/>
        </w:rPr>
      </w:pPr>
      <w:r w:rsidRPr="00131DA2">
        <w:rPr>
          <w:rFonts w:eastAsia="Calibri"/>
        </w:rPr>
        <w:t xml:space="preserve">The model presented in the submission may be reasonable only for the subgroup of patients in whom there are no alternate first-line maintenance treatment options, i.e. Stage III R0-1 non-BRCAm patients, which represented 57% (271/473) of non-BRCAm patients in the PRIMA trial, or 37% (271/733) of the ITT population. Although the results based on the subgroup analysis were presented in the submission, the subgroup analysis was post-hoc and exploratory, and so the magnitude of the treatment effect of niraparib in the subgroup was uncertain. </w:t>
      </w:r>
    </w:p>
    <w:p w14:paraId="734AD6B6" w14:textId="77777777" w:rsidR="00EA5C9F" w:rsidRPr="00131DA2" w:rsidRDefault="00EA712C" w:rsidP="00972B35">
      <w:pPr>
        <w:pStyle w:val="3-BodyText"/>
      </w:pPr>
      <w:r w:rsidRPr="00131DA2">
        <w:t xml:space="preserve">The PSCR </w:t>
      </w:r>
      <w:r w:rsidR="00080592" w:rsidRPr="00131DA2">
        <w:t>stated</w:t>
      </w:r>
      <w:r w:rsidRPr="00131DA2">
        <w:t xml:space="preserve"> that to proceed with an economic evaluation vs olaparib or bevacizumab in the absence of sufficient clinical evidence to determine comparative efficacy/safety is inappropriate and would result in a highly uncertain econo</w:t>
      </w:r>
      <w:r w:rsidR="00382E5B" w:rsidRPr="00131DA2">
        <w:t>mic analysis. The PSCR contended</w:t>
      </w:r>
      <w:r w:rsidRPr="00131DA2">
        <w:t xml:space="preserve"> that the current approach provides an appropriate model for decision making, and which CADTH and NICE have adopted in their determination of the cost effectiveness of niraparib in the NDA HGEOC setting. The PSCR </w:t>
      </w:r>
      <w:r w:rsidR="00080592" w:rsidRPr="00131DA2">
        <w:t>stated</w:t>
      </w:r>
      <w:r w:rsidRPr="00131DA2">
        <w:t xml:space="preserve"> that providing a like for like comparison in a cost utility analyses (i.e., cost per QALY), alignment of the ICER of the current economic evaluation for niraparib with that recommended for olaparib in 1L BRCAm NDA HGEOC (July 2020) will act as an indirect economic comparison. </w:t>
      </w:r>
      <w:r w:rsidR="00382E5B" w:rsidRPr="00131DA2">
        <w:t>The ESC noted that the sponsor’s submission to CADTH</w:t>
      </w:r>
      <w:r w:rsidR="00AE13E6" w:rsidRPr="00131DA2">
        <w:t xml:space="preserve"> presented an additional analysis comparing niraparib with active surveillance and olaparib in the BRCAm population and </w:t>
      </w:r>
      <w:r w:rsidR="00382E5B" w:rsidRPr="00131DA2">
        <w:t>assumed olaparib would have equivalent efficacy (i.e., PFS and OS) and time-to-treatme</w:t>
      </w:r>
      <w:r w:rsidR="00AE13E6" w:rsidRPr="00131DA2">
        <w:t>nt discontinuation as niraparib</w:t>
      </w:r>
      <w:r w:rsidR="00382E5B" w:rsidRPr="00131DA2">
        <w:t xml:space="preserve"> </w:t>
      </w:r>
      <w:r w:rsidR="00AE13E6" w:rsidRPr="00131DA2">
        <w:t>(p13, pCODR expert review committee final recommendation</w:t>
      </w:r>
      <w:r w:rsidR="00AE13E6" w:rsidRPr="00131DA2">
        <w:rPr>
          <w:rStyle w:val="FootnoteReference"/>
        </w:rPr>
        <w:footnoteReference w:id="11"/>
      </w:r>
      <w:r w:rsidR="00AE13E6" w:rsidRPr="00131DA2">
        <w:t>).</w:t>
      </w:r>
    </w:p>
    <w:p w14:paraId="191C036C" w14:textId="77777777" w:rsidR="00EA712C" w:rsidRPr="00131DA2" w:rsidRDefault="00EA712C" w:rsidP="00EA712C">
      <w:pPr>
        <w:pStyle w:val="3-BodyText"/>
        <w:rPr>
          <w:b/>
          <w:bCs/>
        </w:rPr>
      </w:pPr>
      <w:r w:rsidRPr="00131DA2">
        <w:rPr>
          <w:rFonts w:eastAsia="Calibri"/>
        </w:rPr>
        <w:t xml:space="preserve">The model structure, key inputs and rationale are summarised </w:t>
      </w:r>
      <w:r w:rsidRPr="00131DA2">
        <w:t>in the table</w:t>
      </w:r>
      <w:r w:rsidRPr="00131DA2">
        <w:rPr>
          <w:rFonts w:eastAsia="Calibri"/>
        </w:rPr>
        <w:t xml:space="preserve"> below.</w:t>
      </w:r>
    </w:p>
    <w:p w14:paraId="62BC1116" w14:textId="77777777" w:rsidR="00EA712C" w:rsidRPr="00131DA2" w:rsidRDefault="00EA712C" w:rsidP="00EA712C">
      <w:pPr>
        <w:pStyle w:val="TableFigureHeading"/>
        <w:rPr>
          <w:rStyle w:val="CommentReference"/>
          <w:b/>
          <w:szCs w:val="24"/>
        </w:rPr>
      </w:pPr>
      <w:r w:rsidRPr="00131DA2">
        <w:t xml:space="preserve">Table </w:t>
      </w:r>
      <w:r w:rsidR="008A7614">
        <w:rPr>
          <w:noProof/>
        </w:rPr>
        <w:t>7</w:t>
      </w:r>
      <w:r w:rsidRPr="00131DA2">
        <w:t xml:space="preserve">: </w:t>
      </w:r>
      <w:r w:rsidRPr="00131DA2">
        <w:rPr>
          <w:rStyle w:val="CommentReference"/>
          <w:b/>
          <w:szCs w:val="24"/>
        </w:rPr>
        <w:t>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18"/>
        <w:gridCol w:w="6499"/>
      </w:tblGrid>
      <w:tr w:rsidR="00EA712C" w:rsidRPr="00131DA2" w14:paraId="7CF30B6A" w14:textId="77777777" w:rsidTr="00CD42BD">
        <w:trPr>
          <w:tblHeader/>
        </w:trPr>
        <w:tc>
          <w:tcPr>
            <w:tcW w:w="1396" w:type="pct"/>
            <w:shd w:val="clear" w:color="auto" w:fill="auto"/>
            <w:vAlign w:val="center"/>
          </w:tcPr>
          <w:p w14:paraId="63E86470" w14:textId="77777777" w:rsidR="00EA712C" w:rsidRPr="00131DA2" w:rsidRDefault="00EA712C" w:rsidP="00526D7F">
            <w:pPr>
              <w:pStyle w:val="In-tableHeading"/>
              <w:rPr>
                <w:lang w:val="en-AU"/>
              </w:rPr>
            </w:pPr>
            <w:r w:rsidRPr="00131DA2">
              <w:rPr>
                <w:lang w:val="en-AU"/>
              </w:rPr>
              <w:t>Component</w:t>
            </w:r>
          </w:p>
        </w:tc>
        <w:tc>
          <w:tcPr>
            <w:tcW w:w="3604" w:type="pct"/>
            <w:shd w:val="clear" w:color="auto" w:fill="auto"/>
            <w:vAlign w:val="center"/>
          </w:tcPr>
          <w:p w14:paraId="656208A8" w14:textId="77777777" w:rsidR="00EA712C" w:rsidRPr="00131DA2" w:rsidRDefault="00EA712C" w:rsidP="00526D7F">
            <w:pPr>
              <w:pStyle w:val="In-tableHeading"/>
              <w:rPr>
                <w:lang w:val="en-AU"/>
              </w:rPr>
            </w:pPr>
            <w:r w:rsidRPr="00131DA2">
              <w:rPr>
                <w:lang w:val="en-AU"/>
              </w:rPr>
              <w:t>Summary</w:t>
            </w:r>
          </w:p>
        </w:tc>
      </w:tr>
      <w:tr w:rsidR="00EA712C" w:rsidRPr="00131DA2" w14:paraId="4FED5B14" w14:textId="77777777" w:rsidTr="00CD42BD">
        <w:tc>
          <w:tcPr>
            <w:tcW w:w="1396" w:type="pct"/>
            <w:shd w:val="clear" w:color="auto" w:fill="auto"/>
            <w:vAlign w:val="center"/>
          </w:tcPr>
          <w:p w14:paraId="1309E16A" w14:textId="77777777" w:rsidR="00EA712C" w:rsidRPr="00131DA2" w:rsidRDefault="00EA712C" w:rsidP="00526D7F">
            <w:pPr>
              <w:pStyle w:val="TableText0"/>
            </w:pPr>
            <w:r w:rsidRPr="00131DA2">
              <w:t>Treatments</w:t>
            </w:r>
          </w:p>
        </w:tc>
        <w:tc>
          <w:tcPr>
            <w:tcW w:w="3604" w:type="pct"/>
            <w:shd w:val="clear" w:color="auto" w:fill="auto"/>
            <w:vAlign w:val="center"/>
          </w:tcPr>
          <w:p w14:paraId="7D195561" w14:textId="77777777" w:rsidR="00EA712C" w:rsidRPr="00131DA2" w:rsidRDefault="00EA712C" w:rsidP="00526D7F">
            <w:pPr>
              <w:pStyle w:val="TableText0"/>
            </w:pPr>
            <w:r w:rsidRPr="00131DA2">
              <w:t>Niraparib vs no active treatment</w:t>
            </w:r>
          </w:p>
        </w:tc>
      </w:tr>
      <w:tr w:rsidR="00EA712C" w:rsidRPr="00131DA2" w14:paraId="208C3206" w14:textId="77777777" w:rsidTr="00CD42BD">
        <w:tc>
          <w:tcPr>
            <w:tcW w:w="1396" w:type="pct"/>
            <w:shd w:val="clear" w:color="auto" w:fill="auto"/>
            <w:vAlign w:val="center"/>
          </w:tcPr>
          <w:p w14:paraId="5FCBFD62" w14:textId="77777777" w:rsidR="00EA712C" w:rsidRPr="00131DA2" w:rsidRDefault="00EA712C" w:rsidP="00526D7F">
            <w:pPr>
              <w:pStyle w:val="TableText0"/>
            </w:pPr>
            <w:r w:rsidRPr="00131DA2">
              <w:t>Time horizon</w:t>
            </w:r>
          </w:p>
        </w:tc>
        <w:tc>
          <w:tcPr>
            <w:tcW w:w="3604" w:type="pct"/>
            <w:shd w:val="clear" w:color="auto" w:fill="auto"/>
            <w:vAlign w:val="center"/>
          </w:tcPr>
          <w:p w14:paraId="2FC480C1" w14:textId="77777777" w:rsidR="00EA712C" w:rsidRPr="00131DA2" w:rsidRDefault="00EA712C" w:rsidP="00526D7F">
            <w:pPr>
              <w:pStyle w:val="TableText0"/>
            </w:pPr>
            <w:r w:rsidRPr="00131DA2">
              <w:t>20 years in the model base case versus 15.3 months OS median follow-up in PRIMA</w:t>
            </w:r>
          </w:p>
        </w:tc>
      </w:tr>
      <w:tr w:rsidR="00EA712C" w:rsidRPr="00131DA2" w14:paraId="3A61E36E" w14:textId="77777777" w:rsidTr="00CD42BD">
        <w:tc>
          <w:tcPr>
            <w:tcW w:w="1396" w:type="pct"/>
            <w:shd w:val="clear" w:color="auto" w:fill="auto"/>
            <w:vAlign w:val="center"/>
          </w:tcPr>
          <w:p w14:paraId="3D67D5B7" w14:textId="77777777" w:rsidR="00EA712C" w:rsidRPr="00131DA2" w:rsidRDefault="00EA712C" w:rsidP="00526D7F">
            <w:pPr>
              <w:pStyle w:val="TableText0"/>
            </w:pPr>
            <w:r w:rsidRPr="00131DA2">
              <w:t>Outcomes</w:t>
            </w:r>
          </w:p>
        </w:tc>
        <w:tc>
          <w:tcPr>
            <w:tcW w:w="3604" w:type="pct"/>
            <w:shd w:val="clear" w:color="auto" w:fill="auto"/>
            <w:vAlign w:val="center"/>
          </w:tcPr>
          <w:p w14:paraId="537E9689" w14:textId="77777777" w:rsidR="00EA712C" w:rsidRPr="00131DA2" w:rsidRDefault="00EA712C" w:rsidP="00526D7F">
            <w:pPr>
              <w:pStyle w:val="TableText0"/>
            </w:pPr>
            <w:r w:rsidRPr="00131DA2">
              <w:t>LYG, QALYs</w:t>
            </w:r>
          </w:p>
        </w:tc>
      </w:tr>
      <w:tr w:rsidR="00EA712C" w:rsidRPr="00131DA2" w14:paraId="369073FD" w14:textId="77777777" w:rsidTr="00CD42BD">
        <w:tc>
          <w:tcPr>
            <w:tcW w:w="1396" w:type="pct"/>
            <w:shd w:val="clear" w:color="auto" w:fill="auto"/>
            <w:vAlign w:val="center"/>
          </w:tcPr>
          <w:p w14:paraId="585ECEBF" w14:textId="77777777" w:rsidR="00EA712C" w:rsidRPr="00131DA2" w:rsidRDefault="00EA712C" w:rsidP="00526D7F">
            <w:pPr>
              <w:pStyle w:val="TableText0"/>
            </w:pPr>
            <w:r w:rsidRPr="00131DA2">
              <w:t>Methods used to generate results</w:t>
            </w:r>
          </w:p>
        </w:tc>
        <w:tc>
          <w:tcPr>
            <w:tcW w:w="3604" w:type="pct"/>
            <w:shd w:val="clear" w:color="auto" w:fill="auto"/>
            <w:vAlign w:val="center"/>
          </w:tcPr>
          <w:p w14:paraId="482E62C8" w14:textId="77777777" w:rsidR="00EA712C" w:rsidRPr="00131DA2" w:rsidRDefault="00EA712C" w:rsidP="00526D7F">
            <w:pPr>
              <w:pStyle w:val="TableText0"/>
            </w:pPr>
            <w:r w:rsidRPr="00131DA2">
              <w:t>Partitioned survival model (i.e. area under the curve)</w:t>
            </w:r>
          </w:p>
        </w:tc>
      </w:tr>
      <w:tr w:rsidR="00EA712C" w:rsidRPr="00131DA2" w14:paraId="663EE65B" w14:textId="77777777" w:rsidTr="00CD42BD">
        <w:tc>
          <w:tcPr>
            <w:tcW w:w="1396" w:type="pct"/>
            <w:shd w:val="clear" w:color="auto" w:fill="auto"/>
            <w:vAlign w:val="center"/>
          </w:tcPr>
          <w:p w14:paraId="5EBE88E0" w14:textId="77777777" w:rsidR="00EA712C" w:rsidRPr="00131DA2" w:rsidRDefault="00EA712C" w:rsidP="00526D7F">
            <w:pPr>
              <w:pStyle w:val="TableText0"/>
            </w:pPr>
            <w:r w:rsidRPr="00131DA2">
              <w:t>Health states</w:t>
            </w:r>
          </w:p>
        </w:tc>
        <w:tc>
          <w:tcPr>
            <w:tcW w:w="3604" w:type="pct"/>
            <w:shd w:val="clear" w:color="auto" w:fill="auto"/>
            <w:vAlign w:val="center"/>
          </w:tcPr>
          <w:p w14:paraId="4E95DCA8" w14:textId="77777777" w:rsidR="00EA712C" w:rsidRPr="00131DA2" w:rsidRDefault="00EA712C" w:rsidP="00526D7F">
            <w:pPr>
              <w:pStyle w:val="TableText0"/>
            </w:pPr>
            <w:r w:rsidRPr="00131DA2">
              <w:t xml:space="preserve">PF (incorporating a ‘cured’ fraction), PD and death states. </w:t>
            </w:r>
          </w:p>
        </w:tc>
      </w:tr>
      <w:tr w:rsidR="00EA712C" w:rsidRPr="00131DA2" w14:paraId="7E2AE017" w14:textId="77777777" w:rsidTr="00CD42BD">
        <w:tc>
          <w:tcPr>
            <w:tcW w:w="1396" w:type="pct"/>
            <w:shd w:val="clear" w:color="auto" w:fill="auto"/>
            <w:vAlign w:val="center"/>
          </w:tcPr>
          <w:p w14:paraId="16181C49" w14:textId="77777777" w:rsidR="00EA712C" w:rsidRPr="00131DA2" w:rsidRDefault="00EA712C" w:rsidP="00526D7F">
            <w:pPr>
              <w:pStyle w:val="TableText0"/>
            </w:pPr>
            <w:r w:rsidRPr="00131DA2">
              <w:t>Cycle length</w:t>
            </w:r>
          </w:p>
        </w:tc>
        <w:tc>
          <w:tcPr>
            <w:tcW w:w="3604" w:type="pct"/>
            <w:shd w:val="clear" w:color="auto" w:fill="auto"/>
            <w:vAlign w:val="center"/>
          </w:tcPr>
          <w:p w14:paraId="3601CD39" w14:textId="77777777" w:rsidR="00EA712C" w:rsidRPr="00131DA2" w:rsidRDefault="00EA712C" w:rsidP="00526D7F">
            <w:pPr>
              <w:pStyle w:val="TableText0"/>
            </w:pPr>
            <w:r w:rsidRPr="00131DA2">
              <w:t>One month</w:t>
            </w:r>
          </w:p>
        </w:tc>
      </w:tr>
      <w:tr w:rsidR="00EA712C" w:rsidRPr="00131DA2" w14:paraId="649F963A" w14:textId="77777777" w:rsidTr="00CD42BD">
        <w:tc>
          <w:tcPr>
            <w:tcW w:w="1396" w:type="pct"/>
            <w:shd w:val="clear" w:color="auto" w:fill="auto"/>
            <w:vAlign w:val="center"/>
          </w:tcPr>
          <w:p w14:paraId="4DE3D122" w14:textId="77777777" w:rsidR="00EA712C" w:rsidRPr="00131DA2" w:rsidRDefault="00EA712C" w:rsidP="00526D7F">
            <w:pPr>
              <w:pStyle w:val="TableText0"/>
            </w:pPr>
            <w:r w:rsidRPr="00131DA2">
              <w:t xml:space="preserve">Allocation to health states </w:t>
            </w:r>
          </w:p>
        </w:tc>
        <w:tc>
          <w:tcPr>
            <w:tcW w:w="3604" w:type="pct"/>
            <w:shd w:val="clear" w:color="auto" w:fill="auto"/>
            <w:vAlign w:val="center"/>
          </w:tcPr>
          <w:p w14:paraId="37DAEC14" w14:textId="77777777" w:rsidR="00EA712C" w:rsidRPr="00131DA2" w:rsidRDefault="00EA712C" w:rsidP="00526D7F">
            <w:pPr>
              <w:pStyle w:val="TableText0"/>
            </w:pPr>
            <w:r w:rsidRPr="00131DA2">
              <w:t xml:space="preserve">Progression-free survival and overall survival curves, which were adjusted using life tables to account for the proportion of ‘cured’ patients that prior to initiation of 1L maintenance treatment, were used to estimate the proportion of patients in PF, PD and death states. </w:t>
            </w:r>
          </w:p>
        </w:tc>
      </w:tr>
      <w:tr w:rsidR="00EA712C" w:rsidRPr="00131DA2" w14:paraId="27F0BE99" w14:textId="77777777" w:rsidTr="00CD42BD">
        <w:tc>
          <w:tcPr>
            <w:tcW w:w="1396" w:type="pct"/>
            <w:shd w:val="clear" w:color="auto" w:fill="auto"/>
            <w:vAlign w:val="center"/>
          </w:tcPr>
          <w:p w14:paraId="59531C8A" w14:textId="77777777" w:rsidR="00EA712C" w:rsidRPr="00131DA2" w:rsidRDefault="00EA712C" w:rsidP="00526D7F">
            <w:pPr>
              <w:pStyle w:val="TableText0"/>
            </w:pPr>
            <w:r w:rsidRPr="00131DA2">
              <w:t>Extrapolation method</w:t>
            </w:r>
          </w:p>
        </w:tc>
        <w:tc>
          <w:tcPr>
            <w:tcW w:w="3604" w:type="pct"/>
            <w:shd w:val="clear" w:color="auto" w:fill="auto"/>
            <w:vAlign w:val="center"/>
          </w:tcPr>
          <w:p w14:paraId="647AC26E" w14:textId="77777777" w:rsidR="00EA712C" w:rsidRPr="00131DA2" w:rsidRDefault="00EA712C" w:rsidP="00526D7F">
            <w:pPr>
              <w:pStyle w:val="TableText0"/>
            </w:pPr>
            <w:r w:rsidRPr="00131DA2">
              <w:t>Observed PFS and OS KM data from the PRIMA trial were applied until median follow-up, after which, dependent parametric models, fitted to the KM data, were used to extrapolate survival to the model time horizon.</w:t>
            </w:r>
          </w:p>
          <w:p w14:paraId="5481F02B" w14:textId="77777777" w:rsidR="00EA712C" w:rsidRPr="00131DA2" w:rsidRDefault="00EA712C" w:rsidP="00526D7F">
            <w:pPr>
              <w:pStyle w:val="TableText0"/>
            </w:pPr>
            <w:r w:rsidRPr="00131DA2">
              <w:t>The niraparib TTD KM curve from PRIMA, extrapolated beyond median follow-up, was used to inform niraparib treatment duration.</w:t>
            </w:r>
          </w:p>
          <w:p w14:paraId="17E78547" w14:textId="77777777" w:rsidR="00EA712C" w:rsidRPr="00131DA2" w:rsidRDefault="00EA712C" w:rsidP="00526D7F">
            <w:pPr>
              <w:pStyle w:val="TableText0"/>
            </w:pPr>
            <w:r w:rsidRPr="00131DA2">
              <w:t xml:space="preserve">Approximately 98% of the undiscounted incremental life-years gained for niraparib over no active treatment were accrued over the extrapolated period. </w:t>
            </w:r>
          </w:p>
        </w:tc>
      </w:tr>
      <w:tr w:rsidR="00EA712C" w:rsidRPr="00131DA2" w14:paraId="650AC95F" w14:textId="77777777" w:rsidTr="00CD42BD">
        <w:tc>
          <w:tcPr>
            <w:tcW w:w="1396" w:type="pct"/>
            <w:shd w:val="clear" w:color="auto" w:fill="auto"/>
            <w:vAlign w:val="center"/>
          </w:tcPr>
          <w:p w14:paraId="59CCCA33" w14:textId="77777777" w:rsidR="00EA712C" w:rsidRPr="00131DA2" w:rsidRDefault="00EA712C" w:rsidP="00526D7F">
            <w:pPr>
              <w:pStyle w:val="TableText0"/>
            </w:pPr>
            <w:r w:rsidRPr="00131DA2">
              <w:t>Health related quality of life</w:t>
            </w:r>
          </w:p>
        </w:tc>
        <w:tc>
          <w:tcPr>
            <w:tcW w:w="3604" w:type="pct"/>
            <w:shd w:val="clear" w:color="auto" w:fill="auto"/>
            <w:vAlign w:val="center"/>
          </w:tcPr>
          <w:p w14:paraId="2075DF78" w14:textId="77777777" w:rsidR="00EA712C" w:rsidRPr="00131DA2" w:rsidRDefault="00EA712C" w:rsidP="00526D7F">
            <w:pPr>
              <w:pStyle w:val="TableText0"/>
            </w:pPr>
            <w:r w:rsidRPr="00131DA2">
              <w:t>EQ-5D-5L data from PRIMA ITT cohort translated to utility values via an Australian algorithm (Norman 2013) (PF=0.777; PD=0.689).</w:t>
            </w:r>
          </w:p>
        </w:tc>
      </w:tr>
    </w:tbl>
    <w:p w14:paraId="69DC25FD" w14:textId="77777777" w:rsidR="00EA712C" w:rsidRPr="00131DA2" w:rsidRDefault="00EA712C" w:rsidP="00EA712C">
      <w:pPr>
        <w:pStyle w:val="TableFigureFooter"/>
      </w:pPr>
      <w:r w:rsidRPr="00131DA2">
        <w:t>Source: Table 70, p112 of the submission.</w:t>
      </w:r>
    </w:p>
    <w:p w14:paraId="3DAA4B01" w14:textId="77777777" w:rsidR="00EA712C" w:rsidRPr="00131DA2" w:rsidRDefault="00EA712C" w:rsidP="00EA712C">
      <w:pPr>
        <w:pStyle w:val="TableFigureFooter"/>
      </w:pPr>
      <w:r w:rsidRPr="00131DA2">
        <w:t>1L = first-line; EQ-5D-5L = European Quality of Life Scale 5-dimension 5-level; ITT = intention to treat; KM = Kaplan- Meier; LYG = life years gained; OS = overall survival; PD = progressed disease; PF = progression free; QALYs = quality-adjusted life years; TTD = time to treatment discontinuation.</w:t>
      </w:r>
    </w:p>
    <w:p w14:paraId="490C3503" w14:textId="77777777" w:rsidR="00EA712C" w:rsidRPr="00131DA2" w:rsidRDefault="00EA712C" w:rsidP="00EA712C">
      <w:pPr>
        <w:pStyle w:val="3-BodyText"/>
      </w:pPr>
      <w:r w:rsidRPr="00131DA2">
        <w:t>The PRIMA trial was used to inform a number of inputs in the economic model, including clinical outcomes for PFS and OS, treatment exposure (time to treatment discontinuation [TTD] and dose intensity), health state utility values and adverse event rates. While this is reasonable, data from different cohorts from PRIMA were used to inform different inputs. The ITT cohort was used to inform the clinical outcomes and niraparib treatment duration in uncured patients, but niraparib dosing and incidence of AEs was based on the ISD cohort. PFS, OS and TTD data for the ISD cohort of the PRIMA trial were not included in the submission’s model, and so cannot be tested in a sensitivity analysis.</w:t>
      </w:r>
      <w:r w:rsidR="00ED28FA" w:rsidRPr="00131DA2">
        <w:t xml:space="preserve"> The ESC considered that the ISD approach is unlikely to have had a major impact on efficacy outcomes</w:t>
      </w:r>
      <w:r w:rsidR="00536938" w:rsidRPr="00131DA2">
        <w:t xml:space="preserve"> or duration of treatment</w:t>
      </w:r>
      <w:r w:rsidR="00ED28FA" w:rsidRPr="00131DA2">
        <w:t xml:space="preserve"> (see also paragraph </w:t>
      </w:r>
      <w:r w:rsidR="00972B35">
        <w:t>6.19)</w:t>
      </w:r>
      <w:r w:rsidR="00ED28FA" w:rsidRPr="00131DA2">
        <w:t>.</w:t>
      </w:r>
    </w:p>
    <w:p w14:paraId="745A9126" w14:textId="77777777" w:rsidR="00EA712C" w:rsidRPr="00131DA2" w:rsidRDefault="00EA712C" w:rsidP="00EA712C">
      <w:pPr>
        <w:pStyle w:val="3-BodyText"/>
      </w:pPr>
      <w:r w:rsidRPr="00131DA2">
        <w:t>As noted above, the OS data were immature in PRIMA. The model assumed a continued treatment effect beyond the end of the trial, which was not adequately justified in the submission, and introduced substantial uncertainty to the modelled results. The OS benefit modelled for niraparib compared with no active treatment was accrued primarily (98%) in the extrapolated period beyond trial observation (see Figure 3). The base case analysis predicted that approximately 8% of patients treated with niraparib and about 6% of patients receiving no active treatment would remain alive at the nominated model time horizon of 20 years.</w:t>
      </w:r>
      <w:r w:rsidR="009655C0" w:rsidRPr="00131DA2">
        <w:t xml:space="preserve"> </w:t>
      </w:r>
      <w:r w:rsidR="00701C2A">
        <w:t>The PBAC noted that it previously accepted a model time horizon of 20 years for olaparib (paragraph 7.13, olaparib PSD, July 2020 PBAC meeting). However the PBAC noted that 20 years may be too long for the non-BRCAm population and</w:t>
      </w:r>
      <w:r w:rsidR="009655C0" w:rsidRPr="00131DA2">
        <w:t xml:space="preserve"> introduced additional uncertainty due to the immaturity of the OS data from PRIMA.</w:t>
      </w:r>
      <w:r w:rsidR="00701C2A">
        <w:t xml:space="preserve"> </w:t>
      </w:r>
    </w:p>
    <w:p w14:paraId="517F4F92" w14:textId="77777777" w:rsidR="00EA712C" w:rsidRPr="00131DA2" w:rsidRDefault="00EA712C" w:rsidP="00EA712C">
      <w:pPr>
        <w:pStyle w:val="TableFigureHeading"/>
      </w:pPr>
      <w:r w:rsidRPr="00131DA2">
        <w:t xml:space="preserve">Figure </w:t>
      </w:r>
      <w:r w:rsidR="008A7614">
        <w:rPr>
          <w:noProof/>
        </w:rPr>
        <w:t>3</w:t>
      </w:r>
      <w:r w:rsidRPr="00131DA2">
        <w:t>: Cumulative average life years over the time horizon of the model (undiscounted)</w:t>
      </w:r>
    </w:p>
    <w:p w14:paraId="1C1C7C1E" w14:textId="77777777" w:rsidR="00EA712C" w:rsidRPr="00131DA2" w:rsidRDefault="00EA712C" w:rsidP="00EA712C">
      <w:r w:rsidRPr="00131DA2">
        <w:rPr>
          <w:noProof/>
        </w:rPr>
        <mc:AlternateContent>
          <mc:Choice Requires="wps">
            <w:drawing>
              <wp:anchor distT="0" distB="0" distL="114300" distR="114300" simplePos="0" relativeHeight="251671552" behindDoc="0" locked="0" layoutInCell="1" allowOverlap="1" wp14:anchorId="66701A13" wp14:editId="75A5336D">
                <wp:simplePos x="0" y="0"/>
                <wp:positionH relativeFrom="column">
                  <wp:posOffset>4502988</wp:posOffset>
                </wp:positionH>
                <wp:positionV relativeFrom="paragraph">
                  <wp:posOffset>652409</wp:posOffset>
                </wp:positionV>
                <wp:extent cx="319177" cy="310144"/>
                <wp:effectExtent l="38100" t="76200" r="24130" b="33020"/>
                <wp:wrapNone/>
                <wp:docPr id="1" name="Elbow Connector 1"/>
                <wp:cNvGraphicFramePr/>
                <a:graphic xmlns:a="http://schemas.openxmlformats.org/drawingml/2006/main">
                  <a:graphicData uri="http://schemas.microsoft.com/office/word/2010/wordprocessingShape">
                    <wps:wsp>
                      <wps:cNvCnPr/>
                      <wps:spPr>
                        <a:xfrm flipH="1" flipV="1">
                          <a:off x="0" y="0"/>
                          <a:ext cx="319177" cy="310144"/>
                        </a:xfrm>
                        <a:prstGeom prst="bentConnector3">
                          <a:avLst>
                            <a:gd name="adj1" fmla="val 943"/>
                          </a:avLst>
                        </a:prstGeom>
                        <a:ln>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1288D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354.55pt;margin-top:51.35pt;width:25.15pt;height:24.4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" adj="204" strokecolor="gray [1629]">
                <v:stroke endarrow="block"/>
              </v:shape>
            </w:pict>
          </mc:Fallback>
        </mc:AlternateContent>
      </w:r>
      <w:r w:rsidRPr="00131DA2">
        <w:rPr>
          <w:noProof/>
        </w:rPr>
        <w:drawing>
          <wp:inline distT="0" distB="0" distL="0" distR="0" wp14:anchorId="5DB2C559" wp14:editId="03B5F708">
            <wp:extent cx="5804877" cy="3621129"/>
            <wp:effectExtent l="0" t="0" r="5715" b="0"/>
            <wp:docPr id="2" name="Picture 2" title="Figure 3: Cumulative average life years over the time horizon of the model (undiscou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5719" cy="3634130"/>
                    </a:xfrm>
                    <a:prstGeom prst="rect">
                      <a:avLst/>
                    </a:prstGeom>
                    <a:noFill/>
                  </pic:spPr>
                </pic:pic>
              </a:graphicData>
            </a:graphic>
          </wp:inline>
        </w:drawing>
      </w:r>
    </w:p>
    <w:p w14:paraId="0BD249D7" w14:textId="77777777" w:rsidR="00EA712C" w:rsidRPr="00701C2A" w:rsidRDefault="00EA712C" w:rsidP="00EA712C">
      <w:pPr>
        <w:pStyle w:val="TableFigureFooter"/>
      </w:pPr>
      <w:r w:rsidRPr="00701C2A">
        <w:t xml:space="preserve">Source: Figure constructed during the evaluation, based on data from the ‘Zejula (niraparib) 1L ITT CEA.xlsx’ workbook </w:t>
      </w:r>
    </w:p>
    <w:p w14:paraId="1D6786C3" w14:textId="77777777" w:rsidR="00EA712C" w:rsidRPr="00131DA2" w:rsidRDefault="00EA712C" w:rsidP="00EA712C">
      <w:pPr>
        <w:pStyle w:val="TableFigureFooter"/>
      </w:pPr>
      <w:r w:rsidRPr="00131DA2">
        <w:t>LY = life-years.</w:t>
      </w:r>
    </w:p>
    <w:p w14:paraId="27A9AF86" w14:textId="77777777" w:rsidR="00012871" w:rsidRPr="00131DA2" w:rsidRDefault="00080592" w:rsidP="00012871">
      <w:pPr>
        <w:pStyle w:val="3-BodyText"/>
      </w:pPr>
      <w:r w:rsidRPr="00131DA2">
        <w:t>T</w:t>
      </w:r>
      <w:r w:rsidR="00EA712C" w:rsidRPr="00131DA2">
        <w:t xml:space="preserve">he </w:t>
      </w:r>
      <w:r w:rsidRPr="00131DA2">
        <w:t xml:space="preserve">model </w:t>
      </w:r>
      <w:r w:rsidR="00EA712C" w:rsidRPr="00131DA2">
        <w:t>used observed Kaplan-Meier data from the PRIMA trial until median follow-up for both PFS and OS, and then extrapolated the curves using dependent parametric functions. The assumption of proportional hazards may not be reasonable for either PFS</w:t>
      </w:r>
      <w:r w:rsidR="00EA712C" w:rsidRPr="00131DA2">
        <w:rPr>
          <w:rStyle w:val="FootnoteReference"/>
        </w:rPr>
        <w:footnoteReference w:id="12"/>
      </w:r>
      <w:r w:rsidR="00EA712C" w:rsidRPr="00131DA2">
        <w:t xml:space="preserve"> or OS (due to immature data). The log-normal model was used in the base case analysis for PFS extrapolation. The incremental cost effectiveness ratio (ICER) is not sensitive to the truncation time point for PFS extrapolation or the parametric model chosen to extrapolate PFS. The log-normal model was also used in the base case analysis for OS extrapolation. The ICER was sensitive to changes in both the model chosen for OS extrapolation and the truncation time point. The Gamma and Weibull models were also a reasonable fit to the observed Kaplan-Meier</w:t>
      </w:r>
      <w:r w:rsidR="00EA712C" w:rsidRPr="00131DA2" w:rsidDel="00E60FFF">
        <w:t xml:space="preserve"> </w:t>
      </w:r>
      <w:r w:rsidR="00EA712C" w:rsidRPr="00131DA2">
        <w:t xml:space="preserve">data and the ICER was sensitive to the use of these alternate models (21% and 38% increase in the ICER, respectively). </w:t>
      </w:r>
      <w:r w:rsidR="00012871" w:rsidRPr="00131DA2">
        <w:rPr>
          <w:rFonts w:cs="Times New Roman"/>
        </w:rPr>
        <w:t xml:space="preserve">Modelled survival in the SMM arm at 10 years, including the cured fraction, is 5% using the Weibull model, 6% with Gamma and 11% with the log-logistic model. </w:t>
      </w:r>
    </w:p>
    <w:p w14:paraId="33BF6280" w14:textId="77777777" w:rsidR="00EA712C" w:rsidRPr="00131DA2" w:rsidRDefault="00EA712C" w:rsidP="00080592">
      <w:pPr>
        <w:pStyle w:val="3-BodyText"/>
      </w:pPr>
      <w:r w:rsidRPr="00131DA2">
        <w:t>A comparison of the OS curves with and without the adjustment for the cured fraction and after applying the adjustment for subsequent PARPi (applicable only to the no active treatment arm) is presented below.</w:t>
      </w:r>
      <w:r w:rsidR="00080592" w:rsidRPr="00131DA2" w:rsidDel="00080592">
        <w:t xml:space="preserve"> </w:t>
      </w:r>
    </w:p>
    <w:p w14:paraId="50329287" w14:textId="77777777" w:rsidR="00EA712C" w:rsidRPr="00131DA2" w:rsidRDefault="00EA712C" w:rsidP="00EA712C">
      <w:pPr>
        <w:pStyle w:val="TableFigureHeading"/>
      </w:pPr>
      <w:r w:rsidRPr="00131DA2">
        <w:t xml:space="preserve">Figure 4: Extrapolated OS curves, with and without adjustment for a ‘cured’ fraction and subsequent PARPi use </w:t>
      </w:r>
    </w:p>
    <w:p w14:paraId="3F2C3091" w14:textId="77777777" w:rsidR="00EA712C" w:rsidRPr="00131DA2" w:rsidRDefault="00EA712C" w:rsidP="00EA712C">
      <w:pPr>
        <w:pStyle w:val="TableFigureFooter"/>
      </w:pPr>
      <w:r w:rsidRPr="00131DA2">
        <w:rPr>
          <w:noProof/>
        </w:rPr>
        <w:drawing>
          <wp:inline distT="0" distB="0" distL="0" distR="0" wp14:anchorId="5E288ACB" wp14:editId="41BA7890">
            <wp:extent cx="5735230" cy="4031311"/>
            <wp:effectExtent l="0" t="0" r="0" b="7620"/>
            <wp:docPr id="3" name="Picture 3" title="Figure 4: Extrapolated OS curves, with and without adjustment for a ‘cured’ fraction and subsequent PARPi 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1924" cy="4036016"/>
                    </a:xfrm>
                    <a:prstGeom prst="rect">
                      <a:avLst/>
                    </a:prstGeom>
                    <a:noFill/>
                  </pic:spPr>
                </pic:pic>
              </a:graphicData>
            </a:graphic>
          </wp:inline>
        </w:drawing>
      </w:r>
      <w:r w:rsidRPr="00131DA2">
        <w:t xml:space="preserve">Source: Adapted from Figure 43, p134, Figure 44, p135, Figure 54-56, p 143 and Figure 58, p145 of the submission </w:t>
      </w:r>
    </w:p>
    <w:p w14:paraId="1D4FF741" w14:textId="77777777" w:rsidR="00EA712C" w:rsidRPr="00131DA2" w:rsidRDefault="00EA712C" w:rsidP="00EA712C">
      <w:pPr>
        <w:pStyle w:val="TableFigureFooter"/>
      </w:pPr>
      <w:r w:rsidRPr="00131DA2">
        <w:t>KM = Kaplan-Meier; OS = overall survival; PARPi = poly ADP ribose polymerase inhibitor.</w:t>
      </w:r>
    </w:p>
    <w:p w14:paraId="1FCD4485" w14:textId="77777777" w:rsidR="00EA712C" w:rsidRPr="00131DA2" w:rsidRDefault="00EA712C" w:rsidP="00EA712C">
      <w:pPr>
        <w:pStyle w:val="TableFigureFooter"/>
      </w:pPr>
      <w:r w:rsidRPr="00131DA2">
        <w:t>* The base case of the economic model includes 5% cure fraction in niraparib arm, whereas in the no active treatment arm both the 5% cure fraction and the adjustment for subsequent 2L PARPi use are applied.</w:t>
      </w:r>
    </w:p>
    <w:p w14:paraId="20CA55DF" w14:textId="77777777" w:rsidR="00080592" w:rsidRPr="00131DA2" w:rsidRDefault="00EA712C" w:rsidP="00EA712C">
      <w:pPr>
        <w:pStyle w:val="3-BodyText"/>
      </w:pPr>
      <w:r w:rsidRPr="00131DA2">
        <w:t>In the extrapolated period, the PFS, OS and TTD curves were adjusted to take into account a proportion of patients who were ‘cured’ prior to receiving first-line maintenance treatment. The submission claimed that this adjustment was made for consistency with previous PBAC considerations (paragraph 7.20, olaparib PSD, November 2019 PBAC meeting). This proportion was assumed to be 5% based on literature reporting long-term PFS in ovarian cancer cohorts (Irodi 2020, Oliver 2017 and Vergote 2018)</w:t>
      </w:r>
      <w:r w:rsidRPr="00131DA2">
        <w:rPr>
          <w:rStyle w:val="FootnoteReference"/>
        </w:rPr>
        <w:footnoteReference w:id="13"/>
      </w:r>
      <w:r w:rsidRPr="00131DA2">
        <w:t xml:space="preserve">, and was assumed to be the same in both model arms. Therefore, ‘cured’ patients in the niraparib arm of the model received no benefit from treatment, although incurred a cost. The ICER was moderately sensitive to the proportion of cured </w:t>
      </w:r>
      <w:proofErr w:type="gramStart"/>
      <w:r w:rsidRPr="00131DA2">
        <w:t>patients</w:t>
      </w:r>
      <w:proofErr w:type="gramEnd"/>
      <w:r w:rsidRPr="00131DA2">
        <w:t xml:space="preserve"> modelled (13% increase in the ICER when the cured fraction increased to 10%). Cured patients were assumed to remain on treatment unless they died due to other causes, up to a maximum treatment duration of three years. The proposed restriction did not specify a maximum treatment duration, therefore, the assumption that all cured patients would cease treatment at three years may underestimate the cost of niraparib. Further, it may not be reasonable to model different stopping rules by cured status as, in practice, clinicians may not be able to distinguish a cured from an uncured patient who remains progression-free. </w:t>
      </w:r>
    </w:p>
    <w:p w14:paraId="0D4CFE4B" w14:textId="77777777" w:rsidR="00EA712C" w:rsidRPr="00131DA2" w:rsidRDefault="00EA712C" w:rsidP="00C46920">
      <w:pPr>
        <w:pStyle w:val="3-BodyText"/>
      </w:pPr>
      <w:r w:rsidRPr="00131DA2">
        <w:t xml:space="preserve">The </w:t>
      </w:r>
      <w:r w:rsidR="00080592" w:rsidRPr="00131DA2">
        <w:t xml:space="preserve">model also </w:t>
      </w:r>
      <w:r w:rsidRPr="00131DA2">
        <w:t>applied an adjustment to the OS curve in the no active treatment arm to account for PARPi use in the later-line maintenance setting</w:t>
      </w:r>
      <w:r w:rsidR="00C46920" w:rsidRPr="00131DA2">
        <w:t xml:space="preserve"> </w:t>
      </w:r>
      <w:r w:rsidRPr="00131DA2">
        <w:t xml:space="preserve">for BRCAm patients. The adjustment assumed that a proportion of patients with BRCAm tumours would receive second-line olaparib and that their survival would be the same as the ITT observed in the niraparib arm. </w:t>
      </w:r>
      <w:r w:rsidR="00426344" w:rsidRPr="00131DA2">
        <w:t>The Commentary considered t</w:t>
      </w:r>
      <w:r w:rsidRPr="00131DA2">
        <w:t>his method of adjustment inappropriate and underestimates th</w:t>
      </w:r>
      <w:r w:rsidR="007C29C2">
        <w:t>e</w:t>
      </w:r>
      <w:r w:rsidRPr="00131DA2">
        <w:t xml:space="preserve"> effect in the comparator arm, as BRCAm patients </w:t>
      </w:r>
      <w:r w:rsidR="00A01554" w:rsidRPr="00131DA2">
        <w:t xml:space="preserve">in the comparator arm </w:t>
      </w:r>
      <w:r w:rsidRPr="00131DA2">
        <w:t xml:space="preserve">will receive a superior treatment response than the ITT population receiving niraparib. </w:t>
      </w:r>
      <w:r w:rsidR="00426344" w:rsidRPr="00131DA2">
        <w:t xml:space="preserve">The ESC considered that it was unclear whether this assumption </w:t>
      </w:r>
      <w:r w:rsidR="005A2CA8" w:rsidRPr="00131DA2">
        <w:t>would favour niraparib or the comparator as patients may respond better to treatment in the first-line setting than the second-line setting, but BRCAm patients would be expected to have a superior treatment response than the ITT population.</w:t>
      </w:r>
      <w:r w:rsidR="005A2CA8" w:rsidRPr="00131DA2" w:rsidDel="00426344">
        <w:t xml:space="preserve"> </w:t>
      </w:r>
    </w:p>
    <w:p w14:paraId="5DC43226" w14:textId="77777777" w:rsidR="00060DE5" w:rsidRPr="00131DA2" w:rsidRDefault="00EA712C" w:rsidP="00060DE5">
      <w:pPr>
        <w:pStyle w:val="3-BodyText"/>
      </w:pPr>
      <w:r w:rsidRPr="00131DA2">
        <w:t>Although the proportion of patients in the no active treatment arm that received second line olaparib in the model was relatively small (15.6%</w:t>
      </w:r>
      <w:r w:rsidR="00C46920" w:rsidRPr="00131DA2">
        <w:rPr>
          <w:rStyle w:val="FootnoteReference"/>
        </w:rPr>
        <w:footnoteReference w:id="14"/>
      </w:r>
      <w:r w:rsidR="00C46920" w:rsidRPr="00131DA2">
        <w:t>, 51.3% of BRCAm patients based on the prevalence of BRCAm in PRIMA)</w:t>
      </w:r>
      <w:r w:rsidRPr="00131DA2">
        <w:t xml:space="preserve"> </w:t>
      </w:r>
      <w:r w:rsidR="00C46920" w:rsidRPr="00131DA2">
        <w:t xml:space="preserve">it </w:t>
      </w:r>
      <w:r w:rsidRPr="00131DA2">
        <w:t>was higher than the proportion of progressed patients who received second-line PARPi in the PRIMA trial, 10.4%</w:t>
      </w:r>
      <w:r w:rsidR="00C46920" w:rsidRPr="00131DA2">
        <w:t>. The PSCR argued this was consistent with the input accepted for olaparib in the 1L setting (51%; para 6.49, olaparib PSD, July 2020)</w:t>
      </w:r>
      <w:r w:rsidR="00502F78" w:rsidRPr="00131DA2">
        <w:t xml:space="preserve">, however the value accepted in the olaparib submission was the proportion of progressed </w:t>
      </w:r>
      <w:r w:rsidR="00536938" w:rsidRPr="00131DA2">
        <w:t xml:space="preserve">BRCAm </w:t>
      </w:r>
      <w:r w:rsidR="00502F78" w:rsidRPr="00131DA2">
        <w:t>patients</w:t>
      </w:r>
      <w:r w:rsidR="00C46920" w:rsidRPr="00131DA2">
        <w:t>. T</w:t>
      </w:r>
      <w:r w:rsidRPr="00131DA2">
        <w:t>he cost of second-line PARPi use is the main source of cost-offsets modelled and has a high impact on the ICER. In the context of the availability of olaparib in the first-line setting, where treatment duration is limited to 24 months, modelling second-line use of olaparib (which is not restricted in duration on the PBS) will overstate the cost-offsets realised in the Australian setting.</w:t>
      </w:r>
      <w:r w:rsidR="00060DE5" w:rsidRPr="00131DA2">
        <w:t xml:space="preserve"> </w:t>
      </w:r>
    </w:p>
    <w:p w14:paraId="4AC4D0C4" w14:textId="77777777" w:rsidR="00EA712C" w:rsidRDefault="00426344" w:rsidP="00EA712C">
      <w:pPr>
        <w:pStyle w:val="3-BodyText"/>
      </w:pPr>
      <w:r w:rsidRPr="00131DA2">
        <w:t>T</w:t>
      </w:r>
      <w:r w:rsidR="00080592" w:rsidRPr="00131DA2">
        <w:t>he evaluation noted that 21.5 months was previously accepted by the PBAC for olaparib in 2L BRCAm PSR HGEOC based on Study 19 (para 7.16, olaparib PSD July 2020), whereas the current economic model applies 29.1 months b</w:t>
      </w:r>
      <w:r w:rsidRPr="00131DA2">
        <w:t>ased on SOLO-2</w:t>
      </w:r>
      <w:r w:rsidR="00536938" w:rsidRPr="00131DA2">
        <w:t xml:space="preserve"> (compared with 16 months for first-line niraparib)</w:t>
      </w:r>
      <w:r w:rsidRPr="00131DA2">
        <w:t>. The PSCR argued</w:t>
      </w:r>
      <w:r w:rsidR="00080592" w:rsidRPr="00131DA2">
        <w:t xml:space="preserve"> that SOLO-2 represents the best available evidence for currently utilised olaparib in the 2L BRCAm PSR HGEOC setting</w:t>
      </w:r>
      <w:r w:rsidRPr="00131DA2">
        <w:t>. The ESC noted that this assumption favoured</w:t>
      </w:r>
      <w:r w:rsidR="00080592" w:rsidRPr="00131DA2">
        <w:t xml:space="preserve"> niraparib </w:t>
      </w:r>
      <w:r w:rsidRPr="00131DA2">
        <w:t>and considered that Study 19 was a reasonable source of treatment duration and was consistent with previous considerations of olaparib</w:t>
      </w:r>
      <w:r w:rsidR="00080592" w:rsidRPr="00131DA2">
        <w:t>.</w:t>
      </w:r>
    </w:p>
    <w:p w14:paraId="7B89DDCB" w14:textId="77777777" w:rsidR="009E1389" w:rsidRPr="00131DA2" w:rsidRDefault="009E1389" w:rsidP="00190420">
      <w:pPr>
        <w:pStyle w:val="3-BodyText"/>
      </w:pPr>
      <w:r>
        <w:t>The pre-PBAC response maintained that c</w:t>
      </w:r>
      <w:r w:rsidRPr="009E1389">
        <w:t xml:space="preserve">ost offsets associated with use of 2L olaparib were appropriate </w:t>
      </w:r>
      <w:r>
        <w:t>because the intention of the model was to reflect</w:t>
      </w:r>
      <w:r w:rsidRPr="009E1389">
        <w:t xml:space="preserve"> the treatment pathway for 1L SMM BRCAm patients </w:t>
      </w:r>
      <w:r w:rsidR="000A5EC4">
        <w:t>who</w:t>
      </w:r>
      <w:r w:rsidRPr="009E1389">
        <w:t xml:space="preserve"> had progressed</w:t>
      </w:r>
      <w:r>
        <w:t xml:space="preserve"> (by definition these patients had not received 1L olaparib)</w:t>
      </w:r>
      <w:r w:rsidRPr="009E1389">
        <w:t>.</w:t>
      </w:r>
      <w:r>
        <w:t xml:space="preserve"> T</w:t>
      </w:r>
      <w:r w:rsidRPr="009E1389">
        <w:t xml:space="preserve">he </w:t>
      </w:r>
      <w:r>
        <w:t xml:space="preserve">pre-PBAC response </w:t>
      </w:r>
      <w:r w:rsidRPr="009E1389">
        <w:t>maintain</w:t>
      </w:r>
      <w:r>
        <w:t>ed</w:t>
      </w:r>
      <w:r w:rsidRPr="009E1389">
        <w:t xml:space="preserve"> that a treatment duration of 29.1 months is most applicable </w:t>
      </w:r>
      <w:r>
        <w:t>to olaparib in the 2L setting</w:t>
      </w:r>
      <w:r w:rsidR="00C37F4A">
        <w:t xml:space="preserve"> because it is </w:t>
      </w:r>
      <w:r w:rsidR="00C37F4A" w:rsidRPr="00C37AB0">
        <w:rPr>
          <w:rFonts w:cstheme="minorHAnsi"/>
        </w:rPr>
        <w:t xml:space="preserve">based on </w:t>
      </w:r>
      <w:r w:rsidR="00C37F4A">
        <w:rPr>
          <w:rFonts w:cstheme="minorHAnsi"/>
        </w:rPr>
        <w:t>the currently avail</w:t>
      </w:r>
      <w:r w:rsidR="00411A7F">
        <w:rPr>
          <w:rFonts w:cstheme="minorHAnsi"/>
        </w:rPr>
        <w:t>able tablet formulation of olap</w:t>
      </w:r>
      <w:r w:rsidR="00C37F4A">
        <w:rPr>
          <w:rFonts w:cstheme="minorHAnsi"/>
        </w:rPr>
        <w:t>arib</w:t>
      </w:r>
      <w:r w:rsidR="00C37F4A" w:rsidRPr="00C37AB0">
        <w:rPr>
          <w:rFonts w:cstheme="minorHAnsi"/>
        </w:rPr>
        <w:t xml:space="preserve">, </w:t>
      </w:r>
      <w:r w:rsidR="00C37F4A">
        <w:rPr>
          <w:rFonts w:cstheme="minorHAnsi"/>
        </w:rPr>
        <w:t>whereas the 21.5 month duration was based on a trial of a capsule formulation of olaparib which will be delisted in January 2022.</w:t>
      </w:r>
      <w:r>
        <w:t xml:space="preserve"> </w:t>
      </w:r>
    </w:p>
    <w:p w14:paraId="730EB8D8" w14:textId="77777777" w:rsidR="005C40CD" w:rsidRPr="00131DA2" w:rsidRDefault="005A2CA8" w:rsidP="005C40CD">
      <w:pPr>
        <w:pStyle w:val="3-BodyText"/>
      </w:pPr>
      <w:r w:rsidRPr="00131DA2">
        <w:t>T</w:t>
      </w:r>
      <w:r w:rsidR="00536938" w:rsidRPr="00131DA2">
        <w:t>h</w:t>
      </w:r>
      <w:r w:rsidRPr="00131DA2">
        <w:t>e Commentary noted that</w:t>
      </w:r>
      <w:r w:rsidR="00426344" w:rsidRPr="00131DA2">
        <w:t xml:space="preserve"> as olaparib has been listed on the PBS in the first-line maintenance setting for BRCAm patients, use of olaparib in the later-line setting is unlikely. </w:t>
      </w:r>
      <w:r w:rsidR="00F72FF3">
        <w:t>The PBAC considered that the majority of BRCAm patients are currently treated with olaparib as a first-line maintenance therapy in clinical practice, and therefore the model did not reflect clinical practice. The PBAC agreed with the ESC that i</w:t>
      </w:r>
      <w:r w:rsidR="00426344" w:rsidRPr="00131DA2">
        <w:t xml:space="preserve">t would have been more appropriate to adjust the comparator arm of the model for olaparib use in the first-line setting based on a matched adjusted indirect comparison </w:t>
      </w:r>
      <w:r w:rsidR="00A1787B" w:rsidRPr="00131DA2">
        <w:t>with</w:t>
      </w:r>
      <w:r w:rsidR="00426344" w:rsidRPr="00131DA2">
        <w:t xml:space="preserve"> the SOLO1 study.</w:t>
      </w:r>
      <w:r w:rsidRPr="00131DA2">
        <w:t xml:space="preserve"> </w:t>
      </w:r>
      <w:r w:rsidR="005C40CD" w:rsidRPr="00131DA2">
        <w:t xml:space="preserve">The ESC considered that </w:t>
      </w:r>
      <w:r w:rsidR="00426344" w:rsidRPr="00131DA2">
        <w:t xml:space="preserve">overall, </w:t>
      </w:r>
      <w:r w:rsidR="005C40CD" w:rsidRPr="00131DA2">
        <w:t xml:space="preserve">assumptions around second line use of olaparib appear to overestimate the cost offsets </w:t>
      </w:r>
      <w:r w:rsidR="00426344" w:rsidRPr="00131DA2">
        <w:t xml:space="preserve">for second-line PARP inhibitors </w:t>
      </w:r>
      <w:r w:rsidR="005C40CD" w:rsidRPr="00131DA2">
        <w:t>in the model.</w:t>
      </w:r>
    </w:p>
    <w:p w14:paraId="16D6194D" w14:textId="77777777" w:rsidR="00EA712C" w:rsidRPr="00131DA2" w:rsidRDefault="00EA712C" w:rsidP="00EA712C">
      <w:pPr>
        <w:pStyle w:val="3-BodyText"/>
      </w:pPr>
      <w:r w:rsidRPr="00131DA2">
        <w:t>In the base case analysis, the submission used the progression free (PF) and progressed disease (PD) health states 5 level EuroQol 5-dimension Questionnaire (EQ-5D-5L) data from the PRIMA trial, and translated these to utilities using an Australian based mapping algorithm (Norman 2013)</w:t>
      </w:r>
      <w:r w:rsidRPr="00131DA2">
        <w:rPr>
          <w:rStyle w:val="FootnoteReference"/>
        </w:rPr>
        <w:footnoteReference w:id="15"/>
      </w:r>
      <w:r w:rsidRPr="00131DA2">
        <w:t>, irrespective of treatment. The utilities from the PRIMA study with UK based preferences were applied in sensitivity analyses. The ICER is not sensitive to the use of these alternate values. The submission did not apply a disutility associated with niraparib treatment compared with no active treatment, which is not appropriate and biased the results in favour of niraparib.</w:t>
      </w:r>
    </w:p>
    <w:p w14:paraId="2E9568EE" w14:textId="77777777" w:rsidR="00EA712C" w:rsidRPr="00131DA2" w:rsidRDefault="00EA712C" w:rsidP="00EA712C">
      <w:pPr>
        <w:pStyle w:val="3-BodyText"/>
      </w:pPr>
      <w:r w:rsidRPr="00131DA2">
        <w:t>The key drivers of the niraparib vs no active treatment model are summarised below.</w:t>
      </w:r>
    </w:p>
    <w:p w14:paraId="34E730A7" w14:textId="77777777" w:rsidR="00EA712C" w:rsidRPr="00131DA2" w:rsidRDefault="00EA712C" w:rsidP="00EA712C">
      <w:pPr>
        <w:pStyle w:val="TableFigureHeading"/>
        <w:rPr>
          <w:rStyle w:val="CommentReference"/>
          <w:b/>
          <w:szCs w:val="24"/>
        </w:rPr>
      </w:pPr>
      <w:r w:rsidRPr="00131DA2">
        <w:rPr>
          <w:rStyle w:val="CommentReference"/>
          <w:b/>
          <w:szCs w:val="24"/>
        </w:rPr>
        <w:t xml:space="preserve">Table </w:t>
      </w:r>
      <w:r w:rsidR="008A7614">
        <w:rPr>
          <w:rStyle w:val="CommentReference"/>
          <w:b/>
          <w:noProof/>
          <w:szCs w:val="24"/>
        </w:rPr>
        <w:t>8</w:t>
      </w:r>
      <w:r w:rsidRPr="00131DA2">
        <w:rPr>
          <w:rStyle w:val="CommentReference"/>
          <w:b/>
          <w:szCs w:val="24"/>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3401"/>
        <w:gridCol w:w="4487"/>
      </w:tblGrid>
      <w:tr w:rsidR="00EA712C" w:rsidRPr="00131DA2" w14:paraId="4175B3D0" w14:textId="77777777" w:rsidTr="00CD42BD">
        <w:trPr>
          <w:tblHeader/>
        </w:trPr>
        <w:tc>
          <w:tcPr>
            <w:tcW w:w="626" w:type="pct"/>
            <w:shd w:val="clear" w:color="auto" w:fill="auto"/>
            <w:vAlign w:val="center"/>
          </w:tcPr>
          <w:p w14:paraId="2442475E" w14:textId="77777777" w:rsidR="00EA712C" w:rsidRPr="00131DA2" w:rsidRDefault="00EA712C" w:rsidP="00526D7F">
            <w:pPr>
              <w:pStyle w:val="In-tableHeading"/>
              <w:jc w:val="center"/>
              <w:rPr>
                <w:lang w:val="en-AU"/>
              </w:rPr>
            </w:pPr>
            <w:r w:rsidRPr="00131DA2">
              <w:rPr>
                <w:lang w:val="en-AU"/>
              </w:rPr>
              <w:t>Description</w:t>
            </w:r>
          </w:p>
        </w:tc>
        <w:tc>
          <w:tcPr>
            <w:tcW w:w="1886" w:type="pct"/>
            <w:shd w:val="clear" w:color="auto" w:fill="auto"/>
            <w:vAlign w:val="center"/>
          </w:tcPr>
          <w:p w14:paraId="1DB8ACAE" w14:textId="77777777" w:rsidR="00EA712C" w:rsidRPr="00131DA2" w:rsidRDefault="00EA712C" w:rsidP="00526D7F">
            <w:pPr>
              <w:pStyle w:val="In-tableHeading"/>
              <w:jc w:val="center"/>
              <w:rPr>
                <w:lang w:val="en-AU"/>
              </w:rPr>
            </w:pPr>
            <w:r w:rsidRPr="00131DA2">
              <w:rPr>
                <w:lang w:val="en-AU"/>
              </w:rPr>
              <w:t>Method/Value</w:t>
            </w:r>
          </w:p>
        </w:tc>
        <w:tc>
          <w:tcPr>
            <w:tcW w:w="2488" w:type="pct"/>
            <w:shd w:val="clear" w:color="auto" w:fill="auto"/>
            <w:vAlign w:val="center"/>
          </w:tcPr>
          <w:p w14:paraId="50C54648" w14:textId="77777777" w:rsidR="00EA712C" w:rsidRPr="00131DA2" w:rsidRDefault="00EA712C" w:rsidP="00526D7F">
            <w:pPr>
              <w:pStyle w:val="In-tableHeading"/>
              <w:jc w:val="center"/>
              <w:rPr>
                <w:lang w:val="en-AU"/>
              </w:rPr>
            </w:pPr>
            <w:r w:rsidRPr="00131DA2">
              <w:rPr>
                <w:lang w:val="en-AU"/>
              </w:rPr>
              <w:t>Impact</w:t>
            </w:r>
          </w:p>
          <w:p w14:paraId="3B262567" w14:textId="77777777" w:rsidR="00EA712C" w:rsidRPr="00131DA2" w:rsidRDefault="00EA712C" w:rsidP="00526D7F">
            <w:pPr>
              <w:pStyle w:val="In-tableHeading"/>
              <w:jc w:val="center"/>
              <w:rPr>
                <w:b w:val="0"/>
                <w:lang w:val="en-AU"/>
              </w:rPr>
            </w:pPr>
            <w:r w:rsidRPr="00131DA2">
              <w:rPr>
                <w:b w:val="0"/>
                <w:lang w:val="en-AU"/>
              </w:rPr>
              <w:t>Base case ICER $</w:t>
            </w:r>
            <w:r w:rsidR="001D7CF9">
              <w:rPr>
                <w:b w:val="0"/>
                <w:noProof/>
                <w:color w:val="000000"/>
                <w:highlight w:val="black"/>
                <w:lang w:val="en-AU"/>
              </w:rPr>
              <w:t>''''''''''''''''</w:t>
            </w:r>
            <w:r w:rsidR="002F6650" w:rsidRPr="002F6650">
              <w:rPr>
                <w:b w:val="0"/>
                <w:vertAlign w:val="superscript"/>
                <w:lang w:val="en-AU"/>
              </w:rPr>
              <w:t>1</w:t>
            </w:r>
            <w:r w:rsidRPr="00131DA2">
              <w:rPr>
                <w:b w:val="0"/>
                <w:lang w:val="en-AU"/>
              </w:rPr>
              <w:t>/QALY</w:t>
            </w:r>
          </w:p>
        </w:tc>
      </w:tr>
      <w:tr w:rsidR="00EA712C" w:rsidRPr="00131DA2" w14:paraId="74A36226" w14:textId="77777777" w:rsidTr="00CD42BD">
        <w:tc>
          <w:tcPr>
            <w:tcW w:w="626" w:type="pct"/>
            <w:shd w:val="clear" w:color="auto" w:fill="auto"/>
            <w:vAlign w:val="center"/>
          </w:tcPr>
          <w:p w14:paraId="5B8012C5" w14:textId="77777777" w:rsidR="00EA712C" w:rsidRPr="00131DA2" w:rsidRDefault="00EA712C" w:rsidP="00526D7F">
            <w:pPr>
              <w:pStyle w:val="TableText0"/>
              <w:jc w:val="center"/>
            </w:pPr>
            <w:r w:rsidRPr="00131DA2">
              <w:t>Extrapolation</w:t>
            </w:r>
          </w:p>
        </w:tc>
        <w:tc>
          <w:tcPr>
            <w:tcW w:w="1886" w:type="pct"/>
            <w:shd w:val="clear" w:color="auto" w:fill="auto"/>
            <w:vAlign w:val="center"/>
          </w:tcPr>
          <w:p w14:paraId="5B5CF219" w14:textId="77777777" w:rsidR="00EA712C" w:rsidRPr="00131DA2" w:rsidRDefault="00EA712C" w:rsidP="00526D7F">
            <w:pPr>
              <w:pStyle w:val="TableText0"/>
            </w:pPr>
            <w:r w:rsidRPr="00131DA2">
              <w:t>Treatment effect continued beyond 15 month trial period for up to 20 years; and the choice of log-normal parametric functions used for OS extrapolation</w:t>
            </w:r>
          </w:p>
        </w:tc>
        <w:tc>
          <w:tcPr>
            <w:tcW w:w="2488" w:type="pct"/>
            <w:shd w:val="clear" w:color="auto" w:fill="auto"/>
            <w:vAlign w:val="center"/>
          </w:tcPr>
          <w:p w14:paraId="17C07D74" w14:textId="77777777" w:rsidR="00EA712C" w:rsidRPr="00131DA2" w:rsidRDefault="00EA712C" w:rsidP="00526D7F">
            <w:pPr>
              <w:pStyle w:val="TableText0"/>
            </w:pPr>
            <w:r w:rsidRPr="00131DA2">
              <w:t>High, favours niraparib</w:t>
            </w:r>
          </w:p>
          <w:p w14:paraId="4E9992D9" w14:textId="77777777" w:rsidR="00EA712C" w:rsidRPr="00131DA2" w:rsidRDefault="00EA712C" w:rsidP="002F6650">
            <w:pPr>
              <w:pStyle w:val="TableText0"/>
            </w:pPr>
            <w:r w:rsidRPr="00131DA2">
              <w:t>Use of Weibull model to extrapolate OS data increased the ICER to $</w:t>
            </w:r>
            <w:r w:rsidR="001D7CF9">
              <w:rPr>
                <w:noProof/>
                <w:color w:val="000000"/>
                <w:highlight w:val="black"/>
              </w:rPr>
              <w:t>''''''''''''''''</w:t>
            </w:r>
            <w:r w:rsidR="002F6650">
              <w:rPr>
                <w:b/>
                <w:vertAlign w:val="superscript"/>
              </w:rPr>
              <w:t>2</w:t>
            </w:r>
            <w:r w:rsidRPr="00131DA2">
              <w:t>/QALY gained, use of Gamma model increased the ICER to $</w:t>
            </w:r>
            <w:r w:rsidR="001D7CF9">
              <w:rPr>
                <w:noProof/>
                <w:color w:val="000000"/>
                <w:highlight w:val="black"/>
              </w:rPr>
              <w:t>'''''''''''''''</w:t>
            </w:r>
            <w:r w:rsidR="002F6650" w:rsidRPr="002F6650">
              <w:rPr>
                <w:b/>
                <w:vertAlign w:val="superscript"/>
              </w:rPr>
              <w:t>1</w:t>
            </w:r>
            <w:r w:rsidRPr="00131DA2">
              <w:t>/QALY gained.</w:t>
            </w:r>
          </w:p>
        </w:tc>
      </w:tr>
      <w:tr w:rsidR="00EA712C" w:rsidRPr="00131DA2" w14:paraId="12F5BFA9" w14:textId="77777777" w:rsidTr="00CD42BD">
        <w:tc>
          <w:tcPr>
            <w:tcW w:w="626" w:type="pct"/>
            <w:shd w:val="clear" w:color="auto" w:fill="auto"/>
            <w:vAlign w:val="center"/>
          </w:tcPr>
          <w:p w14:paraId="3AF94B69" w14:textId="77777777" w:rsidR="00EA712C" w:rsidRPr="00131DA2" w:rsidRDefault="00EA712C" w:rsidP="00526D7F">
            <w:pPr>
              <w:pStyle w:val="TableText0"/>
              <w:jc w:val="center"/>
            </w:pPr>
            <w:r w:rsidRPr="00131DA2">
              <w:t>Dose intensity of niraparib</w:t>
            </w:r>
          </w:p>
        </w:tc>
        <w:tc>
          <w:tcPr>
            <w:tcW w:w="1886" w:type="pct"/>
            <w:shd w:val="clear" w:color="auto" w:fill="auto"/>
            <w:vAlign w:val="center"/>
          </w:tcPr>
          <w:p w14:paraId="08CEBB83" w14:textId="77777777" w:rsidR="00EA712C" w:rsidRPr="00131DA2" w:rsidRDefault="00EA712C" w:rsidP="00526D7F">
            <w:pPr>
              <w:pStyle w:val="TableText0"/>
            </w:pPr>
            <w:r w:rsidRPr="00131DA2">
              <w:t>Based on ISD cohort of PRIMA</w:t>
            </w:r>
          </w:p>
        </w:tc>
        <w:tc>
          <w:tcPr>
            <w:tcW w:w="2488" w:type="pct"/>
            <w:shd w:val="clear" w:color="auto" w:fill="auto"/>
            <w:vAlign w:val="center"/>
          </w:tcPr>
          <w:p w14:paraId="7DFC4530" w14:textId="77777777" w:rsidR="00EA712C" w:rsidRPr="00131DA2" w:rsidRDefault="00EA712C" w:rsidP="00526D7F">
            <w:pPr>
              <w:pStyle w:val="TableText0"/>
            </w:pPr>
            <w:r w:rsidRPr="00131DA2">
              <w:t>Moderate, favours niraparib</w:t>
            </w:r>
          </w:p>
          <w:p w14:paraId="51F72FE8" w14:textId="77777777" w:rsidR="00EA712C" w:rsidRPr="00131DA2" w:rsidRDefault="00EA712C" w:rsidP="00526D7F">
            <w:pPr>
              <w:pStyle w:val="TableText0"/>
            </w:pPr>
            <w:r w:rsidRPr="00131DA2">
              <w:t>When using data from ITT cohort, the ICER increased to $</w:t>
            </w:r>
            <w:r w:rsidR="001D7CF9">
              <w:rPr>
                <w:noProof/>
                <w:color w:val="000000"/>
                <w:highlight w:val="black"/>
              </w:rPr>
              <w:t>''''''''''''''''</w:t>
            </w:r>
            <w:r w:rsidR="002F6650" w:rsidRPr="002F6650">
              <w:rPr>
                <w:b/>
                <w:vertAlign w:val="superscript"/>
              </w:rPr>
              <w:t>1</w:t>
            </w:r>
            <w:r w:rsidRPr="00131DA2">
              <w:t>/QALY.</w:t>
            </w:r>
          </w:p>
        </w:tc>
      </w:tr>
      <w:tr w:rsidR="00EA712C" w:rsidRPr="00131DA2" w14:paraId="66BDB050" w14:textId="77777777" w:rsidTr="00CD42BD">
        <w:tc>
          <w:tcPr>
            <w:tcW w:w="626" w:type="pct"/>
            <w:shd w:val="clear" w:color="auto" w:fill="auto"/>
            <w:vAlign w:val="center"/>
          </w:tcPr>
          <w:p w14:paraId="78C66AD7" w14:textId="77777777" w:rsidR="00EA712C" w:rsidRPr="00131DA2" w:rsidRDefault="00EA712C" w:rsidP="00526D7F">
            <w:pPr>
              <w:pStyle w:val="TableText0"/>
              <w:keepNext w:val="0"/>
              <w:jc w:val="center"/>
            </w:pPr>
            <w:r w:rsidRPr="00131DA2">
              <w:t>Proportion of patients that receive 2L olaparib</w:t>
            </w:r>
          </w:p>
        </w:tc>
        <w:tc>
          <w:tcPr>
            <w:tcW w:w="1886" w:type="pct"/>
            <w:shd w:val="clear" w:color="auto" w:fill="auto"/>
            <w:vAlign w:val="center"/>
          </w:tcPr>
          <w:p w14:paraId="6EFDC000" w14:textId="77777777" w:rsidR="00EA712C" w:rsidRPr="00131DA2" w:rsidRDefault="00EA712C" w:rsidP="00526D7F">
            <w:pPr>
              <w:pStyle w:val="TableText0"/>
              <w:keepNext w:val="0"/>
            </w:pPr>
            <w:r w:rsidRPr="00131DA2">
              <w:t>15.6%</w:t>
            </w:r>
            <w:r w:rsidRPr="00131DA2">
              <w:rPr>
                <w:vertAlign w:val="superscript"/>
              </w:rPr>
              <w:t>a</w:t>
            </w:r>
            <w:r w:rsidRPr="00131DA2">
              <w:t xml:space="preserve"> compared to 10.4% (13/125) patients in the PRIMA trial who had received any subsequent therapy</w:t>
            </w:r>
          </w:p>
        </w:tc>
        <w:tc>
          <w:tcPr>
            <w:tcW w:w="2488" w:type="pct"/>
            <w:shd w:val="clear" w:color="auto" w:fill="auto"/>
            <w:vAlign w:val="center"/>
          </w:tcPr>
          <w:p w14:paraId="17BBB09F" w14:textId="77777777" w:rsidR="00EA712C" w:rsidRPr="00131DA2" w:rsidRDefault="00EA712C" w:rsidP="00526D7F">
            <w:pPr>
              <w:pStyle w:val="TableText0"/>
              <w:keepNext w:val="0"/>
            </w:pPr>
            <w:r w:rsidRPr="00131DA2">
              <w:t>High, favours niraparib.</w:t>
            </w:r>
          </w:p>
          <w:p w14:paraId="1673778A" w14:textId="77777777" w:rsidR="00EA712C" w:rsidRPr="00131DA2" w:rsidRDefault="00EA712C" w:rsidP="002F6650">
            <w:pPr>
              <w:pStyle w:val="TableText0"/>
              <w:keepNext w:val="0"/>
            </w:pPr>
            <w:r w:rsidRPr="00131DA2">
              <w:t>When the proportion is reduced to 10.4%, the ICER increases to $</w:t>
            </w:r>
            <w:r w:rsidR="001D7CF9">
              <w:rPr>
                <w:noProof/>
                <w:color w:val="000000"/>
                <w:highlight w:val="black"/>
              </w:rPr>
              <w:t>''''''''''''''''</w:t>
            </w:r>
            <w:r w:rsidR="002F6650">
              <w:rPr>
                <w:b/>
                <w:vertAlign w:val="superscript"/>
              </w:rPr>
              <w:t>2</w:t>
            </w:r>
            <w:r w:rsidRPr="00131DA2">
              <w:t>/QALY. When no 2L olaparib use is assumed, the ICER increases to $</w:t>
            </w:r>
            <w:r w:rsidR="001D7CF9">
              <w:rPr>
                <w:noProof/>
                <w:color w:val="000000"/>
                <w:highlight w:val="black"/>
              </w:rPr>
              <w:t>'''''''''''''''''</w:t>
            </w:r>
            <w:r w:rsidR="002F6650">
              <w:rPr>
                <w:b/>
                <w:vertAlign w:val="superscript"/>
              </w:rPr>
              <w:t>3</w:t>
            </w:r>
            <w:r w:rsidRPr="00131DA2">
              <w:t>/QALY.</w:t>
            </w:r>
          </w:p>
        </w:tc>
      </w:tr>
      <w:tr w:rsidR="00EA712C" w:rsidRPr="00131DA2" w14:paraId="28FF3DD2" w14:textId="77777777" w:rsidTr="00CD42BD">
        <w:tc>
          <w:tcPr>
            <w:tcW w:w="626" w:type="pct"/>
            <w:shd w:val="clear" w:color="auto" w:fill="auto"/>
            <w:vAlign w:val="center"/>
          </w:tcPr>
          <w:p w14:paraId="1621DC55" w14:textId="77777777" w:rsidR="00EA712C" w:rsidRPr="00131DA2" w:rsidRDefault="00EA712C" w:rsidP="00526D7F">
            <w:pPr>
              <w:pStyle w:val="TableText0"/>
              <w:keepNext w:val="0"/>
              <w:jc w:val="center"/>
            </w:pPr>
            <w:r w:rsidRPr="00131DA2">
              <w:t>Duration of 2L olaparib treatment</w:t>
            </w:r>
          </w:p>
        </w:tc>
        <w:tc>
          <w:tcPr>
            <w:tcW w:w="1886" w:type="pct"/>
            <w:shd w:val="clear" w:color="auto" w:fill="auto"/>
            <w:vAlign w:val="center"/>
          </w:tcPr>
          <w:p w14:paraId="2C0E789B" w14:textId="77777777" w:rsidR="00EA712C" w:rsidRPr="00131DA2" w:rsidRDefault="00EA712C" w:rsidP="00526D7F">
            <w:pPr>
              <w:pStyle w:val="TableText0"/>
              <w:keepNext w:val="0"/>
            </w:pPr>
            <w:r w:rsidRPr="00131DA2">
              <w:t>29.1 months, based on the final analysis of the SOLO-2 trial</w:t>
            </w:r>
          </w:p>
        </w:tc>
        <w:tc>
          <w:tcPr>
            <w:tcW w:w="2488" w:type="pct"/>
            <w:shd w:val="clear" w:color="auto" w:fill="auto"/>
            <w:vAlign w:val="center"/>
          </w:tcPr>
          <w:p w14:paraId="42358FFA" w14:textId="77777777" w:rsidR="00EA712C" w:rsidRPr="00131DA2" w:rsidRDefault="00EA712C" w:rsidP="00526D7F">
            <w:pPr>
              <w:pStyle w:val="TableText0"/>
              <w:keepNext w:val="0"/>
            </w:pPr>
            <w:r w:rsidRPr="00131DA2">
              <w:t>High, favours niraparib.</w:t>
            </w:r>
          </w:p>
          <w:p w14:paraId="1BE1301B" w14:textId="77777777" w:rsidR="00EA712C" w:rsidRPr="00131DA2" w:rsidRDefault="00EA712C" w:rsidP="00526D7F">
            <w:pPr>
              <w:pStyle w:val="TableText0"/>
              <w:keepNext w:val="0"/>
            </w:pPr>
            <w:r w:rsidRPr="00131DA2">
              <w:t>When the duration is reduced to 21.5 months, as previously considered by the PBAC, the ICER increases to $</w:t>
            </w:r>
            <w:r w:rsidR="001D7CF9">
              <w:rPr>
                <w:noProof/>
                <w:color w:val="000000"/>
                <w:highlight w:val="black"/>
              </w:rPr>
              <w:t>''''''''''''''''</w:t>
            </w:r>
            <w:r w:rsidR="002F6650">
              <w:rPr>
                <w:b/>
                <w:vertAlign w:val="superscript"/>
              </w:rPr>
              <w:t>2</w:t>
            </w:r>
            <w:r w:rsidRPr="00131DA2">
              <w:t>/QALY</w:t>
            </w:r>
            <w:r w:rsidR="00F72FF3">
              <w:t>.</w:t>
            </w:r>
          </w:p>
        </w:tc>
      </w:tr>
    </w:tbl>
    <w:p w14:paraId="62F37C1A" w14:textId="77777777" w:rsidR="00EA712C" w:rsidRPr="00131DA2" w:rsidRDefault="00EA712C" w:rsidP="00EA712C">
      <w:pPr>
        <w:pStyle w:val="TableFigureFooter"/>
      </w:pPr>
      <w:r w:rsidRPr="00131DA2">
        <w:t>Source: Compiled during the evaluation based on Table 118, pp182-183 of the submission.</w:t>
      </w:r>
    </w:p>
    <w:p w14:paraId="31ECD0FB" w14:textId="77777777" w:rsidR="00EA712C" w:rsidRPr="00131DA2" w:rsidRDefault="00EA712C" w:rsidP="00EA712C">
      <w:pPr>
        <w:pStyle w:val="TableFigureFooter"/>
      </w:pPr>
      <w:r w:rsidRPr="00131DA2">
        <w:t>2L = second-line; ICER = incremental cost effectiveness ratio; ISD = individualised starting dose; ITT = intention to treat; OS = overall survival; QALY = quality-adjusted life year.</w:t>
      </w:r>
    </w:p>
    <w:p w14:paraId="6519F75C" w14:textId="77777777" w:rsidR="00EA712C" w:rsidRDefault="00EA712C" w:rsidP="00EA712C">
      <w:pPr>
        <w:pStyle w:val="TableFigureFooter"/>
      </w:pPr>
      <w:r w:rsidRPr="00131DA2">
        <w:rPr>
          <w:vertAlign w:val="superscript"/>
        </w:rPr>
        <w:t>a</w:t>
      </w:r>
      <w:r w:rsidRPr="00131DA2">
        <w:t xml:space="preserve"> This was estimated assuming that 73% of patients would progress after month 4 (those that progressed prior to month 4 were assumed not to be eligible for subsequent PARPi as they were not considered to have responded to first-line platinum-based chemotherapy), of which 28.9% were BRCAm, with 82% responding to 2L platinum-based chemotherapy and 90% uptake 2L PARPi.</w:t>
      </w:r>
    </w:p>
    <w:p w14:paraId="30337DE2" w14:textId="77777777" w:rsidR="002F6650" w:rsidRPr="00B62999" w:rsidRDefault="002F6650" w:rsidP="002F6650">
      <w:pPr>
        <w:pStyle w:val="TableFigureFooter"/>
        <w:spacing w:after="0"/>
        <w:contextualSpacing w:val="0"/>
        <w:rPr>
          <w:szCs w:val="18"/>
        </w:rPr>
      </w:pPr>
      <w:r w:rsidRPr="00B62999">
        <w:rPr>
          <w:i/>
          <w:szCs w:val="18"/>
        </w:rPr>
        <w:t xml:space="preserve">The redacted values correspond to the following ranges: </w:t>
      </w:r>
    </w:p>
    <w:p w14:paraId="42710B70" w14:textId="77777777" w:rsidR="002F6650" w:rsidRPr="002F6650" w:rsidRDefault="002F6650" w:rsidP="002F6650">
      <w:pPr>
        <w:rPr>
          <w:rFonts w:ascii="Arial Narrow" w:hAnsi="Arial Narrow"/>
          <w:i/>
          <w:sz w:val="18"/>
          <w:szCs w:val="18"/>
        </w:rPr>
      </w:pPr>
      <w:r w:rsidRPr="00B62999">
        <w:rPr>
          <w:rFonts w:ascii="Arial Narrow" w:hAnsi="Arial Narrow"/>
          <w:i/>
          <w:sz w:val="18"/>
          <w:szCs w:val="18"/>
          <w:vertAlign w:val="superscript"/>
        </w:rPr>
        <w:t>1</w:t>
      </w:r>
      <w:r>
        <w:rPr>
          <w:rFonts w:ascii="Arial Narrow" w:hAnsi="Arial Narrow"/>
          <w:sz w:val="18"/>
          <w:szCs w:val="18"/>
        </w:rPr>
        <w:t xml:space="preserve"> </w:t>
      </w:r>
      <w:r w:rsidRPr="002F6650">
        <w:rPr>
          <w:rFonts w:ascii="Arial Narrow" w:hAnsi="Arial Narrow"/>
          <w:i/>
          <w:sz w:val="18"/>
          <w:szCs w:val="18"/>
        </w:rPr>
        <w:t>$55,000 to &lt; $75,000</w:t>
      </w:r>
    </w:p>
    <w:p w14:paraId="05D09458" w14:textId="77777777" w:rsidR="002F6650" w:rsidRPr="00E05670" w:rsidRDefault="002F6650" w:rsidP="002F6650">
      <w:pPr>
        <w:rPr>
          <w:rFonts w:ascii="Arial Narrow" w:hAnsi="Arial Narrow"/>
          <w:i/>
          <w:sz w:val="18"/>
          <w:szCs w:val="18"/>
        </w:rPr>
      </w:pPr>
      <w:r w:rsidRPr="00B62999">
        <w:rPr>
          <w:rFonts w:ascii="Arial Narrow" w:hAnsi="Arial Narrow"/>
          <w:i/>
          <w:sz w:val="18"/>
          <w:szCs w:val="18"/>
          <w:vertAlign w:val="superscript"/>
        </w:rPr>
        <w:t>2</w:t>
      </w:r>
      <w:r>
        <w:rPr>
          <w:rFonts w:ascii="Arial Narrow" w:hAnsi="Arial Narrow"/>
          <w:i/>
          <w:sz w:val="18"/>
          <w:szCs w:val="18"/>
          <w:vertAlign w:val="superscript"/>
        </w:rPr>
        <w:t xml:space="preserve"> </w:t>
      </w:r>
      <w:r w:rsidRPr="002F6650">
        <w:rPr>
          <w:rFonts w:ascii="Arial Narrow" w:hAnsi="Arial Narrow"/>
          <w:i/>
          <w:sz w:val="18"/>
          <w:szCs w:val="18"/>
        </w:rPr>
        <w:t>$75,000 to &lt; $95,000</w:t>
      </w:r>
    </w:p>
    <w:p w14:paraId="2DD7A07A" w14:textId="77777777" w:rsidR="002F6650" w:rsidRPr="002F6650" w:rsidRDefault="002F6650" w:rsidP="002F6650">
      <w:pPr>
        <w:rPr>
          <w:rFonts w:ascii="Arial Narrow" w:hAnsi="Arial Narrow"/>
          <w:i/>
          <w:sz w:val="18"/>
          <w:szCs w:val="18"/>
        </w:rPr>
      </w:pPr>
      <w:r w:rsidRPr="00B62999">
        <w:rPr>
          <w:rFonts w:ascii="Arial Narrow" w:hAnsi="Arial Narrow"/>
          <w:i/>
          <w:sz w:val="18"/>
          <w:szCs w:val="18"/>
          <w:vertAlign w:val="superscript"/>
        </w:rPr>
        <w:t>3</w:t>
      </w:r>
      <w:r>
        <w:rPr>
          <w:rFonts w:ascii="Arial Narrow" w:hAnsi="Arial Narrow"/>
          <w:i/>
          <w:sz w:val="18"/>
          <w:szCs w:val="18"/>
          <w:vertAlign w:val="superscript"/>
        </w:rPr>
        <w:t xml:space="preserve"> </w:t>
      </w:r>
      <w:r w:rsidRPr="002F6650">
        <w:rPr>
          <w:rFonts w:ascii="Arial Narrow" w:hAnsi="Arial Narrow"/>
          <w:i/>
          <w:sz w:val="18"/>
          <w:szCs w:val="18"/>
        </w:rPr>
        <w:t>$115,000 to &lt; $135,000</w:t>
      </w:r>
    </w:p>
    <w:p w14:paraId="44343E1D" w14:textId="77777777" w:rsidR="002F6650" w:rsidRPr="00131DA2" w:rsidRDefault="002F6650" w:rsidP="00EA712C">
      <w:pPr>
        <w:pStyle w:val="TableFigureFooter"/>
      </w:pPr>
    </w:p>
    <w:p w14:paraId="233FB78D" w14:textId="77777777" w:rsidR="00EA712C" w:rsidRPr="00131DA2" w:rsidRDefault="00EA712C" w:rsidP="00EA712C">
      <w:pPr>
        <w:pStyle w:val="3-BodyText"/>
      </w:pPr>
      <w:r w:rsidRPr="00131DA2">
        <w:t>The results of the model are summarised in the table below.</w:t>
      </w:r>
    </w:p>
    <w:p w14:paraId="5E716DF8" w14:textId="77777777" w:rsidR="00EA712C" w:rsidRPr="00131DA2" w:rsidRDefault="00EA712C" w:rsidP="00EA712C">
      <w:pPr>
        <w:pStyle w:val="TableFigureHeading"/>
        <w:keepLines/>
        <w:rPr>
          <w:rStyle w:val="CommentReference"/>
          <w:b/>
          <w:szCs w:val="24"/>
        </w:rPr>
      </w:pPr>
      <w:r w:rsidRPr="00131DA2">
        <w:t xml:space="preserve">Table </w:t>
      </w:r>
      <w:r w:rsidR="008A7614">
        <w:rPr>
          <w:noProof/>
        </w:rPr>
        <w:t>9</w:t>
      </w:r>
      <w:r w:rsidRPr="00131DA2">
        <w:t xml:space="preserve">: </w:t>
      </w:r>
      <w:r w:rsidRPr="00131DA2">
        <w:rPr>
          <w:rStyle w:val="CommentReference"/>
          <w:b/>
          <w:szCs w:val="24"/>
        </w:rPr>
        <w:t>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058"/>
        <w:gridCol w:w="1984"/>
        <w:gridCol w:w="2218"/>
      </w:tblGrid>
      <w:tr w:rsidR="00EA712C" w:rsidRPr="00131DA2" w14:paraId="62D5C7FF" w14:textId="77777777" w:rsidTr="00FB6EE9">
        <w:trPr>
          <w:tblHeader/>
        </w:trPr>
        <w:tc>
          <w:tcPr>
            <w:tcW w:w="1529" w:type="pct"/>
            <w:vAlign w:val="center"/>
          </w:tcPr>
          <w:p w14:paraId="4094A374" w14:textId="77777777" w:rsidR="00EA712C" w:rsidRPr="00131DA2" w:rsidRDefault="00EA712C" w:rsidP="00526D7F">
            <w:pPr>
              <w:pStyle w:val="In-tableHeading"/>
              <w:keepLines/>
              <w:rPr>
                <w:lang w:val="en-AU"/>
              </w:rPr>
            </w:pPr>
            <w:r w:rsidRPr="00131DA2">
              <w:rPr>
                <w:lang w:val="en-AU"/>
              </w:rPr>
              <w:t>Step and component</w:t>
            </w:r>
          </w:p>
        </w:tc>
        <w:tc>
          <w:tcPr>
            <w:tcW w:w="1141" w:type="pct"/>
            <w:vAlign w:val="center"/>
          </w:tcPr>
          <w:p w14:paraId="214F633F" w14:textId="77777777" w:rsidR="00EA712C" w:rsidRPr="00131DA2" w:rsidRDefault="00EA712C" w:rsidP="00526D7F">
            <w:pPr>
              <w:pStyle w:val="In-tableHeading"/>
              <w:keepLines/>
              <w:jc w:val="center"/>
              <w:rPr>
                <w:lang w:val="en-AU"/>
              </w:rPr>
            </w:pPr>
            <w:r w:rsidRPr="00131DA2">
              <w:rPr>
                <w:lang w:val="en-AU"/>
              </w:rPr>
              <w:t>Niraparib</w:t>
            </w:r>
          </w:p>
        </w:tc>
        <w:tc>
          <w:tcPr>
            <w:tcW w:w="1100" w:type="pct"/>
            <w:vAlign w:val="center"/>
          </w:tcPr>
          <w:p w14:paraId="7D9F3403" w14:textId="77777777" w:rsidR="00EA712C" w:rsidRPr="00131DA2" w:rsidRDefault="00EA712C" w:rsidP="00526D7F">
            <w:pPr>
              <w:pStyle w:val="In-tableHeading"/>
              <w:keepLines/>
              <w:jc w:val="center"/>
              <w:rPr>
                <w:lang w:val="en-AU"/>
              </w:rPr>
            </w:pPr>
            <w:r w:rsidRPr="00131DA2">
              <w:rPr>
                <w:lang w:val="en-AU"/>
              </w:rPr>
              <w:t>No active treatment</w:t>
            </w:r>
          </w:p>
        </w:tc>
        <w:tc>
          <w:tcPr>
            <w:tcW w:w="1230" w:type="pct"/>
            <w:vAlign w:val="center"/>
          </w:tcPr>
          <w:p w14:paraId="5F9B45E8" w14:textId="77777777" w:rsidR="00EA712C" w:rsidRPr="00131DA2" w:rsidRDefault="00EA712C" w:rsidP="00526D7F">
            <w:pPr>
              <w:pStyle w:val="In-tableHeading"/>
              <w:keepLines/>
              <w:jc w:val="center"/>
              <w:rPr>
                <w:lang w:val="en-AU"/>
              </w:rPr>
            </w:pPr>
            <w:r w:rsidRPr="00131DA2">
              <w:rPr>
                <w:lang w:val="en-AU"/>
              </w:rPr>
              <w:t>Increment</w:t>
            </w:r>
          </w:p>
        </w:tc>
      </w:tr>
      <w:tr w:rsidR="00EA712C" w:rsidRPr="00131DA2" w14:paraId="785742E9" w14:textId="77777777" w:rsidTr="00526D7F">
        <w:tc>
          <w:tcPr>
            <w:tcW w:w="5000" w:type="pct"/>
            <w:gridSpan w:val="4"/>
            <w:vAlign w:val="center"/>
          </w:tcPr>
          <w:p w14:paraId="3E665EFF" w14:textId="77777777" w:rsidR="00EA712C" w:rsidRPr="00131DA2" w:rsidRDefault="00EA712C" w:rsidP="00526D7F">
            <w:pPr>
              <w:pStyle w:val="TableText0"/>
              <w:keepLines/>
            </w:pPr>
            <w:r w:rsidRPr="00131DA2">
              <w:rPr>
                <w:b/>
              </w:rPr>
              <w:t>Step 1: Trial-based analysis (24-month analysis)</w:t>
            </w:r>
          </w:p>
        </w:tc>
      </w:tr>
      <w:tr w:rsidR="00EA712C" w:rsidRPr="00131DA2" w14:paraId="45565E6B" w14:textId="77777777" w:rsidTr="00FB6EE9">
        <w:tc>
          <w:tcPr>
            <w:tcW w:w="1529" w:type="pct"/>
            <w:vAlign w:val="center"/>
          </w:tcPr>
          <w:p w14:paraId="46AEE286" w14:textId="77777777" w:rsidR="00EA712C" w:rsidRPr="00131DA2" w:rsidRDefault="00EA712C" w:rsidP="00526D7F">
            <w:pPr>
              <w:pStyle w:val="TableText0"/>
              <w:keepLines/>
              <w:rPr>
                <w:rFonts w:ascii="Times" w:hAnsi="Times"/>
              </w:rPr>
            </w:pPr>
            <w:r w:rsidRPr="00131DA2">
              <w:t>Costs</w:t>
            </w:r>
          </w:p>
        </w:tc>
        <w:tc>
          <w:tcPr>
            <w:tcW w:w="1141" w:type="pct"/>
            <w:vAlign w:val="center"/>
          </w:tcPr>
          <w:p w14:paraId="3E350E83" w14:textId="77777777" w:rsidR="00EA712C" w:rsidRPr="00131DA2" w:rsidRDefault="00EA712C" w:rsidP="00526D7F">
            <w:pPr>
              <w:pStyle w:val="TableText0"/>
              <w:keepLines/>
              <w:jc w:val="center"/>
              <w:rPr>
                <w:rFonts w:ascii="Times" w:hAnsi="Times"/>
              </w:rPr>
            </w:pPr>
            <w:r w:rsidRPr="00131DA2">
              <w:t>$</w:t>
            </w:r>
            <w:r w:rsidR="001D7CF9">
              <w:rPr>
                <w:noProof/>
                <w:color w:val="000000"/>
                <w:highlight w:val="black"/>
              </w:rPr>
              <w:t>''''''''''''''''</w:t>
            </w:r>
          </w:p>
        </w:tc>
        <w:tc>
          <w:tcPr>
            <w:tcW w:w="1100" w:type="pct"/>
            <w:vAlign w:val="center"/>
          </w:tcPr>
          <w:p w14:paraId="147A9DA5" w14:textId="77777777" w:rsidR="00EA712C" w:rsidRPr="00131DA2" w:rsidRDefault="00EA712C" w:rsidP="00526D7F">
            <w:pPr>
              <w:pStyle w:val="TableText0"/>
              <w:keepLines/>
              <w:jc w:val="center"/>
              <w:rPr>
                <w:rFonts w:ascii="Times" w:hAnsi="Times"/>
              </w:rPr>
            </w:pPr>
            <w:r w:rsidRPr="00131DA2">
              <w:t>$0</w:t>
            </w:r>
          </w:p>
        </w:tc>
        <w:tc>
          <w:tcPr>
            <w:tcW w:w="1230" w:type="pct"/>
            <w:vAlign w:val="center"/>
          </w:tcPr>
          <w:p w14:paraId="3EFE858E" w14:textId="77777777" w:rsidR="00EA712C" w:rsidRPr="00131DA2" w:rsidRDefault="00EA712C" w:rsidP="00526D7F">
            <w:pPr>
              <w:pStyle w:val="TableText0"/>
              <w:keepLines/>
              <w:jc w:val="center"/>
              <w:rPr>
                <w:rFonts w:ascii="Times" w:hAnsi="Times"/>
              </w:rPr>
            </w:pPr>
            <w:r w:rsidRPr="00131DA2">
              <w:t>$</w:t>
            </w:r>
            <w:r w:rsidR="001D7CF9">
              <w:rPr>
                <w:noProof/>
                <w:color w:val="000000"/>
                <w:highlight w:val="black"/>
              </w:rPr>
              <w:t>''''''''''''''''''</w:t>
            </w:r>
          </w:p>
        </w:tc>
      </w:tr>
      <w:tr w:rsidR="00EA712C" w:rsidRPr="00131DA2" w14:paraId="7ADA27E4" w14:textId="77777777" w:rsidTr="00FB6EE9">
        <w:tc>
          <w:tcPr>
            <w:tcW w:w="1529" w:type="pct"/>
            <w:vAlign w:val="center"/>
          </w:tcPr>
          <w:p w14:paraId="1D7113CD" w14:textId="77777777" w:rsidR="00EA712C" w:rsidRPr="00131DA2" w:rsidRDefault="00EA712C" w:rsidP="00526D7F">
            <w:pPr>
              <w:pStyle w:val="TableText0"/>
              <w:keepLines/>
              <w:rPr>
                <w:rFonts w:ascii="Times" w:hAnsi="Times"/>
              </w:rPr>
            </w:pPr>
            <w:r w:rsidRPr="00131DA2">
              <w:t>PFLY</w:t>
            </w:r>
          </w:p>
        </w:tc>
        <w:tc>
          <w:tcPr>
            <w:tcW w:w="1141" w:type="pct"/>
            <w:vAlign w:val="center"/>
          </w:tcPr>
          <w:p w14:paraId="16116CA7" w14:textId="77777777" w:rsidR="00EA712C" w:rsidRPr="00131DA2" w:rsidRDefault="00EA712C" w:rsidP="00526D7F">
            <w:pPr>
              <w:pStyle w:val="TableText0"/>
              <w:keepLines/>
              <w:jc w:val="center"/>
            </w:pPr>
            <w:r w:rsidRPr="00131DA2">
              <w:t>1.17</w:t>
            </w:r>
          </w:p>
        </w:tc>
        <w:tc>
          <w:tcPr>
            <w:tcW w:w="1100" w:type="pct"/>
            <w:vAlign w:val="center"/>
          </w:tcPr>
          <w:p w14:paraId="3581F997" w14:textId="77777777" w:rsidR="00EA712C" w:rsidRPr="00131DA2" w:rsidRDefault="00EA712C" w:rsidP="00526D7F">
            <w:pPr>
              <w:pStyle w:val="TableText0"/>
              <w:keepLines/>
              <w:jc w:val="center"/>
            </w:pPr>
            <w:r w:rsidRPr="00131DA2">
              <w:t>0.92</w:t>
            </w:r>
          </w:p>
        </w:tc>
        <w:tc>
          <w:tcPr>
            <w:tcW w:w="1230" w:type="pct"/>
            <w:vAlign w:val="center"/>
          </w:tcPr>
          <w:p w14:paraId="5650F52A" w14:textId="77777777" w:rsidR="00EA712C" w:rsidRPr="00131DA2" w:rsidRDefault="00EA712C" w:rsidP="00526D7F">
            <w:pPr>
              <w:pStyle w:val="TableText0"/>
              <w:keepLines/>
              <w:jc w:val="center"/>
            </w:pPr>
            <w:r w:rsidRPr="00131DA2">
              <w:t>0.25</w:t>
            </w:r>
          </w:p>
        </w:tc>
      </w:tr>
      <w:tr w:rsidR="00EA712C" w:rsidRPr="00131DA2" w14:paraId="0BFBC6B3" w14:textId="77777777" w:rsidTr="00FB6EE9">
        <w:tc>
          <w:tcPr>
            <w:tcW w:w="3770" w:type="pct"/>
            <w:gridSpan w:val="3"/>
            <w:vAlign w:val="center"/>
          </w:tcPr>
          <w:p w14:paraId="1E395BA7" w14:textId="77777777" w:rsidR="00EA712C" w:rsidRPr="00131DA2" w:rsidRDefault="00EA712C" w:rsidP="00526D7F">
            <w:pPr>
              <w:pStyle w:val="TableText0"/>
              <w:keepLines/>
              <w:rPr>
                <w:rFonts w:ascii="Times" w:hAnsi="Times"/>
              </w:rPr>
            </w:pPr>
            <w:r w:rsidRPr="00131DA2">
              <w:t>Incremental cost/extra PFLY gained</w:t>
            </w:r>
          </w:p>
        </w:tc>
        <w:tc>
          <w:tcPr>
            <w:tcW w:w="1230" w:type="pct"/>
            <w:vAlign w:val="center"/>
          </w:tcPr>
          <w:p w14:paraId="197DD908" w14:textId="77777777" w:rsidR="00EA712C" w:rsidRPr="00B64A7F" w:rsidRDefault="00EA712C" w:rsidP="00526D7F">
            <w:pPr>
              <w:pStyle w:val="TableText0"/>
              <w:keepLines/>
              <w:jc w:val="center"/>
              <w:rPr>
                <w:vertAlign w:val="superscript"/>
              </w:rPr>
            </w:pPr>
            <w:r w:rsidRPr="00131DA2">
              <w:t>$</w:t>
            </w:r>
            <w:r w:rsidR="001D7CF9">
              <w:rPr>
                <w:noProof/>
                <w:color w:val="000000"/>
                <w:highlight w:val="black"/>
              </w:rPr>
              <w:t>''''''''''''''''''</w:t>
            </w:r>
            <w:r w:rsidR="00B64A7F" w:rsidRPr="00B64A7F">
              <w:rPr>
                <w:vertAlign w:val="superscript"/>
              </w:rPr>
              <w:t>1</w:t>
            </w:r>
          </w:p>
        </w:tc>
      </w:tr>
      <w:tr w:rsidR="00EA712C" w:rsidRPr="00131DA2" w14:paraId="5B787C4F" w14:textId="77777777" w:rsidTr="00526D7F">
        <w:tc>
          <w:tcPr>
            <w:tcW w:w="5000" w:type="pct"/>
            <w:gridSpan w:val="4"/>
            <w:vAlign w:val="center"/>
          </w:tcPr>
          <w:p w14:paraId="55027CBF" w14:textId="77777777" w:rsidR="00EA712C" w:rsidRPr="00131DA2" w:rsidRDefault="00EA712C" w:rsidP="00526D7F">
            <w:pPr>
              <w:pStyle w:val="In-tableHeading"/>
              <w:keepLines/>
              <w:rPr>
                <w:lang w:val="en-AU"/>
              </w:rPr>
            </w:pPr>
            <w:r w:rsidRPr="00131DA2">
              <w:rPr>
                <w:lang w:val="en-AU"/>
              </w:rPr>
              <w:t>Step 2: Extrapolation of trial data from median follow-up to 20-year time horizon</w:t>
            </w:r>
          </w:p>
        </w:tc>
      </w:tr>
      <w:tr w:rsidR="00EA712C" w:rsidRPr="00131DA2" w14:paraId="2DA8C9D6" w14:textId="77777777" w:rsidTr="00FB6EE9">
        <w:tc>
          <w:tcPr>
            <w:tcW w:w="1529" w:type="pct"/>
            <w:vAlign w:val="center"/>
          </w:tcPr>
          <w:p w14:paraId="3845C322" w14:textId="77777777" w:rsidR="00EA712C" w:rsidRPr="00131DA2" w:rsidRDefault="00EA712C" w:rsidP="00526D7F">
            <w:pPr>
              <w:pStyle w:val="TableText0"/>
              <w:keepLines/>
              <w:rPr>
                <w:rFonts w:ascii="Times" w:hAnsi="Times"/>
              </w:rPr>
            </w:pPr>
            <w:r w:rsidRPr="00131DA2">
              <w:t>Costs</w:t>
            </w:r>
          </w:p>
        </w:tc>
        <w:tc>
          <w:tcPr>
            <w:tcW w:w="1141" w:type="pct"/>
            <w:vAlign w:val="center"/>
          </w:tcPr>
          <w:p w14:paraId="675BC06C" w14:textId="77777777" w:rsidR="00EA712C" w:rsidRPr="00131DA2" w:rsidRDefault="00EA712C" w:rsidP="00526D7F">
            <w:pPr>
              <w:pStyle w:val="TableText0"/>
              <w:keepLines/>
              <w:jc w:val="center"/>
            </w:pPr>
            <w:r w:rsidRPr="00131DA2">
              <w:t>$</w:t>
            </w:r>
            <w:r w:rsidR="001D7CF9">
              <w:rPr>
                <w:noProof/>
                <w:color w:val="000000"/>
                <w:highlight w:val="black"/>
              </w:rPr>
              <w:t>'''''''''''''''''</w:t>
            </w:r>
          </w:p>
        </w:tc>
        <w:tc>
          <w:tcPr>
            <w:tcW w:w="1100" w:type="pct"/>
            <w:vAlign w:val="center"/>
          </w:tcPr>
          <w:p w14:paraId="45F1DD9B" w14:textId="77777777" w:rsidR="00EA712C" w:rsidRPr="00131DA2" w:rsidRDefault="00EA712C" w:rsidP="00526D7F">
            <w:pPr>
              <w:pStyle w:val="TableText0"/>
              <w:keepLines/>
              <w:jc w:val="center"/>
              <w:rPr>
                <w:rFonts w:ascii="Times" w:hAnsi="Times"/>
              </w:rPr>
            </w:pPr>
            <w:r w:rsidRPr="00131DA2">
              <w:t>$0</w:t>
            </w:r>
          </w:p>
        </w:tc>
        <w:tc>
          <w:tcPr>
            <w:tcW w:w="1230" w:type="pct"/>
            <w:vAlign w:val="center"/>
          </w:tcPr>
          <w:p w14:paraId="6ACF4C23" w14:textId="77777777" w:rsidR="00EA712C" w:rsidRPr="00131DA2" w:rsidRDefault="00EA712C" w:rsidP="00526D7F">
            <w:pPr>
              <w:pStyle w:val="TableText0"/>
              <w:keepLines/>
              <w:jc w:val="center"/>
              <w:rPr>
                <w:rFonts w:ascii="Times" w:hAnsi="Times"/>
              </w:rPr>
            </w:pPr>
            <w:r w:rsidRPr="00131DA2">
              <w:t>$</w:t>
            </w:r>
            <w:r w:rsidR="001D7CF9">
              <w:rPr>
                <w:noProof/>
                <w:color w:val="000000"/>
                <w:highlight w:val="black"/>
              </w:rPr>
              <w:t>'''''''''''''''''</w:t>
            </w:r>
          </w:p>
        </w:tc>
      </w:tr>
      <w:tr w:rsidR="00EA712C" w:rsidRPr="00131DA2" w14:paraId="25BA7544" w14:textId="77777777" w:rsidTr="00FB6EE9">
        <w:tc>
          <w:tcPr>
            <w:tcW w:w="1529" w:type="pct"/>
            <w:vAlign w:val="center"/>
          </w:tcPr>
          <w:p w14:paraId="3F53D89B" w14:textId="77777777" w:rsidR="00EA712C" w:rsidRPr="00131DA2" w:rsidRDefault="00EA712C" w:rsidP="00526D7F">
            <w:pPr>
              <w:pStyle w:val="TableText0"/>
              <w:keepLines/>
            </w:pPr>
            <w:r w:rsidRPr="00131DA2">
              <w:t>PFLY</w:t>
            </w:r>
          </w:p>
        </w:tc>
        <w:tc>
          <w:tcPr>
            <w:tcW w:w="1141" w:type="pct"/>
            <w:vAlign w:val="center"/>
          </w:tcPr>
          <w:p w14:paraId="0EA97F30" w14:textId="77777777" w:rsidR="00EA712C" w:rsidRPr="00131DA2" w:rsidRDefault="00EA712C" w:rsidP="00526D7F">
            <w:pPr>
              <w:pStyle w:val="TableText0"/>
              <w:keepLines/>
              <w:jc w:val="center"/>
            </w:pPr>
            <w:r w:rsidRPr="00131DA2">
              <w:t>1.73</w:t>
            </w:r>
          </w:p>
        </w:tc>
        <w:tc>
          <w:tcPr>
            <w:tcW w:w="1100" w:type="pct"/>
            <w:vAlign w:val="center"/>
          </w:tcPr>
          <w:p w14:paraId="178115DA" w14:textId="77777777" w:rsidR="00EA712C" w:rsidRPr="00131DA2" w:rsidRDefault="00EA712C" w:rsidP="00526D7F">
            <w:pPr>
              <w:pStyle w:val="TableText0"/>
              <w:keepLines/>
              <w:jc w:val="center"/>
            </w:pPr>
            <w:r w:rsidRPr="00131DA2">
              <w:t>1.12</w:t>
            </w:r>
          </w:p>
        </w:tc>
        <w:tc>
          <w:tcPr>
            <w:tcW w:w="1230" w:type="pct"/>
            <w:vAlign w:val="center"/>
          </w:tcPr>
          <w:p w14:paraId="4E3015A0" w14:textId="77777777" w:rsidR="00EA712C" w:rsidRPr="00131DA2" w:rsidRDefault="00EA712C" w:rsidP="00526D7F">
            <w:pPr>
              <w:pStyle w:val="TableText0"/>
              <w:keepLines/>
              <w:jc w:val="center"/>
            </w:pPr>
            <w:r w:rsidRPr="00131DA2">
              <w:t>0.60</w:t>
            </w:r>
          </w:p>
        </w:tc>
      </w:tr>
      <w:tr w:rsidR="00EA712C" w:rsidRPr="00131DA2" w14:paraId="7FA3F70E" w14:textId="77777777" w:rsidTr="00FB6EE9">
        <w:tc>
          <w:tcPr>
            <w:tcW w:w="1529" w:type="pct"/>
            <w:vAlign w:val="center"/>
          </w:tcPr>
          <w:p w14:paraId="7D3178E2" w14:textId="77777777" w:rsidR="00EA712C" w:rsidRPr="00131DA2" w:rsidRDefault="00EA712C" w:rsidP="00526D7F">
            <w:pPr>
              <w:pStyle w:val="TableText0"/>
              <w:keepLines/>
              <w:rPr>
                <w:rFonts w:ascii="Times" w:hAnsi="Times"/>
              </w:rPr>
            </w:pPr>
            <w:r w:rsidRPr="00131DA2">
              <w:t>LYG</w:t>
            </w:r>
          </w:p>
        </w:tc>
        <w:tc>
          <w:tcPr>
            <w:tcW w:w="1141" w:type="pct"/>
            <w:vAlign w:val="center"/>
          </w:tcPr>
          <w:p w14:paraId="6DF7655E" w14:textId="77777777" w:rsidR="00EA712C" w:rsidRPr="00131DA2" w:rsidRDefault="00EA712C" w:rsidP="00526D7F">
            <w:pPr>
              <w:pStyle w:val="TableText0"/>
              <w:keepLines/>
              <w:jc w:val="center"/>
              <w:rPr>
                <w:rFonts w:ascii="Times" w:hAnsi="Times"/>
              </w:rPr>
            </w:pPr>
            <w:r w:rsidRPr="00131DA2">
              <w:t>4.83</w:t>
            </w:r>
          </w:p>
        </w:tc>
        <w:tc>
          <w:tcPr>
            <w:tcW w:w="1100" w:type="pct"/>
            <w:vAlign w:val="center"/>
          </w:tcPr>
          <w:p w14:paraId="46F8BD4F" w14:textId="77777777" w:rsidR="00EA712C" w:rsidRPr="00131DA2" w:rsidRDefault="00EA712C" w:rsidP="00526D7F">
            <w:pPr>
              <w:pStyle w:val="TableText0"/>
              <w:keepLines/>
              <w:jc w:val="center"/>
              <w:rPr>
                <w:rFonts w:ascii="Times" w:hAnsi="Times"/>
              </w:rPr>
            </w:pPr>
            <w:r w:rsidRPr="00131DA2">
              <w:t>4.27</w:t>
            </w:r>
          </w:p>
        </w:tc>
        <w:tc>
          <w:tcPr>
            <w:tcW w:w="1230" w:type="pct"/>
            <w:vAlign w:val="center"/>
          </w:tcPr>
          <w:p w14:paraId="4F836AC5" w14:textId="77777777" w:rsidR="00EA712C" w:rsidRPr="00131DA2" w:rsidRDefault="00EA712C" w:rsidP="00526D7F">
            <w:pPr>
              <w:pStyle w:val="TableText0"/>
              <w:keepLines/>
              <w:jc w:val="center"/>
            </w:pPr>
            <w:r w:rsidRPr="00131DA2">
              <w:t>0.56</w:t>
            </w:r>
          </w:p>
        </w:tc>
      </w:tr>
      <w:tr w:rsidR="00EA712C" w:rsidRPr="00131DA2" w14:paraId="3E5B4D1A" w14:textId="77777777" w:rsidTr="00FB6EE9">
        <w:tc>
          <w:tcPr>
            <w:tcW w:w="3770" w:type="pct"/>
            <w:gridSpan w:val="3"/>
            <w:vAlign w:val="center"/>
          </w:tcPr>
          <w:p w14:paraId="5049DF14" w14:textId="77777777" w:rsidR="00EA712C" w:rsidRPr="00131DA2" w:rsidRDefault="00EA712C" w:rsidP="00526D7F">
            <w:pPr>
              <w:pStyle w:val="TableText0"/>
              <w:keepLines/>
              <w:rPr>
                <w:rFonts w:ascii="Times" w:hAnsi="Times"/>
              </w:rPr>
            </w:pPr>
            <w:r w:rsidRPr="00131DA2">
              <w:t>Incremental cost/extra PFLY gained</w:t>
            </w:r>
          </w:p>
        </w:tc>
        <w:tc>
          <w:tcPr>
            <w:tcW w:w="1230" w:type="pct"/>
            <w:vAlign w:val="center"/>
          </w:tcPr>
          <w:p w14:paraId="3CFFDA02" w14:textId="77777777" w:rsidR="00EA712C" w:rsidRPr="00131DA2" w:rsidRDefault="00EA712C" w:rsidP="00526D7F">
            <w:pPr>
              <w:pStyle w:val="TableText0"/>
              <w:keepLines/>
              <w:jc w:val="center"/>
            </w:pPr>
            <w:r w:rsidRPr="00131DA2">
              <w:t>$</w:t>
            </w:r>
            <w:r w:rsidR="001D7CF9">
              <w:rPr>
                <w:noProof/>
                <w:color w:val="000000"/>
                <w:highlight w:val="black"/>
              </w:rPr>
              <w:t>'''''''''''''''</w:t>
            </w:r>
            <w:r w:rsidR="00B64A7F">
              <w:rPr>
                <w:vertAlign w:val="superscript"/>
              </w:rPr>
              <w:t>2</w:t>
            </w:r>
          </w:p>
        </w:tc>
      </w:tr>
      <w:tr w:rsidR="00EA712C" w:rsidRPr="00131DA2" w14:paraId="3E0E4F69" w14:textId="77777777" w:rsidTr="00FB6EE9">
        <w:tc>
          <w:tcPr>
            <w:tcW w:w="3770" w:type="pct"/>
            <w:gridSpan w:val="3"/>
            <w:vAlign w:val="center"/>
          </w:tcPr>
          <w:p w14:paraId="4FA9B822" w14:textId="77777777" w:rsidR="00EA712C" w:rsidRPr="00131DA2" w:rsidRDefault="00EA712C" w:rsidP="00526D7F">
            <w:pPr>
              <w:pStyle w:val="TableText0"/>
              <w:keepLines/>
            </w:pPr>
            <w:r w:rsidRPr="00131DA2">
              <w:t>Incremental cost/extra LYG gained</w:t>
            </w:r>
          </w:p>
        </w:tc>
        <w:tc>
          <w:tcPr>
            <w:tcW w:w="1230" w:type="pct"/>
            <w:vAlign w:val="center"/>
          </w:tcPr>
          <w:p w14:paraId="3D09DA73" w14:textId="77777777" w:rsidR="00EA712C" w:rsidRPr="00131DA2" w:rsidRDefault="00EA712C" w:rsidP="00526D7F">
            <w:pPr>
              <w:pStyle w:val="TableText0"/>
              <w:keepLines/>
              <w:jc w:val="center"/>
            </w:pPr>
            <w:r w:rsidRPr="00131DA2">
              <w:t>$</w:t>
            </w:r>
            <w:r w:rsidR="001D7CF9">
              <w:rPr>
                <w:noProof/>
                <w:color w:val="000000"/>
                <w:highlight w:val="black"/>
              </w:rPr>
              <w:t>'''''''''''''''''''''</w:t>
            </w:r>
            <w:r w:rsidR="00B64A7F">
              <w:rPr>
                <w:vertAlign w:val="superscript"/>
              </w:rPr>
              <w:t>2</w:t>
            </w:r>
          </w:p>
        </w:tc>
      </w:tr>
      <w:tr w:rsidR="00EA712C" w:rsidRPr="00131DA2" w14:paraId="6B67728E" w14:textId="77777777" w:rsidTr="00526D7F">
        <w:tc>
          <w:tcPr>
            <w:tcW w:w="5000" w:type="pct"/>
            <w:gridSpan w:val="4"/>
            <w:vAlign w:val="center"/>
          </w:tcPr>
          <w:p w14:paraId="46093C9F" w14:textId="77777777" w:rsidR="00EA712C" w:rsidRPr="00131DA2" w:rsidRDefault="00EA712C" w:rsidP="00526D7F">
            <w:pPr>
              <w:pStyle w:val="In-tableHeading"/>
              <w:keepLines/>
              <w:rPr>
                <w:lang w:val="en-AU"/>
              </w:rPr>
            </w:pPr>
            <w:r w:rsidRPr="00131DA2">
              <w:rPr>
                <w:lang w:val="en-AU"/>
              </w:rPr>
              <w:t>Step 3: Translation of trial outcomes to QALYs</w:t>
            </w:r>
          </w:p>
        </w:tc>
      </w:tr>
      <w:tr w:rsidR="00EA712C" w:rsidRPr="00131DA2" w14:paraId="62DA7943" w14:textId="77777777" w:rsidTr="00FB6EE9">
        <w:tc>
          <w:tcPr>
            <w:tcW w:w="1529" w:type="pct"/>
            <w:vAlign w:val="center"/>
          </w:tcPr>
          <w:p w14:paraId="7AA2A6C5" w14:textId="77777777" w:rsidR="00EA712C" w:rsidRPr="00131DA2" w:rsidRDefault="00EA712C" w:rsidP="00526D7F">
            <w:pPr>
              <w:pStyle w:val="TableText0"/>
              <w:keepLines/>
              <w:rPr>
                <w:rFonts w:ascii="Times" w:hAnsi="Times"/>
              </w:rPr>
            </w:pPr>
            <w:r w:rsidRPr="00131DA2">
              <w:t>Costs</w:t>
            </w:r>
          </w:p>
        </w:tc>
        <w:tc>
          <w:tcPr>
            <w:tcW w:w="1141" w:type="pct"/>
            <w:vAlign w:val="center"/>
          </w:tcPr>
          <w:p w14:paraId="4CE4D711" w14:textId="77777777" w:rsidR="00EA712C" w:rsidRPr="00131DA2" w:rsidRDefault="00EA712C" w:rsidP="00526D7F">
            <w:pPr>
              <w:pStyle w:val="TableText0"/>
              <w:keepLines/>
              <w:jc w:val="center"/>
              <w:rPr>
                <w:rFonts w:ascii="Times" w:hAnsi="Times"/>
              </w:rPr>
            </w:pPr>
            <w:r w:rsidRPr="00131DA2">
              <w:t>$</w:t>
            </w:r>
            <w:r w:rsidR="001D7CF9">
              <w:rPr>
                <w:noProof/>
                <w:color w:val="000000"/>
                <w:highlight w:val="black"/>
              </w:rPr>
              <w:t>''''''''''''''''</w:t>
            </w:r>
          </w:p>
        </w:tc>
        <w:tc>
          <w:tcPr>
            <w:tcW w:w="1100" w:type="pct"/>
            <w:vAlign w:val="center"/>
          </w:tcPr>
          <w:p w14:paraId="021B78A0" w14:textId="77777777" w:rsidR="00EA712C" w:rsidRPr="00131DA2" w:rsidRDefault="00EA712C" w:rsidP="00526D7F">
            <w:pPr>
              <w:pStyle w:val="TableText0"/>
              <w:keepLines/>
              <w:jc w:val="center"/>
              <w:rPr>
                <w:rFonts w:ascii="Times" w:hAnsi="Times"/>
              </w:rPr>
            </w:pPr>
            <w:r w:rsidRPr="00131DA2">
              <w:t>$0</w:t>
            </w:r>
          </w:p>
        </w:tc>
        <w:tc>
          <w:tcPr>
            <w:tcW w:w="1230" w:type="pct"/>
            <w:vAlign w:val="center"/>
          </w:tcPr>
          <w:p w14:paraId="72EF569B" w14:textId="77777777" w:rsidR="00EA712C" w:rsidRPr="00131DA2" w:rsidRDefault="00EA712C" w:rsidP="00526D7F">
            <w:pPr>
              <w:pStyle w:val="TableText0"/>
              <w:keepLines/>
              <w:jc w:val="center"/>
              <w:rPr>
                <w:rFonts w:ascii="Times" w:hAnsi="Times"/>
              </w:rPr>
            </w:pPr>
            <w:r w:rsidRPr="00131DA2">
              <w:t>$</w:t>
            </w:r>
            <w:r w:rsidR="001D7CF9">
              <w:rPr>
                <w:noProof/>
                <w:color w:val="000000"/>
                <w:highlight w:val="black"/>
              </w:rPr>
              <w:t>''''''''''''''''</w:t>
            </w:r>
          </w:p>
        </w:tc>
      </w:tr>
      <w:tr w:rsidR="00EA712C" w:rsidRPr="00131DA2" w14:paraId="21957169" w14:textId="77777777" w:rsidTr="00FB6EE9">
        <w:tc>
          <w:tcPr>
            <w:tcW w:w="1529" w:type="pct"/>
            <w:vAlign w:val="center"/>
          </w:tcPr>
          <w:p w14:paraId="726AE0F8" w14:textId="77777777" w:rsidR="00EA712C" w:rsidRPr="00131DA2" w:rsidRDefault="00EA712C" w:rsidP="00526D7F">
            <w:pPr>
              <w:pStyle w:val="TableText0"/>
              <w:keepLines/>
              <w:rPr>
                <w:rFonts w:ascii="Times" w:hAnsi="Times"/>
              </w:rPr>
            </w:pPr>
            <w:r w:rsidRPr="00131DA2">
              <w:t>QALYs</w:t>
            </w:r>
          </w:p>
        </w:tc>
        <w:tc>
          <w:tcPr>
            <w:tcW w:w="1141" w:type="pct"/>
            <w:vAlign w:val="center"/>
          </w:tcPr>
          <w:p w14:paraId="09457DF0" w14:textId="77777777" w:rsidR="00EA712C" w:rsidRPr="00131DA2" w:rsidRDefault="00EA712C" w:rsidP="00526D7F">
            <w:pPr>
              <w:pStyle w:val="TableText0"/>
              <w:keepLines/>
              <w:jc w:val="center"/>
              <w:rPr>
                <w:rFonts w:ascii="Times" w:hAnsi="Times"/>
              </w:rPr>
            </w:pPr>
            <w:r w:rsidRPr="00131DA2">
              <w:t>3.48</w:t>
            </w:r>
          </w:p>
        </w:tc>
        <w:tc>
          <w:tcPr>
            <w:tcW w:w="1100" w:type="pct"/>
            <w:vAlign w:val="center"/>
          </w:tcPr>
          <w:p w14:paraId="49FD0CC5" w14:textId="77777777" w:rsidR="00EA712C" w:rsidRPr="00131DA2" w:rsidRDefault="00EA712C" w:rsidP="00526D7F">
            <w:pPr>
              <w:pStyle w:val="TableText0"/>
              <w:keepLines/>
              <w:jc w:val="center"/>
              <w:rPr>
                <w:rFonts w:ascii="Times" w:hAnsi="Times"/>
              </w:rPr>
            </w:pPr>
            <w:r w:rsidRPr="00131DA2">
              <w:t>3.04</w:t>
            </w:r>
          </w:p>
        </w:tc>
        <w:tc>
          <w:tcPr>
            <w:tcW w:w="1230" w:type="pct"/>
            <w:vAlign w:val="center"/>
          </w:tcPr>
          <w:p w14:paraId="0BDFBE55" w14:textId="77777777" w:rsidR="00EA712C" w:rsidRPr="00131DA2" w:rsidRDefault="00EA712C" w:rsidP="00526D7F">
            <w:pPr>
              <w:pStyle w:val="TableText0"/>
              <w:keepLines/>
              <w:jc w:val="center"/>
            </w:pPr>
            <w:r w:rsidRPr="00131DA2">
              <w:t>0.44</w:t>
            </w:r>
          </w:p>
        </w:tc>
      </w:tr>
      <w:tr w:rsidR="00EA712C" w:rsidRPr="00131DA2" w14:paraId="39E3F612" w14:textId="77777777" w:rsidTr="00FB6EE9">
        <w:tc>
          <w:tcPr>
            <w:tcW w:w="3770" w:type="pct"/>
            <w:gridSpan w:val="3"/>
            <w:vAlign w:val="center"/>
          </w:tcPr>
          <w:p w14:paraId="7D2C9B43" w14:textId="77777777" w:rsidR="00EA712C" w:rsidRPr="00131DA2" w:rsidRDefault="00EA712C" w:rsidP="00526D7F">
            <w:pPr>
              <w:pStyle w:val="TableText0"/>
              <w:keepLines/>
              <w:rPr>
                <w:rFonts w:ascii="Times" w:hAnsi="Times"/>
              </w:rPr>
            </w:pPr>
            <w:r w:rsidRPr="00131DA2">
              <w:t>Incremental cost/extra QALY gained</w:t>
            </w:r>
          </w:p>
        </w:tc>
        <w:tc>
          <w:tcPr>
            <w:tcW w:w="1230" w:type="pct"/>
            <w:vAlign w:val="center"/>
          </w:tcPr>
          <w:p w14:paraId="334D5C8A" w14:textId="77777777" w:rsidR="00EA712C" w:rsidRPr="00131DA2" w:rsidRDefault="00EA712C" w:rsidP="00526D7F">
            <w:pPr>
              <w:pStyle w:val="TableText0"/>
              <w:keepLines/>
              <w:jc w:val="center"/>
              <w:rPr>
                <w:rFonts w:ascii="Times" w:hAnsi="Times"/>
              </w:rPr>
            </w:pPr>
            <w:r w:rsidRPr="00131DA2">
              <w:t>$</w:t>
            </w:r>
            <w:r w:rsidR="001D7CF9">
              <w:rPr>
                <w:noProof/>
                <w:color w:val="000000"/>
                <w:highlight w:val="black"/>
              </w:rPr>
              <w:t>''''''''''''''''''''''</w:t>
            </w:r>
            <w:r w:rsidR="00B64A7F">
              <w:rPr>
                <w:vertAlign w:val="superscript"/>
              </w:rPr>
              <w:t>3</w:t>
            </w:r>
          </w:p>
        </w:tc>
      </w:tr>
      <w:tr w:rsidR="00EA712C" w:rsidRPr="00131DA2" w14:paraId="08688552" w14:textId="77777777" w:rsidTr="00526D7F">
        <w:tc>
          <w:tcPr>
            <w:tcW w:w="5000" w:type="pct"/>
            <w:gridSpan w:val="4"/>
            <w:vAlign w:val="center"/>
          </w:tcPr>
          <w:p w14:paraId="7963E581" w14:textId="77777777" w:rsidR="00EA712C" w:rsidRPr="00131DA2" w:rsidRDefault="00EA712C" w:rsidP="00526D7F">
            <w:pPr>
              <w:pStyle w:val="In-tableHeading"/>
              <w:keepLines/>
              <w:rPr>
                <w:lang w:val="en-AU"/>
              </w:rPr>
            </w:pPr>
            <w:r w:rsidRPr="00131DA2">
              <w:rPr>
                <w:lang w:val="en-AU"/>
              </w:rPr>
              <w:t>Step 4: Inclusion of ‘cured’ patients into extrapolated survival curves (PFS, OS and TTD)</w:t>
            </w:r>
          </w:p>
        </w:tc>
      </w:tr>
      <w:tr w:rsidR="00EA712C" w:rsidRPr="00131DA2" w14:paraId="0BC4C90D" w14:textId="77777777" w:rsidTr="00FB6EE9">
        <w:tc>
          <w:tcPr>
            <w:tcW w:w="1529" w:type="pct"/>
            <w:vAlign w:val="center"/>
          </w:tcPr>
          <w:p w14:paraId="2CCF4D38" w14:textId="77777777" w:rsidR="00EA712C" w:rsidRPr="00131DA2" w:rsidRDefault="00EA712C" w:rsidP="00526D7F">
            <w:pPr>
              <w:pStyle w:val="TableText0"/>
              <w:keepLines/>
              <w:rPr>
                <w:rFonts w:ascii="Times" w:hAnsi="Times"/>
              </w:rPr>
            </w:pPr>
            <w:r w:rsidRPr="00131DA2">
              <w:t>Costs</w:t>
            </w:r>
          </w:p>
        </w:tc>
        <w:tc>
          <w:tcPr>
            <w:tcW w:w="1141" w:type="pct"/>
            <w:vAlign w:val="center"/>
          </w:tcPr>
          <w:p w14:paraId="27D21A30" w14:textId="77777777" w:rsidR="00EA712C" w:rsidRPr="00131DA2" w:rsidRDefault="00EA712C" w:rsidP="00526D7F">
            <w:pPr>
              <w:pStyle w:val="TableText0"/>
              <w:keepLines/>
              <w:jc w:val="center"/>
              <w:rPr>
                <w:rFonts w:ascii="Times" w:hAnsi="Times"/>
              </w:rPr>
            </w:pPr>
            <w:r w:rsidRPr="00131DA2">
              <w:t>$</w:t>
            </w:r>
            <w:r w:rsidR="001D7CF9">
              <w:rPr>
                <w:noProof/>
                <w:color w:val="000000"/>
                <w:highlight w:val="black"/>
              </w:rPr>
              <w:t>''''''''''''''''</w:t>
            </w:r>
          </w:p>
        </w:tc>
        <w:tc>
          <w:tcPr>
            <w:tcW w:w="1100" w:type="pct"/>
            <w:vAlign w:val="center"/>
          </w:tcPr>
          <w:p w14:paraId="424369CC" w14:textId="77777777" w:rsidR="00EA712C" w:rsidRPr="00131DA2" w:rsidRDefault="00EA712C" w:rsidP="00526D7F">
            <w:pPr>
              <w:pStyle w:val="TableText0"/>
              <w:keepLines/>
              <w:jc w:val="center"/>
              <w:rPr>
                <w:rFonts w:ascii="Times" w:hAnsi="Times"/>
              </w:rPr>
            </w:pPr>
            <w:r w:rsidRPr="00131DA2">
              <w:t>$0</w:t>
            </w:r>
          </w:p>
        </w:tc>
        <w:tc>
          <w:tcPr>
            <w:tcW w:w="1230" w:type="pct"/>
            <w:vAlign w:val="center"/>
          </w:tcPr>
          <w:p w14:paraId="2F3E8017" w14:textId="77777777" w:rsidR="00EA712C" w:rsidRPr="00131DA2" w:rsidRDefault="00EA712C" w:rsidP="00526D7F">
            <w:pPr>
              <w:pStyle w:val="TableText0"/>
              <w:keepLines/>
              <w:jc w:val="center"/>
              <w:rPr>
                <w:rFonts w:ascii="Times" w:hAnsi="Times"/>
              </w:rPr>
            </w:pPr>
            <w:r w:rsidRPr="00131DA2">
              <w:t>$</w:t>
            </w:r>
            <w:r w:rsidR="001D7CF9">
              <w:rPr>
                <w:noProof/>
                <w:color w:val="000000"/>
                <w:highlight w:val="black"/>
              </w:rPr>
              <w:t>''''''''''''''''</w:t>
            </w:r>
          </w:p>
        </w:tc>
      </w:tr>
      <w:tr w:rsidR="00EA712C" w:rsidRPr="00131DA2" w14:paraId="63B6BD4C" w14:textId="77777777" w:rsidTr="00FB6EE9">
        <w:tc>
          <w:tcPr>
            <w:tcW w:w="1529" w:type="pct"/>
            <w:vAlign w:val="center"/>
          </w:tcPr>
          <w:p w14:paraId="1761B145" w14:textId="77777777" w:rsidR="00EA712C" w:rsidRPr="00131DA2" w:rsidRDefault="00EA712C" w:rsidP="00526D7F">
            <w:pPr>
              <w:pStyle w:val="TableText0"/>
              <w:keepLines/>
              <w:rPr>
                <w:rFonts w:ascii="Times" w:hAnsi="Times"/>
              </w:rPr>
            </w:pPr>
            <w:r w:rsidRPr="00131DA2">
              <w:t>QALYs</w:t>
            </w:r>
          </w:p>
        </w:tc>
        <w:tc>
          <w:tcPr>
            <w:tcW w:w="1141" w:type="pct"/>
            <w:vAlign w:val="center"/>
          </w:tcPr>
          <w:p w14:paraId="19DA6ABA" w14:textId="77777777" w:rsidR="00EA712C" w:rsidRPr="00131DA2" w:rsidRDefault="00EA712C" w:rsidP="00526D7F">
            <w:pPr>
              <w:pStyle w:val="TableText0"/>
              <w:keepLines/>
              <w:jc w:val="center"/>
              <w:rPr>
                <w:rFonts w:ascii="Times" w:hAnsi="Times"/>
              </w:rPr>
            </w:pPr>
            <w:r w:rsidRPr="00131DA2">
              <w:t>3.77</w:t>
            </w:r>
          </w:p>
        </w:tc>
        <w:tc>
          <w:tcPr>
            <w:tcW w:w="1100" w:type="pct"/>
            <w:vAlign w:val="center"/>
          </w:tcPr>
          <w:p w14:paraId="6B3D200F" w14:textId="77777777" w:rsidR="00EA712C" w:rsidRPr="00131DA2" w:rsidRDefault="00EA712C" w:rsidP="00526D7F">
            <w:pPr>
              <w:pStyle w:val="TableText0"/>
              <w:keepLines/>
              <w:jc w:val="center"/>
              <w:rPr>
                <w:rFonts w:ascii="Times" w:hAnsi="Times"/>
              </w:rPr>
            </w:pPr>
            <w:r w:rsidRPr="00131DA2">
              <w:t>3.34</w:t>
            </w:r>
          </w:p>
        </w:tc>
        <w:tc>
          <w:tcPr>
            <w:tcW w:w="1230" w:type="pct"/>
            <w:vAlign w:val="center"/>
          </w:tcPr>
          <w:p w14:paraId="2303CC06" w14:textId="77777777" w:rsidR="00EA712C" w:rsidRPr="00131DA2" w:rsidRDefault="00EA712C" w:rsidP="00526D7F">
            <w:pPr>
              <w:pStyle w:val="TableText0"/>
              <w:keepLines/>
              <w:jc w:val="center"/>
            </w:pPr>
            <w:r w:rsidRPr="00131DA2">
              <w:t>0.43</w:t>
            </w:r>
          </w:p>
        </w:tc>
      </w:tr>
      <w:tr w:rsidR="00EA712C" w:rsidRPr="00131DA2" w14:paraId="7089FCA3" w14:textId="77777777" w:rsidTr="00FB6EE9">
        <w:tc>
          <w:tcPr>
            <w:tcW w:w="3770" w:type="pct"/>
            <w:gridSpan w:val="3"/>
            <w:vAlign w:val="center"/>
          </w:tcPr>
          <w:p w14:paraId="7488F282" w14:textId="77777777" w:rsidR="00EA712C" w:rsidRPr="00131DA2" w:rsidRDefault="00EA712C" w:rsidP="00526D7F">
            <w:pPr>
              <w:pStyle w:val="TableText0"/>
              <w:keepLines/>
              <w:rPr>
                <w:rFonts w:ascii="Times" w:hAnsi="Times"/>
              </w:rPr>
            </w:pPr>
            <w:r w:rsidRPr="00131DA2">
              <w:t>Incremental cost/extra QALY gained</w:t>
            </w:r>
          </w:p>
        </w:tc>
        <w:tc>
          <w:tcPr>
            <w:tcW w:w="1230" w:type="pct"/>
          </w:tcPr>
          <w:p w14:paraId="44CC66A1" w14:textId="77777777" w:rsidR="00EA712C" w:rsidRPr="00131DA2" w:rsidRDefault="00EA712C" w:rsidP="00526D7F">
            <w:pPr>
              <w:pStyle w:val="TableText0"/>
              <w:keepLines/>
              <w:jc w:val="center"/>
            </w:pPr>
            <w:r w:rsidRPr="00131DA2">
              <w:t>$</w:t>
            </w:r>
            <w:r w:rsidR="001D7CF9">
              <w:rPr>
                <w:noProof/>
                <w:color w:val="000000"/>
                <w:highlight w:val="black"/>
              </w:rPr>
              <w:t>'''''''''''''''''''''</w:t>
            </w:r>
            <w:r w:rsidR="00B64A7F">
              <w:rPr>
                <w:vertAlign w:val="superscript"/>
              </w:rPr>
              <w:t>3</w:t>
            </w:r>
          </w:p>
        </w:tc>
      </w:tr>
      <w:tr w:rsidR="00EA712C" w:rsidRPr="00131DA2" w14:paraId="421E9409" w14:textId="77777777" w:rsidTr="00526D7F">
        <w:tc>
          <w:tcPr>
            <w:tcW w:w="5000" w:type="pct"/>
            <w:gridSpan w:val="4"/>
            <w:vAlign w:val="center"/>
          </w:tcPr>
          <w:p w14:paraId="78ADE45C" w14:textId="77777777" w:rsidR="00EA712C" w:rsidRPr="00131DA2" w:rsidRDefault="00EA712C" w:rsidP="00526D7F">
            <w:pPr>
              <w:pStyle w:val="In-tableHeading"/>
              <w:keepLines/>
              <w:rPr>
                <w:lang w:val="en-AU"/>
              </w:rPr>
            </w:pPr>
            <w:r w:rsidRPr="00131DA2">
              <w:rPr>
                <w:lang w:val="en-AU"/>
              </w:rPr>
              <w:t>Step 5: Application of health care resource costs and OS adjustment to reflect subsequent 2L PARPi use in comparator arm (OS HR=1 for patients who receive no active treatment followed by olaparib relative to patients who receive niraparib followed by no active treatment)</w:t>
            </w:r>
          </w:p>
        </w:tc>
      </w:tr>
      <w:tr w:rsidR="00EA712C" w:rsidRPr="00131DA2" w14:paraId="25B7A559" w14:textId="77777777" w:rsidTr="00FB6EE9">
        <w:tc>
          <w:tcPr>
            <w:tcW w:w="1529" w:type="pct"/>
            <w:vAlign w:val="center"/>
          </w:tcPr>
          <w:p w14:paraId="2A21E56D" w14:textId="77777777" w:rsidR="00EA712C" w:rsidRPr="00131DA2" w:rsidRDefault="00EA712C" w:rsidP="00526D7F">
            <w:pPr>
              <w:pStyle w:val="TableText0"/>
              <w:keepLines/>
              <w:rPr>
                <w:rFonts w:ascii="Times" w:hAnsi="Times"/>
              </w:rPr>
            </w:pPr>
            <w:r w:rsidRPr="00131DA2">
              <w:t>Costs</w:t>
            </w:r>
          </w:p>
        </w:tc>
        <w:tc>
          <w:tcPr>
            <w:tcW w:w="1141" w:type="pct"/>
            <w:vAlign w:val="center"/>
          </w:tcPr>
          <w:p w14:paraId="716B5D5D" w14:textId="77777777" w:rsidR="00EA712C" w:rsidRPr="00131DA2" w:rsidRDefault="00EA712C" w:rsidP="00526D7F">
            <w:pPr>
              <w:pStyle w:val="TableText0"/>
              <w:keepLines/>
              <w:jc w:val="center"/>
            </w:pPr>
            <w:r w:rsidRPr="00131DA2">
              <w:t>$</w:t>
            </w:r>
            <w:r w:rsidR="001D7CF9">
              <w:rPr>
                <w:noProof/>
                <w:color w:val="000000"/>
                <w:highlight w:val="black"/>
              </w:rPr>
              <w:t>''''''''''''''''''''</w:t>
            </w:r>
          </w:p>
        </w:tc>
        <w:tc>
          <w:tcPr>
            <w:tcW w:w="1100" w:type="pct"/>
            <w:vAlign w:val="center"/>
          </w:tcPr>
          <w:p w14:paraId="3EE99FA9" w14:textId="77777777" w:rsidR="00EA712C" w:rsidRPr="00131DA2" w:rsidRDefault="00EA712C" w:rsidP="00526D7F">
            <w:pPr>
              <w:pStyle w:val="TableText0"/>
              <w:keepLines/>
              <w:jc w:val="center"/>
            </w:pPr>
            <w:r w:rsidRPr="00131DA2">
              <w:t>$74,413</w:t>
            </w:r>
          </w:p>
        </w:tc>
        <w:tc>
          <w:tcPr>
            <w:tcW w:w="1230" w:type="pct"/>
            <w:vAlign w:val="center"/>
          </w:tcPr>
          <w:p w14:paraId="239EFF5F" w14:textId="77777777" w:rsidR="00EA712C" w:rsidRPr="00131DA2" w:rsidRDefault="00EA712C" w:rsidP="00526D7F">
            <w:pPr>
              <w:pStyle w:val="TableText0"/>
              <w:keepLines/>
              <w:jc w:val="center"/>
            </w:pPr>
            <w:r w:rsidRPr="00131DA2">
              <w:t>$</w:t>
            </w:r>
            <w:r w:rsidR="001D7CF9">
              <w:rPr>
                <w:noProof/>
                <w:color w:val="000000"/>
                <w:highlight w:val="black"/>
              </w:rPr>
              <w:t>''''''''''''''''</w:t>
            </w:r>
          </w:p>
        </w:tc>
      </w:tr>
      <w:tr w:rsidR="00EA712C" w:rsidRPr="00131DA2" w14:paraId="0714DD4F" w14:textId="77777777" w:rsidTr="00FB6EE9">
        <w:tc>
          <w:tcPr>
            <w:tcW w:w="1529" w:type="pct"/>
            <w:vAlign w:val="center"/>
          </w:tcPr>
          <w:p w14:paraId="114F05E6" w14:textId="77777777" w:rsidR="00EA712C" w:rsidRPr="00131DA2" w:rsidRDefault="00EA712C" w:rsidP="00526D7F">
            <w:pPr>
              <w:pStyle w:val="TableText0"/>
              <w:keepLines/>
              <w:rPr>
                <w:rFonts w:ascii="Times" w:hAnsi="Times"/>
              </w:rPr>
            </w:pPr>
            <w:r w:rsidRPr="00131DA2">
              <w:t>QALYs</w:t>
            </w:r>
          </w:p>
        </w:tc>
        <w:tc>
          <w:tcPr>
            <w:tcW w:w="1141" w:type="pct"/>
            <w:vAlign w:val="center"/>
          </w:tcPr>
          <w:p w14:paraId="1FA215BC" w14:textId="77777777" w:rsidR="00EA712C" w:rsidRPr="00131DA2" w:rsidRDefault="00EA712C" w:rsidP="00526D7F">
            <w:pPr>
              <w:pStyle w:val="TableText0"/>
              <w:keepLines/>
              <w:jc w:val="center"/>
            </w:pPr>
            <w:r w:rsidRPr="00131DA2">
              <w:t>3.77</w:t>
            </w:r>
          </w:p>
        </w:tc>
        <w:tc>
          <w:tcPr>
            <w:tcW w:w="1100" w:type="pct"/>
            <w:vAlign w:val="center"/>
          </w:tcPr>
          <w:p w14:paraId="28288439" w14:textId="77777777" w:rsidR="00EA712C" w:rsidRPr="00131DA2" w:rsidRDefault="00EA712C" w:rsidP="00526D7F">
            <w:pPr>
              <w:pStyle w:val="TableText0"/>
              <w:keepLines/>
              <w:jc w:val="center"/>
            </w:pPr>
            <w:r w:rsidRPr="00131DA2">
              <w:t>3.38</w:t>
            </w:r>
          </w:p>
        </w:tc>
        <w:tc>
          <w:tcPr>
            <w:tcW w:w="1230" w:type="pct"/>
            <w:vAlign w:val="center"/>
          </w:tcPr>
          <w:p w14:paraId="356537A7" w14:textId="77777777" w:rsidR="00EA712C" w:rsidRPr="00131DA2" w:rsidRDefault="00EA712C" w:rsidP="00526D7F">
            <w:pPr>
              <w:pStyle w:val="TableText0"/>
              <w:keepLines/>
              <w:jc w:val="center"/>
            </w:pPr>
            <w:r w:rsidRPr="00131DA2">
              <w:t>0.39</w:t>
            </w:r>
          </w:p>
        </w:tc>
      </w:tr>
      <w:tr w:rsidR="00EA712C" w:rsidRPr="00131DA2" w14:paraId="18609A02" w14:textId="77777777" w:rsidTr="00FB6EE9">
        <w:tc>
          <w:tcPr>
            <w:tcW w:w="3770" w:type="pct"/>
            <w:gridSpan w:val="3"/>
            <w:vAlign w:val="center"/>
          </w:tcPr>
          <w:p w14:paraId="467AD8CB" w14:textId="77777777" w:rsidR="00EA712C" w:rsidRPr="00131DA2" w:rsidRDefault="00EA712C" w:rsidP="00526D7F">
            <w:pPr>
              <w:pStyle w:val="TableText0"/>
              <w:keepLines/>
              <w:rPr>
                <w:rFonts w:ascii="Times" w:hAnsi="Times"/>
              </w:rPr>
            </w:pPr>
            <w:r w:rsidRPr="00131DA2">
              <w:t>Incremental cost/extra QALY gained</w:t>
            </w:r>
          </w:p>
        </w:tc>
        <w:tc>
          <w:tcPr>
            <w:tcW w:w="1230" w:type="pct"/>
          </w:tcPr>
          <w:p w14:paraId="71DBCD51" w14:textId="77777777" w:rsidR="00EA712C" w:rsidRPr="00131DA2" w:rsidRDefault="00EA712C" w:rsidP="00526D7F">
            <w:pPr>
              <w:pStyle w:val="TableText0"/>
              <w:keepLines/>
              <w:jc w:val="center"/>
            </w:pPr>
            <w:r w:rsidRPr="00131DA2">
              <w:t>$</w:t>
            </w:r>
            <w:r w:rsidR="001D7CF9">
              <w:rPr>
                <w:noProof/>
                <w:color w:val="000000"/>
                <w:highlight w:val="black"/>
              </w:rPr>
              <w:t>''''''''''''''''</w:t>
            </w:r>
            <w:r w:rsidR="00B64A7F">
              <w:rPr>
                <w:vertAlign w:val="superscript"/>
              </w:rPr>
              <w:t>4</w:t>
            </w:r>
          </w:p>
        </w:tc>
      </w:tr>
      <w:tr w:rsidR="00EA712C" w:rsidRPr="00131DA2" w14:paraId="3AD0EA1D" w14:textId="77777777" w:rsidTr="00526D7F">
        <w:tc>
          <w:tcPr>
            <w:tcW w:w="5000" w:type="pct"/>
            <w:gridSpan w:val="4"/>
            <w:vAlign w:val="center"/>
          </w:tcPr>
          <w:p w14:paraId="4D0102B0" w14:textId="77777777" w:rsidR="00EA712C" w:rsidRPr="00131DA2" w:rsidRDefault="00EA712C" w:rsidP="00526D7F">
            <w:pPr>
              <w:pStyle w:val="In-tableHeading"/>
              <w:keepLines/>
              <w:rPr>
                <w:lang w:val="en-AU"/>
              </w:rPr>
            </w:pPr>
            <w:r w:rsidRPr="00131DA2">
              <w:rPr>
                <w:lang w:val="en-AU"/>
              </w:rPr>
              <w:t>Step 6: Translation of exposure to an Australian setting (PRIMA ITT cohort to ISD cohort)</w:t>
            </w:r>
          </w:p>
        </w:tc>
      </w:tr>
      <w:tr w:rsidR="00EA712C" w:rsidRPr="00131DA2" w14:paraId="0090F12E" w14:textId="77777777" w:rsidTr="00FB6EE9">
        <w:tc>
          <w:tcPr>
            <w:tcW w:w="1529" w:type="pct"/>
            <w:vAlign w:val="center"/>
          </w:tcPr>
          <w:p w14:paraId="7BB21BA5" w14:textId="77777777" w:rsidR="00EA712C" w:rsidRPr="00131DA2" w:rsidRDefault="00EA712C" w:rsidP="00526D7F">
            <w:pPr>
              <w:pStyle w:val="TableText0"/>
              <w:keepLines/>
              <w:rPr>
                <w:rFonts w:ascii="Times" w:hAnsi="Times"/>
              </w:rPr>
            </w:pPr>
            <w:r w:rsidRPr="00131DA2">
              <w:t>Costs</w:t>
            </w:r>
          </w:p>
        </w:tc>
        <w:tc>
          <w:tcPr>
            <w:tcW w:w="1141" w:type="pct"/>
            <w:vAlign w:val="center"/>
          </w:tcPr>
          <w:p w14:paraId="7ADB8339" w14:textId="77777777" w:rsidR="00EA712C" w:rsidRPr="00131DA2" w:rsidRDefault="00EA712C" w:rsidP="00526D7F">
            <w:pPr>
              <w:pStyle w:val="TableText0"/>
              <w:keepLines/>
              <w:jc w:val="center"/>
            </w:pPr>
            <w:r w:rsidRPr="00131DA2">
              <w:t>$</w:t>
            </w:r>
            <w:r w:rsidR="001D7CF9">
              <w:rPr>
                <w:noProof/>
                <w:color w:val="000000"/>
                <w:highlight w:val="black"/>
              </w:rPr>
              <w:t>'''''''''''''''''</w:t>
            </w:r>
          </w:p>
        </w:tc>
        <w:tc>
          <w:tcPr>
            <w:tcW w:w="1100" w:type="pct"/>
            <w:vAlign w:val="center"/>
          </w:tcPr>
          <w:p w14:paraId="52460C54" w14:textId="77777777" w:rsidR="00EA712C" w:rsidRPr="00131DA2" w:rsidRDefault="00EA712C" w:rsidP="00526D7F">
            <w:pPr>
              <w:pStyle w:val="TableText0"/>
              <w:keepLines/>
              <w:jc w:val="center"/>
            </w:pPr>
            <w:r w:rsidRPr="00131DA2">
              <w:t>$74,409</w:t>
            </w:r>
          </w:p>
        </w:tc>
        <w:tc>
          <w:tcPr>
            <w:tcW w:w="1230" w:type="pct"/>
            <w:vAlign w:val="center"/>
          </w:tcPr>
          <w:p w14:paraId="6453DEA3" w14:textId="77777777" w:rsidR="00EA712C" w:rsidRPr="00131DA2" w:rsidRDefault="00EA712C" w:rsidP="00526D7F">
            <w:pPr>
              <w:pStyle w:val="TableText0"/>
              <w:keepLines/>
              <w:jc w:val="center"/>
            </w:pPr>
            <w:r w:rsidRPr="00131DA2">
              <w:t>$</w:t>
            </w:r>
            <w:r w:rsidR="001D7CF9">
              <w:rPr>
                <w:noProof/>
                <w:color w:val="000000"/>
                <w:highlight w:val="black"/>
              </w:rPr>
              <w:t>'''''''''''''''''</w:t>
            </w:r>
          </w:p>
        </w:tc>
      </w:tr>
      <w:tr w:rsidR="00EA712C" w:rsidRPr="00131DA2" w14:paraId="752F5C17" w14:textId="77777777" w:rsidTr="00FB6EE9">
        <w:tc>
          <w:tcPr>
            <w:tcW w:w="1529" w:type="pct"/>
            <w:vAlign w:val="center"/>
          </w:tcPr>
          <w:p w14:paraId="53811CA5" w14:textId="77777777" w:rsidR="00EA712C" w:rsidRPr="00131DA2" w:rsidRDefault="00EA712C" w:rsidP="00526D7F">
            <w:pPr>
              <w:pStyle w:val="TableText0"/>
              <w:keepLines/>
              <w:rPr>
                <w:rFonts w:ascii="Times" w:hAnsi="Times"/>
              </w:rPr>
            </w:pPr>
            <w:r w:rsidRPr="00131DA2">
              <w:t>QALYs</w:t>
            </w:r>
          </w:p>
        </w:tc>
        <w:tc>
          <w:tcPr>
            <w:tcW w:w="1141" w:type="pct"/>
            <w:vAlign w:val="center"/>
          </w:tcPr>
          <w:p w14:paraId="1B34C2DB" w14:textId="77777777" w:rsidR="00EA712C" w:rsidRPr="00131DA2" w:rsidRDefault="00EA712C" w:rsidP="00526D7F">
            <w:pPr>
              <w:pStyle w:val="TableText0"/>
              <w:keepLines/>
              <w:jc w:val="center"/>
            </w:pPr>
            <w:r w:rsidRPr="00131DA2">
              <w:t>3.77</w:t>
            </w:r>
          </w:p>
        </w:tc>
        <w:tc>
          <w:tcPr>
            <w:tcW w:w="1100" w:type="pct"/>
            <w:vAlign w:val="center"/>
          </w:tcPr>
          <w:p w14:paraId="5224137D" w14:textId="77777777" w:rsidR="00EA712C" w:rsidRPr="00131DA2" w:rsidRDefault="00EA712C" w:rsidP="00526D7F">
            <w:pPr>
              <w:pStyle w:val="TableText0"/>
              <w:keepLines/>
              <w:jc w:val="center"/>
            </w:pPr>
            <w:r w:rsidRPr="00131DA2">
              <w:t>3.38</w:t>
            </w:r>
          </w:p>
        </w:tc>
        <w:tc>
          <w:tcPr>
            <w:tcW w:w="1230" w:type="pct"/>
            <w:vAlign w:val="center"/>
          </w:tcPr>
          <w:p w14:paraId="4D0C8AA3" w14:textId="77777777" w:rsidR="00EA712C" w:rsidRPr="00131DA2" w:rsidRDefault="00EA712C" w:rsidP="00526D7F">
            <w:pPr>
              <w:pStyle w:val="TableText0"/>
              <w:keepLines/>
              <w:jc w:val="center"/>
            </w:pPr>
            <w:r w:rsidRPr="00131DA2">
              <w:t>0.39</w:t>
            </w:r>
          </w:p>
        </w:tc>
      </w:tr>
      <w:tr w:rsidR="00EA712C" w:rsidRPr="00131DA2" w14:paraId="2E27E5AB" w14:textId="77777777" w:rsidTr="00FB6EE9">
        <w:tc>
          <w:tcPr>
            <w:tcW w:w="3770" w:type="pct"/>
            <w:gridSpan w:val="3"/>
            <w:vAlign w:val="center"/>
          </w:tcPr>
          <w:p w14:paraId="34ECC622" w14:textId="77777777" w:rsidR="00EA712C" w:rsidRPr="00131DA2" w:rsidRDefault="00EA712C" w:rsidP="00526D7F">
            <w:pPr>
              <w:pStyle w:val="TableText0"/>
              <w:keepLines/>
              <w:rPr>
                <w:rFonts w:ascii="Times" w:hAnsi="Times"/>
                <w:b/>
              </w:rPr>
            </w:pPr>
            <w:r w:rsidRPr="00131DA2">
              <w:rPr>
                <w:b/>
              </w:rPr>
              <w:t>Incremental cost/extra QALY gained (base case)</w:t>
            </w:r>
          </w:p>
        </w:tc>
        <w:tc>
          <w:tcPr>
            <w:tcW w:w="1230" w:type="pct"/>
            <w:vAlign w:val="center"/>
          </w:tcPr>
          <w:p w14:paraId="7A79CFDA" w14:textId="77777777" w:rsidR="00EA712C" w:rsidRPr="00131DA2" w:rsidRDefault="00EA712C" w:rsidP="00526D7F">
            <w:pPr>
              <w:pStyle w:val="TableText0"/>
              <w:keepLines/>
              <w:jc w:val="center"/>
              <w:rPr>
                <w:b/>
              </w:rPr>
            </w:pPr>
            <w:r w:rsidRPr="00131DA2">
              <w:rPr>
                <w:b/>
              </w:rPr>
              <w:t>$</w:t>
            </w:r>
            <w:r w:rsidR="001D7CF9">
              <w:rPr>
                <w:b/>
                <w:noProof/>
                <w:color w:val="000000"/>
                <w:highlight w:val="black"/>
              </w:rPr>
              <w:t>''''''''''''</w:t>
            </w:r>
            <w:r w:rsidR="00B64A7F">
              <w:rPr>
                <w:vertAlign w:val="superscript"/>
              </w:rPr>
              <w:t>4</w:t>
            </w:r>
          </w:p>
        </w:tc>
      </w:tr>
    </w:tbl>
    <w:p w14:paraId="4BA2942E" w14:textId="77777777" w:rsidR="00EA712C" w:rsidRPr="00131DA2" w:rsidRDefault="00EA712C" w:rsidP="00EA712C">
      <w:pPr>
        <w:pStyle w:val="TableFigureFooter"/>
        <w:keepNext/>
        <w:keepLines/>
      </w:pPr>
      <w:r w:rsidRPr="00131DA2">
        <w:t>Source:</w:t>
      </w:r>
      <w:r w:rsidRPr="00131DA2">
        <w:rPr>
          <w:snapToGrid/>
        </w:rPr>
        <w:t xml:space="preserve"> Compiled during evaluation based on Table 113, p178 of the submission and ‘Results’ worksheet of the ‘</w:t>
      </w:r>
      <w:r w:rsidRPr="00131DA2">
        <w:t xml:space="preserve">Zejula (niraparib) 1L ITT CEA.xlsx’ workbook </w:t>
      </w:r>
    </w:p>
    <w:p w14:paraId="371B985B" w14:textId="77777777" w:rsidR="00EA712C" w:rsidRDefault="00EA712C" w:rsidP="00EA712C">
      <w:pPr>
        <w:pStyle w:val="TableFigureFooter"/>
        <w:keepNext/>
        <w:keepLines/>
      </w:pPr>
      <w:r w:rsidRPr="00131DA2">
        <w:t>LYG = life-years gained; PFLY = progression-free life year; QALY = quality-adjusted life-year.</w:t>
      </w:r>
    </w:p>
    <w:p w14:paraId="38B0A743" w14:textId="77777777" w:rsidR="00B64A7F" w:rsidRPr="00B62999" w:rsidRDefault="00B64A7F" w:rsidP="00B64A7F">
      <w:pPr>
        <w:pStyle w:val="TableFigureFooter"/>
        <w:spacing w:after="0"/>
        <w:contextualSpacing w:val="0"/>
        <w:rPr>
          <w:szCs w:val="18"/>
        </w:rPr>
      </w:pPr>
      <w:r w:rsidRPr="00B62999">
        <w:rPr>
          <w:i/>
          <w:szCs w:val="18"/>
        </w:rPr>
        <w:t xml:space="preserve">The redacted values correspond to the following ranges: </w:t>
      </w:r>
    </w:p>
    <w:p w14:paraId="6C0D84C3" w14:textId="77777777" w:rsidR="00B64A7F" w:rsidRPr="00E05670" w:rsidRDefault="00B64A7F" w:rsidP="00B64A7F">
      <w:pPr>
        <w:rPr>
          <w:rFonts w:ascii="Arial Narrow" w:hAnsi="Arial Narrow"/>
          <w:i/>
          <w:sz w:val="18"/>
          <w:szCs w:val="18"/>
        </w:rPr>
      </w:pPr>
      <w:r w:rsidRPr="00B62999">
        <w:rPr>
          <w:rFonts w:ascii="Arial Narrow" w:hAnsi="Arial Narrow"/>
          <w:i/>
          <w:sz w:val="18"/>
          <w:szCs w:val="18"/>
          <w:vertAlign w:val="superscript"/>
        </w:rPr>
        <w:t>1</w:t>
      </w:r>
      <w:r>
        <w:rPr>
          <w:rFonts w:ascii="Arial Narrow" w:hAnsi="Arial Narrow"/>
          <w:sz w:val="18"/>
          <w:szCs w:val="18"/>
        </w:rPr>
        <w:t xml:space="preserve"> </w:t>
      </w:r>
      <w:r w:rsidRPr="00B64A7F">
        <w:rPr>
          <w:rFonts w:ascii="Arial Narrow" w:hAnsi="Arial Narrow"/>
          <w:i/>
          <w:sz w:val="18"/>
          <w:szCs w:val="18"/>
        </w:rPr>
        <w:t>$155,000 to &lt; $255,000</w:t>
      </w:r>
    </w:p>
    <w:p w14:paraId="5DAB1B5C" w14:textId="77777777" w:rsidR="00B64A7F" w:rsidRPr="00B64A7F" w:rsidRDefault="00B64A7F" w:rsidP="00B64A7F">
      <w:pPr>
        <w:rPr>
          <w:rFonts w:ascii="Arial Narrow" w:hAnsi="Arial Narrow"/>
          <w:i/>
          <w:sz w:val="18"/>
          <w:szCs w:val="18"/>
        </w:rPr>
      </w:pPr>
      <w:r w:rsidRPr="00B62999">
        <w:rPr>
          <w:rFonts w:ascii="Arial Narrow" w:hAnsi="Arial Narrow"/>
          <w:i/>
          <w:sz w:val="18"/>
          <w:szCs w:val="18"/>
          <w:vertAlign w:val="superscript"/>
        </w:rPr>
        <w:t>2</w:t>
      </w:r>
      <w:r>
        <w:rPr>
          <w:rFonts w:ascii="Arial Narrow" w:hAnsi="Arial Narrow"/>
          <w:i/>
          <w:sz w:val="18"/>
          <w:szCs w:val="18"/>
          <w:vertAlign w:val="superscript"/>
        </w:rPr>
        <w:t xml:space="preserve"> </w:t>
      </w:r>
      <w:r w:rsidRPr="00B64A7F">
        <w:rPr>
          <w:rFonts w:ascii="Arial Narrow" w:hAnsi="Arial Narrow"/>
          <w:i/>
          <w:sz w:val="18"/>
          <w:szCs w:val="18"/>
        </w:rPr>
        <w:t>$95,000 to &lt; $115,000</w:t>
      </w:r>
    </w:p>
    <w:p w14:paraId="08456F44" w14:textId="77777777" w:rsidR="00B64A7F" w:rsidRDefault="00B64A7F" w:rsidP="00B64A7F">
      <w:pPr>
        <w:rPr>
          <w:rFonts w:ascii="Arial Narrow" w:hAnsi="Arial Narrow"/>
          <w:i/>
          <w:sz w:val="18"/>
          <w:szCs w:val="18"/>
        </w:rPr>
      </w:pPr>
      <w:r w:rsidRPr="00B62999">
        <w:rPr>
          <w:rFonts w:ascii="Arial Narrow" w:hAnsi="Arial Narrow"/>
          <w:i/>
          <w:sz w:val="18"/>
          <w:szCs w:val="18"/>
          <w:vertAlign w:val="superscript"/>
        </w:rPr>
        <w:t>3</w:t>
      </w:r>
      <w:r>
        <w:rPr>
          <w:rFonts w:ascii="Arial Narrow" w:hAnsi="Arial Narrow"/>
          <w:i/>
          <w:sz w:val="18"/>
          <w:szCs w:val="18"/>
        </w:rPr>
        <w:t xml:space="preserve"> </w:t>
      </w:r>
      <w:r w:rsidRPr="00B64A7F">
        <w:rPr>
          <w:rFonts w:ascii="Arial Narrow" w:hAnsi="Arial Narrow"/>
          <w:i/>
          <w:sz w:val="18"/>
          <w:szCs w:val="18"/>
        </w:rPr>
        <w:t>$115,000 to &lt; $135,000</w:t>
      </w:r>
    </w:p>
    <w:p w14:paraId="6ACA4B2F" w14:textId="77777777" w:rsidR="00B64A7F" w:rsidRPr="00B64A7F" w:rsidRDefault="00B64A7F" w:rsidP="00B64A7F">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B64A7F">
        <w:rPr>
          <w:rFonts w:ascii="Arial Narrow" w:hAnsi="Arial Narrow"/>
          <w:i/>
          <w:sz w:val="18"/>
          <w:szCs w:val="18"/>
        </w:rPr>
        <w:t>$55,000 to &lt; $75,000</w:t>
      </w:r>
    </w:p>
    <w:p w14:paraId="6DB32EDA" w14:textId="77777777" w:rsidR="00B64A7F" w:rsidRPr="00131DA2" w:rsidRDefault="00B64A7F" w:rsidP="00EA712C">
      <w:pPr>
        <w:pStyle w:val="TableFigureFooter"/>
        <w:keepNext/>
        <w:keepLines/>
      </w:pPr>
    </w:p>
    <w:p w14:paraId="0E1946E0" w14:textId="77777777" w:rsidR="00EA712C" w:rsidRPr="00131DA2" w:rsidRDefault="00EA712C" w:rsidP="00EA712C">
      <w:pPr>
        <w:pStyle w:val="3-BodyText"/>
      </w:pPr>
      <w:r w:rsidRPr="00131DA2">
        <w:t>There is no translation step or capacity in the model to adjust the comparator to active treatment for a proportion of patients as would be expected in Australian clinical practice, therefore the ICER does not directly inform the funding decision relevant to the submission.</w:t>
      </w:r>
    </w:p>
    <w:p w14:paraId="7AC0C594" w14:textId="77777777" w:rsidR="00EA712C" w:rsidRDefault="00EA712C" w:rsidP="00EA712C">
      <w:pPr>
        <w:pStyle w:val="3-BodyText"/>
      </w:pPr>
      <w:r w:rsidRPr="00131DA2">
        <w:t>The above stepped results table indicates that the extrapolation from the trial period to 20 years</w:t>
      </w:r>
      <w:r w:rsidR="00F72FF3">
        <w:t>,</w:t>
      </w:r>
      <w:r w:rsidRPr="00131DA2">
        <w:t xml:space="preserve"> the application of health care resource costs and OS adjustment for increased use of subsequent PARPi post progression in the no active treatment arm had large impacts on the results of the model. </w:t>
      </w:r>
    </w:p>
    <w:p w14:paraId="5068C689" w14:textId="77777777" w:rsidR="005A2CA8" w:rsidRPr="00131DA2" w:rsidRDefault="00EA712C" w:rsidP="00D12781">
      <w:pPr>
        <w:pStyle w:val="3-BodyText"/>
      </w:pPr>
      <w:r w:rsidRPr="00131DA2">
        <w:t xml:space="preserve">The translation of niraparib dose intensity from the ITT population in PRIMA to the ISD cohort had a moderate impact on the result of the model. Although ISD was consistent with the proposed dose regimen, the health outcomes used in the model remained based on the ITT population where the majority of patients (65%) received a fixed (300 mg) starting dose of niraparib. In those that initiated treatment according to the ISD protocol, 74% (125/169) received a lower (200 mg) starting dose. PFS, OS and TTD data for the ISD cohort of the PRIMA trial were not included in the submission’s model, and so could not be tested in a sensitivity analysis. </w:t>
      </w:r>
      <w:r w:rsidR="005A2CA8" w:rsidRPr="00131DA2">
        <w:t xml:space="preserve">The ESC noted that use of the </w:t>
      </w:r>
      <w:r w:rsidR="008C40C8" w:rsidRPr="00131DA2">
        <w:t xml:space="preserve">ISD for drug exposure may favour niraparib, whereas use of the ITT population </w:t>
      </w:r>
      <w:r w:rsidR="009F1D96" w:rsidRPr="00131DA2">
        <w:t>for drug exposure was more conservative</w:t>
      </w:r>
      <w:r w:rsidR="005A2CA8" w:rsidRPr="00131DA2">
        <w:t xml:space="preserve"> but raised applicability issues as the ISD is more likely to be used in practice</w:t>
      </w:r>
      <w:r w:rsidR="009F1D96" w:rsidRPr="00131DA2">
        <w:t xml:space="preserve">. </w:t>
      </w:r>
      <w:r w:rsidR="005A2CA8" w:rsidRPr="00131DA2">
        <w:t>The ESC noted that dose reductions were more frequent in the FSD cohort compared with the ISD cohort and therefore the dose intensity of the two cohorts was not substantially different (mean dose intensity in FSD 181.4 mg/day in FSD compared with 162.1 mg/day in ISD cohort</w:t>
      </w:r>
      <w:r w:rsidR="00BA2F50">
        <w:rPr>
          <w:rStyle w:val="FootnoteReference"/>
        </w:rPr>
        <w:footnoteReference w:id="16"/>
      </w:r>
      <w:r w:rsidR="005A2CA8" w:rsidRPr="00131DA2">
        <w:t>).</w:t>
      </w:r>
    </w:p>
    <w:p w14:paraId="5E9554B4" w14:textId="77777777" w:rsidR="00EA712C" w:rsidRPr="00131DA2" w:rsidRDefault="00EA712C" w:rsidP="00E22198">
      <w:pPr>
        <w:pStyle w:val="3-BodyText"/>
      </w:pPr>
      <w:r w:rsidRPr="00131DA2">
        <w:t xml:space="preserve">The submission presented a scenario analysis for the subgroup of patients with non-BRCAm Stage III R0+R1 disease. Although the results from the PRIMA trial from this subgroup were more favourable (resulting in an ICER of </w:t>
      </w:r>
      <w:r w:rsidR="00E22198" w:rsidRPr="00E22198">
        <w:t>$45,000 to &lt; $55,000</w:t>
      </w:r>
      <w:r w:rsidRPr="00131DA2">
        <w:t xml:space="preserve">/QALY compared to </w:t>
      </w:r>
      <w:r w:rsidR="00E22198" w:rsidRPr="00E22198">
        <w:t xml:space="preserve">$55,000 to &lt; $75,000 </w:t>
      </w:r>
      <w:r w:rsidRPr="00131DA2">
        <w:t xml:space="preserve">/QALY in the base case), this post-hoc analysis was exploratory, and therefore likely to be associated with a high degree of uncertainty. </w:t>
      </w:r>
      <w:r w:rsidR="00083C97" w:rsidRPr="00131DA2">
        <w:t xml:space="preserve">The </w:t>
      </w:r>
      <w:r w:rsidR="00F72FF3">
        <w:t xml:space="preserve">PBAC agreed with ESC </w:t>
      </w:r>
      <w:r w:rsidR="00083C97" w:rsidRPr="00131DA2">
        <w:t xml:space="preserve">that the ICER for the subgroup was not suitable as a basis for decision-making as the analysis was exploratory in nature, and based on a small sample size with immature data. </w:t>
      </w:r>
    </w:p>
    <w:p w14:paraId="21DF5C8D" w14:textId="77777777" w:rsidR="00EA712C" w:rsidRPr="00131DA2" w:rsidRDefault="00EA712C" w:rsidP="00EA712C">
      <w:pPr>
        <w:pStyle w:val="3-BodyText"/>
      </w:pPr>
      <w:r w:rsidRPr="00131DA2">
        <w:t xml:space="preserve">The results of key sensitivity analyses are summarised below. </w:t>
      </w:r>
    </w:p>
    <w:p w14:paraId="10EE5AED" w14:textId="77777777" w:rsidR="00EA712C" w:rsidRPr="00131DA2" w:rsidRDefault="00EA712C" w:rsidP="00FB6EE9">
      <w:pPr>
        <w:pStyle w:val="TableFigureHeading"/>
        <w:rPr>
          <w:rStyle w:val="CommentReference"/>
          <w:b/>
          <w:szCs w:val="24"/>
        </w:rPr>
      </w:pPr>
      <w:r w:rsidRPr="00131DA2">
        <w:t xml:space="preserve">Table </w:t>
      </w:r>
      <w:r w:rsidR="008A7614">
        <w:rPr>
          <w:noProof/>
        </w:rPr>
        <w:t>10</w:t>
      </w:r>
      <w:r w:rsidRPr="00131DA2">
        <w:t>: Results of key sensitivity analyses</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578"/>
        <w:gridCol w:w="1112"/>
        <w:gridCol w:w="1112"/>
        <w:gridCol w:w="1112"/>
        <w:gridCol w:w="1110"/>
      </w:tblGrid>
      <w:tr w:rsidR="00EA712C" w:rsidRPr="00131DA2" w14:paraId="6F067FC9" w14:textId="77777777" w:rsidTr="00FB6EE9">
        <w:trPr>
          <w:trHeight w:val="19"/>
          <w:tblHeader/>
        </w:trPr>
        <w:tc>
          <w:tcPr>
            <w:tcW w:w="2537" w:type="pct"/>
            <w:shd w:val="clear" w:color="auto" w:fill="auto"/>
          </w:tcPr>
          <w:p w14:paraId="2322F770" w14:textId="77777777" w:rsidR="00EA712C" w:rsidRPr="00131DA2" w:rsidRDefault="00EA712C" w:rsidP="00FB6EE9">
            <w:pPr>
              <w:pStyle w:val="TableFigureHeading"/>
            </w:pPr>
            <w:r w:rsidRPr="00131DA2">
              <w:t>Model variable</w:t>
            </w:r>
          </w:p>
        </w:tc>
        <w:tc>
          <w:tcPr>
            <w:tcW w:w="616" w:type="pct"/>
            <w:shd w:val="clear" w:color="auto" w:fill="auto"/>
            <w:vAlign w:val="center"/>
          </w:tcPr>
          <w:p w14:paraId="0F7B4627" w14:textId="77777777" w:rsidR="00EA712C" w:rsidRPr="00131DA2" w:rsidRDefault="00EA712C" w:rsidP="00FB6EE9">
            <w:pPr>
              <w:pStyle w:val="TableFigureHeading"/>
              <w:jc w:val="center"/>
            </w:pPr>
            <w:r w:rsidRPr="00131DA2">
              <w:t>Incremental cost</w:t>
            </w:r>
          </w:p>
        </w:tc>
        <w:tc>
          <w:tcPr>
            <w:tcW w:w="616" w:type="pct"/>
            <w:shd w:val="clear" w:color="auto" w:fill="auto"/>
            <w:vAlign w:val="center"/>
          </w:tcPr>
          <w:p w14:paraId="073EFE11" w14:textId="77777777" w:rsidR="00EA712C" w:rsidRPr="00131DA2" w:rsidRDefault="00EA712C" w:rsidP="00FB6EE9">
            <w:pPr>
              <w:pStyle w:val="TableFigureHeading"/>
              <w:jc w:val="center"/>
            </w:pPr>
            <w:r w:rsidRPr="00131DA2">
              <w:t>Incremental QALYs</w:t>
            </w:r>
          </w:p>
        </w:tc>
        <w:tc>
          <w:tcPr>
            <w:tcW w:w="616" w:type="pct"/>
            <w:shd w:val="clear" w:color="auto" w:fill="auto"/>
            <w:vAlign w:val="center"/>
          </w:tcPr>
          <w:p w14:paraId="16A598FC" w14:textId="77777777" w:rsidR="00EA712C" w:rsidRPr="00131DA2" w:rsidRDefault="00EA712C" w:rsidP="00FB6EE9">
            <w:pPr>
              <w:pStyle w:val="TableFigureHeading"/>
              <w:jc w:val="center"/>
            </w:pPr>
            <w:r w:rsidRPr="00131DA2">
              <w:t>ICER per QALY</w:t>
            </w:r>
          </w:p>
        </w:tc>
        <w:tc>
          <w:tcPr>
            <w:tcW w:w="615" w:type="pct"/>
            <w:shd w:val="clear" w:color="auto" w:fill="auto"/>
            <w:vAlign w:val="center"/>
          </w:tcPr>
          <w:p w14:paraId="69EAC7F9" w14:textId="77777777" w:rsidR="00EA712C" w:rsidRPr="00131DA2" w:rsidRDefault="00EA712C" w:rsidP="00FB6EE9">
            <w:pPr>
              <w:pStyle w:val="TableFigureHeading"/>
              <w:jc w:val="center"/>
            </w:pPr>
            <w:r w:rsidRPr="00131DA2">
              <w:t>% difference</w:t>
            </w:r>
          </w:p>
        </w:tc>
      </w:tr>
      <w:tr w:rsidR="00EA712C" w:rsidRPr="00131DA2" w14:paraId="1FD90108" w14:textId="77777777" w:rsidTr="00FB6EE9">
        <w:trPr>
          <w:trHeight w:val="169"/>
        </w:trPr>
        <w:tc>
          <w:tcPr>
            <w:tcW w:w="2537" w:type="pct"/>
            <w:shd w:val="clear" w:color="auto" w:fill="auto"/>
          </w:tcPr>
          <w:p w14:paraId="6761242C" w14:textId="77777777" w:rsidR="00EA712C" w:rsidRPr="00131DA2" w:rsidRDefault="00EA712C" w:rsidP="00FB6EE9">
            <w:pPr>
              <w:pStyle w:val="TableText0"/>
            </w:pPr>
            <w:r w:rsidRPr="00131DA2">
              <w:t>Base case</w:t>
            </w:r>
          </w:p>
        </w:tc>
        <w:tc>
          <w:tcPr>
            <w:tcW w:w="616" w:type="pct"/>
            <w:shd w:val="clear" w:color="auto" w:fill="auto"/>
            <w:vAlign w:val="center"/>
          </w:tcPr>
          <w:p w14:paraId="14B5AA64" w14:textId="77777777" w:rsidR="00EA712C" w:rsidRPr="00131DA2" w:rsidRDefault="00EA712C" w:rsidP="00FB6EE9">
            <w:pPr>
              <w:pStyle w:val="TableText0"/>
              <w:jc w:val="center"/>
            </w:pPr>
            <w:r w:rsidRPr="00131DA2">
              <w:t>$</w:t>
            </w:r>
            <w:r w:rsidR="001D7CF9">
              <w:rPr>
                <w:noProof/>
                <w:color w:val="000000"/>
                <w:highlight w:val="black"/>
              </w:rPr>
              <w:t>'''''''''''''''</w:t>
            </w:r>
          </w:p>
        </w:tc>
        <w:tc>
          <w:tcPr>
            <w:tcW w:w="616" w:type="pct"/>
            <w:shd w:val="clear" w:color="auto" w:fill="auto"/>
            <w:vAlign w:val="center"/>
          </w:tcPr>
          <w:p w14:paraId="18568237" w14:textId="77777777" w:rsidR="00EA712C" w:rsidRPr="00131DA2" w:rsidRDefault="00EA712C" w:rsidP="00FB6EE9">
            <w:pPr>
              <w:pStyle w:val="TableText0"/>
              <w:jc w:val="center"/>
            </w:pPr>
            <w:r w:rsidRPr="00131DA2">
              <w:t>0.39</w:t>
            </w:r>
          </w:p>
        </w:tc>
        <w:tc>
          <w:tcPr>
            <w:tcW w:w="616" w:type="pct"/>
            <w:shd w:val="clear" w:color="auto" w:fill="auto"/>
            <w:vAlign w:val="center"/>
          </w:tcPr>
          <w:p w14:paraId="49CE412F" w14:textId="77777777" w:rsidR="00EA712C" w:rsidRPr="00131DA2" w:rsidRDefault="00EA712C" w:rsidP="00FB6EE9">
            <w:pPr>
              <w:pStyle w:val="TableText0"/>
              <w:jc w:val="center"/>
            </w:pPr>
            <w:r w:rsidRPr="00131DA2">
              <w:t>$</w:t>
            </w:r>
            <w:r w:rsidR="001D7CF9">
              <w:rPr>
                <w:noProof/>
                <w:color w:val="000000"/>
                <w:highlight w:val="black"/>
              </w:rPr>
              <w:t>''''''''''''''''</w:t>
            </w:r>
            <w:r w:rsidR="00A061B8" w:rsidRPr="00A061B8">
              <w:rPr>
                <w:vertAlign w:val="superscript"/>
              </w:rPr>
              <w:t>1</w:t>
            </w:r>
          </w:p>
        </w:tc>
        <w:tc>
          <w:tcPr>
            <w:tcW w:w="615" w:type="pct"/>
            <w:shd w:val="clear" w:color="auto" w:fill="auto"/>
            <w:vAlign w:val="center"/>
          </w:tcPr>
          <w:p w14:paraId="08A793AD" w14:textId="77777777" w:rsidR="00EA712C" w:rsidRPr="00131DA2" w:rsidRDefault="00EA712C" w:rsidP="00FB6EE9">
            <w:pPr>
              <w:pStyle w:val="TableText0"/>
              <w:jc w:val="center"/>
            </w:pPr>
            <w:r w:rsidRPr="00131DA2">
              <w:t>-</w:t>
            </w:r>
          </w:p>
        </w:tc>
      </w:tr>
      <w:tr w:rsidR="00EA712C" w:rsidRPr="00131DA2" w14:paraId="2D482261" w14:textId="77777777" w:rsidTr="00FB6EE9">
        <w:trPr>
          <w:trHeight w:val="19"/>
        </w:trPr>
        <w:tc>
          <w:tcPr>
            <w:tcW w:w="2537" w:type="pct"/>
            <w:shd w:val="clear" w:color="auto" w:fill="auto"/>
            <w:vAlign w:val="center"/>
          </w:tcPr>
          <w:p w14:paraId="630957B0" w14:textId="77777777" w:rsidR="00EA712C" w:rsidRPr="00131DA2" w:rsidRDefault="00EA712C" w:rsidP="00FB6EE9">
            <w:pPr>
              <w:pStyle w:val="TableText0"/>
              <w:rPr>
                <w:b/>
              </w:rPr>
            </w:pPr>
            <w:r w:rsidRPr="00131DA2">
              <w:rPr>
                <w:b/>
              </w:rPr>
              <w:t>Time horizon: 20 years</w:t>
            </w:r>
          </w:p>
        </w:tc>
        <w:tc>
          <w:tcPr>
            <w:tcW w:w="616" w:type="pct"/>
            <w:shd w:val="clear" w:color="auto" w:fill="auto"/>
            <w:vAlign w:val="center"/>
          </w:tcPr>
          <w:p w14:paraId="7875D539" w14:textId="77777777" w:rsidR="00EA712C" w:rsidRPr="00131DA2" w:rsidRDefault="00EA712C" w:rsidP="00FB6EE9">
            <w:pPr>
              <w:pStyle w:val="TableText0"/>
              <w:jc w:val="center"/>
            </w:pPr>
          </w:p>
        </w:tc>
        <w:tc>
          <w:tcPr>
            <w:tcW w:w="616" w:type="pct"/>
            <w:shd w:val="clear" w:color="auto" w:fill="auto"/>
            <w:vAlign w:val="center"/>
          </w:tcPr>
          <w:p w14:paraId="5B81E730" w14:textId="77777777" w:rsidR="00EA712C" w:rsidRPr="00131DA2" w:rsidRDefault="00EA712C" w:rsidP="00FB6EE9">
            <w:pPr>
              <w:pStyle w:val="TableText0"/>
              <w:jc w:val="center"/>
            </w:pPr>
          </w:p>
        </w:tc>
        <w:tc>
          <w:tcPr>
            <w:tcW w:w="616" w:type="pct"/>
            <w:shd w:val="clear" w:color="auto" w:fill="auto"/>
            <w:vAlign w:val="center"/>
          </w:tcPr>
          <w:p w14:paraId="218F0377" w14:textId="77777777" w:rsidR="00EA712C" w:rsidRPr="00131DA2" w:rsidRDefault="00EA712C" w:rsidP="00FB6EE9">
            <w:pPr>
              <w:pStyle w:val="TableText0"/>
              <w:jc w:val="center"/>
            </w:pPr>
          </w:p>
        </w:tc>
        <w:tc>
          <w:tcPr>
            <w:tcW w:w="615" w:type="pct"/>
            <w:shd w:val="clear" w:color="auto" w:fill="auto"/>
            <w:vAlign w:val="center"/>
          </w:tcPr>
          <w:p w14:paraId="0684BCB5" w14:textId="77777777" w:rsidR="00EA712C" w:rsidRPr="00131DA2" w:rsidRDefault="00EA712C" w:rsidP="00FB6EE9">
            <w:pPr>
              <w:pStyle w:val="TableText0"/>
              <w:jc w:val="center"/>
            </w:pPr>
          </w:p>
        </w:tc>
      </w:tr>
      <w:tr w:rsidR="00EA712C" w:rsidRPr="00131DA2" w14:paraId="204C8B7F" w14:textId="77777777" w:rsidTr="00FB6EE9">
        <w:trPr>
          <w:trHeight w:val="168"/>
        </w:trPr>
        <w:tc>
          <w:tcPr>
            <w:tcW w:w="2537" w:type="pct"/>
            <w:shd w:val="clear" w:color="auto" w:fill="auto"/>
          </w:tcPr>
          <w:p w14:paraId="435BA6AD" w14:textId="77777777" w:rsidR="00EA712C" w:rsidRPr="00131DA2" w:rsidRDefault="00EA712C" w:rsidP="00FB6EE9">
            <w:pPr>
              <w:pStyle w:val="TableText0"/>
            </w:pPr>
            <w:r w:rsidRPr="00131DA2">
              <w:t>15 years</w:t>
            </w:r>
          </w:p>
        </w:tc>
        <w:tc>
          <w:tcPr>
            <w:tcW w:w="616" w:type="pct"/>
            <w:shd w:val="clear" w:color="auto" w:fill="auto"/>
            <w:vAlign w:val="center"/>
          </w:tcPr>
          <w:p w14:paraId="2E16009B" w14:textId="77777777" w:rsidR="00EA712C" w:rsidRPr="00131DA2" w:rsidRDefault="00EA712C" w:rsidP="00FB6EE9">
            <w:pPr>
              <w:pStyle w:val="TableText0"/>
              <w:jc w:val="center"/>
            </w:pPr>
            <w:r w:rsidRPr="00131DA2">
              <w:t>$</w:t>
            </w:r>
            <w:r w:rsidR="001D7CF9">
              <w:rPr>
                <w:noProof/>
                <w:color w:val="000000"/>
                <w:highlight w:val="black"/>
              </w:rPr>
              <w:t>''''''''''''''''''</w:t>
            </w:r>
          </w:p>
        </w:tc>
        <w:tc>
          <w:tcPr>
            <w:tcW w:w="616" w:type="pct"/>
            <w:shd w:val="clear" w:color="auto" w:fill="auto"/>
            <w:vAlign w:val="center"/>
          </w:tcPr>
          <w:p w14:paraId="1D221845" w14:textId="77777777" w:rsidR="00EA712C" w:rsidRPr="00131DA2" w:rsidRDefault="00EA712C" w:rsidP="00FB6EE9">
            <w:pPr>
              <w:pStyle w:val="TableText0"/>
              <w:jc w:val="center"/>
            </w:pPr>
            <w:r w:rsidRPr="00131DA2">
              <w:t>0.37</w:t>
            </w:r>
          </w:p>
        </w:tc>
        <w:tc>
          <w:tcPr>
            <w:tcW w:w="616" w:type="pct"/>
            <w:shd w:val="clear" w:color="auto" w:fill="auto"/>
            <w:vAlign w:val="center"/>
          </w:tcPr>
          <w:p w14:paraId="4009E05D" w14:textId="77777777" w:rsidR="00EA712C" w:rsidRPr="00131DA2" w:rsidRDefault="00EA712C" w:rsidP="00FB6EE9">
            <w:pPr>
              <w:pStyle w:val="TableText0"/>
              <w:jc w:val="center"/>
            </w:pPr>
            <w:r w:rsidRPr="00131DA2">
              <w:t>$</w:t>
            </w:r>
            <w:r w:rsidR="001D7CF9">
              <w:rPr>
                <w:noProof/>
                <w:color w:val="000000"/>
                <w:highlight w:val="black"/>
              </w:rPr>
              <w:t>'''''''''''''''</w:t>
            </w:r>
            <w:r w:rsidR="00A061B8" w:rsidRPr="00A061B8">
              <w:rPr>
                <w:vertAlign w:val="superscript"/>
              </w:rPr>
              <w:t>1</w:t>
            </w:r>
          </w:p>
        </w:tc>
        <w:tc>
          <w:tcPr>
            <w:tcW w:w="615" w:type="pct"/>
            <w:shd w:val="clear" w:color="auto" w:fill="auto"/>
            <w:vAlign w:val="center"/>
          </w:tcPr>
          <w:p w14:paraId="55F12CB2" w14:textId="77777777" w:rsidR="00EA712C" w:rsidRPr="00131DA2" w:rsidRDefault="00EA712C" w:rsidP="00FB6EE9">
            <w:pPr>
              <w:pStyle w:val="TableText0"/>
              <w:jc w:val="center"/>
            </w:pPr>
            <w:r w:rsidRPr="00131DA2">
              <w:t>6%</w:t>
            </w:r>
          </w:p>
        </w:tc>
      </w:tr>
      <w:tr w:rsidR="00EA712C" w:rsidRPr="00131DA2" w14:paraId="4813A961" w14:textId="77777777" w:rsidTr="00FB6EE9">
        <w:trPr>
          <w:trHeight w:val="19"/>
        </w:trPr>
        <w:tc>
          <w:tcPr>
            <w:tcW w:w="2537" w:type="pct"/>
            <w:shd w:val="clear" w:color="auto" w:fill="auto"/>
          </w:tcPr>
          <w:p w14:paraId="33905104" w14:textId="77777777" w:rsidR="00EA712C" w:rsidRPr="00131DA2" w:rsidRDefault="00EA712C" w:rsidP="00FB6EE9">
            <w:pPr>
              <w:pStyle w:val="TableText0"/>
            </w:pPr>
            <w:r w:rsidRPr="00131DA2">
              <w:t>10 years</w:t>
            </w:r>
          </w:p>
        </w:tc>
        <w:tc>
          <w:tcPr>
            <w:tcW w:w="616" w:type="pct"/>
            <w:shd w:val="clear" w:color="auto" w:fill="auto"/>
            <w:vAlign w:val="center"/>
          </w:tcPr>
          <w:p w14:paraId="4280E40A" w14:textId="77777777" w:rsidR="00EA712C" w:rsidRPr="00131DA2" w:rsidRDefault="00EA712C" w:rsidP="00FB6EE9">
            <w:pPr>
              <w:pStyle w:val="TableText0"/>
              <w:jc w:val="center"/>
            </w:pPr>
            <w:r w:rsidRPr="00131DA2">
              <w:t>$</w:t>
            </w:r>
            <w:r w:rsidR="001D7CF9">
              <w:rPr>
                <w:noProof/>
                <w:color w:val="000000"/>
                <w:highlight w:val="black"/>
              </w:rPr>
              <w:t>'''''''''''''''''</w:t>
            </w:r>
          </w:p>
        </w:tc>
        <w:tc>
          <w:tcPr>
            <w:tcW w:w="616" w:type="pct"/>
            <w:shd w:val="clear" w:color="auto" w:fill="auto"/>
            <w:vAlign w:val="center"/>
          </w:tcPr>
          <w:p w14:paraId="65B92873" w14:textId="77777777" w:rsidR="00EA712C" w:rsidRPr="00131DA2" w:rsidRDefault="00EA712C" w:rsidP="00FB6EE9">
            <w:pPr>
              <w:pStyle w:val="TableText0"/>
              <w:jc w:val="center"/>
            </w:pPr>
            <w:r w:rsidRPr="00131DA2">
              <w:t>0.32</w:t>
            </w:r>
          </w:p>
        </w:tc>
        <w:tc>
          <w:tcPr>
            <w:tcW w:w="616" w:type="pct"/>
            <w:shd w:val="clear" w:color="auto" w:fill="auto"/>
            <w:vAlign w:val="center"/>
          </w:tcPr>
          <w:p w14:paraId="0B51B54C" w14:textId="77777777" w:rsidR="00EA712C" w:rsidRPr="00131DA2" w:rsidRDefault="00EA712C" w:rsidP="00FB6EE9">
            <w:pPr>
              <w:pStyle w:val="TableText0"/>
              <w:jc w:val="center"/>
            </w:pPr>
            <w:r w:rsidRPr="00131DA2">
              <w:t>$</w:t>
            </w:r>
            <w:r w:rsidR="001D7CF9">
              <w:rPr>
                <w:noProof/>
                <w:color w:val="000000"/>
                <w:highlight w:val="black"/>
              </w:rPr>
              <w:t>'''''''''''''''</w:t>
            </w:r>
            <w:r w:rsidR="00A061B8" w:rsidRPr="00A061B8">
              <w:rPr>
                <w:vertAlign w:val="superscript"/>
              </w:rPr>
              <w:t>1</w:t>
            </w:r>
          </w:p>
        </w:tc>
        <w:tc>
          <w:tcPr>
            <w:tcW w:w="615" w:type="pct"/>
            <w:shd w:val="clear" w:color="auto" w:fill="auto"/>
            <w:vAlign w:val="center"/>
          </w:tcPr>
          <w:p w14:paraId="58A4DF34" w14:textId="77777777" w:rsidR="00EA712C" w:rsidRPr="00131DA2" w:rsidRDefault="00EA712C" w:rsidP="00FB6EE9">
            <w:pPr>
              <w:pStyle w:val="TableText0"/>
              <w:jc w:val="center"/>
            </w:pPr>
            <w:r w:rsidRPr="00131DA2">
              <w:t>22%</w:t>
            </w:r>
          </w:p>
        </w:tc>
      </w:tr>
      <w:tr w:rsidR="00EA712C" w:rsidRPr="00131DA2" w14:paraId="69F5DCE7" w14:textId="77777777" w:rsidTr="00FB6EE9">
        <w:trPr>
          <w:trHeight w:val="19"/>
        </w:trPr>
        <w:tc>
          <w:tcPr>
            <w:tcW w:w="2537" w:type="pct"/>
            <w:shd w:val="clear" w:color="auto" w:fill="auto"/>
            <w:vAlign w:val="center"/>
          </w:tcPr>
          <w:p w14:paraId="3555BFC3" w14:textId="77777777" w:rsidR="00EA712C" w:rsidRPr="00131DA2" w:rsidRDefault="00EA712C" w:rsidP="00FB6EE9">
            <w:pPr>
              <w:pStyle w:val="TableText0"/>
              <w:rPr>
                <w:b/>
              </w:rPr>
            </w:pPr>
            <w:r w:rsidRPr="00131DA2">
              <w:rPr>
                <w:b/>
              </w:rPr>
              <w:t>Utility values: PRIMA ITT cohort (Australian dataset)</w:t>
            </w:r>
          </w:p>
        </w:tc>
        <w:tc>
          <w:tcPr>
            <w:tcW w:w="616" w:type="pct"/>
            <w:shd w:val="clear" w:color="auto" w:fill="auto"/>
            <w:vAlign w:val="center"/>
          </w:tcPr>
          <w:p w14:paraId="35AA674B" w14:textId="77777777" w:rsidR="00EA712C" w:rsidRPr="00131DA2" w:rsidRDefault="00EA712C" w:rsidP="00FB6EE9">
            <w:pPr>
              <w:pStyle w:val="TableText0"/>
              <w:jc w:val="center"/>
            </w:pPr>
          </w:p>
        </w:tc>
        <w:tc>
          <w:tcPr>
            <w:tcW w:w="616" w:type="pct"/>
            <w:shd w:val="clear" w:color="auto" w:fill="auto"/>
            <w:vAlign w:val="center"/>
          </w:tcPr>
          <w:p w14:paraId="65497EB6" w14:textId="77777777" w:rsidR="00EA712C" w:rsidRPr="00131DA2" w:rsidRDefault="00EA712C" w:rsidP="00FB6EE9">
            <w:pPr>
              <w:pStyle w:val="TableText0"/>
              <w:jc w:val="center"/>
            </w:pPr>
          </w:p>
        </w:tc>
        <w:tc>
          <w:tcPr>
            <w:tcW w:w="616" w:type="pct"/>
            <w:shd w:val="clear" w:color="auto" w:fill="auto"/>
            <w:vAlign w:val="center"/>
          </w:tcPr>
          <w:p w14:paraId="4F8EFD7C" w14:textId="77777777" w:rsidR="00EA712C" w:rsidRPr="00131DA2" w:rsidRDefault="00EA712C" w:rsidP="00FB6EE9">
            <w:pPr>
              <w:pStyle w:val="TableText0"/>
              <w:jc w:val="center"/>
            </w:pPr>
          </w:p>
        </w:tc>
        <w:tc>
          <w:tcPr>
            <w:tcW w:w="615" w:type="pct"/>
            <w:shd w:val="clear" w:color="auto" w:fill="auto"/>
            <w:vAlign w:val="center"/>
          </w:tcPr>
          <w:p w14:paraId="3B9F5111" w14:textId="77777777" w:rsidR="00EA712C" w:rsidRPr="00131DA2" w:rsidRDefault="00EA712C" w:rsidP="00FB6EE9">
            <w:pPr>
              <w:pStyle w:val="TableText0"/>
              <w:jc w:val="center"/>
            </w:pPr>
          </w:p>
        </w:tc>
      </w:tr>
      <w:tr w:rsidR="00EA712C" w:rsidRPr="00131DA2" w14:paraId="080EF807" w14:textId="77777777" w:rsidTr="00FB6EE9">
        <w:trPr>
          <w:trHeight w:val="19"/>
        </w:trPr>
        <w:tc>
          <w:tcPr>
            <w:tcW w:w="2537" w:type="pct"/>
            <w:shd w:val="clear" w:color="auto" w:fill="auto"/>
          </w:tcPr>
          <w:p w14:paraId="1828810F" w14:textId="77777777" w:rsidR="00EA712C" w:rsidRPr="00131DA2" w:rsidRDefault="00EA712C" w:rsidP="00FB6EE9">
            <w:pPr>
              <w:pStyle w:val="TableText0"/>
            </w:pPr>
            <w:r w:rsidRPr="00131DA2">
              <w:t>Olaparib PSD July 2020 PBAC meeting</w:t>
            </w:r>
          </w:p>
        </w:tc>
        <w:tc>
          <w:tcPr>
            <w:tcW w:w="616" w:type="pct"/>
            <w:shd w:val="clear" w:color="auto" w:fill="auto"/>
            <w:vAlign w:val="center"/>
          </w:tcPr>
          <w:p w14:paraId="64EBC894" w14:textId="77777777" w:rsidR="00EA712C" w:rsidRPr="00131DA2" w:rsidRDefault="00EA712C" w:rsidP="00FB6EE9">
            <w:pPr>
              <w:pStyle w:val="TableText0"/>
              <w:jc w:val="center"/>
            </w:pPr>
            <w:r w:rsidRPr="00131DA2">
              <w:t>$</w:t>
            </w:r>
            <w:r w:rsidR="001D7CF9">
              <w:rPr>
                <w:noProof/>
                <w:color w:val="000000"/>
                <w:highlight w:val="black"/>
              </w:rPr>
              <w:t>'''''''''''''''</w:t>
            </w:r>
          </w:p>
        </w:tc>
        <w:tc>
          <w:tcPr>
            <w:tcW w:w="616" w:type="pct"/>
            <w:shd w:val="clear" w:color="auto" w:fill="auto"/>
            <w:vAlign w:val="center"/>
          </w:tcPr>
          <w:p w14:paraId="447AD572" w14:textId="77777777" w:rsidR="00EA712C" w:rsidRPr="00131DA2" w:rsidRDefault="00EA712C" w:rsidP="00FB6EE9">
            <w:pPr>
              <w:pStyle w:val="TableText0"/>
              <w:jc w:val="center"/>
            </w:pPr>
            <w:r w:rsidRPr="00131DA2">
              <w:t>0.42</w:t>
            </w:r>
          </w:p>
        </w:tc>
        <w:tc>
          <w:tcPr>
            <w:tcW w:w="616" w:type="pct"/>
            <w:shd w:val="clear" w:color="auto" w:fill="auto"/>
            <w:vAlign w:val="center"/>
          </w:tcPr>
          <w:p w14:paraId="375B3DAC" w14:textId="77777777" w:rsidR="00EA712C" w:rsidRPr="00131DA2" w:rsidRDefault="00EA712C" w:rsidP="00FB6EE9">
            <w:pPr>
              <w:pStyle w:val="TableText0"/>
              <w:jc w:val="center"/>
            </w:pPr>
            <w:r w:rsidRPr="00131DA2">
              <w:t>$</w:t>
            </w:r>
            <w:r w:rsidR="001D7CF9">
              <w:rPr>
                <w:noProof/>
                <w:color w:val="000000"/>
                <w:highlight w:val="black"/>
              </w:rPr>
              <w:t>'''''''''''''''</w:t>
            </w:r>
            <w:r w:rsidR="00A061B8" w:rsidRPr="00A061B8">
              <w:rPr>
                <w:vertAlign w:val="superscript"/>
              </w:rPr>
              <w:t>1</w:t>
            </w:r>
          </w:p>
        </w:tc>
        <w:tc>
          <w:tcPr>
            <w:tcW w:w="615" w:type="pct"/>
            <w:shd w:val="clear" w:color="auto" w:fill="auto"/>
            <w:vAlign w:val="center"/>
          </w:tcPr>
          <w:p w14:paraId="4259BF5C" w14:textId="77777777" w:rsidR="00EA712C" w:rsidRPr="00131DA2" w:rsidRDefault="00EA712C" w:rsidP="00FB6EE9">
            <w:pPr>
              <w:pStyle w:val="TableText0"/>
              <w:jc w:val="center"/>
            </w:pPr>
            <w:r w:rsidRPr="00131DA2">
              <w:t>-7%</w:t>
            </w:r>
          </w:p>
        </w:tc>
      </w:tr>
      <w:tr w:rsidR="00EA712C" w:rsidRPr="00131DA2" w14:paraId="75C97770" w14:textId="77777777" w:rsidTr="00FB6EE9">
        <w:trPr>
          <w:trHeight w:val="19"/>
        </w:trPr>
        <w:tc>
          <w:tcPr>
            <w:tcW w:w="2537" w:type="pct"/>
            <w:shd w:val="clear" w:color="auto" w:fill="auto"/>
          </w:tcPr>
          <w:p w14:paraId="414DE295" w14:textId="77777777" w:rsidR="00EA712C" w:rsidRPr="00131DA2" w:rsidRDefault="00EA712C" w:rsidP="00FB6EE9">
            <w:pPr>
              <w:pStyle w:val="TableText0"/>
            </w:pPr>
            <w:r w:rsidRPr="00131DA2">
              <w:t>PRIMA, ITT cohort (UK dataset)</w:t>
            </w:r>
          </w:p>
        </w:tc>
        <w:tc>
          <w:tcPr>
            <w:tcW w:w="616" w:type="pct"/>
            <w:shd w:val="clear" w:color="auto" w:fill="auto"/>
            <w:vAlign w:val="center"/>
          </w:tcPr>
          <w:p w14:paraId="63FA5740" w14:textId="77777777" w:rsidR="00EA712C" w:rsidRPr="00131DA2" w:rsidRDefault="00EA712C" w:rsidP="00FB6EE9">
            <w:pPr>
              <w:pStyle w:val="TableText0"/>
              <w:jc w:val="center"/>
            </w:pPr>
            <w:r w:rsidRPr="00131DA2">
              <w:t>$</w:t>
            </w:r>
            <w:r w:rsidR="001D7CF9">
              <w:rPr>
                <w:noProof/>
                <w:color w:val="000000"/>
                <w:highlight w:val="black"/>
              </w:rPr>
              <w:t>''''''''''''''''</w:t>
            </w:r>
          </w:p>
        </w:tc>
        <w:tc>
          <w:tcPr>
            <w:tcW w:w="616" w:type="pct"/>
            <w:shd w:val="clear" w:color="auto" w:fill="auto"/>
            <w:vAlign w:val="center"/>
          </w:tcPr>
          <w:p w14:paraId="15F22C63" w14:textId="77777777" w:rsidR="00EA712C" w:rsidRPr="00131DA2" w:rsidRDefault="00EA712C" w:rsidP="00FB6EE9">
            <w:pPr>
              <w:pStyle w:val="TableText0"/>
              <w:jc w:val="center"/>
            </w:pPr>
            <w:r w:rsidRPr="00131DA2">
              <w:t>0.40</w:t>
            </w:r>
          </w:p>
        </w:tc>
        <w:tc>
          <w:tcPr>
            <w:tcW w:w="616" w:type="pct"/>
            <w:shd w:val="clear" w:color="auto" w:fill="auto"/>
            <w:vAlign w:val="center"/>
          </w:tcPr>
          <w:p w14:paraId="069D884B" w14:textId="77777777" w:rsidR="00EA712C" w:rsidRPr="00131DA2" w:rsidRDefault="00EA712C" w:rsidP="00FB6EE9">
            <w:pPr>
              <w:pStyle w:val="TableText0"/>
              <w:jc w:val="center"/>
            </w:pPr>
            <w:r w:rsidRPr="00131DA2">
              <w:t>$</w:t>
            </w:r>
            <w:r w:rsidR="001D7CF9">
              <w:rPr>
                <w:noProof/>
                <w:color w:val="000000"/>
                <w:highlight w:val="black"/>
              </w:rPr>
              <w:t>''''''''''''''''</w:t>
            </w:r>
            <w:r w:rsidR="00A061B8" w:rsidRPr="00A061B8">
              <w:rPr>
                <w:vertAlign w:val="superscript"/>
              </w:rPr>
              <w:t>1</w:t>
            </w:r>
          </w:p>
        </w:tc>
        <w:tc>
          <w:tcPr>
            <w:tcW w:w="615" w:type="pct"/>
            <w:shd w:val="clear" w:color="auto" w:fill="auto"/>
            <w:vAlign w:val="center"/>
          </w:tcPr>
          <w:p w14:paraId="64824CCE" w14:textId="77777777" w:rsidR="00EA712C" w:rsidRPr="00131DA2" w:rsidRDefault="00EA712C" w:rsidP="00FB6EE9">
            <w:pPr>
              <w:pStyle w:val="TableText0"/>
              <w:jc w:val="center"/>
            </w:pPr>
            <w:r w:rsidRPr="00131DA2">
              <w:t>-2%</w:t>
            </w:r>
          </w:p>
        </w:tc>
      </w:tr>
      <w:tr w:rsidR="00EA712C" w:rsidRPr="00131DA2" w14:paraId="3E07D38C" w14:textId="77777777" w:rsidTr="00FB6EE9">
        <w:trPr>
          <w:trHeight w:val="19"/>
        </w:trPr>
        <w:tc>
          <w:tcPr>
            <w:tcW w:w="2537" w:type="pct"/>
            <w:shd w:val="clear" w:color="auto" w:fill="auto"/>
          </w:tcPr>
          <w:p w14:paraId="4CF80683" w14:textId="77777777" w:rsidR="00EA712C" w:rsidRPr="00131DA2" w:rsidRDefault="00EA712C" w:rsidP="00FB6EE9">
            <w:pPr>
              <w:pStyle w:val="TableText0"/>
              <w:rPr>
                <w:b/>
              </w:rPr>
            </w:pPr>
            <w:r w:rsidRPr="00131DA2">
              <w:rPr>
                <w:b/>
              </w:rPr>
              <w:t>Utility decrements for AEs (not included)</w:t>
            </w:r>
          </w:p>
        </w:tc>
        <w:tc>
          <w:tcPr>
            <w:tcW w:w="616" w:type="pct"/>
            <w:shd w:val="clear" w:color="auto" w:fill="auto"/>
            <w:vAlign w:val="center"/>
          </w:tcPr>
          <w:p w14:paraId="621EAF1F" w14:textId="77777777" w:rsidR="00EA712C" w:rsidRPr="00131DA2" w:rsidRDefault="00EA712C" w:rsidP="00FB6EE9">
            <w:pPr>
              <w:pStyle w:val="TableText0"/>
              <w:jc w:val="center"/>
            </w:pPr>
          </w:p>
        </w:tc>
        <w:tc>
          <w:tcPr>
            <w:tcW w:w="616" w:type="pct"/>
            <w:shd w:val="clear" w:color="auto" w:fill="auto"/>
            <w:vAlign w:val="center"/>
          </w:tcPr>
          <w:p w14:paraId="4E3128CE" w14:textId="77777777" w:rsidR="00EA712C" w:rsidRPr="00131DA2" w:rsidRDefault="00EA712C" w:rsidP="00FB6EE9">
            <w:pPr>
              <w:pStyle w:val="TableText0"/>
              <w:jc w:val="center"/>
            </w:pPr>
          </w:p>
        </w:tc>
        <w:tc>
          <w:tcPr>
            <w:tcW w:w="616" w:type="pct"/>
            <w:shd w:val="clear" w:color="auto" w:fill="auto"/>
            <w:vAlign w:val="center"/>
          </w:tcPr>
          <w:p w14:paraId="4EF739EE" w14:textId="77777777" w:rsidR="00EA712C" w:rsidRPr="00131DA2" w:rsidRDefault="00EA712C" w:rsidP="00FB6EE9">
            <w:pPr>
              <w:pStyle w:val="TableText0"/>
              <w:jc w:val="center"/>
            </w:pPr>
          </w:p>
        </w:tc>
        <w:tc>
          <w:tcPr>
            <w:tcW w:w="615" w:type="pct"/>
            <w:shd w:val="clear" w:color="auto" w:fill="auto"/>
            <w:vAlign w:val="center"/>
          </w:tcPr>
          <w:p w14:paraId="7D764A28" w14:textId="77777777" w:rsidR="00EA712C" w:rsidRPr="00131DA2" w:rsidRDefault="00EA712C" w:rsidP="00FB6EE9">
            <w:pPr>
              <w:pStyle w:val="TableText0"/>
              <w:jc w:val="center"/>
            </w:pPr>
          </w:p>
        </w:tc>
      </w:tr>
      <w:tr w:rsidR="00EA712C" w:rsidRPr="00131DA2" w14:paraId="5CFEE267" w14:textId="77777777" w:rsidTr="00FB6EE9">
        <w:trPr>
          <w:trHeight w:val="19"/>
        </w:trPr>
        <w:tc>
          <w:tcPr>
            <w:tcW w:w="2537" w:type="pct"/>
            <w:shd w:val="clear" w:color="auto" w:fill="auto"/>
          </w:tcPr>
          <w:p w14:paraId="4D4B74CE" w14:textId="77777777" w:rsidR="00EA712C" w:rsidRPr="00131DA2" w:rsidRDefault="00EA712C" w:rsidP="00FB6EE9">
            <w:pPr>
              <w:pStyle w:val="TableText0"/>
            </w:pPr>
            <w:r w:rsidRPr="00131DA2">
              <w:t>Utility decrement for AEs included in model (0.03)</w:t>
            </w:r>
            <w:r w:rsidRPr="00131DA2">
              <w:rPr>
                <w:vertAlign w:val="superscript"/>
              </w:rPr>
              <w:t>b</w:t>
            </w:r>
          </w:p>
        </w:tc>
        <w:tc>
          <w:tcPr>
            <w:tcW w:w="616" w:type="pct"/>
            <w:shd w:val="clear" w:color="auto" w:fill="auto"/>
            <w:vAlign w:val="center"/>
          </w:tcPr>
          <w:p w14:paraId="62CCDF98" w14:textId="77777777" w:rsidR="00EA712C" w:rsidRPr="00131DA2" w:rsidRDefault="00EA712C" w:rsidP="00FB6EE9">
            <w:pPr>
              <w:pStyle w:val="TableText0"/>
              <w:jc w:val="center"/>
            </w:pPr>
            <w:r w:rsidRPr="00131DA2">
              <w:t>$</w:t>
            </w:r>
            <w:r w:rsidR="001D7CF9">
              <w:rPr>
                <w:noProof/>
                <w:color w:val="000000"/>
                <w:highlight w:val="black"/>
              </w:rPr>
              <w:t>'''''''''''''''''</w:t>
            </w:r>
          </w:p>
        </w:tc>
        <w:tc>
          <w:tcPr>
            <w:tcW w:w="616" w:type="pct"/>
            <w:shd w:val="clear" w:color="auto" w:fill="auto"/>
            <w:vAlign w:val="center"/>
          </w:tcPr>
          <w:p w14:paraId="68AAC579" w14:textId="77777777" w:rsidR="00EA712C" w:rsidRPr="00131DA2" w:rsidRDefault="00EA712C" w:rsidP="00FB6EE9">
            <w:pPr>
              <w:pStyle w:val="TableText0"/>
              <w:jc w:val="center"/>
            </w:pPr>
            <w:r w:rsidRPr="00131DA2">
              <w:t>0.36</w:t>
            </w:r>
          </w:p>
        </w:tc>
        <w:tc>
          <w:tcPr>
            <w:tcW w:w="616" w:type="pct"/>
            <w:shd w:val="clear" w:color="auto" w:fill="auto"/>
            <w:vAlign w:val="center"/>
          </w:tcPr>
          <w:p w14:paraId="7A66AB70" w14:textId="77777777" w:rsidR="00EA712C" w:rsidRPr="00131DA2" w:rsidRDefault="00EA712C" w:rsidP="00FB6EE9">
            <w:pPr>
              <w:pStyle w:val="TableText0"/>
              <w:jc w:val="center"/>
            </w:pPr>
            <w:r w:rsidRPr="00131DA2">
              <w:rPr>
                <w:rStyle w:val="CommentReference"/>
                <w:b w:val="0"/>
                <w:szCs w:val="24"/>
              </w:rPr>
              <w:t>$</w:t>
            </w:r>
            <w:r w:rsidR="001D7CF9">
              <w:rPr>
                <w:rStyle w:val="CommentReference"/>
                <w:b w:val="0"/>
                <w:noProof/>
                <w:color w:val="000000"/>
                <w:szCs w:val="24"/>
                <w:highlight w:val="black"/>
              </w:rPr>
              <w:t>''''''''''''''''</w:t>
            </w:r>
            <w:r w:rsidR="00A061B8" w:rsidRPr="00A061B8">
              <w:rPr>
                <w:vertAlign w:val="superscript"/>
              </w:rPr>
              <w:t>1</w:t>
            </w:r>
          </w:p>
        </w:tc>
        <w:tc>
          <w:tcPr>
            <w:tcW w:w="615" w:type="pct"/>
            <w:shd w:val="clear" w:color="auto" w:fill="auto"/>
            <w:vAlign w:val="center"/>
          </w:tcPr>
          <w:p w14:paraId="4FCBEAE3" w14:textId="77777777" w:rsidR="00EA712C" w:rsidRPr="00131DA2" w:rsidRDefault="00EA712C" w:rsidP="00FB6EE9">
            <w:pPr>
              <w:pStyle w:val="TableText0"/>
              <w:jc w:val="center"/>
            </w:pPr>
            <w:r w:rsidRPr="00131DA2">
              <w:t>8%</w:t>
            </w:r>
          </w:p>
        </w:tc>
      </w:tr>
      <w:tr w:rsidR="00EA712C" w:rsidRPr="00131DA2" w14:paraId="7DC1542F" w14:textId="77777777" w:rsidTr="00FB6EE9">
        <w:trPr>
          <w:trHeight w:val="19"/>
        </w:trPr>
        <w:tc>
          <w:tcPr>
            <w:tcW w:w="2537" w:type="pct"/>
            <w:shd w:val="clear" w:color="auto" w:fill="auto"/>
          </w:tcPr>
          <w:p w14:paraId="39405E63" w14:textId="77777777" w:rsidR="00EA712C" w:rsidRPr="00131DA2" w:rsidRDefault="00EA712C" w:rsidP="00FB6EE9">
            <w:pPr>
              <w:pStyle w:val="TableText0"/>
            </w:pPr>
            <w:r w:rsidRPr="00131DA2">
              <w:t>Utility decrement for all Grade 3/4 anaemia, thrombocytopenia and neutropenia events included (0.05)</w:t>
            </w:r>
            <w:r w:rsidRPr="00131DA2">
              <w:rPr>
                <w:vertAlign w:val="superscript"/>
              </w:rPr>
              <w:t>c</w:t>
            </w:r>
          </w:p>
        </w:tc>
        <w:tc>
          <w:tcPr>
            <w:tcW w:w="616" w:type="pct"/>
            <w:shd w:val="clear" w:color="auto" w:fill="auto"/>
            <w:vAlign w:val="center"/>
          </w:tcPr>
          <w:p w14:paraId="7571D50D" w14:textId="77777777" w:rsidR="00EA712C" w:rsidRPr="00131DA2" w:rsidRDefault="00EA712C" w:rsidP="00FB6EE9">
            <w:pPr>
              <w:pStyle w:val="TableText0"/>
              <w:jc w:val="center"/>
            </w:pPr>
            <w:r w:rsidRPr="00131DA2">
              <w:t>$</w:t>
            </w:r>
            <w:r w:rsidR="001D7CF9">
              <w:rPr>
                <w:noProof/>
                <w:color w:val="000000"/>
                <w:highlight w:val="black"/>
              </w:rPr>
              <w:t>'''''''''''''''</w:t>
            </w:r>
          </w:p>
        </w:tc>
        <w:tc>
          <w:tcPr>
            <w:tcW w:w="616" w:type="pct"/>
            <w:shd w:val="clear" w:color="auto" w:fill="auto"/>
            <w:vAlign w:val="center"/>
          </w:tcPr>
          <w:p w14:paraId="2B0752CD" w14:textId="77777777" w:rsidR="00EA712C" w:rsidRPr="00131DA2" w:rsidRDefault="00EA712C" w:rsidP="00FB6EE9">
            <w:pPr>
              <w:pStyle w:val="TableText0"/>
              <w:jc w:val="center"/>
            </w:pPr>
            <w:r w:rsidRPr="00131DA2">
              <w:t>0.34</w:t>
            </w:r>
          </w:p>
        </w:tc>
        <w:tc>
          <w:tcPr>
            <w:tcW w:w="616" w:type="pct"/>
            <w:shd w:val="clear" w:color="auto" w:fill="auto"/>
            <w:vAlign w:val="center"/>
          </w:tcPr>
          <w:p w14:paraId="53005EB5" w14:textId="77777777" w:rsidR="00EA712C" w:rsidRPr="00131DA2" w:rsidRDefault="00EA712C" w:rsidP="00FB6EE9">
            <w:pPr>
              <w:pStyle w:val="TableText0"/>
              <w:jc w:val="center"/>
            </w:pPr>
            <w:r w:rsidRPr="00131DA2">
              <w:rPr>
                <w:rStyle w:val="CommentReference"/>
                <w:b w:val="0"/>
                <w:szCs w:val="24"/>
              </w:rPr>
              <w:t>$</w:t>
            </w:r>
            <w:r w:rsidR="001D7CF9">
              <w:rPr>
                <w:rStyle w:val="CommentReference"/>
                <w:b w:val="0"/>
                <w:noProof/>
                <w:color w:val="000000"/>
                <w:szCs w:val="24"/>
                <w:highlight w:val="black"/>
              </w:rPr>
              <w:t>''''''''''''''''</w:t>
            </w:r>
            <w:r w:rsidR="00A061B8" w:rsidRPr="00A061B8">
              <w:rPr>
                <w:vertAlign w:val="superscript"/>
              </w:rPr>
              <w:t>1</w:t>
            </w:r>
          </w:p>
        </w:tc>
        <w:tc>
          <w:tcPr>
            <w:tcW w:w="615" w:type="pct"/>
            <w:shd w:val="clear" w:color="auto" w:fill="auto"/>
            <w:vAlign w:val="center"/>
          </w:tcPr>
          <w:p w14:paraId="503E3698" w14:textId="77777777" w:rsidR="00EA712C" w:rsidRPr="00131DA2" w:rsidRDefault="00EA712C" w:rsidP="00FB6EE9">
            <w:pPr>
              <w:pStyle w:val="TableText0"/>
              <w:jc w:val="center"/>
            </w:pPr>
            <w:r w:rsidRPr="00131DA2">
              <w:t>14%</w:t>
            </w:r>
          </w:p>
        </w:tc>
      </w:tr>
      <w:tr w:rsidR="00EA712C" w:rsidRPr="00131DA2" w14:paraId="45E15C78" w14:textId="77777777" w:rsidTr="00FB6EE9">
        <w:trPr>
          <w:trHeight w:val="19"/>
        </w:trPr>
        <w:tc>
          <w:tcPr>
            <w:tcW w:w="2537" w:type="pct"/>
            <w:shd w:val="clear" w:color="auto" w:fill="auto"/>
            <w:vAlign w:val="center"/>
          </w:tcPr>
          <w:p w14:paraId="7CC78FA6" w14:textId="77777777" w:rsidR="00EA712C" w:rsidRPr="00131DA2" w:rsidRDefault="00EA712C" w:rsidP="00FB6EE9">
            <w:pPr>
              <w:pStyle w:val="TableText0"/>
              <w:rPr>
                <w:b/>
              </w:rPr>
            </w:pPr>
            <w:r w:rsidRPr="00131DA2">
              <w:rPr>
                <w:b/>
              </w:rPr>
              <w:t xml:space="preserve">Dose intensity (based on the PRIMA ISD cohort) </w:t>
            </w:r>
          </w:p>
        </w:tc>
        <w:tc>
          <w:tcPr>
            <w:tcW w:w="616" w:type="pct"/>
            <w:shd w:val="clear" w:color="auto" w:fill="auto"/>
            <w:vAlign w:val="center"/>
          </w:tcPr>
          <w:p w14:paraId="0EDEC7D2" w14:textId="77777777" w:rsidR="00EA712C" w:rsidRPr="00131DA2" w:rsidRDefault="00EA712C" w:rsidP="00FB6EE9">
            <w:pPr>
              <w:pStyle w:val="TableText0"/>
              <w:jc w:val="center"/>
            </w:pPr>
          </w:p>
        </w:tc>
        <w:tc>
          <w:tcPr>
            <w:tcW w:w="616" w:type="pct"/>
            <w:shd w:val="clear" w:color="auto" w:fill="auto"/>
            <w:vAlign w:val="center"/>
          </w:tcPr>
          <w:p w14:paraId="13A48827" w14:textId="77777777" w:rsidR="00EA712C" w:rsidRPr="00131DA2" w:rsidRDefault="00EA712C" w:rsidP="00FB6EE9">
            <w:pPr>
              <w:pStyle w:val="TableText0"/>
              <w:jc w:val="center"/>
            </w:pPr>
          </w:p>
        </w:tc>
        <w:tc>
          <w:tcPr>
            <w:tcW w:w="616" w:type="pct"/>
            <w:shd w:val="clear" w:color="auto" w:fill="auto"/>
            <w:vAlign w:val="center"/>
          </w:tcPr>
          <w:p w14:paraId="2A07F0DF" w14:textId="77777777" w:rsidR="00EA712C" w:rsidRPr="00131DA2" w:rsidRDefault="00EA712C" w:rsidP="00FB6EE9">
            <w:pPr>
              <w:pStyle w:val="TableText0"/>
              <w:jc w:val="center"/>
            </w:pPr>
          </w:p>
        </w:tc>
        <w:tc>
          <w:tcPr>
            <w:tcW w:w="615" w:type="pct"/>
            <w:shd w:val="clear" w:color="auto" w:fill="auto"/>
            <w:vAlign w:val="center"/>
          </w:tcPr>
          <w:p w14:paraId="0DB07767" w14:textId="77777777" w:rsidR="00EA712C" w:rsidRPr="00131DA2" w:rsidRDefault="00EA712C" w:rsidP="00FB6EE9">
            <w:pPr>
              <w:pStyle w:val="TableText0"/>
              <w:jc w:val="center"/>
            </w:pPr>
          </w:p>
        </w:tc>
      </w:tr>
      <w:tr w:rsidR="00EA712C" w:rsidRPr="00131DA2" w14:paraId="316D0AF9" w14:textId="77777777" w:rsidTr="00FB6EE9">
        <w:trPr>
          <w:trHeight w:val="19"/>
        </w:trPr>
        <w:tc>
          <w:tcPr>
            <w:tcW w:w="2537" w:type="pct"/>
            <w:shd w:val="clear" w:color="auto" w:fill="auto"/>
          </w:tcPr>
          <w:p w14:paraId="71A54E51" w14:textId="77777777" w:rsidR="00EA712C" w:rsidRPr="00131DA2" w:rsidRDefault="00EA712C" w:rsidP="00FB6EE9">
            <w:pPr>
              <w:pStyle w:val="TableText0"/>
            </w:pPr>
            <w:r w:rsidRPr="00131DA2">
              <w:t>PRIMA ITT cohort</w:t>
            </w:r>
          </w:p>
        </w:tc>
        <w:tc>
          <w:tcPr>
            <w:tcW w:w="616" w:type="pct"/>
            <w:shd w:val="clear" w:color="auto" w:fill="auto"/>
            <w:vAlign w:val="center"/>
          </w:tcPr>
          <w:p w14:paraId="6DBA7AC0" w14:textId="77777777" w:rsidR="00EA712C" w:rsidRPr="00131DA2" w:rsidRDefault="00EA712C" w:rsidP="00FB6EE9">
            <w:pPr>
              <w:pStyle w:val="TableText0"/>
              <w:jc w:val="center"/>
            </w:pPr>
            <w:r w:rsidRPr="00131DA2">
              <w:t>$</w:t>
            </w:r>
            <w:r w:rsidR="001D7CF9">
              <w:rPr>
                <w:noProof/>
                <w:color w:val="000000"/>
                <w:highlight w:val="black"/>
              </w:rPr>
              <w:t>''''''''''''''''''</w:t>
            </w:r>
          </w:p>
        </w:tc>
        <w:tc>
          <w:tcPr>
            <w:tcW w:w="616" w:type="pct"/>
            <w:shd w:val="clear" w:color="auto" w:fill="auto"/>
            <w:vAlign w:val="center"/>
          </w:tcPr>
          <w:p w14:paraId="2604055F" w14:textId="77777777" w:rsidR="00EA712C" w:rsidRPr="00131DA2" w:rsidRDefault="00EA712C" w:rsidP="00FB6EE9">
            <w:pPr>
              <w:pStyle w:val="TableText0"/>
              <w:jc w:val="center"/>
            </w:pPr>
            <w:r w:rsidRPr="00131DA2">
              <w:t>0.39</w:t>
            </w:r>
          </w:p>
        </w:tc>
        <w:tc>
          <w:tcPr>
            <w:tcW w:w="616" w:type="pct"/>
            <w:shd w:val="clear" w:color="auto" w:fill="auto"/>
            <w:vAlign w:val="center"/>
          </w:tcPr>
          <w:p w14:paraId="034EDD77" w14:textId="4C837219" w:rsidR="00EA712C" w:rsidRPr="00131DA2" w:rsidRDefault="00EA712C" w:rsidP="00FB6EE9">
            <w:pPr>
              <w:pStyle w:val="TableText0"/>
              <w:jc w:val="center"/>
            </w:pPr>
            <w:r w:rsidRPr="00131DA2">
              <w:t>$</w:t>
            </w:r>
            <w:r w:rsidR="001D7CF9">
              <w:rPr>
                <w:noProof/>
                <w:color w:val="000000"/>
                <w:highlight w:val="black"/>
              </w:rPr>
              <w:t>''''''''''''''''</w:t>
            </w:r>
            <w:r w:rsidRPr="00131DA2">
              <w:rPr>
                <w:vertAlign w:val="superscript"/>
              </w:rPr>
              <w:t>a</w:t>
            </w:r>
            <w:r w:rsidR="002D1D4D">
              <w:rPr>
                <w:vertAlign w:val="superscript"/>
              </w:rPr>
              <w:t>,</w:t>
            </w:r>
            <w:r w:rsidR="00A061B8" w:rsidRPr="00A061B8">
              <w:rPr>
                <w:vertAlign w:val="superscript"/>
              </w:rPr>
              <w:t>1</w:t>
            </w:r>
          </w:p>
        </w:tc>
        <w:tc>
          <w:tcPr>
            <w:tcW w:w="615" w:type="pct"/>
            <w:shd w:val="clear" w:color="auto" w:fill="auto"/>
            <w:vAlign w:val="center"/>
          </w:tcPr>
          <w:p w14:paraId="0392CA71" w14:textId="77777777" w:rsidR="00EA712C" w:rsidRPr="00131DA2" w:rsidRDefault="00EA712C" w:rsidP="00FB6EE9">
            <w:pPr>
              <w:pStyle w:val="TableText0"/>
              <w:jc w:val="center"/>
            </w:pPr>
            <w:r w:rsidRPr="00131DA2">
              <w:t>18%</w:t>
            </w:r>
          </w:p>
        </w:tc>
      </w:tr>
      <w:tr w:rsidR="00EA712C" w:rsidRPr="00131DA2" w14:paraId="26516DA7" w14:textId="77777777" w:rsidTr="00FB6EE9">
        <w:trPr>
          <w:trHeight w:val="19"/>
        </w:trPr>
        <w:tc>
          <w:tcPr>
            <w:tcW w:w="2537" w:type="pct"/>
            <w:shd w:val="clear" w:color="auto" w:fill="auto"/>
          </w:tcPr>
          <w:p w14:paraId="3F4ACC96" w14:textId="77777777" w:rsidR="00EA712C" w:rsidRPr="00131DA2" w:rsidRDefault="00EA712C" w:rsidP="00FB6EE9">
            <w:pPr>
              <w:pStyle w:val="TableText0"/>
              <w:rPr>
                <w:b/>
              </w:rPr>
            </w:pPr>
            <w:r w:rsidRPr="00131DA2">
              <w:rPr>
                <w:b/>
              </w:rPr>
              <w:t>OS extrapolation: Log-normal</w:t>
            </w:r>
          </w:p>
        </w:tc>
        <w:tc>
          <w:tcPr>
            <w:tcW w:w="616" w:type="pct"/>
            <w:shd w:val="clear" w:color="auto" w:fill="auto"/>
            <w:vAlign w:val="center"/>
          </w:tcPr>
          <w:p w14:paraId="339774CA" w14:textId="77777777" w:rsidR="00EA712C" w:rsidRPr="00131DA2" w:rsidRDefault="00EA712C" w:rsidP="00FB6EE9">
            <w:pPr>
              <w:pStyle w:val="TableText0"/>
              <w:jc w:val="center"/>
            </w:pPr>
          </w:p>
        </w:tc>
        <w:tc>
          <w:tcPr>
            <w:tcW w:w="616" w:type="pct"/>
            <w:shd w:val="clear" w:color="auto" w:fill="auto"/>
            <w:vAlign w:val="center"/>
          </w:tcPr>
          <w:p w14:paraId="546846E4" w14:textId="77777777" w:rsidR="00EA712C" w:rsidRPr="00131DA2" w:rsidRDefault="00EA712C" w:rsidP="00FB6EE9">
            <w:pPr>
              <w:pStyle w:val="TableText0"/>
              <w:jc w:val="center"/>
            </w:pPr>
          </w:p>
        </w:tc>
        <w:tc>
          <w:tcPr>
            <w:tcW w:w="616" w:type="pct"/>
            <w:shd w:val="clear" w:color="auto" w:fill="auto"/>
            <w:vAlign w:val="center"/>
          </w:tcPr>
          <w:p w14:paraId="3F748D0B" w14:textId="77777777" w:rsidR="00EA712C" w:rsidRPr="00131DA2" w:rsidRDefault="00EA712C" w:rsidP="00FB6EE9">
            <w:pPr>
              <w:pStyle w:val="TableText0"/>
              <w:jc w:val="center"/>
            </w:pPr>
          </w:p>
        </w:tc>
        <w:tc>
          <w:tcPr>
            <w:tcW w:w="615" w:type="pct"/>
            <w:shd w:val="clear" w:color="auto" w:fill="auto"/>
            <w:vAlign w:val="center"/>
          </w:tcPr>
          <w:p w14:paraId="7553AE44" w14:textId="77777777" w:rsidR="00EA712C" w:rsidRPr="00131DA2" w:rsidRDefault="00EA712C" w:rsidP="00FB6EE9">
            <w:pPr>
              <w:pStyle w:val="TableText0"/>
              <w:jc w:val="center"/>
            </w:pPr>
          </w:p>
        </w:tc>
      </w:tr>
      <w:tr w:rsidR="00EA712C" w:rsidRPr="00131DA2" w14:paraId="71A22573" w14:textId="77777777" w:rsidTr="00FB6EE9">
        <w:trPr>
          <w:trHeight w:val="19"/>
        </w:trPr>
        <w:tc>
          <w:tcPr>
            <w:tcW w:w="2537" w:type="pct"/>
            <w:shd w:val="clear" w:color="auto" w:fill="auto"/>
          </w:tcPr>
          <w:p w14:paraId="1CE85864" w14:textId="77777777" w:rsidR="00EA712C" w:rsidRPr="00131DA2" w:rsidRDefault="00EA712C" w:rsidP="00FB6EE9">
            <w:pPr>
              <w:pStyle w:val="TableText0"/>
            </w:pPr>
            <w:r w:rsidRPr="00131DA2">
              <w:t>Weibull</w:t>
            </w:r>
          </w:p>
        </w:tc>
        <w:tc>
          <w:tcPr>
            <w:tcW w:w="616" w:type="pct"/>
            <w:shd w:val="clear" w:color="auto" w:fill="auto"/>
            <w:vAlign w:val="center"/>
          </w:tcPr>
          <w:p w14:paraId="1893BB10" w14:textId="77777777" w:rsidR="00EA712C" w:rsidRPr="00131DA2" w:rsidRDefault="00EA712C" w:rsidP="00FB6EE9">
            <w:pPr>
              <w:pStyle w:val="TableText0"/>
              <w:jc w:val="center"/>
            </w:pPr>
            <w:r w:rsidRPr="00131DA2">
              <w:t>$</w:t>
            </w:r>
            <w:r w:rsidR="001D7CF9">
              <w:rPr>
                <w:noProof/>
                <w:color w:val="000000"/>
                <w:highlight w:val="black"/>
              </w:rPr>
              <w:t>''''''''''''''''</w:t>
            </w:r>
          </w:p>
        </w:tc>
        <w:tc>
          <w:tcPr>
            <w:tcW w:w="616" w:type="pct"/>
            <w:shd w:val="clear" w:color="auto" w:fill="auto"/>
            <w:vAlign w:val="center"/>
          </w:tcPr>
          <w:p w14:paraId="767C1A45" w14:textId="77777777" w:rsidR="00EA712C" w:rsidRPr="00131DA2" w:rsidRDefault="00EA712C" w:rsidP="00FB6EE9">
            <w:pPr>
              <w:pStyle w:val="TableText0"/>
              <w:jc w:val="center"/>
            </w:pPr>
            <w:r w:rsidRPr="00131DA2">
              <w:t>0.29</w:t>
            </w:r>
          </w:p>
        </w:tc>
        <w:tc>
          <w:tcPr>
            <w:tcW w:w="616" w:type="pct"/>
            <w:shd w:val="clear" w:color="auto" w:fill="auto"/>
            <w:vAlign w:val="center"/>
          </w:tcPr>
          <w:p w14:paraId="1208B185" w14:textId="77777777" w:rsidR="00EA712C" w:rsidRPr="00131DA2" w:rsidRDefault="00EA712C" w:rsidP="00FB6EE9">
            <w:pPr>
              <w:pStyle w:val="TableText0"/>
              <w:jc w:val="center"/>
            </w:pPr>
            <w:r w:rsidRPr="00131DA2">
              <w:t>$</w:t>
            </w:r>
            <w:r w:rsidR="001D7CF9">
              <w:rPr>
                <w:noProof/>
                <w:color w:val="000000"/>
                <w:highlight w:val="black"/>
              </w:rPr>
              <w:t>'''''''''''''''''</w:t>
            </w:r>
            <w:r w:rsidR="00A061B8">
              <w:rPr>
                <w:vertAlign w:val="superscript"/>
              </w:rPr>
              <w:t>2</w:t>
            </w:r>
          </w:p>
        </w:tc>
        <w:tc>
          <w:tcPr>
            <w:tcW w:w="615" w:type="pct"/>
            <w:shd w:val="clear" w:color="auto" w:fill="auto"/>
            <w:vAlign w:val="center"/>
          </w:tcPr>
          <w:p w14:paraId="728EF6E2" w14:textId="77777777" w:rsidR="00EA712C" w:rsidRPr="00131DA2" w:rsidRDefault="00EA712C" w:rsidP="00FB6EE9">
            <w:pPr>
              <w:pStyle w:val="TableText0"/>
              <w:jc w:val="center"/>
            </w:pPr>
            <w:r w:rsidRPr="00131DA2">
              <w:t>38%</w:t>
            </w:r>
          </w:p>
        </w:tc>
      </w:tr>
      <w:tr w:rsidR="00EA712C" w:rsidRPr="00131DA2" w14:paraId="77777407" w14:textId="77777777" w:rsidTr="00FB6EE9">
        <w:trPr>
          <w:trHeight w:val="19"/>
        </w:trPr>
        <w:tc>
          <w:tcPr>
            <w:tcW w:w="2537" w:type="pct"/>
            <w:shd w:val="clear" w:color="auto" w:fill="auto"/>
          </w:tcPr>
          <w:p w14:paraId="74839599" w14:textId="77777777" w:rsidR="00EA712C" w:rsidRPr="00131DA2" w:rsidRDefault="00EA712C" w:rsidP="00FB6EE9">
            <w:pPr>
              <w:pStyle w:val="TableText0"/>
            </w:pPr>
            <w:r w:rsidRPr="00131DA2">
              <w:t>Log-logistic</w:t>
            </w:r>
          </w:p>
        </w:tc>
        <w:tc>
          <w:tcPr>
            <w:tcW w:w="616" w:type="pct"/>
            <w:shd w:val="clear" w:color="auto" w:fill="auto"/>
            <w:vAlign w:val="center"/>
          </w:tcPr>
          <w:p w14:paraId="770F1347" w14:textId="77777777" w:rsidR="00EA712C" w:rsidRPr="00131DA2" w:rsidRDefault="00EA712C" w:rsidP="00FB6EE9">
            <w:pPr>
              <w:pStyle w:val="TableText0"/>
              <w:jc w:val="center"/>
            </w:pPr>
            <w:r w:rsidRPr="00131DA2">
              <w:t>$</w:t>
            </w:r>
            <w:r w:rsidR="001D7CF9">
              <w:rPr>
                <w:noProof/>
                <w:color w:val="000000"/>
                <w:highlight w:val="black"/>
              </w:rPr>
              <w:t>''''''''''''''''</w:t>
            </w:r>
          </w:p>
        </w:tc>
        <w:tc>
          <w:tcPr>
            <w:tcW w:w="616" w:type="pct"/>
            <w:shd w:val="clear" w:color="auto" w:fill="auto"/>
            <w:vAlign w:val="center"/>
          </w:tcPr>
          <w:p w14:paraId="18637F02" w14:textId="77777777" w:rsidR="00EA712C" w:rsidRPr="00131DA2" w:rsidRDefault="00EA712C" w:rsidP="00FB6EE9">
            <w:pPr>
              <w:pStyle w:val="TableText0"/>
              <w:jc w:val="center"/>
            </w:pPr>
            <w:r w:rsidRPr="00131DA2">
              <w:t>0.34</w:t>
            </w:r>
          </w:p>
        </w:tc>
        <w:tc>
          <w:tcPr>
            <w:tcW w:w="616" w:type="pct"/>
            <w:shd w:val="clear" w:color="auto" w:fill="auto"/>
            <w:vAlign w:val="center"/>
          </w:tcPr>
          <w:p w14:paraId="3C0C3F14" w14:textId="77777777" w:rsidR="00EA712C" w:rsidRPr="00131DA2" w:rsidRDefault="00EA712C" w:rsidP="00FB6EE9">
            <w:pPr>
              <w:pStyle w:val="TableText0"/>
              <w:jc w:val="center"/>
            </w:pPr>
            <w:r w:rsidRPr="00131DA2">
              <w:t>$</w:t>
            </w:r>
            <w:r w:rsidR="001D7CF9">
              <w:rPr>
                <w:noProof/>
                <w:color w:val="000000"/>
                <w:highlight w:val="black"/>
              </w:rPr>
              <w:t>'''''''''''''''''</w:t>
            </w:r>
            <w:r w:rsidR="00A061B8" w:rsidRPr="00A061B8">
              <w:rPr>
                <w:vertAlign w:val="superscript"/>
              </w:rPr>
              <w:t>1</w:t>
            </w:r>
          </w:p>
        </w:tc>
        <w:tc>
          <w:tcPr>
            <w:tcW w:w="615" w:type="pct"/>
            <w:shd w:val="clear" w:color="auto" w:fill="auto"/>
            <w:vAlign w:val="center"/>
          </w:tcPr>
          <w:p w14:paraId="3CDCA374" w14:textId="77777777" w:rsidR="00EA712C" w:rsidRPr="00131DA2" w:rsidRDefault="00EA712C" w:rsidP="00FB6EE9">
            <w:pPr>
              <w:pStyle w:val="TableText0"/>
              <w:jc w:val="center"/>
            </w:pPr>
            <w:r w:rsidRPr="00131DA2">
              <w:t>15%</w:t>
            </w:r>
          </w:p>
        </w:tc>
      </w:tr>
      <w:tr w:rsidR="00EA712C" w:rsidRPr="00131DA2" w14:paraId="5F72B4EB" w14:textId="77777777" w:rsidTr="00FB6EE9">
        <w:trPr>
          <w:trHeight w:val="19"/>
        </w:trPr>
        <w:tc>
          <w:tcPr>
            <w:tcW w:w="2537" w:type="pct"/>
            <w:shd w:val="clear" w:color="auto" w:fill="auto"/>
          </w:tcPr>
          <w:p w14:paraId="3CAB170C" w14:textId="77777777" w:rsidR="00EA712C" w:rsidRPr="00131DA2" w:rsidRDefault="00EA712C" w:rsidP="00FB6EE9">
            <w:pPr>
              <w:pStyle w:val="TableText0"/>
            </w:pPr>
            <w:r w:rsidRPr="00131DA2">
              <w:t>Gamma</w:t>
            </w:r>
          </w:p>
        </w:tc>
        <w:tc>
          <w:tcPr>
            <w:tcW w:w="616" w:type="pct"/>
            <w:shd w:val="clear" w:color="auto" w:fill="auto"/>
            <w:vAlign w:val="center"/>
          </w:tcPr>
          <w:p w14:paraId="0A9FED6C" w14:textId="77777777" w:rsidR="00EA712C" w:rsidRPr="00131DA2" w:rsidRDefault="00EA712C" w:rsidP="00FB6EE9">
            <w:pPr>
              <w:pStyle w:val="TableText0"/>
              <w:jc w:val="center"/>
            </w:pPr>
            <w:r w:rsidRPr="00131DA2">
              <w:t>$</w:t>
            </w:r>
            <w:r w:rsidR="001D7CF9">
              <w:rPr>
                <w:noProof/>
                <w:color w:val="000000"/>
                <w:highlight w:val="black"/>
              </w:rPr>
              <w:t>'''''''''''''''</w:t>
            </w:r>
          </w:p>
        </w:tc>
        <w:tc>
          <w:tcPr>
            <w:tcW w:w="616" w:type="pct"/>
            <w:shd w:val="clear" w:color="auto" w:fill="auto"/>
            <w:vAlign w:val="center"/>
          </w:tcPr>
          <w:p w14:paraId="3463F558" w14:textId="77777777" w:rsidR="00EA712C" w:rsidRPr="00131DA2" w:rsidRDefault="00EA712C" w:rsidP="00FB6EE9">
            <w:pPr>
              <w:pStyle w:val="TableText0"/>
              <w:jc w:val="center"/>
            </w:pPr>
            <w:r w:rsidRPr="00131DA2">
              <w:t>0.33</w:t>
            </w:r>
          </w:p>
        </w:tc>
        <w:tc>
          <w:tcPr>
            <w:tcW w:w="616" w:type="pct"/>
            <w:shd w:val="clear" w:color="auto" w:fill="auto"/>
            <w:vAlign w:val="center"/>
          </w:tcPr>
          <w:p w14:paraId="79C7F1C7" w14:textId="77777777" w:rsidR="00EA712C" w:rsidRPr="00131DA2" w:rsidRDefault="00EA712C" w:rsidP="00FB6EE9">
            <w:pPr>
              <w:pStyle w:val="TableText0"/>
              <w:jc w:val="center"/>
            </w:pPr>
            <w:r w:rsidRPr="00131DA2">
              <w:t>$</w:t>
            </w:r>
            <w:r w:rsidR="001D7CF9">
              <w:rPr>
                <w:noProof/>
                <w:color w:val="000000"/>
                <w:highlight w:val="black"/>
              </w:rPr>
              <w:t>'''''''''''''''''</w:t>
            </w:r>
            <w:r w:rsidR="00A061B8" w:rsidRPr="00A061B8">
              <w:rPr>
                <w:vertAlign w:val="superscript"/>
              </w:rPr>
              <w:t>1</w:t>
            </w:r>
          </w:p>
        </w:tc>
        <w:tc>
          <w:tcPr>
            <w:tcW w:w="615" w:type="pct"/>
            <w:shd w:val="clear" w:color="auto" w:fill="auto"/>
            <w:vAlign w:val="center"/>
          </w:tcPr>
          <w:p w14:paraId="06936412" w14:textId="77777777" w:rsidR="00EA712C" w:rsidRPr="00131DA2" w:rsidRDefault="00EA712C" w:rsidP="00FB6EE9">
            <w:pPr>
              <w:pStyle w:val="TableText0"/>
              <w:jc w:val="center"/>
            </w:pPr>
            <w:r w:rsidRPr="00131DA2">
              <w:t>21%</w:t>
            </w:r>
          </w:p>
        </w:tc>
      </w:tr>
      <w:tr w:rsidR="00EA712C" w:rsidRPr="00131DA2" w14:paraId="57BE4801" w14:textId="77777777" w:rsidTr="00FB6EE9">
        <w:trPr>
          <w:trHeight w:val="19"/>
        </w:trPr>
        <w:tc>
          <w:tcPr>
            <w:tcW w:w="2537" w:type="pct"/>
            <w:shd w:val="clear" w:color="auto" w:fill="auto"/>
          </w:tcPr>
          <w:p w14:paraId="4E9385EB" w14:textId="77777777" w:rsidR="00EA712C" w:rsidRPr="00131DA2" w:rsidRDefault="00EA712C" w:rsidP="00FB6EE9">
            <w:pPr>
              <w:pStyle w:val="TableText0"/>
              <w:rPr>
                <w:b/>
              </w:rPr>
            </w:pPr>
            <w:r w:rsidRPr="00131DA2">
              <w:rPr>
                <w:b/>
              </w:rPr>
              <w:t>OS KM truncation time point: 15.3 months</w:t>
            </w:r>
          </w:p>
        </w:tc>
        <w:tc>
          <w:tcPr>
            <w:tcW w:w="616" w:type="pct"/>
            <w:shd w:val="clear" w:color="auto" w:fill="auto"/>
            <w:vAlign w:val="center"/>
          </w:tcPr>
          <w:p w14:paraId="0C856D74" w14:textId="77777777" w:rsidR="00EA712C" w:rsidRPr="00131DA2" w:rsidRDefault="00EA712C" w:rsidP="00FB6EE9">
            <w:pPr>
              <w:pStyle w:val="TableText0"/>
              <w:jc w:val="center"/>
            </w:pPr>
          </w:p>
        </w:tc>
        <w:tc>
          <w:tcPr>
            <w:tcW w:w="616" w:type="pct"/>
            <w:shd w:val="clear" w:color="auto" w:fill="auto"/>
            <w:vAlign w:val="center"/>
          </w:tcPr>
          <w:p w14:paraId="75C4AFE3" w14:textId="77777777" w:rsidR="00EA712C" w:rsidRPr="00131DA2" w:rsidRDefault="00EA712C" w:rsidP="00FB6EE9">
            <w:pPr>
              <w:pStyle w:val="TableText0"/>
              <w:jc w:val="center"/>
            </w:pPr>
          </w:p>
        </w:tc>
        <w:tc>
          <w:tcPr>
            <w:tcW w:w="616" w:type="pct"/>
            <w:shd w:val="clear" w:color="auto" w:fill="auto"/>
            <w:vAlign w:val="center"/>
          </w:tcPr>
          <w:p w14:paraId="159C92E0" w14:textId="77777777" w:rsidR="00EA712C" w:rsidRPr="00131DA2" w:rsidRDefault="00EA712C" w:rsidP="00FB6EE9">
            <w:pPr>
              <w:pStyle w:val="TableText0"/>
              <w:jc w:val="center"/>
            </w:pPr>
          </w:p>
        </w:tc>
        <w:tc>
          <w:tcPr>
            <w:tcW w:w="615" w:type="pct"/>
            <w:shd w:val="clear" w:color="auto" w:fill="auto"/>
            <w:vAlign w:val="center"/>
          </w:tcPr>
          <w:p w14:paraId="32BB5525" w14:textId="77777777" w:rsidR="00EA712C" w:rsidRPr="00131DA2" w:rsidRDefault="00EA712C" w:rsidP="00FB6EE9">
            <w:pPr>
              <w:pStyle w:val="TableText0"/>
              <w:jc w:val="center"/>
            </w:pPr>
          </w:p>
        </w:tc>
      </w:tr>
      <w:tr w:rsidR="00EA712C" w:rsidRPr="00131DA2" w14:paraId="370E12B9" w14:textId="77777777" w:rsidTr="00FB6EE9">
        <w:trPr>
          <w:trHeight w:val="19"/>
        </w:trPr>
        <w:tc>
          <w:tcPr>
            <w:tcW w:w="2537" w:type="pct"/>
            <w:shd w:val="clear" w:color="auto" w:fill="auto"/>
          </w:tcPr>
          <w:p w14:paraId="39DD26DB" w14:textId="77777777" w:rsidR="00EA712C" w:rsidRPr="00131DA2" w:rsidRDefault="00EA712C" w:rsidP="00FB6EE9">
            <w:pPr>
              <w:pStyle w:val="TableText0"/>
            </w:pPr>
            <w:r w:rsidRPr="00131DA2">
              <w:t>Niraparib: 13.9 months, no active treatment: 13.8 months (PFS median follow-up time)</w:t>
            </w:r>
          </w:p>
        </w:tc>
        <w:tc>
          <w:tcPr>
            <w:tcW w:w="616" w:type="pct"/>
            <w:shd w:val="clear" w:color="auto" w:fill="auto"/>
            <w:vAlign w:val="center"/>
          </w:tcPr>
          <w:p w14:paraId="742866E3" w14:textId="77777777" w:rsidR="00EA712C" w:rsidRPr="00131DA2" w:rsidRDefault="00EA712C" w:rsidP="00FB6EE9">
            <w:pPr>
              <w:pStyle w:val="TableText0"/>
              <w:jc w:val="center"/>
            </w:pPr>
            <w:r w:rsidRPr="00131DA2">
              <w:t>$</w:t>
            </w:r>
            <w:r w:rsidR="001D7CF9">
              <w:rPr>
                <w:noProof/>
                <w:color w:val="000000"/>
                <w:highlight w:val="black"/>
              </w:rPr>
              <w:t>'''''''''''''''''</w:t>
            </w:r>
          </w:p>
        </w:tc>
        <w:tc>
          <w:tcPr>
            <w:tcW w:w="616" w:type="pct"/>
            <w:shd w:val="clear" w:color="auto" w:fill="auto"/>
            <w:vAlign w:val="center"/>
          </w:tcPr>
          <w:p w14:paraId="4D000FAB" w14:textId="77777777" w:rsidR="00EA712C" w:rsidRPr="00131DA2" w:rsidRDefault="00EA712C" w:rsidP="00FB6EE9">
            <w:pPr>
              <w:pStyle w:val="TableText0"/>
              <w:jc w:val="center"/>
            </w:pPr>
            <w:r w:rsidRPr="00131DA2">
              <w:t>0.34</w:t>
            </w:r>
          </w:p>
        </w:tc>
        <w:tc>
          <w:tcPr>
            <w:tcW w:w="616" w:type="pct"/>
            <w:shd w:val="clear" w:color="auto" w:fill="auto"/>
            <w:vAlign w:val="center"/>
          </w:tcPr>
          <w:p w14:paraId="1666010B" w14:textId="77777777" w:rsidR="00EA712C" w:rsidRPr="00131DA2" w:rsidRDefault="00EA712C" w:rsidP="00FB6EE9">
            <w:pPr>
              <w:pStyle w:val="TableText0"/>
              <w:jc w:val="center"/>
            </w:pPr>
            <w:r w:rsidRPr="00131DA2">
              <w:t>$</w:t>
            </w:r>
            <w:r w:rsidR="001D7CF9">
              <w:rPr>
                <w:noProof/>
                <w:color w:val="000000"/>
                <w:highlight w:val="black"/>
              </w:rPr>
              <w:t>'''''''''''''''</w:t>
            </w:r>
            <w:r w:rsidR="00A061B8" w:rsidRPr="00A061B8">
              <w:rPr>
                <w:vertAlign w:val="superscript"/>
              </w:rPr>
              <w:t>1</w:t>
            </w:r>
          </w:p>
        </w:tc>
        <w:tc>
          <w:tcPr>
            <w:tcW w:w="615" w:type="pct"/>
            <w:shd w:val="clear" w:color="auto" w:fill="auto"/>
            <w:vAlign w:val="center"/>
          </w:tcPr>
          <w:p w14:paraId="6242C861" w14:textId="77777777" w:rsidR="00EA712C" w:rsidRPr="00131DA2" w:rsidRDefault="00EA712C" w:rsidP="00FB6EE9">
            <w:pPr>
              <w:pStyle w:val="TableText0"/>
              <w:jc w:val="center"/>
            </w:pPr>
            <w:r w:rsidRPr="00131DA2">
              <w:t>17%</w:t>
            </w:r>
          </w:p>
        </w:tc>
      </w:tr>
      <w:tr w:rsidR="00EA712C" w:rsidRPr="00131DA2" w14:paraId="30DAECF4" w14:textId="77777777" w:rsidTr="00FB6EE9">
        <w:trPr>
          <w:trHeight w:val="19"/>
        </w:trPr>
        <w:tc>
          <w:tcPr>
            <w:tcW w:w="2537" w:type="pct"/>
            <w:shd w:val="clear" w:color="auto" w:fill="auto"/>
          </w:tcPr>
          <w:p w14:paraId="31F102BF" w14:textId="77777777" w:rsidR="00EA712C" w:rsidRPr="00131DA2" w:rsidRDefault="00EA712C" w:rsidP="00FB6EE9">
            <w:pPr>
              <w:pStyle w:val="TableText0"/>
              <w:rPr>
                <w:b/>
              </w:rPr>
            </w:pPr>
            <w:r w:rsidRPr="00131DA2">
              <w:rPr>
                <w:b/>
              </w:rPr>
              <w:t>TTD extrapolation: Exponential</w:t>
            </w:r>
          </w:p>
        </w:tc>
        <w:tc>
          <w:tcPr>
            <w:tcW w:w="616" w:type="pct"/>
            <w:shd w:val="clear" w:color="auto" w:fill="auto"/>
            <w:vAlign w:val="center"/>
          </w:tcPr>
          <w:p w14:paraId="0603346E" w14:textId="77777777" w:rsidR="00EA712C" w:rsidRPr="00131DA2" w:rsidRDefault="00EA712C" w:rsidP="00FB6EE9">
            <w:pPr>
              <w:pStyle w:val="TableText0"/>
              <w:jc w:val="center"/>
            </w:pPr>
          </w:p>
        </w:tc>
        <w:tc>
          <w:tcPr>
            <w:tcW w:w="616" w:type="pct"/>
            <w:shd w:val="clear" w:color="auto" w:fill="auto"/>
            <w:vAlign w:val="center"/>
          </w:tcPr>
          <w:p w14:paraId="43FF07AC" w14:textId="77777777" w:rsidR="00EA712C" w:rsidRPr="00131DA2" w:rsidRDefault="00EA712C" w:rsidP="00FB6EE9">
            <w:pPr>
              <w:pStyle w:val="TableText0"/>
              <w:jc w:val="center"/>
            </w:pPr>
          </w:p>
        </w:tc>
        <w:tc>
          <w:tcPr>
            <w:tcW w:w="616" w:type="pct"/>
            <w:shd w:val="clear" w:color="auto" w:fill="auto"/>
            <w:vAlign w:val="center"/>
          </w:tcPr>
          <w:p w14:paraId="29D635AA" w14:textId="77777777" w:rsidR="00EA712C" w:rsidRPr="00131DA2" w:rsidRDefault="00EA712C" w:rsidP="00FB6EE9">
            <w:pPr>
              <w:pStyle w:val="TableText0"/>
              <w:jc w:val="center"/>
            </w:pPr>
          </w:p>
        </w:tc>
        <w:tc>
          <w:tcPr>
            <w:tcW w:w="615" w:type="pct"/>
            <w:shd w:val="clear" w:color="auto" w:fill="auto"/>
            <w:vAlign w:val="center"/>
          </w:tcPr>
          <w:p w14:paraId="19D58EFB" w14:textId="77777777" w:rsidR="00EA712C" w:rsidRPr="00131DA2" w:rsidRDefault="00EA712C" w:rsidP="00FB6EE9">
            <w:pPr>
              <w:pStyle w:val="TableText0"/>
              <w:jc w:val="center"/>
            </w:pPr>
          </w:p>
        </w:tc>
      </w:tr>
      <w:tr w:rsidR="00EA712C" w:rsidRPr="00131DA2" w14:paraId="313BCB99" w14:textId="77777777" w:rsidTr="00FB6EE9">
        <w:trPr>
          <w:trHeight w:val="19"/>
        </w:trPr>
        <w:tc>
          <w:tcPr>
            <w:tcW w:w="2537" w:type="pct"/>
            <w:shd w:val="clear" w:color="auto" w:fill="auto"/>
            <w:vAlign w:val="center"/>
          </w:tcPr>
          <w:p w14:paraId="59C12834" w14:textId="77777777" w:rsidR="00EA712C" w:rsidRPr="00131DA2" w:rsidRDefault="00EA712C" w:rsidP="00FB6EE9">
            <w:pPr>
              <w:pStyle w:val="TableText0"/>
            </w:pPr>
            <w:r w:rsidRPr="00131DA2">
              <w:t>Weibull</w:t>
            </w:r>
          </w:p>
        </w:tc>
        <w:tc>
          <w:tcPr>
            <w:tcW w:w="616" w:type="pct"/>
            <w:shd w:val="clear" w:color="auto" w:fill="auto"/>
            <w:vAlign w:val="center"/>
          </w:tcPr>
          <w:p w14:paraId="62302B61" w14:textId="77777777" w:rsidR="00EA712C" w:rsidRPr="00131DA2" w:rsidRDefault="00EA712C" w:rsidP="00FB6EE9">
            <w:pPr>
              <w:pStyle w:val="TableText0"/>
              <w:jc w:val="center"/>
            </w:pPr>
            <w:r w:rsidRPr="00131DA2">
              <w:t>$</w:t>
            </w:r>
            <w:r w:rsidR="001D7CF9">
              <w:rPr>
                <w:noProof/>
                <w:color w:val="000000"/>
                <w:highlight w:val="black"/>
              </w:rPr>
              <w:t>'''''''''''''''''</w:t>
            </w:r>
          </w:p>
        </w:tc>
        <w:tc>
          <w:tcPr>
            <w:tcW w:w="616" w:type="pct"/>
            <w:shd w:val="clear" w:color="auto" w:fill="auto"/>
            <w:vAlign w:val="center"/>
          </w:tcPr>
          <w:p w14:paraId="6CFD15EE" w14:textId="77777777" w:rsidR="00EA712C" w:rsidRPr="00131DA2" w:rsidRDefault="00EA712C" w:rsidP="00FB6EE9">
            <w:pPr>
              <w:pStyle w:val="TableText0"/>
              <w:jc w:val="center"/>
            </w:pPr>
            <w:r w:rsidRPr="00131DA2">
              <w:t>0.39</w:t>
            </w:r>
          </w:p>
        </w:tc>
        <w:tc>
          <w:tcPr>
            <w:tcW w:w="616" w:type="pct"/>
            <w:shd w:val="clear" w:color="auto" w:fill="auto"/>
            <w:vAlign w:val="center"/>
          </w:tcPr>
          <w:p w14:paraId="443F48AB" w14:textId="77777777" w:rsidR="00EA712C" w:rsidRPr="00131DA2" w:rsidRDefault="00EA712C" w:rsidP="00FB6EE9">
            <w:pPr>
              <w:pStyle w:val="TableText0"/>
              <w:jc w:val="center"/>
            </w:pPr>
            <w:r w:rsidRPr="00131DA2">
              <w:t>$</w:t>
            </w:r>
            <w:r w:rsidR="001D7CF9">
              <w:rPr>
                <w:noProof/>
                <w:color w:val="000000"/>
                <w:highlight w:val="black"/>
              </w:rPr>
              <w:t>'''''''''''''''</w:t>
            </w:r>
            <w:r w:rsidR="00A061B8" w:rsidRPr="00A061B8">
              <w:rPr>
                <w:vertAlign w:val="superscript"/>
              </w:rPr>
              <w:t>1</w:t>
            </w:r>
          </w:p>
        </w:tc>
        <w:tc>
          <w:tcPr>
            <w:tcW w:w="615" w:type="pct"/>
            <w:shd w:val="clear" w:color="auto" w:fill="auto"/>
            <w:vAlign w:val="center"/>
          </w:tcPr>
          <w:p w14:paraId="4AD38FAD" w14:textId="77777777" w:rsidR="00EA712C" w:rsidRPr="00131DA2" w:rsidRDefault="00EA712C" w:rsidP="00FB6EE9">
            <w:pPr>
              <w:pStyle w:val="TableText0"/>
              <w:jc w:val="center"/>
            </w:pPr>
            <w:r w:rsidRPr="00131DA2">
              <w:t>-10%</w:t>
            </w:r>
          </w:p>
        </w:tc>
      </w:tr>
      <w:tr w:rsidR="00EA712C" w:rsidRPr="00131DA2" w14:paraId="22568F5A" w14:textId="77777777" w:rsidTr="00FB6EE9">
        <w:trPr>
          <w:trHeight w:val="19"/>
        </w:trPr>
        <w:tc>
          <w:tcPr>
            <w:tcW w:w="2537" w:type="pct"/>
            <w:shd w:val="clear" w:color="auto" w:fill="auto"/>
            <w:vAlign w:val="center"/>
          </w:tcPr>
          <w:p w14:paraId="5DFE67B3" w14:textId="77777777" w:rsidR="00EA712C" w:rsidRPr="00131DA2" w:rsidRDefault="00EA712C" w:rsidP="00FB6EE9">
            <w:pPr>
              <w:pStyle w:val="TableText0"/>
            </w:pPr>
            <w:r w:rsidRPr="00131DA2">
              <w:t>Gompertz</w:t>
            </w:r>
          </w:p>
        </w:tc>
        <w:tc>
          <w:tcPr>
            <w:tcW w:w="616" w:type="pct"/>
            <w:shd w:val="clear" w:color="auto" w:fill="auto"/>
            <w:vAlign w:val="center"/>
          </w:tcPr>
          <w:p w14:paraId="03DD23EF" w14:textId="77777777" w:rsidR="00EA712C" w:rsidRPr="00131DA2" w:rsidRDefault="00EA712C" w:rsidP="00FB6EE9">
            <w:pPr>
              <w:pStyle w:val="TableText0"/>
              <w:jc w:val="center"/>
            </w:pPr>
            <w:r w:rsidRPr="00131DA2">
              <w:t>$</w:t>
            </w:r>
            <w:r w:rsidR="001D7CF9">
              <w:rPr>
                <w:noProof/>
                <w:color w:val="000000"/>
                <w:highlight w:val="black"/>
              </w:rPr>
              <w:t>''''''''''''''''</w:t>
            </w:r>
          </w:p>
        </w:tc>
        <w:tc>
          <w:tcPr>
            <w:tcW w:w="616" w:type="pct"/>
            <w:shd w:val="clear" w:color="auto" w:fill="auto"/>
            <w:vAlign w:val="center"/>
          </w:tcPr>
          <w:p w14:paraId="55B83C7F" w14:textId="77777777" w:rsidR="00EA712C" w:rsidRPr="00131DA2" w:rsidRDefault="00EA712C" w:rsidP="00FB6EE9">
            <w:pPr>
              <w:pStyle w:val="TableText0"/>
              <w:jc w:val="center"/>
            </w:pPr>
            <w:r w:rsidRPr="00131DA2">
              <w:t>0.39</w:t>
            </w:r>
          </w:p>
        </w:tc>
        <w:tc>
          <w:tcPr>
            <w:tcW w:w="616" w:type="pct"/>
            <w:shd w:val="clear" w:color="auto" w:fill="auto"/>
            <w:vAlign w:val="center"/>
          </w:tcPr>
          <w:p w14:paraId="17F5C894" w14:textId="77777777" w:rsidR="00EA712C" w:rsidRPr="00131DA2" w:rsidRDefault="00EA712C" w:rsidP="00FB6EE9">
            <w:pPr>
              <w:pStyle w:val="TableText0"/>
              <w:jc w:val="center"/>
            </w:pPr>
            <w:r w:rsidRPr="00131DA2">
              <w:t>$</w:t>
            </w:r>
            <w:r w:rsidR="001D7CF9">
              <w:rPr>
                <w:noProof/>
                <w:color w:val="000000"/>
                <w:highlight w:val="black"/>
              </w:rPr>
              <w:t>'''''''''''''''''</w:t>
            </w:r>
            <w:r w:rsidR="00A061B8" w:rsidRPr="00A061B8">
              <w:rPr>
                <w:vertAlign w:val="superscript"/>
              </w:rPr>
              <w:t>1</w:t>
            </w:r>
          </w:p>
        </w:tc>
        <w:tc>
          <w:tcPr>
            <w:tcW w:w="615" w:type="pct"/>
            <w:shd w:val="clear" w:color="auto" w:fill="auto"/>
            <w:vAlign w:val="center"/>
          </w:tcPr>
          <w:p w14:paraId="4B1C9395" w14:textId="77777777" w:rsidR="00EA712C" w:rsidRPr="00131DA2" w:rsidRDefault="00EA712C" w:rsidP="00FB6EE9">
            <w:pPr>
              <w:pStyle w:val="TableText0"/>
              <w:jc w:val="center"/>
            </w:pPr>
            <w:r w:rsidRPr="00131DA2">
              <w:t>-6%</w:t>
            </w:r>
          </w:p>
        </w:tc>
      </w:tr>
      <w:tr w:rsidR="00EA712C" w:rsidRPr="00131DA2" w14:paraId="5BAD6949" w14:textId="77777777" w:rsidTr="00FB6EE9">
        <w:trPr>
          <w:trHeight w:val="19"/>
        </w:trPr>
        <w:tc>
          <w:tcPr>
            <w:tcW w:w="2537" w:type="pct"/>
            <w:shd w:val="clear" w:color="auto" w:fill="auto"/>
            <w:vAlign w:val="center"/>
          </w:tcPr>
          <w:p w14:paraId="6DC62976" w14:textId="77777777" w:rsidR="00EA712C" w:rsidRPr="00131DA2" w:rsidRDefault="00EA712C" w:rsidP="00FB6EE9">
            <w:pPr>
              <w:pStyle w:val="TableText0"/>
            </w:pPr>
            <w:r w:rsidRPr="00131DA2">
              <w:t>Generalised Gamma</w:t>
            </w:r>
          </w:p>
        </w:tc>
        <w:tc>
          <w:tcPr>
            <w:tcW w:w="616" w:type="pct"/>
            <w:shd w:val="clear" w:color="auto" w:fill="auto"/>
            <w:vAlign w:val="center"/>
          </w:tcPr>
          <w:p w14:paraId="663195CA" w14:textId="77777777" w:rsidR="00EA712C" w:rsidRPr="00131DA2" w:rsidRDefault="00EA712C" w:rsidP="00FB6EE9">
            <w:pPr>
              <w:pStyle w:val="TableText0"/>
              <w:jc w:val="center"/>
            </w:pPr>
            <w:r w:rsidRPr="00131DA2">
              <w:t>$</w:t>
            </w:r>
            <w:r w:rsidR="001D7CF9">
              <w:rPr>
                <w:noProof/>
                <w:color w:val="000000"/>
                <w:highlight w:val="black"/>
              </w:rPr>
              <w:t>'''''''''''''''</w:t>
            </w:r>
          </w:p>
        </w:tc>
        <w:tc>
          <w:tcPr>
            <w:tcW w:w="616" w:type="pct"/>
            <w:shd w:val="clear" w:color="auto" w:fill="auto"/>
            <w:vAlign w:val="center"/>
          </w:tcPr>
          <w:p w14:paraId="174C6564" w14:textId="77777777" w:rsidR="00EA712C" w:rsidRPr="00131DA2" w:rsidRDefault="00EA712C" w:rsidP="00FB6EE9">
            <w:pPr>
              <w:pStyle w:val="TableText0"/>
              <w:jc w:val="center"/>
            </w:pPr>
            <w:r w:rsidRPr="00131DA2">
              <w:t>0.39</w:t>
            </w:r>
          </w:p>
        </w:tc>
        <w:tc>
          <w:tcPr>
            <w:tcW w:w="616" w:type="pct"/>
            <w:shd w:val="clear" w:color="auto" w:fill="auto"/>
            <w:vAlign w:val="center"/>
          </w:tcPr>
          <w:p w14:paraId="68DA5C3B" w14:textId="77777777" w:rsidR="00EA712C" w:rsidRPr="00131DA2" w:rsidRDefault="00EA712C" w:rsidP="00FB6EE9">
            <w:pPr>
              <w:pStyle w:val="TableText0"/>
              <w:jc w:val="center"/>
            </w:pPr>
            <w:r w:rsidRPr="00131DA2">
              <w:t>$</w:t>
            </w:r>
            <w:r w:rsidR="001D7CF9">
              <w:rPr>
                <w:noProof/>
                <w:color w:val="000000"/>
                <w:highlight w:val="black"/>
              </w:rPr>
              <w:t>''''''''''''''''</w:t>
            </w:r>
            <w:r w:rsidR="00A061B8" w:rsidRPr="00A061B8">
              <w:rPr>
                <w:vertAlign w:val="superscript"/>
              </w:rPr>
              <w:t>1</w:t>
            </w:r>
          </w:p>
        </w:tc>
        <w:tc>
          <w:tcPr>
            <w:tcW w:w="615" w:type="pct"/>
            <w:shd w:val="clear" w:color="auto" w:fill="auto"/>
            <w:vAlign w:val="center"/>
          </w:tcPr>
          <w:p w14:paraId="1C113866" w14:textId="77777777" w:rsidR="00EA712C" w:rsidRPr="00131DA2" w:rsidRDefault="00EA712C" w:rsidP="00FB6EE9">
            <w:pPr>
              <w:pStyle w:val="TableText0"/>
              <w:jc w:val="center"/>
            </w:pPr>
            <w:r w:rsidRPr="00131DA2">
              <w:t>13%</w:t>
            </w:r>
          </w:p>
        </w:tc>
      </w:tr>
      <w:tr w:rsidR="00EA712C" w:rsidRPr="00131DA2" w14:paraId="6C8AB462" w14:textId="77777777" w:rsidTr="00FB6EE9">
        <w:trPr>
          <w:trHeight w:val="19"/>
        </w:trPr>
        <w:tc>
          <w:tcPr>
            <w:tcW w:w="2537" w:type="pct"/>
            <w:shd w:val="clear" w:color="auto" w:fill="auto"/>
            <w:vAlign w:val="center"/>
          </w:tcPr>
          <w:p w14:paraId="26ACF342" w14:textId="77777777" w:rsidR="00EA712C" w:rsidRPr="00131DA2" w:rsidRDefault="00EA712C" w:rsidP="00FB6EE9">
            <w:pPr>
              <w:pStyle w:val="TableText0"/>
            </w:pPr>
            <w:r w:rsidRPr="00131DA2">
              <w:t>Gamma</w:t>
            </w:r>
          </w:p>
        </w:tc>
        <w:tc>
          <w:tcPr>
            <w:tcW w:w="616" w:type="pct"/>
            <w:shd w:val="clear" w:color="auto" w:fill="auto"/>
            <w:vAlign w:val="center"/>
          </w:tcPr>
          <w:p w14:paraId="53FCE75E" w14:textId="77777777" w:rsidR="00EA712C" w:rsidRPr="00131DA2" w:rsidRDefault="00EA712C" w:rsidP="00FB6EE9">
            <w:pPr>
              <w:pStyle w:val="TableText0"/>
              <w:jc w:val="center"/>
            </w:pPr>
            <w:r w:rsidRPr="00131DA2">
              <w:t>$</w:t>
            </w:r>
            <w:r w:rsidR="001D7CF9">
              <w:rPr>
                <w:noProof/>
                <w:color w:val="000000"/>
                <w:highlight w:val="black"/>
              </w:rPr>
              <w:t>'''''''''''''''</w:t>
            </w:r>
          </w:p>
        </w:tc>
        <w:tc>
          <w:tcPr>
            <w:tcW w:w="616" w:type="pct"/>
            <w:shd w:val="clear" w:color="auto" w:fill="auto"/>
            <w:vAlign w:val="center"/>
          </w:tcPr>
          <w:p w14:paraId="2844EA6D" w14:textId="77777777" w:rsidR="00EA712C" w:rsidRPr="00131DA2" w:rsidRDefault="00EA712C" w:rsidP="00FB6EE9">
            <w:pPr>
              <w:pStyle w:val="TableText0"/>
              <w:jc w:val="center"/>
            </w:pPr>
            <w:r w:rsidRPr="00131DA2">
              <w:t>0.39</w:t>
            </w:r>
          </w:p>
        </w:tc>
        <w:tc>
          <w:tcPr>
            <w:tcW w:w="616" w:type="pct"/>
            <w:shd w:val="clear" w:color="auto" w:fill="auto"/>
            <w:vAlign w:val="center"/>
          </w:tcPr>
          <w:p w14:paraId="76E212F0" w14:textId="77777777" w:rsidR="00EA712C" w:rsidRPr="00131DA2" w:rsidRDefault="00EA712C" w:rsidP="00FB6EE9">
            <w:pPr>
              <w:pStyle w:val="TableText0"/>
              <w:jc w:val="center"/>
            </w:pPr>
            <w:r w:rsidRPr="00131DA2">
              <w:t>$</w:t>
            </w:r>
            <w:r w:rsidR="001D7CF9">
              <w:rPr>
                <w:noProof/>
                <w:color w:val="000000"/>
                <w:highlight w:val="black"/>
              </w:rPr>
              <w:t>'''''''''''''''''</w:t>
            </w:r>
            <w:r w:rsidR="00A061B8">
              <w:rPr>
                <w:vertAlign w:val="superscript"/>
              </w:rPr>
              <w:t>3</w:t>
            </w:r>
          </w:p>
        </w:tc>
        <w:tc>
          <w:tcPr>
            <w:tcW w:w="615" w:type="pct"/>
            <w:shd w:val="clear" w:color="auto" w:fill="auto"/>
            <w:vAlign w:val="center"/>
          </w:tcPr>
          <w:p w14:paraId="59FD7BFE" w14:textId="77777777" w:rsidR="00EA712C" w:rsidRPr="00131DA2" w:rsidRDefault="00EA712C" w:rsidP="00FB6EE9">
            <w:pPr>
              <w:pStyle w:val="TableText0"/>
              <w:jc w:val="center"/>
            </w:pPr>
            <w:r w:rsidRPr="00131DA2">
              <w:t>-9%</w:t>
            </w:r>
          </w:p>
        </w:tc>
      </w:tr>
      <w:tr w:rsidR="00EA712C" w:rsidRPr="00131DA2" w14:paraId="752726B0" w14:textId="77777777" w:rsidTr="00FB6EE9">
        <w:trPr>
          <w:trHeight w:val="19"/>
        </w:trPr>
        <w:tc>
          <w:tcPr>
            <w:tcW w:w="2537" w:type="pct"/>
            <w:shd w:val="clear" w:color="auto" w:fill="auto"/>
            <w:vAlign w:val="center"/>
          </w:tcPr>
          <w:p w14:paraId="20371022" w14:textId="77777777" w:rsidR="00EA712C" w:rsidRPr="00131DA2" w:rsidRDefault="00EA712C" w:rsidP="00FB6EE9">
            <w:pPr>
              <w:pStyle w:val="TableText0"/>
              <w:rPr>
                <w:b/>
              </w:rPr>
            </w:pPr>
            <w:r w:rsidRPr="00131DA2">
              <w:rPr>
                <w:b/>
              </w:rPr>
              <w:t>Proportion of cured patients: 5%</w:t>
            </w:r>
          </w:p>
        </w:tc>
        <w:tc>
          <w:tcPr>
            <w:tcW w:w="616" w:type="pct"/>
            <w:shd w:val="clear" w:color="auto" w:fill="auto"/>
            <w:vAlign w:val="center"/>
          </w:tcPr>
          <w:p w14:paraId="7B72BDFE" w14:textId="77777777" w:rsidR="00EA712C" w:rsidRPr="00131DA2" w:rsidRDefault="00EA712C" w:rsidP="00FB6EE9">
            <w:pPr>
              <w:pStyle w:val="TableText0"/>
              <w:jc w:val="center"/>
            </w:pPr>
          </w:p>
        </w:tc>
        <w:tc>
          <w:tcPr>
            <w:tcW w:w="616" w:type="pct"/>
            <w:shd w:val="clear" w:color="auto" w:fill="auto"/>
            <w:vAlign w:val="center"/>
          </w:tcPr>
          <w:p w14:paraId="7BEFAAB6" w14:textId="77777777" w:rsidR="00EA712C" w:rsidRPr="00131DA2" w:rsidRDefault="00EA712C" w:rsidP="00FB6EE9">
            <w:pPr>
              <w:pStyle w:val="TableText0"/>
              <w:jc w:val="center"/>
            </w:pPr>
          </w:p>
        </w:tc>
        <w:tc>
          <w:tcPr>
            <w:tcW w:w="616" w:type="pct"/>
            <w:shd w:val="clear" w:color="auto" w:fill="auto"/>
            <w:vAlign w:val="center"/>
          </w:tcPr>
          <w:p w14:paraId="3475089F" w14:textId="77777777" w:rsidR="00EA712C" w:rsidRPr="00131DA2" w:rsidRDefault="00EA712C" w:rsidP="00FB6EE9">
            <w:pPr>
              <w:pStyle w:val="TableText0"/>
              <w:jc w:val="center"/>
            </w:pPr>
          </w:p>
        </w:tc>
        <w:tc>
          <w:tcPr>
            <w:tcW w:w="615" w:type="pct"/>
            <w:shd w:val="clear" w:color="auto" w:fill="auto"/>
            <w:vAlign w:val="center"/>
          </w:tcPr>
          <w:p w14:paraId="08D88306" w14:textId="77777777" w:rsidR="00EA712C" w:rsidRPr="00131DA2" w:rsidRDefault="00EA712C" w:rsidP="00FB6EE9">
            <w:pPr>
              <w:pStyle w:val="TableText0"/>
              <w:jc w:val="center"/>
            </w:pPr>
          </w:p>
        </w:tc>
      </w:tr>
      <w:tr w:rsidR="00EA712C" w:rsidRPr="00131DA2" w14:paraId="339CB2AF" w14:textId="77777777" w:rsidTr="00526D7F">
        <w:trPr>
          <w:trHeight w:val="19"/>
        </w:trPr>
        <w:tc>
          <w:tcPr>
            <w:tcW w:w="2537" w:type="pct"/>
            <w:shd w:val="clear" w:color="auto" w:fill="auto"/>
            <w:vAlign w:val="center"/>
          </w:tcPr>
          <w:p w14:paraId="7A041FE6" w14:textId="77777777" w:rsidR="00EA712C" w:rsidRPr="00131DA2" w:rsidRDefault="00EA712C" w:rsidP="00526D7F">
            <w:pPr>
              <w:pStyle w:val="TableText0"/>
              <w:keepNext w:val="0"/>
            </w:pPr>
            <w:r w:rsidRPr="00131DA2">
              <w:t>0%</w:t>
            </w:r>
          </w:p>
        </w:tc>
        <w:tc>
          <w:tcPr>
            <w:tcW w:w="616" w:type="pct"/>
            <w:shd w:val="clear" w:color="auto" w:fill="auto"/>
            <w:vAlign w:val="center"/>
          </w:tcPr>
          <w:p w14:paraId="0B48C566" w14:textId="77777777" w:rsidR="00EA712C" w:rsidRPr="00131DA2" w:rsidRDefault="00EA712C" w:rsidP="00526D7F">
            <w:pPr>
              <w:pStyle w:val="TableText0"/>
              <w:jc w:val="center"/>
            </w:pPr>
            <w:r w:rsidRPr="00131DA2">
              <w:t>$</w:t>
            </w:r>
            <w:r w:rsidR="001D7CF9">
              <w:rPr>
                <w:noProof/>
                <w:color w:val="000000"/>
                <w:highlight w:val="black"/>
              </w:rPr>
              <w:t>'''''''''''''''''</w:t>
            </w:r>
          </w:p>
        </w:tc>
        <w:tc>
          <w:tcPr>
            <w:tcW w:w="616" w:type="pct"/>
            <w:shd w:val="clear" w:color="auto" w:fill="auto"/>
            <w:vAlign w:val="center"/>
          </w:tcPr>
          <w:p w14:paraId="01C9A3DD" w14:textId="77777777" w:rsidR="00EA712C" w:rsidRPr="00131DA2" w:rsidRDefault="00EA712C" w:rsidP="00526D7F">
            <w:pPr>
              <w:pStyle w:val="TableText0"/>
              <w:jc w:val="center"/>
            </w:pPr>
            <w:r w:rsidRPr="00131DA2">
              <w:t>0.40</w:t>
            </w:r>
          </w:p>
        </w:tc>
        <w:tc>
          <w:tcPr>
            <w:tcW w:w="616" w:type="pct"/>
            <w:shd w:val="clear" w:color="auto" w:fill="auto"/>
            <w:vAlign w:val="center"/>
          </w:tcPr>
          <w:p w14:paraId="2FA0058A" w14:textId="77777777" w:rsidR="00EA712C" w:rsidRPr="00131DA2" w:rsidRDefault="00EA712C" w:rsidP="00526D7F">
            <w:pPr>
              <w:pStyle w:val="TableText0"/>
              <w:jc w:val="center"/>
            </w:pPr>
            <w:r w:rsidRPr="00131DA2">
              <w:t>$</w:t>
            </w:r>
            <w:r w:rsidR="001D7CF9">
              <w:rPr>
                <w:noProof/>
                <w:color w:val="000000"/>
                <w:highlight w:val="black"/>
              </w:rPr>
              <w:t>''''''''''''''''</w:t>
            </w:r>
            <w:r w:rsidR="00A061B8">
              <w:rPr>
                <w:vertAlign w:val="superscript"/>
              </w:rPr>
              <w:t>3</w:t>
            </w:r>
          </w:p>
        </w:tc>
        <w:tc>
          <w:tcPr>
            <w:tcW w:w="615" w:type="pct"/>
            <w:shd w:val="clear" w:color="auto" w:fill="auto"/>
            <w:vAlign w:val="center"/>
          </w:tcPr>
          <w:p w14:paraId="29015814" w14:textId="77777777" w:rsidR="00EA712C" w:rsidRPr="00131DA2" w:rsidRDefault="00EA712C" w:rsidP="00526D7F">
            <w:pPr>
              <w:pStyle w:val="TableText0"/>
              <w:jc w:val="center"/>
            </w:pPr>
            <w:r w:rsidRPr="00131DA2">
              <w:t>-14%</w:t>
            </w:r>
          </w:p>
        </w:tc>
      </w:tr>
      <w:tr w:rsidR="00EA712C" w:rsidRPr="00131DA2" w14:paraId="1427A52D" w14:textId="77777777" w:rsidTr="00526D7F">
        <w:trPr>
          <w:trHeight w:val="19"/>
        </w:trPr>
        <w:tc>
          <w:tcPr>
            <w:tcW w:w="2537" w:type="pct"/>
            <w:shd w:val="clear" w:color="auto" w:fill="auto"/>
            <w:vAlign w:val="center"/>
          </w:tcPr>
          <w:p w14:paraId="1D7FBEFD" w14:textId="77777777" w:rsidR="00EA712C" w:rsidRPr="00131DA2" w:rsidRDefault="00EA712C" w:rsidP="00526D7F">
            <w:pPr>
              <w:pStyle w:val="TableText0"/>
              <w:keepNext w:val="0"/>
            </w:pPr>
            <w:r w:rsidRPr="00131DA2">
              <w:t>10%</w:t>
            </w:r>
          </w:p>
        </w:tc>
        <w:tc>
          <w:tcPr>
            <w:tcW w:w="616" w:type="pct"/>
            <w:shd w:val="clear" w:color="auto" w:fill="auto"/>
            <w:vAlign w:val="center"/>
          </w:tcPr>
          <w:p w14:paraId="48CEBA77" w14:textId="77777777" w:rsidR="00EA712C" w:rsidRPr="00131DA2" w:rsidRDefault="00EA712C" w:rsidP="00526D7F">
            <w:pPr>
              <w:pStyle w:val="TableText0"/>
              <w:jc w:val="center"/>
            </w:pPr>
            <w:r w:rsidRPr="00131DA2">
              <w:t>$</w:t>
            </w:r>
            <w:r w:rsidR="001D7CF9">
              <w:rPr>
                <w:noProof/>
                <w:color w:val="000000"/>
                <w:highlight w:val="black"/>
              </w:rPr>
              <w:t>'''''''''''''''''</w:t>
            </w:r>
          </w:p>
        </w:tc>
        <w:tc>
          <w:tcPr>
            <w:tcW w:w="616" w:type="pct"/>
            <w:shd w:val="clear" w:color="auto" w:fill="auto"/>
            <w:vAlign w:val="center"/>
          </w:tcPr>
          <w:p w14:paraId="3DD436CE" w14:textId="77777777" w:rsidR="00EA712C" w:rsidRPr="00131DA2" w:rsidRDefault="00EA712C" w:rsidP="00526D7F">
            <w:pPr>
              <w:pStyle w:val="TableText0"/>
              <w:jc w:val="center"/>
            </w:pPr>
            <w:r w:rsidRPr="00131DA2">
              <w:t>0.39</w:t>
            </w:r>
          </w:p>
        </w:tc>
        <w:tc>
          <w:tcPr>
            <w:tcW w:w="616" w:type="pct"/>
            <w:shd w:val="clear" w:color="auto" w:fill="auto"/>
            <w:vAlign w:val="center"/>
          </w:tcPr>
          <w:p w14:paraId="114752EF" w14:textId="77777777" w:rsidR="00EA712C" w:rsidRPr="00131DA2" w:rsidRDefault="00EA712C" w:rsidP="00526D7F">
            <w:pPr>
              <w:pStyle w:val="TableText0"/>
              <w:jc w:val="center"/>
            </w:pPr>
            <w:r w:rsidRPr="00131DA2">
              <w:t>$</w:t>
            </w:r>
            <w:r w:rsidR="001D7CF9">
              <w:rPr>
                <w:noProof/>
                <w:color w:val="000000"/>
                <w:highlight w:val="black"/>
              </w:rPr>
              <w:t>''''''''''''''''</w:t>
            </w:r>
            <w:r w:rsidR="00A061B8" w:rsidRPr="00A061B8">
              <w:rPr>
                <w:vertAlign w:val="superscript"/>
              </w:rPr>
              <w:t>1</w:t>
            </w:r>
          </w:p>
        </w:tc>
        <w:tc>
          <w:tcPr>
            <w:tcW w:w="615" w:type="pct"/>
            <w:shd w:val="clear" w:color="auto" w:fill="auto"/>
            <w:vAlign w:val="center"/>
          </w:tcPr>
          <w:p w14:paraId="784542FC" w14:textId="77777777" w:rsidR="00EA712C" w:rsidRPr="00131DA2" w:rsidRDefault="00EA712C" w:rsidP="00526D7F">
            <w:pPr>
              <w:pStyle w:val="TableText0"/>
              <w:jc w:val="center"/>
            </w:pPr>
            <w:r w:rsidRPr="00131DA2">
              <w:t>13%</w:t>
            </w:r>
          </w:p>
        </w:tc>
      </w:tr>
      <w:tr w:rsidR="00EA712C" w:rsidRPr="00131DA2" w14:paraId="082A7C5C" w14:textId="77777777" w:rsidTr="00FB6EE9">
        <w:trPr>
          <w:trHeight w:val="19"/>
        </w:trPr>
        <w:tc>
          <w:tcPr>
            <w:tcW w:w="5000" w:type="pct"/>
            <w:gridSpan w:val="5"/>
            <w:shd w:val="clear" w:color="auto" w:fill="auto"/>
            <w:vAlign w:val="center"/>
          </w:tcPr>
          <w:p w14:paraId="4FF86AEA" w14:textId="77777777" w:rsidR="00EA712C" w:rsidRPr="00131DA2" w:rsidRDefault="00EA712C" w:rsidP="00526D7F">
            <w:pPr>
              <w:pStyle w:val="TableText0"/>
              <w:keepNext w:val="0"/>
              <w:rPr>
                <w:b/>
              </w:rPr>
            </w:pPr>
            <w:r w:rsidRPr="00131DA2">
              <w:rPr>
                <w:b/>
              </w:rPr>
              <w:t xml:space="preserve">Proportion of no active treatment patients receiving 2L olaparib: 15.6% (73.8% of platinum-sensitive BRCAm patients) </w:t>
            </w:r>
          </w:p>
        </w:tc>
      </w:tr>
      <w:tr w:rsidR="00EA712C" w:rsidRPr="00131DA2" w14:paraId="6EEC5968" w14:textId="77777777" w:rsidTr="00FB6EE9">
        <w:trPr>
          <w:trHeight w:val="19"/>
        </w:trPr>
        <w:tc>
          <w:tcPr>
            <w:tcW w:w="2537" w:type="pct"/>
            <w:shd w:val="clear" w:color="auto" w:fill="auto"/>
            <w:vAlign w:val="center"/>
          </w:tcPr>
          <w:p w14:paraId="60F197BB" w14:textId="77777777" w:rsidR="00EA712C" w:rsidRPr="00131DA2" w:rsidRDefault="00EA712C" w:rsidP="00526D7F">
            <w:pPr>
              <w:pStyle w:val="TableText0"/>
              <w:keepNext w:val="0"/>
            </w:pPr>
            <w:r w:rsidRPr="00131DA2">
              <w:t>14.0% (51% of progressed BRCAm patients)</w:t>
            </w:r>
          </w:p>
        </w:tc>
        <w:tc>
          <w:tcPr>
            <w:tcW w:w="616" w:type="pct"/>
            <w:shd w:val="clear" w:color="auto" w:fill="auto"/>
            <w:vAlign w:val="center"/>
          </w:tcPr>
          <w:p w14:paraId="2F56D79F" w14:textId="77777777" w:rsidR="00EA712C" w:rsidRPr="00131DA2" w:rsidRDefault="00EA712C" w:rsidP="00526D7F">
            <w:pPr>
              <w:pStyle w:val="TableText0"/>
              <w:jc w:val="center"/>
            </w:pPr>
            <w:r w:rsidRPr="00131DA2">
              <w:t>$</w:t>
            </w:r>
            <w:r w:rsidR="001D7CF9">
              <w:rPr>
                <w:noProof/>
                <w:color w:val="000000"/>
                <w:highlight w:val="black"/>
              </w:rPr>
              <w:t>''''''''''''''''</w:t>
            </w:r>
          </w:p>
        </w:tc>
        <w:tc>
          <w:tcPr>
            <w:tcW w:w="616" w:type="pct"/>
            <w:shd w:val="clear" w:color="auto" w:fill="auto"/>
            <w:vAlign w:val="center"/>
          </w:tcPr>
          <w:p w14:paraId="319ABDD0" w14:textId="77777777" w:rsidR="00EA712C" w:rsidRPr="00131DA2" w:rsidRDefault="00EA712C" w:rsidP="00526D7F">
            <w:pPr>
              <w:pStyle w:val="TableText0"/>
              <w:jc w:val="center"/>
            </w:pPr>
            <w:r w:rsidRPr="00131DA2">
              <w:t>0.40</w:t>
            </w:r>
          </w:p>
        </w:tc>
        <w:tc>
          <w:tcPr>
            <w:tcW w:w="616" w:type="pct"/>
            <w:shd w:val="clear" w:color="auto" w:fill="auto"/>
            <w:vAlign w:val="center"/>
          </w:tcPr>
          <w:p w14:paraId="1870A03E" w14:textId="77777777" w:rsidR="00EA712C" w:rsidRPr="00131DA2" w:rsidRDefault="00EA712C" w:rsidP="00526D7F">
            <w:pPr>
              <w:pStyle w:val="TableText0"/>
              <w:jc w:val="center"/>
            </w:pPr>
            <w:r w:rsidRPr="00131DA2">
              <w:t>$</w:t>
            </w:r>
            <w:r w:rsidR="001D7CF9">
              <w:rPr>
                <w:noProof/>
                <w:color w:val="000000"/>
                <w:highlight w:val="black"/>
              </w:rPr>
              <w:t>'''''''''''''''</w:t>
            </w:r>
            <w:r w:rsidR="00A061B8" w:rsidRPr="00A061B8">
              <w:rPr>
                <w:vertAlign w:val="superscript"/>
              </w:rPr>
              <w:t>1</w:t>
            </w:r>
          </w:p>
        </w:tc>
        <w:tc>
          <w:tcPr>
            <w:tcW w:w="615" w:type="pct"/>
            <w:shd w:val="clear" w:color="auto" w:fill="auto"/>
            <w:vAlign w:val="center"/>
          </w:tcPr>
          <w:p w14:paraId="33C02F89" w14:textId="77777777" w:rsidR="00EA712C" w:rsidRPr="00131DA2" w:rsidRDefault="00EA712C" w:rsidP="00526D7F">
            <w:pPr>
              <w:pStyle w:val="TableText0"/>
              <w:jc w:val="center"/>
            </w:pPr>
            <w:r w:rsidRPr="00131DA2">
              <w:t>11%</w:t>
            </w:r>
          </w:p>
        </w:tc>
      </w:tr>
      <w:tr w:rsidR="00EA712C" w:rsidRPr="00131DA2" w14:paraId="083B9ABB" w14:textId="77777777" w:rsidTr="00FB6EE9">
        <w:trPr>
          <w:trHeight w:val="19"/>
        </w:trPr>
        <w:tc>
          <w:tcPr>
            <w:tcW w:w="2537" w:type="pct"/>
            <w:shd w:val="clear" w:color="auto" w:fill="auto"/>
            <w:vAlign w:val="center"/>
          </w:tcPr>
          <w:p w14:paraId="7C2EE549" w14:textId="77777777" w:rsidR="00EA712C" w:rsidRPr="00131DA2" w:rsidRDefault="00EA712C" w:rsidP="00526D7F">
            <w:pPr>
              <w:pStyle w:val="TableText0"/>
            </w:pPr>
            <w:r w:rsidRPr="00131DA2">
              <w:t>10.4% (as per the PRIMA trial) (37.9% of progressed BRCAm patients)</w:t>
            </w:r>
          </w:p>
        </w:tc>
        <w:tc>
          <w:tcPr>
            <w:tcW w:w="616" w:type="pct"/>
            <w:shd w:val="clear" w:color="auto" w:fill="auto"/>
            <w:vAlign w:val="center"/>
          </w:tcPr>
          <w:p w14:paraId="2E1F2120" w14:textId="77777777" w:rsidR="00EA712C" w:rsidRPr="00131DA2" w:rsidRDefault="00EA712C" w:rsidP="00526D7F">
            <w:pPr>
              <w:pStyle w:val="TableText0"/>
              <w:jc w:val="center"/>
            </w:pPr>
            <w:r w:rsidRPr="00131DA2">
              <w:t>$</w:t>
            </w:r>
            <w:r w:rsidR="001D7CF9">
              <w:rPr>
                <w:noProof/>
                <w:color w:val="000000"/>
                <w:highlight w:val="black"/>
              </w:rPr>
              <w:t>'''''''''''''''</w:t>
            </w:r>
          </w:p>
        </w:tc>
        <w:tc>
          <w:tcPr>
            <w:tcW w:w="616" w:type="pct"/>
            <w:shd w:val="clear" w:color="auto" w:fill="auto"/>
            <w:vAlign w:val="center"/>
          </w:tcPr>
          <w:p w14:paraId="7B4688FC" w14:textId="77777777" w:rsidR="00EA712C" w:rsidRPr="00131DA2" w:rsidRDefault="00EA712C" w:rsidP="00526D7F">
            <w:pPr>
              <w:pStyle w:val="TableText0"/>
              <w:jc w:val="center"/>
            </w:pPr>
            <w:r w:rsidRPr="00131DA2">
              <w:t>0.41</w:t>
            </w:r>
          </w:p>
        </w:tc>
        <w:tc>
          <w:tcPr>
            <w:tcW w:w="616" w:type="pct"/>
            <w:shd w:val="clear" w:color="auto" w:fill="auto"/>
            <w:vAlign w:val="center"/>
          </w:tcPr>
          <w:p w14:paraId="5C022CDF" w14:textId="77777777" w:rsidR="00EA712C" w:rsidRPr="00131DA2" w:rsidRDefault="00EA712C" w:rsidP="00526D7F">
            <w:pPr>
              <w:pStyle w:val="TableText0"/>
              <w:jc w:val="center"/>
            </w:pPr>
            <w:r w:rsidRPr="00131DA2">
              <w:t>$</w:t>
            </w:r>
            <w:r w:rsidR="001D7CF9">
              <w:rPr>
                <w:noProof/>
                <w:color w:val="000000"/>
                <w:highlight w:val="black"/>
              </w:rPr>
              <w:t>''''''''''''''''''</w:t>
            </w:r>
            <w:r w:rsidR="00A061B8">
              <w:rPr>
                <w:vertAlign w:val="superscript"/>
              </w:rPr>
              <w:t>2</w:t>
            </w:r>
          </w:p>
        </w:tc>
        <w:tc>
          <w:tcPr>
            <w:tcW w:w="615" w:type="pct"/>
            <w:shd w:val="clear" w:color="auto" w:fill="auto"/>
            <w:vAlign w:val="center"/>
          </w:tcPr>
          <w:p w14:paraId="5A8054A1" w14:textId="77777777" w:rsidR="00EA712C" w:rsidRPr="00131DA2" w:rsidRDefault="00EA712C" w:rsidP="00526D7F">
            <w:pPr>
              <w:pStyle w:val="TableText0"/>
              <w:jc w:val="center"/>
            </w:pPr>
            <w:r w:rsidRPr="00131DA2">
              <w:t>38%</w:t>
            </w:r>
          </w:p>
        </w:tc>
      </w:tr>
      <w:tr w:rsidR="00EA712C" w:rsidRPr="00131DA2" w14:paraId="19A8D8CF" w14:textId="77777777" w:rsidTr="00FB6EE9">
        <w:trPr>
          <w:trHeight w:val="19"/>
        </w:trPr>
        <w:tc>
          <w:tcPr>
            <w:tcW w:w="2537" w:type="pct"/>
            <w:shd w:val="clear" w:color="auto" w:fill="auto"/>
            <w:vAlign w:val="center"/>
          </w:tcPr>
          <w:p w14:paraId="71AB9D2C" w14:textId="77777777" w:rsidR="00EA712C" w:rsidRPr="00131DA2" w:rsidRDefault="00EA712C" w:rsidP="00526D7F">
            <w:pPr>
              <w:pStyle w:val="TableText0"/>
            </w:pPr>
            <w:r w:rsidRPr="00131DA2">
              <w:t xml:space="preserve">0% </w:t>
            </w:r>
          </w:p>
        </w:tc>
        <w:tc>
          <w:tcPr>
            <w:tcW w:w="616" w:type="pct"/>
            <w:shd w:val="clear" w:color="auto" w:fill="auto"/>
            <w:vAlign w:val="center"/>
          </w:tcPr>
          <w:p w14:paraId="5FB98563" w14:textId="77777777" w:rsidR="00EA712C" w:rsidRPr="00131DA2" w:rsidRDefault="00EA712C" w:rsidP="00526D7F">
            <w:pPr>
              <w:pStyle w:val="TableText0"/>
              <w:jc w:val="center"/>
            </w:pPr>
            <w:r w:rsidRPr="00131DA2">
              <w:t>$</w:t>
            </w:r>
            <w:r w:rsidR="001D7CF9">
              <w:rPr>
                <w:noProof/>
                <w:color w:val="000000"/>
                <w:highlight w:val="black"/>
              </w:rPr>
              <w:t>'''''''''''''''</w:t>
            </w:r>
          </w:p>
        </w:tc>
        <w:tc>
          <w:tcPr>
            <w:tcW w:w="616" w:type="pct"/>
            <w:shd w:val="clear" w:color="auto" w:fill="auto"/>
            <w:vAlign w:val="center"/>
          </w:tcPr>
          <w:p w14:paraId="6B3F1016" w14:textId="77777777" w:rsidR="00EA712C" w:rsidRPr="00131DA2" w:rsidRDefault="00EA712C" w:rsidP="00526D7F">
            <w:pPr>
              <w:pStyle w:val="TableText0"/>
              <w:jc w:val="center"/>
            </w:pPr>
            <w:r w:rsidRPr="00131DA2">
              <w:t>0.43</w:t>
            </w:r>
          </w:p>
        </w:tc>
        <w:tc>
          <w:tcPr>
            <w:tcW w:w="616" w:type="pct"/>
            <w:shd w:val="clear" w:color="auto" w:fill="auto"/>
            <w:vAlign w:val="center"/>
          </w:tcPr>
          <w:p w14:paraId="6D59161F" w14:textId="77777777" w:rsidR="00EA712C" w:rsidRPr="00131DA2" w:rsidRDefault="00EA712C" w:rsidP="00526D7F">
            <w:pPr>
              <w:pStyle w:val="TableText0"/>
              <w:jc w:val="center"/>
            </w:pPr>
            <w:r w:rsidRPr="00131DA2">
              <w:t>$</w:t>
            </w:r>
            <w:r w:rsidR="001D7CF9">
              <w:rPr>
                <w:noProof/>
                <w:color w:val="000000"/>
                <w:highlight w:val="black"/>
              </w:rPr>
              <w:t>'''''''''''''''''''''</w:t>
            </w:r>
            <w:r w:rsidR="00A061B8">
              <w:rPr>
                <w:vertAlign w:val="superscript"/>
              </w:rPr>
              <w:t>4</w:t>
            </w:r>
          </w:p>
        </w:tc>
        <w:tc>
          <w:tcPr>
            <w:tcW w:w="615" w:type="pct"/>
            <w:shd w:val="clear" w:color="auto" w:fill="auto"/>
            <w:vAlign w:val="center"/>
          </w:tcPr>
          <w:p w14:paraId="0DB2A677" w14:textId="77777777" w:rsidR="00EA712C" w:rsidRPr="00131DA2" w:rsidRDefault="00EA712C" w:rsidP="00526D7F">
            <w:pPr>
              <w:pStyle w:val="TableText0"/>
              <w:jc w:val="center"/>
            </w:pPr>
            <w:r w:rsidRPr="00131DA2">
              <w:t>109%</w:t>
            </w:r>
          </w:p>
        </w:tc>
      </w:tr>
      <w:tr w:rsidR="00EA712C" w:rsidRPr="00131DA2" w14:paraId="0BA3CE58" w14:textId="77777777" w:rsidTr="00FB6EE9">
        <w:trPr>
          <w:trHeight w:val="19"/>
        </w:trPr>
        <w:tc>
          <w:tcPr>
            <w:tcW w:w="2537" w:type="pct"/>
            <w:shd w:val="clear" w:color="auto" w:fill="auto"/>
            <w:vAlign w:val="center"/>
          </w:tcPr>
          <w:p w14:paraId="7D922BCD" w14:textId="77777777" w:rsidR="00EA712C" w:rsidRPr="00131DA2" w:rsidRDefault="00EA712C" w:rsidP="00526D7F">
            <w:pPr>
              <w:pStyle w:val="TableText0"/>
            </w:pPr>
            <w:r w:rsidRPr="00131DA2">
              <w:t xml:space="preserve">25.3% (BRCAm prevalence previously accepted by the PBAC), assuming the modelled treatment course cost of 1L niraparib (i.e. $54,343) </w:t>
            </w:r>
            <w:r w:rsidRPr="00131DA2">
              <w:rPr>
                <w:vertAlign w:val="superscript"/>
              </w:rPr>
              <w:t>d</w:t>
            </w:r>
          </w:p>
        </w:tc>
        <w:tc>
          <w:tcPr>
            <w:tcW w:w="616" w:type="pct"/>
            <w:shd w:val="clear" w:color="auto" w:fill="auto"/>
            <w:vAlign w:val="center"/>
          </w:tcPr>
          <w:p w14:paraId="6BA756EC" w14:textId="77777777" w:rsidR="00EA712C" w:rsidRPr="00131DA2" w:rsidRDefault="00EA712C" w:rsidP="00526D7F">
            <w:pPr>
              <w:pStyle w:val="TableText0"/>
              <w:jc w:val="center"/>
            </w:pPr>
            <w:r w:rsidRPr="00131DA2">
              <w:t>$</w:t>
            </w:r>
            <w:r w:rsidR="001D7CF9">
              <w:rPr>
                <w:noProof/>
                <w:color w:val="000000"/>
                <w:highlight w:val="black"/>
              </w:rPr>
              <w:t>'''''''''''''''</w:t>
            </w:r>
          </w:p>
        </w:tc>
        <w:tc>
          <w:tcPr>
            <w:tcW w:w="616" w:type="pct"/>
            <w:shd w:val="clear" w:color="auto" w:fill="auto"/>
            <w:vAlign w:val="center"/>
          </w:tcPr>
          <w:p w14:paraId="0DBE9AE4" w14:textId="77777777" w:rsidR="00EA712C" w:rsidRPr="00131DA2" w:rsidRDefault="00EA712C" w:rsidP="00526D7F">
            <w:pPr>
              <w:pStyle w:val="TableText0"/>
              <w:jc w:val="center"/>
            </w:pPr>
            <w:r w:rsidRPr="00131DA2">
              <w:t>0.36</w:t>
            </w:r>
          </w:p>
        </w:tc>
        <w:tc>
          <w:tcPr>
            <w:tcW w:w="616" w:type="pct"/>
            <w:shd w:val="clear" w:color="auto" w:fill="auto"/>
            <w:vAlign w:val="center"/>
          </w:tcPr>
          <w:p w14:paraId="6448D9BE" w14:textId="77777777" w:rsidR="00EA712C" w:rsidRPr="00131DA2" w:rsidRDefault="00EA712C" w:rsidP="00526D7F">
            <w:pPr>
              <w:pStyle w:val="TableText0"/>
              <w:jc w:val="center"/>
            </w:pPr>
            <w:r w:rsidRPr="00131DA2">
              <w:t>$</w:t>
            </w:r>
            <w:r w:rsidR="001D7CF9">
              <w:rPr>
                <w:noProof/>
                <w:color w:val="000000"/>
                <w:highlight w:val="black"/>
              </w:rPr>
              <w:t>'''''''''''''''''''''</w:t>
            </w:r>
            <w:r w:rsidR="00A061B8">
              <w:rPr>
                <w:vertAlign w:val="superscript"/>
              </w:rPr>
              <w:t>5</w:t>
            </w:r>
          </w:p>
        </w:tc>
        <w:tc>
          <w:tcPr>
            <w:tcW w:w="615" w:type="pct"/>
            <w:shd w:val="clear" w:color="auto" w:fill="auto"/>
            <w:vAlign w:val="center"/>
          </w:tcPr>
          <w:p w14:paraId="59D641B6" w14:textId="77777777" w:rsidR="00EA712C" w:rsidRPr="00131DA2" w:rsidRDefault="00EA712C" w:rsidP="00526D7F">
            <w:pPr>
              <w:pStyle w:val="TableText0"/>
              <w:jc w:val="center"/>
            </w:pPr>
            <w:r w:rsidRPr="00131DA2">
              <w:t>86%</w:t>
            </w:r>
          </w:p>
        </w:tc>
      </w:tr>
      <w:tr w:rsidR="00EA712C" w:rsidRPr="00131DA2" w14:paraId="0F7FC0E0" w14:textId="77777777" w:rsidTr="00FB6EE9">
        <w:trPr>
          <w:trHeight w:val="19"/>
        </w:trPr>
        <w:tc>
          <w:tcPr>
            <w:tcW w:w="5000" w:type="pct"/>
            <w:gridSpan w:val="5"/>
            <w:shd w:val="clear" w:color="auto" w:fill="auto"/>
            <w:vAlign w:val="center"/>
          </w:tcPr>
          <w:p w14:paraId="262FB6AD" w14:textId="77777777" w:rsidR="00EA712C" w:rsidRPr="00131DA2" w:rsidRDefault="00EA712C" w:rsidP="00526D7F">
            <w:pPr>
              <w:pStyle w:val="TableText0"/>
              <w:keepNext w:val="0"/>
              <w:rPr>
                <w:b/>
              </w:rPr>
            </w:pPr>
            <w:r w:rsidRPr="00131DA2">
              <w:rPr>
                <w:b/>
              </w:rPr>
              <w:t>Duration of subsequent 2L olaparib use (29.1 months)</w:t>
            </w:r>
          </w:p>
        </w:tc>
      </w:tr>
      <w:tr w:rsidR="00EA712C" w:rsidRPr="00131DA2" w14:paraId="57D0939A" w14:textId="77777777" w:rsidTr="00FB6EE9">
        <w:trPr>
          <w:trHeight w:val="19"/>
        </w:trPr>
        <w:tc>
          <w:tcPr>
            <w:tcW w:w="2537" w:type="pct"/>
            <w:shd w:val="clear" w:color="auto" w:fill="auto"/>
            <w:vAlign w:val="center"/>
          </w:tcPr>
          <w:p w14:paraId="3317036E" w14:textId="77777777" w:rsidR="00EA712C" w:rsidRPr="00131DA2" w:rsidRDefault="00EA712C" w:rsidP="00526D7F">
            <w:pPr>
              <w:pStyle w:val="TableText0"/>
              <w:keepNext w:val="0"/>
            </w:pPr>
            <w:r w:rsidRPr="00131DA2">
              <w:t xml:space="preserve">21.5 months (final average treatment duration from Study 19) </w:t>
            </w:r>
          </w:p>
        </w:tc>
        <w:tc>
          <w:tcPr>
            <w:tcW w:w="616" w:type="pct"/>
            <w:shd w:val="clear" w:color="auto" w:fill="auto"/>
            <w:vAlign w:val="center"/>
          </w:tcPr>
          <w:p w14:paraId="14EB5354" w14:textId="77777777" w:rsidR="00EA712C" w:rsidRPr="00131DA2" w:rsidRDefault="00EA712C" w:rsidP="00526D7F">
            <w:pPr>
              <w:pStyle w:val="TableText0"/>
              <w:keepNext w:val="0"/>
              <w:jc w:val="center"/>
            </w:pPr>
            <w:r w:rsidRPr="00131DA2">
              <w:t>$</w:t>
            </w:r>
            <w:r w:rsidR="001D7CF9">
              <w:rPr>
                <w:noProof/>
                <w:color w:val="000000"/>
                <w:highlight w:val="black"/>
              </w:rPr>
              <w:t>''''''''''''''''</w:t>
            </w:r>
          </w:p>
        </w:tc>
        <w:tc>
          <w:tcPr>
            <w:tcW w:w="616" w:type="pct"/>
            <w:shd w:val="clear" w:color="auto" w:fill="auto"/>
            <w:vAlign w:val="center"/>
          </w:tcPr>
          <w:p w14:paraId="22E8721E" w14:textId="77777777" w:rsidR="00EA712C" w:rsidRPr="00131DA2" w:rsidRDefault="00EA712C" w:rsidP="00526D7F">
            <w:pPr>
              <w:pStyle w:val="TableText0"/>
              <w:keepNext w:val="0"/>
              <w:jc w:val="center"/>
            </w:pPr>
            <w:r w:rsidRPr="00131DA2">
              <w:t>0.39</w:t>
            </w:r>
          </w:p>
        </w:tc>
        <w:tc>
          <w:tcPr>
            <w:tcW w:w="616" w:type="pct"/>
            <w:shd w:val="clear" w:color="auto" w:fill="auto"/>
            <w:vAlign w:val="center"/>
          </w:tcPr>
          <w:p w14:paraId="4A6EB001" w14:textId="77777777" w:rsidR="00EA712C" w:rsidRPr="00131DA2" w:rsidRDefault="00EA712C" w:rsidP="00526D7F">
            <w:pPr>
              <w:pStyle w:val="TableText0"/>
              <w:keepNext w:val="0"/>
              <w:jc w:val="center"/>
            </w:pPr>
            <w:r w:rsidRPr="00131DA2">
              <w:t>$</w:t>
            </w:r>
            <w:r w:rsidR="001D7CF9">
              <w:rPr>
                <w:noProof/>
                <w:color w:val="000000"/>
                <w:highlight w:val="black"/>
              </w:rPr>
              <w:t>'''''''''''''''''</w:t>
            </w:r>
            <w:r w:rsidR="00A061B8">
              <w:rPr>
                <w:vertAlign w:val="superscript"/>
              </w:rPr>
              <w:t>2</w:t>
            </w:r>
          </w:p>
        </w:tc>
        <w:tc>
          <w:tcPr>
            <w:tcW w:w="615" w:type="pct"/>
            <w:shd w:val="clear" w:color="auto" w:fill="auto"/>
            <w:vAlign w:val="center"/>
          </w:tcPr>
          <w:p w14:paraId="1362FEAB" w14:textId="77777777" w:rsidR="00EA712C" w:rsidRPr="00131DA2" w:rsidRDefault="00EA712C" w:rsidP="00526D7F">
            <w:pPr>
              <w:pStyle w:val="TableText0"/>
              <w:keepNext w:val="0"/>
              <w:jc w:val="center"/>
            </w:pPr>
            <w:r w:rsidRPr="00131DA2">
              <w:t>34%</w:t>
            </w:r>
          </w:p>
        </w:tc>
      </w:tr>
    </w:tbl>
    <w:p w14:paraId="77BB5E99" w14:textId="77777777" w:rsidR="00EA712C" w:rsidRPr="00131DA2" w:rsidRDefault="00EA712C" w:rsidP="00EA712C">
      <w:pPr>
        <w:pStyle w:val="TableFigureFooter"/>
        <w:rPr>
          <w:rFonts w:eastAsiaTheme="majorEastAsia"/>
        </w:rPr>
      </w:pPr>
      <w:r w:rsidRPr="00131DA2">
        <w:rPr>
          <w:rFonts w:eastAsiaTheme="majorEastAsia"/>
        </w:rPr>
        <w:t xml:space="preserve">Source: </w:t>
      </w:r>
      <w:r w:rsidRPr="00131DA2">
        <w:t>Compiled during the evaluation based on Section 3.9</w:t>
      </w:r>
      <w:r w:rsidRPr="00131DA2">
        <w:rPr>
          <w:rFonts w:eastAsiaTheme="majorEastAsia"/>
        </w:rPr>
        <w:t xml:space="preserve"> Table 118, pp182-183 of the submission and </w:t>
      </w:r>
      <w:r w:rsidRPr="00F72FF3">
        <w:t>conducted during the evaluation using</w:t>
      </w:r>
      <w:r w:rsidRPr="00131DA2">
        <w:t xml:space="preserve"> the “Zejula (niraparib) 1L CEA.xlsx” workbook.</w:t>
      </w:r>
    </w:p>
    <w:p w14:paraId="6A2903BF" w14:textId="77777777" w:rsidR="00EA712C" w:rsidRPr="00131DA2" w:rsidRDefault="00EA712C" w:rsidP="00EA712C">
      <w:pPr>
        <w:pStyle w:val="TableFigureFooter"/>
        <w:rPr>
          <w:rFonts w:eastAsiaTheme="majorEastAsia"/>
        </w:rPr>
      </w:pPr>
      <w:r w:rsidRPr="00131DA2">
        <w:rPr>
          <w:rFonts w:eastAsiaTheme="majorEastAsia"/>
        </w:rPr>
        <w:t xml:space="preserve">2L = second-line; AE = adverse event; BRCAm = </w:t>
      </w:r>
      <w:r w:rsidRPr="00131DA2">
        <w:t>breast cancer susceptibility gene mutation</w:t>
      </w:r>
      <w:r w:rsidRPr="00131DA2">
        <w:rPr>
          <w:rFonts w:eastAsiaTheme="majorEastAsia"/>
        </w:rPr>
        <w:t xml:space="preserve">; ICER = incremental cost effectiveness ratio; ISD = individualised starting dose; ITT = intention-to-treat; KM = Kaplan-Meier; OS = overall survival; PARPi = </w:t>
      </w:r>
      <w:r w:rsidRPr="00131DA2">
        <w:t>poly ADP ribose polymerase inhibitor;</w:t>
      </w:r>
      <w:r w:rsidRPr="00131DA2">
        <w:rPr>
          <w:rFonts w:eastAsiaTheme="majorEastAsia"/>
        </w:rPr>
        <w:t xml:space="preserve"> PFS = progression free survival; QALY = quality adjusted life year; TTD = time to treatment discontinuation.</w:t>
      </w:r>
    </w:p>
    <w:p w14:paraId="4281B371" w14:textId="77777777" w:rsidR="00EA712C" w:rsidRPr="00131DA2" w:rsidRDefault="00EA712C" w:rsidP="00EA712C">
      <w:pPr>
        <w:pStyle w:val="TableFigureFooter"/>
      </w:pPr>
      <w:proofErr w:type="gramStart"/>
      <w:r w:rsidRPr="00131DA2">
        <w:rPr>
          <w:rFonts w:eastAsiaTheme="majorEastAsia"/>
          <w:vertAlign w:val="superscript"/>
        </w:rPr>
        <w:t>a</w:t>
      </w:r>
      <w:proofErr w:type="gramEnd"/>
      <w:r w:rsidRPr="00131DA2">
        <w:rPr>
          <w:rFonts w:eastAsiaTheme="majorEastAsia"/>
          <w:vertAlign w:val="superscript"/>
        </w:rPr>
        <w:t xml:space="preserve"> </w:t>
      </w:r>
      <w:r w:rsidRPr="00131DA2">
        <w:rPr>
          <w:rFonts w:eastAsiaTheme="majorEastAsia"/>
        </w:rPr>
        <w:t xml:space="preserve">This figure is different from the result of Step 5 in Table 9 due to the lower adverse event costs in ISD cohort compared to ITT cohort. During sensitivity analysis for dosing schedule, </w:t>
      </w:r>
      <w:r w:rsidRPr="00131DA2">
        <w:t xml:space="preserve">adverse event profile should be changed from ‘ISD cohort’ to ITT cohort’ (cell ‘D210’) in the ‘Costs’ worksheet of </w:t>
      </w:r>
      <w:r w:rsidRPr="00131DA2">
        <w:rPr>
          <w:snapToGrid/>
        </w:rPr>
        <w:t>the ‘</w:t>
      </w:r>
      <w:r w:rsidRPr="00131DA2">
        <w:t xml:space="preserve">Zejula (niraparib) 1L ITT CEA.xlsx’ workbook. </w:t>
      </w:r>
    </w:p>
    <w:p w14:paraId="04CDD5F7" w14:textId="77777777" w:rsidR="00EA712C" w:rsidRPr="00131DA2" w:rsidRDefault="00EA712C" w:rsidP="00EA712C">
      <w:pPr>
        <w:pStyle w:val="TableFigureFooter"/>
        <w:rPr>
          <w:rFonts w:eastAsiaTheme="majorEastAsia"/>
        </w:rPr>
      </w:pPr>
      <w:proofErr w:type="gramStart"/>
      <w:r w:rsidRPr="00131DA2">
        <w:rPr>
          <w:rFonts w:eastAsiaTheme="majorEastAsia"/>
          <w:vertAlign w:val="superscript"/>
        </w:rPr>
        <w:t>b</w:t>
      </w:r>
      <w:proofErr w:type="gramEnd"/>
      <w:r w:rsidRPr="00131DA2">
        <w:rPr>
          <w:rFonts w:eastAsiaTheme="majorEastAsia"/>
        </w:rPr>
        <w:t xml:space="preserve"> This is calculated by applying thrombocytopenia: 14.80%, anaemia: 21.9% and neutropenia: 8.90% of patients, by weighted </w:t>
      </w:r>
      <w:r w:rsidRPr="00131DA2">
        <w:t xml:space="preserve">disutilities identified in the NICE Single Technology Appraisal for Niraparib TA673 [ID1680], (Source: Table 35, p 159 of Document B Company evidence submission, </w:t>
      </w:r>
      <w:r w:rsidRPr="001D7CF9">
        <w:t>https://www.nice.org.uk/guidance/ta673/evidence</w:t>
      </w:r>
      <w:r w:rsidRPr="00131DA2">
        <w:t>)</w:t>
      </w:r>
      <w:r w:rsidRPr="00131DA2">
        <w:rPr>
          <w:rFonts w:eastAsiaTheme="majorEastAsia"/>
        </w:rPr>
        <w:t xml:space="preserve">. </w:t>
      </w:r>
    </w:p>
    <w:p w14:paraId="67960506" w14:textId="77777777" w:rsidR="00EA712C" w:rsidRPr="00131DA2" w:rsidRDefault="00EA712C" w:rsidP="0095519F">
      <w:pPr>
        <w:pStyle w:val="TableFigureFooter"/>
      </w:pPr>
      <w:r w:rsidRPr="00131DA2">
        <w:rPr>
          <w:rFonts w:eastAsiaTheme="majorEastAsia"/>
          <w:vertAlign w:val="superscript"/>
        </w:rPr>
        <w:t xml:space="preserve">c </w:t>
      </w:r>
      <w:r w:rsidRPr="00131DA2">
        <w:rPr>
          <w:rFonts w:eastAsiaTheme="majorEastAsia"/>
        </w:rPr>
        <w:t xml:space="preserve">This is calculated by applying thrombocytopenia: 4.1%, and anaemia: 21.9% of patients </w:t>
      </w:r>
      <w:r w:rsidRPr="00131DA2">
        <w:t>Estimation of differential disutility was based on the rates of treatment-related AEs from PRIMA SAF population, with application of AE disutilities as identified in the NICE document mentioned above.</w:t>
      </w:r>
    </w:p>
    <w:p w14:paraId="014B9C0A" w14:textId="77777777" w:rsidR="00EA712C" w:rsidRDefault="00EA712C" w:rsidP="00EA712C">
      <w:pPr>
        <w:pStyle w:val="TableFigureFooter"/>
      </w:pPr>
      <w:r w:rsidRPr="00131DA2">
        <w:rPr>
          <w:vertAlign w:val="superscript"/>
        </w:rPr>
        <w:t xml:space="preserve"> </w:t>
      </w:r>
      <w:proofErr w:type="gramStart"/>
      <w:r w:rsidRPr="00131DA2">
        <w:rPr>
          <w:vertAlign w:val="superscript"/>
        </w:rPr>
        <w:t>d</w:t>
      </w:r>
      <w:proofErr w:type="gramEnd"/>
      <w:r w:rsidRPr="00131DA2">
        <w:t xml:space="preserve"> This analysis attempts to replicate 1L olaparib use as best as possible with the data provided in submission’s model. This analysis does not adjust PFS with no active treatment and uses the ITT HR for the non-BRCAm population, and so the incremental QALYs gained likely remain an overestimate</w:t>
      </w:r>
    </w:p>
    <w:p w14:paraId="4CADCB7A" w14:textId="77777777" w:rsidR="00E22198" w:rsidRPr="00B62999" w:rsidRDefault="00E22198" w:rsidP="00E22198">
      <w:pPr>
        <w:pStyle w:val="TableFigureFooter"/>
        <w:spacing w:after="0"/>
        <w:contextualSpacing w:val="0"/>
        <w:rPr>
          <w:szCs w:val="18"/>
        </w:rPr>
      </w:pPr>
      <w:r w:rsidRPr="00B62999">
        <w:rPr>
          <w:i/>
          <w:szCs w:val="18"/>
        </w:rPr>
        <w:t xml:space="preserve">The redacted values correspond to the following ranges: </w:t>
      </w:r>
    </w:p>
    <w:p w14:paraId="4263E8BA" w14:textId="77777777" w:rsidR="00E22198" w:rsidRPr="00A061B8" w:rsidRDefault="00E22198" w:rsidP="00E22198">
      <w:pPr>
        <w:rPr>
          <w:rFonts w:ascii="Arial Narrow" w:hAnsi="Arial Narrow"/>
          <w:i/>
          <w:sz w:val="18"/>
          <w:szCs w:val="18"/>
        </w:rPr>
      </w:pPr>
      <w:r w:rsidRPr="00B62999">
        <w:rPr>
          <w:rFonts w:ascii="Arial Narrow" w:hAnsi="Arial Narrow"/>
          <w:i/>
          <w:sz w:val="18"/>
          <w:szCs w:val="18"/>
          <w:vertAlign w:val="superscript"/>
        </w:rPr>
        <w:t>1</w:t>
      </w:r>
      <w:r>
        <w:rPr>
          <w:rFonts w:ascii="Arial Narrow" w:hAnsi="Arial Narrow"/>
          <w:sz w:val="18"/>
          <w:szCs w:val="18"/>
        </w:rPr>
        <w:t xml:space="preserve"> </w:t>
      </w:r>
      <w:r w:rsidR="00A061B8" w:rsidRPr="00A061B8">
        <w:rPr>
          <w:rFonts w:ascii="Arial Narrow" w:hAnsi="Arial Narrow"/>
          <w:i/>
          <w:sz w:val="18"/>
          <w:szCs w:val="18"/>
        </w:rPr>
        <w:t>$55,000 to &lt; $75,000</w:t>
      </w:r>
    </w:p>
    <w:p w14:paraId="0DE411F9" w14:textId="77777777" w:rsidR="00E22198" w:rsidRPr="00A061B8" w:rsidRDefault="00E22198" w:rsidP="00E22198">
      <w:pPr>
        <w:rPr>
          <w:rFonts w:ascii="Arial Narrow" w:hAnsi="Arial Narrow"/>
          <w:i/>
          <w:sz w:val="18"/>
          <w:szCs w:val="18"/>
        </w:rPr>
      </w:pPr>
      <w:r w:rsidRPr="00B62999">
        <w:rPr>
          <w:rFonts w:ascii="Arial Narrow" w:hAnsi="Arial Narrow"/>
          <w:i/>
          <w:sz w:val="18"/>
          <w:szCs w:val="18"/>
          <w:vertAlign w:val="superscript"/>
        </w:rPr>
        <w:t>2</w:t>
      </w:r>
      <w:r>
        <w:rPr>
          <w:rFonts w:ascii="Arial Narrow" w:hAnsi="Arial Narrow"/>
          <w:i/>
          <w:sz w:val="18"/>
          <w:szCs w:val="18"/>
          <w:vertAlign w:val="superscript"/>
        </w:rPr>
        <w:t xml:space="preserve"> </w:t>
      </w:r>
      <w:r w:rsidR="00A061B8" w:rsidRPr="00A061B8">
        <w:rPr>
          <w:rFonts w:ascii="Arial Narrow" w:hAnsi="Arial Narrow"/>
          <w:i/>
          <w:sz w:val="18"/>
          <w:szCs w:val="18"/>
        </w:rPr>
        <w:t>$75,000 to &lt; $95,000</w:t>
      </w:r>
    </w:p>
    <w:p w14:paraId="01922E3D" w14:textId="77777777" w:rsidR="00E22198" w:rsidRDefault="00E22198" w:rsidP="00E22198">
      <w:pPr>
        <w:rPr>
          <w:rFonts w:ascii="Arial Narrow" w:hAnsi="Arial Narrow"/>
          <w:i/>
          <w:sz w:val="18"/>
          <w:szCs w:val="18"/>
        </w:rPr>
      </w:pPr>
      <w:r w:rsidRPr="00B62999">
        <w:rPr>
          <w:rFonts w:ascii="Arial Narrow" w:hAnsi="Arial Narrow"/>
          <w:i/>
          <w:sz w:val="18"/>
          <w:szCs w:val="18"/>
          <w:vertAlign w:val="superscript"/>
        </w:rPr>
        <w:t>3</w:t>
      </w:r>
      <w:r w:rsidR="00A061B8">
        <w:rPr>
          <w:rFonts w:ascii="Arial Narrow" w:hAnsi="Arial Narrow"/>
          <w:i/>
          <w:sz w:val="18"/>
          <w:szCs w:val="18"/>
        </w:rPr>
        <w:t xml:space="preserve"> </w:t>
      </w:r>
      <w:r w:rsidR="00A061B8" w:rsidRPr="00A061B8">
        <w:rPr>
          <w:rFonts w:ascii="Arial Narrow" w:hAnsi="Arial Narrow"/>
          <w:i/>
          <w:sz w:val="18"/>
          <w:szCs w:val="18"/>
        </w:rPr>
        <w:t>$45,000 to &lt; $55,000</w:t>
      </w:r>
    </w:p>
    <w:p w14:paraId="60049726" w14:textId="77777777" w:rsidR="00A061B8" w:rsidRPr="00A061B8" w:rsidRDefault="00A061B8" w:rsidP="00E22198">
      <w:pPr>
        <w:rPr>
          <w:rFonts w:ascii="Arial Narrow" w:hAnsi="Arial Narrow"/>
          <w:i/>
          <w:sz w:val="18"/>
          <w:szCs w:val="18"/>
        </w:rPr>
      </w:pPr>
      <w:r w:rsidRPr="00A061B8">
        <w:rPr>
          <w:rFonts w:ascii="Arial Narrow" w:hAnsi="Arial Narrow"/>
          <w:i/>
          <w:sz w:val="18"/>
          <w:szCs w:val="18"/>
          <w:vertAlign w:val="superscript"/>
        </w:rPr>
        <w:t>4</w:t>
      </w:r>
      <w:r>
        <w:rPr>
          <w:rFonts w:ascii="Arial Narrow" w:hAnsi="Arial Narrow"/>
          <w:i/>
          <w:sz w:val="18"/>
          <w:szCs w:val="18"/>
        </w:rPr>
        <w:t xml:space="preserve"> </w:t>
      </w:r>
      <w:r w:rsidRPr="00A061B8">
        <w:rPr>
          <w:rFonts w:ascii="Arial Narrow" w:hAnsi="Arial Narrow"/>
          <w:i/>
          <w:sz w:val="18"/>
          <w:szCs w:val="18"/>
        </w:rPr>
        <w:t>$115,000 to &lt; $135,000</w:t>
      </w:r>
    </w:p>
    <w:p w14:paraId="2B278777" w14:textId="77777777" w:rsidR="00A061B8" w:rsidRPr="00A061B8" w:rsidRDefault="00A061B8" w:rsidP="00A061B8">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A061B8">
        <w:rPr>
          <w:rFonts w:ascii="Arial Narrow" w:hAnsi="Arial Narrow"/>
          <w:i/>
          <w:sz w:val="18"/>
          <w:szCs w:val="18"/>
        </w:rPr>
        <w:t>$</w:t>
      </w:r>
      <w:r>
        <w:rPr>
          <w:rFonts w:ascii="Arial Narrow" w:hAnsi="Arial Narrow"/>
          <w:i/>
          <w:sz w:val="18"/>
          <w:szCs w:val="18"/>
        </w:rPr>
        <w:t>9</w:t>
      </w:r>
      <w:r w:rsidRPr="00A061B8">
        <w:rPr>
          <w:rFonts w:ascii="Arial Narrow" w:hAnsi="Arial Narrow"/>
          <w:i/>
          <w:sz w:val="18"/>
          <w:szCs w:val="18"/>
        </w:rPr>
        <w:t>5,000 to &lt; $1</w:t>
      </w:r>
      <w:r>
        <w:rPr>
          <w:rFonts w:ascii="Arial Narrow" w:hAnsi="Arial Narrow"/>
          <w:i/>
          <w:sz w:val="18"/>
          <w:szCs w:val="18"/>
        </w:rPr>
        <w:t>1</w:t>
      </w:r>
      <w:r w:rsidRPr="00A061B8">
        <w:rPr>
          <w:rFonts w:ascii="Arial Narrow" w:hAnsi="Arial Narrow"/>
          <w:i/>
          <w:sz w:val="18"/>
          <w:szCs w:val="18"/>
        </w:rPr>
        <w:t>5,000</w:t>
      </w:r>
    </w:p>
    <w:p w14:paraId="2684AC6F" w14:textId="77777777" w:rsidR="00E22198" w:rsidRPr="00131DA2" w:rsidRDefault="00E22198" w:rsidP="00EA712C">
      <w:pPr>
        <w:pStyle w:val="TableFigureFooter"/>
      </w:pPr>
    </w:p>
    <w:p w14:paraId="4AD7EDBF" w14:textId="77777777" w:rsidR="00EA712C" w:rsidRPr="00131DA2" w:rsidRDefault="00EA712C" w:rsidP="00EA712C">
      <w:pPr>
        <w:pStyle w:val="3-BodyText"/>
      </w:pPr>
      <w:r w:rsidRPr="00131DA2">
        <w:t>The model was sensitive to the parametric functions for OS extrapolation and time horizon. The longer the model time horizon, the more health benefit would be modelled, given the assumed continued treatment benefit of niraparib. Since the OS data from PRIMA were immature, extrapolation based on such data introduced substantial uncertainty.</w:t>
      </w:r>
      <w:r w:rsidR="00021FA2" w:rsidRPr="00131DA2">
        <w:t xml:space="preserve"> </w:t>
      </w:r>
      <w:r w:rsidRPr="00131DA2">
        <w:t xml:space="preserve">The model was also sensitive to the dose distribution data that were used to estimate the cost/cycle of niraparib. </w:t>
      </w:r>
    </w:p>
    <w:p w14:paraId="58C8A6E8" w14:textId="77777777" w:rsidR="00021FA2" w:rsidRPr="00131DA2" w:rsidRDefault="00EA712C" w:rsidP="00012871">
      <w:pPr>
        <w:pStyle w:val="3-BodyText"/>
      </w:pPr>
      <w:r w:rsidRPr="00131DA2">
        <w:t xml:space="preserve">The PSCR </w:t>
      </w:r>
      <w:r w:rsidR="00021FA2" w:rsidRPr="00131DA2">
        <w:t>proposed a n</w:t>
      </w:r>
      <w:r w:rsidRPr="00131DA2">
        <w:t>ew base case</w:t>
      </w:r>
      <w:r w:rsidR="00E62086" w:rsidRPr="00131DA2">
        <w:t xml:space="preserve"> (as shown in Table 11) </w:t>
      </w:r>
      <w:r w:rsidR="00021FA2" w:rsidRPr="00131DA2">
        <w:rPr>
          <w:rFonts w:cs="Times New Roman"/>
        </w:rPr>
        <w:t>to account for the key drivers of the analysis (long term OS, dose intensity) to ensure the cost effectiveness of niraparib is maintained</w:t>
      </w:r>
      <w:r w:rsidR="00021FA2" w:rsidRPr="00131DA2">
        <w:t>. The revised base case included the following changes:</w:t>
      </w:r>
    </w:p>
    <w:p w14:paraId="24B7E90D" w14:textId="77777777" w:rsidR="00021FA2" w:rsidRPr="00131DA2" w:rsidRDefault="00EA712C" w:rsidP="0095519F">
      <w:pPr>
        <w:pStyle w:val="ListParagraph"/>
        <w:ind w:left="1077" w:hanging="357"/>
      </w:pPr>
      <w:proofErr w:type="gramStart"/>
      <w:r w:rsidRPr="00131DA2">
        <w:t>re-specification</w:t>
      </w:r>
      <w:proofErr w:type="gramEnd"/>
      <w:r w:rsidRPr="00131DA2">
        <w:t xml:space="preserve"> of the OS </w:t>
      </w:r>
      <w:r w:rsidR="00021FA2" w:rsidRPr="00131DA2">
        <w:t xml:space="preserve">extrapolation </w:t>
      </w:r>
      <w:r w:rsidRPr="00131DA2">
        <w:t>function</w:t>
      </w:r>
      <w:r w:rsidR="00021FA2" w:rsidRPr="00131DA2">
        <w:t xml:space="preserve"> to the log-logistic model. The ESC noted that the </w:t>
      </w:r>
      <w:r w:rsidR="00536938" w:rsidRPr="00131DA2">
        <w:t>l</w:t>
      </w:r>
      <w:r w:rsidR="00021FA2" w:rsidRPr="00131DA2">
        <w:t xml:space="preserve">og-logistic model was more conservative than the original </w:t>
      </w:r>
      <w:r w:rsidR="00536938" w:rsidRPr="00131DA2">
        <w:t>l</w:t>
      </w:r>
      <w:r w:rsidR="00021FA2" w:rsidRPr="00131DA2">
        <w:t>og-normal model, however Gamma and Weibull models were also a reasonable fit to the observed Kaplan-Meier</w:t>
      </w:r>
      <w:r w:rsidR="00021FA2" w:rsidRPr="00131DA2" w:rsidDel="00E60FFF">
        <w:t xml:space="preserve"> </w:t>
      </w:r>
      <w:r w:rsidR="00021FA2" w:rsidRPr="00131DA2">
        <w:t xml:space="preserve">data and the ICER was sensitive to the use of these alternate </w:t>
      </w:r>
      <w:r w:rsidR="00B778E7" w:rsidRPr="00131DA2">
        <w:t>extrapolation functions</w:t>
      </w:r>
      <w:r w:rsidR="00E62086" w:rsidRPr="00131DA2">
        <w:t>;</w:t>
      </w:r>
    </w:p>
    <w:p w14:paraId="3E74583D" w14:textId="77777777" w:rsidR="00021FA2" w:rsidRPr="00131DA2" w:rsidRDefault="00021FA2" w:rsidP="0095519F">
      <w:pPr>
        <w:pStyle w:val="ListParagraph"/>
        <w:ind w:left="1077" w:hanging="357"/>
      </w:pPr>
      <w:proofErr w:type="gramStart"/>
      <w:r w:rsidRPr="00131DA2">
        <w:t>revised</w:t>
      </w:r>
      <w:proofErr w:type="gramEnd"/>
      <w:r w:rsidRPr="00131DA2">
        <w:t xml:space="preserve"> </w:t>
      </w:r>
      <w:r w:rsidR="00EA712C" w:rsidRPr="00131DA2">
        <w:t>dose exposure &amp; safety</w:t>
      </w:r>
      <w:r w:rsidRPr="00131DA2">
        <w:t xml:space="preserve"> </w:t>
      </w:r>
      <w:r w:rsidR="00E62086" w:rsidRPr="00131DA2">
        <w:t xml:space="preserve">costs </w:t>
      </w:r>
      <w:r w:rsidRPr="00131DA2">
        <w:t xml:space="preserve">based on the ITT population in PRIMA. </w:t>
      </w:r>
      <w:bookmarkStart w:id="29" w:name="_Ref74822587"/>
      <w:r w:rsidR="00E62086" w:rsidRPr="00131DA2">
        <w:t xml:space="preserve">The PSCR acknowledged that applying exposure and safety costs based on the ISD PRIMA cohort introduces additional uncertainty into the model as clinical outcomes (PFS, OS and TTD) are based on the ITT PRIMA cohort in the economic model. The ESC noted that the exposure applied in the revised base case resulted in a slight increase in drug costs, consistent with the fact </w:t>
      </w:r>
      <w:bookmarkEnd w:id="29"/>
      <w:r w:rsidR="00E62086" w:rsidRPr="00131DA2">
        <w:t>that patients treated with the FSD would have dose reductions due to AEs; and</w:t>
      </w:r>
    </w:p>
    <w:p w14:paraId="1069DEB3" w14:textId="77777777" w:rsidR="00EA712C" w:rsidRPr="00131DA2" w:rsidRDefault="00021FA2" w:rsidP="0095519F">
      <w:pPr>
        <w:pStyle w:val="ListParagraph"/>
        <w:ind w:left="1077" w:hanging="357"/>
      </w:pPr>
      <w:proofErr w:type="gramStart"/>
      <w:r w:rsidRPr="00131DA2">
        <w:t>a</w:t>
      </w:r>
      <w:proofErr w:type="gramEnd"/>
      <w:r w:rsidRPr="00131DA2">
        <w:t xml:space="preserve"> revised </w:t>
      </w:r>
      <w:r w:rsidR="00EA712C" w:rsidRPr="00131DA2">
        <w:t>effective price of $</w:t>
      </w:r>
      <w:r w:rsidR="001D7CF9">
        <w:rPr>
          <w:noProof/>
          <w:color w:val="000000"/>
          <w:highlight w:val="black"/>
        </w:rPr>
        <w:t>''''''''''''''''''</w:t>
      </w:r>
      <w:r w:rsidR="00EA712C" w:rsidRPr="00131DA2">
        <w:t xml:space="preserve"> (100mg x 56)</w:t>
      </w:r>
      <w:r w:rsidR="00E62086" w:rsidRPr="00131DA2">
        <w:t xml:space="preserve"> in order to maintain the ICER presented in the submission base case.</w:t>
      </w:r>
      <w:r w:rsidR="00EA712C" w:rsidRPr="00131DA2">
        <w:t xml:space="preserve"> </w:t>
      </w:r>
    </w:p>
    <w:p w14:paraId="489137E4" w14:textId="77777777" w:rsidR="00EA712C" w:rsidRPr="00131DA2" w:rsidRDefault="00E62086" w:rsidP="00FB6EE9">
      <w:pPr>
        <w:pStyle w:val="TableFigureHeading"/>
        <w:rPr>
          <w:rStyle w:val="CommentReference"/>
          <w:b/>
          <w:szCs w:val="24"/>
        </w:rPr>
      </w:pPr>
      <w:r w:rsidRPr="00131DA2">
        <w:t xml:space="preserve">Table </w:t>
      </w:r>
      <w:r w:rsidR="008A7614">
        <w:rPr>
          <w:noProof/>
        </w:rPr>
        <w:t>11</w:t>
      </w:r>
      <w:r w:rsidRPr="00131DA2">
        <w:t xml:space="preserve">: </w:t>
      </w:r>
      <w:r w:rsidR="00EA712C" w:rsidRPr="00131DA2">
        <w:t>Revised base case cost-effectiveness analysis of niraparib vs SMM in NDA HGEOC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6A0" w:firstRow="1" w:lastRow="0" w:firstColumn="1" w:lastColumn="0" w:noHBand="1" w:noVBand="1"/>
      </w:tblPr>
      <w:tblGrid>
        <w:gridCol w:w="3007"/>
        <w:gridCol w:w="3005"/>
        <w:gridCol w:w="3005"/>
      </w:tblGrid>
      <w:tr w:rsidR="00EA712C" w:rsidRPr="00131DA2" w14:paraId="1FE16B1B" w14:textId="77777777" w:rsidTr="00FB6EE9">
        <w:trPr>
          <w:trHeight w:val="19"/>
          <w:tblHeader/>
        </w:trPr>
        <w:tc>
          <w:tcPr>
            <w:tcW w:w="1667" w:type="pct"/>
            <w:shd w:val="clear" w:color="auto" w:fill="auto"/>
          </w:tcPr>
          <w:p w14:paraId="061A0EE2" w14:textId="77777777" w:rsidR="00EA712C" w:rsidRPr="00131DA2" w:rsidRDefault="00EA712C" w:rsidP="00FB6EE9">
            <w:pPr>
              <w:pStyle w:val="TableFigureHeading"/>
            </w:pPr>
            <w:r w:rsidRPr="00131DA2">
              <w:t>Model variable</w:t>
            </w:r>
          </w:p>
        </w:tc>
        <w:tc>
          <w:tcPr>
            <w:tcW w:w="1666" w:type="pct"/>
            <w:shd w:val="clear" w:color="auto" w:fill="auto"/>
          </w:tcPr>
          <w:p w14:paraId="30B99A8B" w14:textId="77777777" w:rsidR="00EA712C" w:rsidRPr="00131DA2" w:rsidRDefault="00EA712C" w:rsidP="00FB6EE9">
            <w:pPr>
              <w:pStyle w:val="TableFigureHeading"/>
            </w:pPr>
            <w:r w:rsidRPr="00131DA2">
              <w:t>Submission base case</w:t>
            </w:r>
          </w:p>
        </w:tc>
        <w:tc>
          <w:tcPr>
            <w:tcW w:w="1666" w:type="pct"/>
            <w:shd w:val="clear" w:color="auto" w:fill="auto"/>
          </w:tcPr>
          <w:p w14:paraId="5B6A80F0" w14:textId="77777777" w:rsidR="00EA712C" w:rsidRPr="00131DA2" w:rsidRDefault="00EA712C" w:rsidP="00FB6EE9">
            <w:pPr>
              <w:pStyle w:val="TableFigureHeading"/>
            </w:pPr>
            <w:r w:rsidRPr="00131DA2">
              <w:t>Revised base case (PSCR)</w:t>
            </w:r>
          </w:p>
        </w:tc>
      </w:tr>
      <w:tr w:rsidR="00EA712C" w:rsidRPr="00D523BE" w14:paraId="1DE60AD3" w14:textId="77777777" w:rsidTr="00E62086">
        <w:trPr>
          <w:trHeight w:val="19"/>
        </w:trPr>
        <w:tc>
          <w:tcPr>
            <w:tcW w:w="1667" w:type="pct"/>
          </w:tcPr>
          <w:p w14:paraId="25D69E36" w14:textId="77777777" w:rsidR="00EA712C" w:rsidRPr="00D523BE" w:rsidRDefault="00EA712C" w:rsidP="00FB6EE9">
            <w:pPr>
              <w:pStyle w:val="TableText0"/>
            </w:pPr>
            <w:r w:rsidRPr="00D523BE">
              <w:t>#1. Dosing schedule</w:t>
            </w:r>
          </w:p>
        </w:tc>
        <w:tc>
          <w:tcPr>
            <w:tcW w:w="1666" w:type="pct"/>
          </w:tcPr>
          <w:p w14:paraId="35804852" w14:textId="77777777" w:rsidR="00EA712C" w:rsidRPr="00D523BE" w:rsidRDefault="00EA712C" w:rsidP="00FB6EE9">
            <w:pPr>
              <w:pStyle w:val="TableText0"/>
            </w:pPr>
            <w:r w:rsidRPr="00D523BE">
              <w:t>ISD</w:t>
            </w:r>
          </w:p>
        </w:tc>
        <w:tc>
          <w:tcPr>
            <w:tcW w:w="1666" w:type="pct"/>
          </w:tcPr>
          <w:p w14:paraId="15634F4D" w14:textId="77777777" w:rsidR="00EA712C" w:rsidRPr="00D523BE" w:rsidRDefault="00EA712C" w:rsidP="00FB6EE9">
            <w:pPr>
              <w:pStyle w:val="TableText0"/>
            </w:pPr>
            <w:r w:rsidRPr="00D523BE">
              <w:t>ITT</w:t>
            </w:r>
          </w:p>
        </w:tc>
      </w:tr>
      <w:tr w:rsidR="00EA712C" w:rsidRPr="00D523BE" w14:paraId="39D40379" w14:textId="77777777" w:rsidTr="00E62086">
        <w:trPr>
          <w:trHeight w:val="19"/>
        </w:trPr>
        <w:tc>
          <w:tcPr>
            <w:tcW w:w="1667" w:type="pct"/>
            <w:shd w:val="clear" w:color="auto" w:fill="auto"/>
          </w:tcPr>
          <w:p w14:paraId="1D3A0FEE" w14:textId="77777777" w:rsidR="00EA712C" w:rsidRPr="00D523BE" w:rsidRDefault="00EA712C" w:rsidP="00FB6EE9">
            <w:pPr>
              <w:pStyle w:val="TableText0"/>
            </w:pPr>
            <w:r w:rsidRPr="00D523BE">
              <w:t>#2. Safety costs</w:t>
            </w:r>
          </w:p>
        </w:tc>
        <w:tc>
          <w:tcPr>
            <w:tcW w:w="1666" w:type="pct"/>
            <w:shd w:val="clear" w:color="auto" w:fill="auto"/>
          </w:tcPr>
          <w:p w14:paraId="5781D7AE" w14:textId="77777777" w:rsidR="00EA712C" w:rsidRPr="00D523BE" w:rsidRDefault="00EA712C" w:rsidP="00FB6EE9">
            <w:pPr>
              <w:pStyle w:val="TableText0"/>
            </w:pPr>
            <w:r w:rsidRPr="00D523BE">
              <w:t>AE rates in ISD cohort</w:t>
            </w:r>
          </w:p>
        </w:tc>
        <w:tc>
          <w:tcPr>
            <w:tcW w:w="1666" w:type="pct"/>
            <w:shd w:val="clear" w:color="auto" w:fill="auto"/>
          </w:tcPr>
          <w:p w14:paraId="2B3C0D39" w14:textId="77777777" w:rsidR="00EA712C" w:rsidRPr="00D523BE" w:rsidRDefault="00EA712C" w:rsidP="00FB6EE9">
            <w:pPr>
              <w:pStyle w:val="TableText0"/>
            </w:pPr>
            <w:r w:rsidRPr="00D523BE">
              <w:t>AE rates in ITT cohort</w:t>
            </w:r>
          </w:p>
        </w:tc>
      </w:tr>
      <w:tr w:rsidR="00EA712C" w:rsidRPr="00D523BE" w14:paraId="433EFD96" w14:textId="77777777" w:rsidTr="00E62086">
        <w:trPr>
          <w:trHeight w:val="168"/>
        </w:trPr>
        <w:tc>
          <w:tcPr>
            <w:tcW w:w="1667" w:type="pct"/>
          </w:tcPr>
          <w:p w14:paraId="1596028A" w14:textId="77777777" w:rsidR="00EA712C" w:rsidRPr="00D523BE" w:rsidRDefault="00EA712C" w:rsidP="00FB6EE9">
            <w:pPr>
              <w:pStyle w:val="TableText0"/>
            </w:pPr>
            <w:r w:rsidRPr="00D523BE">
              <w:t>#3. OS parametric extrapolation</w:t>
            </w:r>
          </w:p>
        </w:tc>
        <w:tc>
          <w:tcPr>
            <w:tcW w:w="1666" w:type="pct"/>
          </w:tcPr>
          <w:p w14:paraId="36EC29D9" w14:textId="77777777" w:rsidR="00EA712C" w:rsidRPr="00D523BE" w:rsidRDefault="00EA712C" w:rsidP="00FB6EE9">
            <w:pPr>
              <w:pStyle w:val="TableText0"/>
            </w:pPr>
            <w:r w:rsidRPr="00D523BE">
              <w:t>Log-Normal</w:t>
            </w:r>
          </w:p>
        </w:tc>
        <w:tc>
          <w:tcPr>
            <w:tcW w:w="1666" w:type="pct"/>
          </w:tcPr>
          <w:p w14:paraId="1D0E28C6" w14:textId="77777777" w:rsidR="00EA712C" w:rsidRPr="00D523BE" w:rsidRDefault="00EA712C" w:rsidP="00FB6EE9">
            <w:pPr>
              <w:pStyle w:val="TableText0"/>
            </w:pPr>
            <w:r w:rsidRPr="00D523BE">
              <w:t>Log-Logistic</w:t>
            </w:r>
          </w:p>
        </w:tc>
      </w:tr>
      <w:tr w:rsidR="00EA712C" w:rsidRPr="00D523BE" w14:paraId="60C317D3" w14:textId="77777777" w:rsidTr="00E62086">
        <w:trPr>
          <w:trHeight w:val="19"/>
        </w:trPr>
        <w:tc>
          <w:tcPr>
            <w:tcW w:w="1667" w:type="pct"/>
          </w:tcPr>
          <w:p w14:paraId="62932C2C" w14:textId="77777777" w:rsidR="00EA712C" w:rsidRPr="00D523BE" w:rsidRDefault="00EA712C" w:rsidP="00FB6EE9">
            <w:pPr>
              <w:pStyle w:val="TableText0"/>
            </w:pPr>
            <w:r w:rsidRPr="00D523BE">
              <w:t>Niraparib effective price (100mg x 56)</w:t>
            </w:r>
          </w:p>
        </w:tc>
        <w:tc>
          <w:tcPr>
            <w:tcW w:w="1666" w:type="pct"/>
          </w:tcPr>
          <w:p w14:paraId="4312752B" w14:textId="77777777" w:rsidR="00EA712C" w:rsidRPr="00D523BE" w:rsidRDefault="00EA712C" w:rsidP="00FB6EE9">
            <w:pPr>
              <w:pStyle w:val="TableText0"/>
            </w:pPr>
            <w:r w:rsidRPr="00D523BE">
              <w:t>$</w:t>
            </w:r>
            <w:r w:rsidR="001D7CF9">
              <w:rPr>
                <w:noProof/>
                <w:color w:val="000000"/>
                <w:highlight w:val="black"/>
              </w:rPr>
              <w:t>''''''''''''''''''''</w:t>
            </w:r>
          </w:p>
        </w:tc>
        <w:tc>
          <w:tcPr>
            <w:tcW w:w="1666" w:type="pct"/>
          </w:tcPr>
          <w:p w14:paraId="3625BCA7" w14:textId="77777777" w:rsidR="00EA712C" w:rsidRPr="00D523BE" w:rsidRDefault="00EA712C" w:rsidP="00FB6EE9">
            <w:pPr>
              <w:pStyle w:val="TableText0"/>
            </w:pPr>
            <w:r w:rsidRPr="00D523BE">
              <w:t>$</w:t>
            </w:r>
            <w:r w:rsidR="001D7CF9">
              <w:rPr>
                <w:noProof/>
                <w:color w:val="000000"/>
                <w:highlight w:val="black"/>
              </w:rPr>
              <w:t>''''''''''''''''''''</w:t>
            </w:r>
          </w:p>
        </w:tc>
      </w:tr>
      <w:tr w:rsidR="00EA712C" w:rsidRPr="00D523BE" w14:paraId="026BC0FE" w14:textId="77777777" w:rsidTr="00E62086">
        <w:trPr>
          <w:trHeight w:val="19"/>
        </w:trPr>
        <w:tc>
          <w:tcPr>
            <w:tcW w:w="1667" w:type="pct"/>
          </w:tcPr>
          <w:p w14:paraId="3775EC98" w14:textId="77777777" w:rsidR="00EA712C" w:rsidRPr="00D523BE" w:rsidRDefault="00EA712C" w:rsidP="00FB6EE9">
            <w:pPr>
              <w:pStyle w:val="TableText0"/>
            </w:pPr>
            <w:r w:rsidRPr="00D523BE">
              <w:t>ICER</w:t>
            </w:r>
          </w:p>
        </w:tc>
        <w:tc>
          <w:tcPr>
            <w:tcW w:w="1666" w:type="pct"/>
          </w:tcPr>
          <w:p w14:paraId="42024F1F" w14:textId="77777777" w:rsidR="00EA712C" w:rsidRPr="00D523BE" w:rsidRDefault="00EA712C" w:rsidP="00FB6EE9">
            <w:pPr>
              <w:pStyle w:val="TableText0"/>
            </w:pPr>
            <w:r w:rsidRPr="00D523BE">
              <w:t>$</w:t>
            </w:r>
            <w:r w:rsidR="001D7CF9">
              <w:rPr>
                <w:noProof/>
                <w:color w:val="000000"/>
                <w:highlight w:val="black"/>
              </w:rPr>
              <w:t>''''''''''''''''</w:t>
            </w:r>
            <w:r w:rsidR="00402602" w:rsidRPr="00402602">
              <w:rPr>
                <w:vertAlign w:val="superscript"/>
              </w:rPr>
              <w:t>1</w:t>
            </w:r>
          </w:p>
        </w:tc>
        <w:tc>
          <w:tcPr>
            <w:tcW w:w="1666" w:type="pct"/>
          </w:tcPr>
          <w:p w14:paraId="6DA2322C" w14:textId="77777777" w:rsidR="00EA712C" w:rsidRPr="00D523BE" w:rsidRDefault="00E62086" w:rsidP="00FB6EE9">
            <w:pPr>
              <w:pStyle w:val="TableText0"/>
            </w:pPr>
            <w:r w:rsidRPr="00D523BE">
              <w:t>$</w:t>
            </w:r>
            <w:r w:rsidR="001D7CF9">
              <w:rPr>
                <w:noProof/>
                <w:color w:val="000000"/>
                <w:highlight w:val="black"/>
              </w:rPr>
              <w:t>''''''''''''''''</w:t>
            </w:r>
            <w:r w:rsidR="00402602" w:rsidRPr="00402602">
              <w:rPr>
                <w:vertAlign w:val="superscript"/>
              </w:rPr>
              <w:t>1</w:t>
            </w:r>
          </w:p>
        </w:tc>
      </w:tr>
    </w:tbl>
    <w:p w14:paraId="7AD77F40" w14:textId="77777777" w:rsidR="00540A29" w:rsidRDefault="00EA712C" w:rsidP="00CD42BD">
      <w:pPr>
        <w:pStyle w:val="TableFooter"/>
      </w:pPr>
      <w:r w:rsidRPr="00D523BE">
        <w:t>Abbreviations: AE = adverse event; ICER = incremental cost effectiveness ratio; ISD = individualised starting dose; ITT = intent to treat; OS = overall survival</w:t>
      </w:r>
    </w:p>
    <w:p w14:paraId="3839B62F" w14:textId="77777777" w:rsidR="00402602" w:rsidRPr="00B62999" w:rsidRDefault="00402602" w:rsidP="00402602">
      <w:pPr>
        <w:pStyle w:val="TableFigureFooter"/>
        <w:spacing w:after="0"/>
        <w:contextualSpacing w:val="0"/>
        <w:rPr>
          <w:szCs w:val="18"/>
        </w:rPr>
      </w:pPr>
      <w:r w:rsidRPr="00B62999">
        <w:rPr>
          <w:i/>
          <w:szCs w:val="18"/>
        </w:rPr>
        <w:t xml:space="preserve">The redacted values correspond to the following ranges: </w:t>
      </w:r>
    </w:p>
    <w:p w14:paraId="190F0444" w14:textId="77777777" w:rsidR="00CD42BD" w:rsidRPr="00D523BE" w:rsidRDefault="00402602" w:rsidP="00CD42BD">
      <w:pPr>
        <w:pStyle w:val="TableFooter"/>
      </w:pPr>
      <w:r w:rsidRPr="00B62999">
        <w:rPr>
          <w:i/>
          <w:szCs w:val="18"/>
          <w:vertAlign w:val="superscript"/>
        </w:rPr>
        <w:t>1</w:t>
      </w:r>
      <w:r>
        <w:rPr>
          <w:szCs w:val="18"/>
        </w:rPr>
        <w:t xml:space="preserve"> </w:t>
      </w:r>
      <w:r w:rsidRPr="00402602">
        <w:rPr>
          <w:i/>
          <w:szCs w:val="18"/>
        </w:rPr>
        <w:t>$55,000 to &lt; $75,000</w:t>
      </w:r>
    </w:p>
    <w:p w14:paraId="70235A59" w14:textId="77777777" w:rsidR="003B4A45" w:rsidRPr="00D523BE" w:rsidRDefault="006472CA" w:rsidP="00CB77D0">
      <w:pPr>
        <w:pStyle w:val="3-BodyText"/>
      </w:pPr>
      <w:r w:rsidRPr="00D523BE">
        <w:t xml:space="preserve">The pre-PBAC response noted that the ICER would reduce to </w:t>
      </w:r>
      <w:r w:rsidR="00CB77D0" w:rsidRPr="00CB77D0">
        <w:t>$45,000 to &lt;</w:t>
      </w:r>
      <w:r w:rsidR="00CB77D0">
        <w:t> </w:t>
      </w:r>
      <w:r w:rsidR="00CB77D0" w:rsidRPr="00CB77D0">
        <w:t>$55,000</w:t>
      </w:r>
      <w:r w:rsidRPr="00D523BE">
        <w:t xml:space="preserve">/QALY if the model assumed drug costs based on ISD use with no reduction to effectiveness. </w:t>
      </w:r>
    </w:p>
    <w:p w14:paraId="174E0AA3" w14:textId="77777777" w:rsidR="00D444EA" w:rsidRPr="006472CA" w:rsidRDefault="00CB1332" w:rsidP="006472CA">
      <w:pPr>
        <w:pStyle w:val="3-BodyText"/>
      </w:pPr>
      <w:r w:rsidRPr="00D523BE">
        <w:t xml:space="preserve">The submission did not present an economic evaluation of niraparib compared to the clinically relevant comparators in Australian practice, i.e. compared to olaparib for BRCAm patients, and compared with bevacizumab for </w:t>
      </w:r>
      <w:r w:rsidR="005A42ED" w:rsidRPr="00D523BE">
        <w:t>relevant non-BRCAm</w:t>
      </w:r>
      <w:r w:rsidRPr="00D523BE">
        <w:t xml:space="preserve"> patients. The presentation of a cost utility analysis (CUA) for niraparib compared with no active treatment</w:t>
      </w:r>
      <w:r w:rsidRPr="00CB1332">
        <w:t xml:space="preserve"> may be reasonable only for the subgroup of patients in whom there are no alternate first-line maintenance treatment options, non-BRCAm patients</w:t>
      </w:r>
      <w:r w:rsidR="00830B4E">
        <w:t xml:space="preserve"> who are not treated with bevacizumab</w:t>
      </w:r>
      <w:r w:rsidRPr="00CB1332">
        <w:t>. This subgroup represent</w:t>
      </w:r>
      <w:r w:rsidR="00830B4E">
        <w:t>s up to</w:t>
      </w:r>
      <w:r w:rsidRPr="00CB1332">
        <w:t xml:space="preserve"> 57% (271/473) of non-BRCAm patients in the PRIMA trial, (37% of the whole study population). </w:t>
      </w:r>
    </w:p>
    <w:p w14:paraId="27FABDE6" w14:textId="77777777" w:rsidR="00830B4E" w:rsidRPr="006472CA" w:rsidRDefault="00830B4E" w:rsidP="00830B4E">
      <w:pPr>
        <w:pStyle w:val="3-BodyText"/>
      </w:pPr>
      <w:r w:rsidRPr="00CB1332">
        <w:t xml:space="preserve">The PBAC considered that the economic model provided in the submission was not reliable for decision making because it failed to present an economic evaluation that reflects the proposed circumstances of use of niraparib in the proposed PBS population. </w:t>
      </w:r>
      <w:r w:rsidRPr="003B4A45">
        <w:rPr>
          <w:rFonts w:cstheme="minorHAnsi"/>
        </w:rPr>
        <w:t>The PBAC considered it was reasonable to expect differences in comparative benefits and harms in the different patient subgroups if niraparib is used in place of olaparib, bevacizumab or SMM</w:t>
      </w:r>
      <w:r>
        <w:rPr>
          <w:rFonts w:cstheme="minorHAnsi"/>
        </w:rPr>
        <w:t>. N</w:t>
      </w:r>
      <w:r w:rsidRPr="003B4A45">
        <w:rPr>
          <w:rFonts w:cstheme="minorHAnsi"/>
        </w:rPr>
        <w:t xml:space="preserve">oting the differences in PFS benefit in the BRCAm and HRD positive subgroups </w:t>
      </w:r>
      <w:r>
        <w:rPr>
          <w:rFonts w:cstheme="minorHAnsi"/>
        </w:rPr>
        <w:t xml:space="preserve">demonstrated in the PRIMA trial, the PBAC considered that the efficacy outcomes were driven by inclusion of the BRCAm patients in the model. </w:t>
      </w:r>
      <w:r w:rsidRPr="006472CA">
        <w:t xml:space="preserve">The PBAC noted that the approach taken in the economic model was </w:t>
      </w:r>
      <w:r>
        <w:t xml:space="preserve">also </w:t>
      </w:r>
      <w:r w:rsidRPr="006472CA">
        <w:t>inconsistent with the proposed place in therapy and the utilisation and financial estimate</w:t>
      </w:r>
      <w:r>
        <w:t>s presented</w:t>
      </w:r>
      <w:r w:rsidRPr="006472CA">
        <w:t>.</w:t>
      </w:r>
    </w:p>
    <w:p w14:paraId="5953DA40" w14:textId="77777777" w:rsidR="009A1E90" w:rsidRPr="00690950" w:rsidRDefault="009A1E90" w:rsidP="00690950"/>
    <w:p w14:paraId="00E89DD9" w14:textId="77777777" w:rsidR="009A1E90" w:rsidRDefault="009A1E90" w:rsidP="009A1E90"/>
    <w:p w14:paraId="76FC4414" w14:textId="77777777" w:rsidR="009A1E90" w:rsidRDefault="009A1E90" w:rsidP="009A1E90"/>
    <w:p w14:paraId="46CCA096" w14:textId="77777777" w:rsidR="009A1E90" w:rsidRDefault="009A1E90" w:rsidP="009A1E90"/>
    <w:p w14:paraId="33398078" w14:textId="77777777" w:rsidR="009A1E90" w:rsidRPr="009A1E90" w:rsidRDefault="009A1E90" w:rsidP="009A1E90"/>
    <w:p w14:paraId="40025D9A" w14:textId="77777777" w:rsidR="007D014D" w:rsidRPr="00131DA2" w:rsidRDefault="007D014D" w:rsidP="007D014D">
      <w:pPr>
        <w:pStyle w:val="4-SubsectionHeading"/>
      </w:pPr>
      <w:r w:rsidRPr="00131DA2">
        <w:t>Drug cost/patient/course</w:t>
      </w:r>
      <w:bookmarkEnd w:id="27"/>
    </w:p>
    <w:p w14:paraId="35CDA6E7" w14:textId="77777777" w:rsidR="007D014D" w:rsidRPr="00131DA2" w:rsidRDefault="007D014D" w:rsidP="007D014D">
      <w:pPr>
        <w:pStyle w:val="TableFigureHeading"/>
        <w:rPr>
          <w:rStyle w:val="CommentReference"/>
          <w:b/>
          <w:szCs w:val="24"/>
        </w:rPr>
      </w:pPr>
      <w:r w:rsidRPr="00131DA2">
        <w:t xml:space="preserve">Table </w:t>
      </w:r>
      <w:r w:rsidR="008A7614">
        <w:rPr>
          <w:noProof/>
        </w:rPr>
        <w:t>12</w:t>
      </w:r>
      <w:r w:rsidRPr="00131DA2">
        <w:t xml:space="preserve">: </w:t>
      </w:r>
      <w:r w:rsidR="0007093B" w:rsidRPr="00131DA2">
        <w:t>Drug cost per patient for niraparib (requested effective DPMQ)*, olaparib and bevacizumab (PBS-listed prices)</w:t>
      </w:r>
      <w:r w:rsidR="0007093B" w:rsidRPr="00131DA2">
        <w:rPr>
          <w:vertAlign w:val="superscript"/>
        </w:rPr>
        <w:t xml:space="preserve"> **</w:t>
      </w:r>
      <w:r w:rsidR="0007093B" w:rsidRPr="00131DA2">
        <w:t xml:space="preserve"> – 1L maintenance treatment of NDA HGEOC</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0"/>
        <w:gridCol w:w="1488"/>
        <w:gridCol w:w="1206"/>
        <w:gridCol w:w="1209"/>
        <w:gridCol w:w="1449"/>
        <w:gridCol w:w="842"/>
        <w:gridCol w:w="1328"/>
      </w:tblGrid>
      <w:tr w:rsidR="007D014D" w:rsidRPr="00131DA2" w14:paraId="6A3F0D91" w14:textId="77777777" w:rsidTr="00FB6EE9">
        <w:trPr>
          <w:cantSplit/>
          <w:tblHeader/>
        </w:trPr>
        <w:tc>
          <w:tcPr>
            <w:tcW w:w="784" w:type="pct"/>
            <w:vMerge w:val="restart"/>
            <w:tcMar>
              <w:top w:w="0" w:type="dxa"/>
              <w:left w:w="28" w:type="dxa"/>
              <w:bottom w:w="0" w:type="dxa"/>
              <w:right w:w="28" w:type="dxa"/>
            </w:tcMar>
            <w:vAlign w:val="center"/>
          </w:tcPr>
          <w:p w14:paraId="2D88AA1C" w14:textId="77777777" w:rsidR="007D014D" w:rsidRPr="00131DA2" w:rsidRDefault="007D014D" w:rsidP="00DE06A7">
            <w:pPr>
              <w:pStyle w:val="In-tableHeading"/>
              <w:contextualSpacing/>
              <w:jc w:val="center"/>
              <w:rPr>
                <w:szCs w:val="20"/>
                <w:lang w:val="en-AU"/>
              </w:rPr>
            </w:pPr>
          </w:p>
        </w:tc>
        <w:tc>
          <w:tcPr>
            <w:tcW w:w="2187" w:type="pct"/>
            <w:gridSpan w:val="3"/>
            <w:tcMar>
              <w:top w:w="0" w:type="dxa"/>
              <w:left w:w="28" w:type="dxa"/>
              <w:bottom w:w="0" w:type="dxa"/>
              <w:right w:w="28" w:type="dxa"/>
            </w:tcMar>
            <w:vAlign w:val="center"/>
            <w:hideMark/>
          </w:tcPr>
          <w:p w14:paraId="6EF2C4DE" w14:textId="77777777" w:rsidR="007D014D" w:rsidRPr="00131DA2" w:rsidRDefault="007D014D" w:rsidP="00DE06A7">
            <w:pPr>
              <w:pStyle w:val="In-tableHeading"/>
              <w:contextualSpacing/>
              <w:jc w:val="center"/>
              <w:rPr>
                <w:lang w:val="en-AU"/>
              </w:rPr>
            </w:pPr>
            <w:r w:rsidRPr="00131DA2">
              <w:rPr>
                <w:lang w:val="en-AU"/>
              </w:rPr>
              <w:t>Niraparib</w:t>
            </w:r>
          </w:p>
        </w:tc>
        <w:tc>
          <w:tcPr>
            <w:tcW w:w="2029" w:type="pct"/>
            <w:gridSpan w:val="3"/>
            <w:tcMar>
              <w:top w:w="0" w:type="dxa"/>
              <w:left w:w="28" w:type="dxa"/>
              <w:bottom w:w="0" w:type="dxa"/>
              <w:right w:w="28" w:type="dxa"/>
            </w:tcMar>
            <w:vAlign w:val="center"/>
            <w:hideMark/>
          </w:tcPr>
          <w:p w14:paraId="72776A89" w14:textId="77777777" w:rsidR="007D014D" w:rsidRPr="00131DA2" w:rsidRDefault="007D014D" w:rsidP="00DE06A7">
            <w:pPr>
              <w:pStyle w:val="In-tableHeading"/>
              <w:contextualSpacing/>
              <w:jc w:val="center"/>
              <w:rPr>
                <w:lang w:val="en-AU"/>
              </w:rPr>
            </w:pPr>
            <w:r w:rsidRPr="00131DA2">
              <w:rPr>
                <w:lang w:val="en-AU"/>
              </w:rPr>
              <w:t>Comparators (olaparib and bevacizumab)</w:t>
            </w:r>
          </w:p>
        </w:tc>
      </w:tr>
      <w:tr w:rsidR="007D014D" w:rsidRPr="00131DA2" w14:paraId="6B25E53D" w14:textId="77777777" w:rsidTr="00FB6EE9">
        <w:trPr>
          <w:cantSplit/>
          <w:tblHeader/>
        </w:trPr>
        <w:tc>
          <w:tcPr>
            <w:tcW w:w="784" w:type="pct"/>
            <w:vMerge/>
            <w:vAlign w:val="center"/>
            <w:hideMark/>
          </w:tcPr>
          <w:p w14:paraId="0FF86100" w14:textId="77777777" w:rsidR="007D014D" w:rsidRPr="00131DA2" w:rsidRDefault="007D014D" w:rsidP="00DE06A7">
            <w:pPr>
              <w:contextualSpacing/>
              <w:jc w:val="center"/>
              <w:rPr>
                <w:rFonts w:ascii="Arial Narrow" w:eastAsiaTheme="minorHAnsi" w:hAnsi="Arial Narrow" w:cs="Times New Roman"/>
                <w:b/>
                <w:bCs/>
                <w:sz w:val="20"/>
                <w:szCs w:val="20"/>
              </w:rPr>
            </w:pPr>
          </w:p>
        </w:tc>
        <w:tc>
          <w:tcPr>
            <w:tcW w:w="833" w:type="pct"/>
            <w:tcMar>
              <w:top w:w="0" w:type="dxa"/>
              <w:left w:w="28" w:type="dxa"/>
              <w:bottom w:w="0" w:type="dxa"/>
              <w:right w:w="28" w:type="dxa"/>
            </w:tcMar>
            <w:vAlign w:val="center"/>
            <w:hideMark/>
          </w:tcPr>
          <w:p w14:paraId="46ADF100" w14:textId="77777777" w:rsidR="007D014D" w:rsidRPr="00131DA2" w:rsidRDefault="007D014D" w:rsidP="00DE06A7">
            <w:pPr>
              <w:pStyle w:val="In-tableHeading"/>
              <w:contextualSpacing/>
              <w:jc w:val="center"/>
              <w:rPr>
                <w:lang w:val="en-AU"/>
              </w:rPr>
            </w:pPr>
            <w:r w:rsidRPr="00131DA2">
              <w:rPr>
                <w:lang w:val="en-AU"/>
              </w:rPr>
              <w:t>Trial dose and duration</w:t>
            </w:r>
          </w:p>
        </w:tc>
        <w:tc>
          <w:tcPr>
            <w:tcW w:w="676" w:type="pct"/>
            <w:tcMar>
              <w:top w:w="0" w:type="dxa"/>
              <w:left w:w="28" w:type="dxa"/>
              <w:bottom w:w="0" w:type="dxa"/>
              <w:right w:w="28" w:type="dxa"/>
            </w:tcMar>
            <w:vAlign w:val="center"/>
            <w:hideMark/>
          </w:tcPr>
          <w:p w14:paraId="1A036917" w14:textId="77777777" w:rsidR="007D014D" w:rsidRPr="00131DA2" w:rsidRDefault="007D014D" w:rsidP="00DE06A7">
            <w:pPr>
              <w:pStyle w:val="In-tableHeading"/>
              <w:contextualSpacing/>
              <w:jc w:val="center"/>
              <w:rPr>
                <w:lang w:val="en-AU"/>
              </w:rPr>
            </w:pPr>
            <w:r w:rsidRPr="00131DA2">
              <w:rPr>
                <w:lang w:val="en-AU"/>
              </w:rPr>
              <w:t>Model</w:t>
            </w:r>
          </w:p>
        </w:tc>
        <w:tc>
          <w:tcPr>
            <w:tcW w:w="678" w:type="pct"/>
            <w:tcMar>
              <w:top w:w="0" w:type="dxa"/>
              <w:left w:w="28" w:type="dxa"/>
              <w:bottom w:w="0" w:type="dxa"/>
              <w:right w:w="28" w:type="dxa"/>
            </w:tcMar>
            <w:vAlign w:val="center"/>
            <w:hideMark/>
          </w:tcPr>
          <w:p w14:paraId="0FE353E7" w14:textId="77777777" w:rsidR="007D014D" w:rsidRPr="00131DA2" w:rsidRDefault="007D014D" w:rsidP="00DE06A7">
            <w:pPr>
              <w:pStyle w:val="In-tableHeading"/>
              <w:contextualSpacing/>
              <w:jc w:val="center"/>
              <w:rPr>
                <w:lang w:val="en-AU"/>
              </w:rPr>
            </w:pPr>
            <w:r w:rsidRPr="00131DA2">
              <w:rPr>
                <w:lang w:val="en-AU"/>
              </w:rPr>
              <w:t>Financial estimates</w:t>
            </w:r>
          </w:p>
        </w:tc>
        <w:tc>
          <w:tcPr>
            <w:tcW w:w="811" w:type="pct"/>
            <w:tcMar>
              <w:top w:w="0" w:type="dxa"/>
              <w:left w:w="28" w:type="dxa"/>
              <w:bottom w:w="0" w:type="dxa"/>
              <w:right w:w="28" w:type="dxa"/>
            </w:tcMar>
            <w:vAlign w:val="center"/>
            <w:hideMark/>
          </w:tcPr>
          <w:p w14:paraId="1F166F68" w14:textId="77777777" w:rsidR="007D014D" w:rsidRPr="00131DA2" w:rsidRDefault="007D014D" w:rsidP="00DE06A7">
            <w:pPr>
              <w:pStyle w:val="In-tableHeading"/>
              <w:contextualSpacing/>
              <w:jc w:val="center"/>
              <w:rPr>
                <w:lang w:val="en-AU"/>
              </w:rPr>
            </w:pPr>
            <w:r w:rsidRPr="00131DA2">
              <w:rPr>
                <w:lang w:val="en-AU"/>
              </w:rPr>
              <w:t>Trial dose and duration</w:t>
            </w:r>
          </w:p>
        </w:tc>
        <w:tc>
          <w:tcPr>
            <w:tcW w:w="474" w:type="pct"/>
            <w:tcMar>
              <w:top w:w="0" w:type="dxa"/>
              <w:left w:w="28" w:type="dxa"/>
              <w:bottom w:w="0" w:type="dxa"/>
              <w:right w:w="28" w:type="dxa"/>
            </w:tcMar>
            <w:vAlign w:val="center"/>
            <w:hideMark/>
          </w:tcPr>
          <w:p w14:paraId="3ABC9BE2" w14:textId="77777777" w:rsidR="007D014D" w:rsidRPr="00131DA2" w:rsidRDefault="007D014D" w:rsidP="00DE06A7">
            <w:pPr>
              <w:pStyle w:val="In-tableHeading"/>
              <w:contextualSpacing/>
              <w:jc w:val="center"/>
              <w:rPr>
                <w:lang w:val="en-AU"/>
              </w:rPr>
            </w:pPr>
            <w:r w:rsidRPr="00131DA2">
              <w:rPr>
                <w:lang w:val="en-AU"/>
              </w:rPr>
              <w:t>Model</w:t>
            </w:r>
          </w:p>
        </w:tc>
        <w:tc>
          <w:tcPr>
            <w:tcW w:w="744" w:type="pct"/>
            <w:tcMar>
              <w:top w:w="0" w:type="dxa"/>
              <w:left w:w="28" w:type="dxa"/>
              <w:bottom w:w="0" w:type="dxa"/>
              <w:right w:w="28" w:type="dxa"/>
            </w:tcMar>
            <w:vAlign w:val="center"/>
            <w:hideMark/>
          </w:tcPr>
          <w:p w14:paraId="70B5024B" w14:textId="77777777" w:rsidR="007D014D" w:rsidRPr="00131DA2" w:rsidRDefault="007D014D" w:rsidP="00DE06A7">
            <w:pPr>
              <w:pStyle w:val="In-tableHeading"/>
              <w:contextualSpacing/>
              <w:jc w:val="center"/>
              <w:rPr>
                <w:lang w:val="en-AU"/>
              </w:rPr>
            </w:pPr>
            <w:r w:rsidRPr="00131DA2">
              <w:rPr>
                <w:lang w:val="en-AU"/>
              </w:rPr>
              <w:t>Financial estimates</w:t>
            </w:r>
          </w:p>
        </w:tc>
      </w:tr>
      <w:tr w:rsidR="007D014D" w:rsidRPr="00131DA2" w14:paraId="39A08D88" w14:textId="77777777" w:rsidTr="00FB6EE9">
        <w:trPr>
          <w:cantSplit/>
        </w:trPr>
        <w:tc>
          <w:tcPr>
            <w:tcW w:w="784" w:type="pct"/>
            <w:tcMar>
              <w:top w:w="0" w:type="dxa"/>
              <w:left w:w="28" w:type="dxa"/>
              <w:bottom w:w="0" w:type="dxa"/>
              <w:right w:w="28" w:type="dxa"/>
            </w:tcMar>
            <w:vAlign w:val="center"/>
            <w:hideMark/>
          </w:tcPr>
          <w:p w14:paraId="27D847E1" w14:textId="77777777" w:rsidR="007D014D" w:rsidRPr="00131DA2" w:rsidRDefault="007D014D" w:rsidP="00FB6EE9">
            <w:pPr>
              <w:pStyle w:val="TableText0"/>
              <w:contextualSpacing/>
            </w:pPr>
            <w:r w:rsidRPr="00131DA2">
              <w:t>Mean dose</w:t>
            </w:r>
            <w:r w:rsidR="00BA2F50">
              <w:rPr>
                <w:vertAlign w:val="superscript"/>
              </w:rPr>
              <w:t>1</w:t>
            </w:r>
            <w:r w:rsidRPr="00131DA2">
              <w:t xml:space="preserve"> in Cycle 1</w:t>
            </w:r>
          </w:p>
        </w:tc>
        <w:tc>
          <w:tcPr>
            <w:tcW w:w="833" w:type="pct"/>
            <w:tcMar>
              <w:top w:w="0" w:type="dxa"/>
              <w:left w:w="28" w:type="dxa"/>
              <w:bottom w:w="0" w:type="dxa"/>
              <w:right w:w="28" w:type="dxa"/>
            </w:tcMar>
            <w:vAlign w:val="center"/>
            <w:hideMark/>
          </w:tcPr>
          <w:p w14:paraId="2F4A39D0" w14:textId="77777777" w:rsidR="007D014D" w:rsidRPr="00131DA2" w:rsidRDefault="007D014D" w:rsidP="00DE06A7">
            <w:pPr>
              <w:pStyle w:val="TableText0"/>
              <w:contextualSpacing/>
              <w:jc w:val="center"/>
              <w:rPr>
                <w:vertAlign w:val="superscript"/>
              </w:rPr>
            </w:pPr>
            <w:r w:rsidRPr="00131DA2">
              <w:t>PRIMA ITT cohort dosing</w:t>
            </w:r>
            <w:r w:rsidRPr="00131DA2">
              <w:rPr>
                <w:vertAlign w:val="superscript"/>
              </w:rPr>
              <w:t>a</w:t>
            </w:r>
          </w:p>
          <w:p w14:paraId="4D98A772" w14:textId="77777777" w:rsidR="007D014D" w:rsidRPr="00131DA2" w:rsidRDefault="007D014D" w:rsidP="00DE06A7">
            <w:pPr>
              <w:pStyle w:val="TableText0"/>
              <w:contextualSpacing/>
              <w:jc w:val="center"/>
            </w:pPr>
            <w:r w:rsidRPr="00131DA2">
              <w:t>203.7 mg/day</w:t>
            </w:r>
          </w:p>
        </w:tc>
        <w:tc>
          <w:tcPr>
            <w:tcW w:w="676" w:type="pct"/>
            <w:tcMar>
              <w:top w:w="0" w:type="dxa"/>
              <w:left w:w="28" w:type="dxa"/>
              <w:bottom w:w="0" w:type="dxa"/>
              <w:right w:w="28" w:type="dxa"/>
            </w:tcMar>
            <w:vAlign w:val="center"/>
            <w:hideMark/>
          </w:tcPr>
          <w:p w14:paraId="745C93CE" w14:textId="77777777" w:rsidR="007D014D" w:rsidRPr="00131DA2" w:rsidRDefault="007D014D" w:rsidP="00DE06A7">
            <w:pPr>
              <w:pStyle w:val="TableText0"/>
              <w:contextualSpacing/>
              <w:jc w:val="center"/>
              <w:rPr>
                <w:vertAlign w:val="superscript"/>
              </w:rPr>
            </w:pPr>
            <w:r w:rsidRPr="00131DA2">
              <w:t>PRIMA ISD cohort dosing</w:t>
            </w:r>
            <w:r w:rsidRPr="00131DA2">
              <w:rPr>
                <w:vertAlign w:val="superscript"/>
              </w:rPr>
              <w:t>b</w:t>
            </w:r>
          </w:p>
          <w:p w14:paraId="1E9F4C69" w14:textId="77777777" w:rsidR="007D014D" w:rsidRPr="00131DA2" w:rsidRDefault="007D014D" w:rsidP="00DE06A7">
            <w:pPr>
              <w:pStyle w:val="TableText0"/>
              <w:contextualSpacing/>
              <w:jc w:val="center"/>
            </w:pPr>
            <w:r w:rsidRPr="00131DA2">
              <w:t>183.8 mg/day</w:t>
            </w:r>
          </w:p>
        </w:tc>
        <w:tc>
          <w:tcPr>
            <w:tcW w:w="678" w:type="pct"/>
            <w:tcMar>
              <w:top w:w="0" w:type="dxa"/>
              <w:left w:w="28" w:type="dxa"/>
              <w:bottom w:w="0" w:type="dxa"/>
              <w:right w:w="28" w:type="dxa"/>
            </w:tcMar>
            <w:vAlign w:val="center"/>
            <w:hideMark/>
          </w:tcPr>
          <w:p w14:paraId="6043144F" w14:textId="77777777" w:rsidR="007D014D" w:rsidRPr="00131DA2" w:rsidRDefault="007D014D" w:rsidP="00DE06A7">
            <w:pPr>
              <w:pStyle w:val="TableText0"/>
              <w:contextualSpacing/>
              <w:jc w:val="center"/>
              <w:rPr>
                <w:vertAlign w:val="superscript"/>
              </w:rPr>
            </w:pPr>
            <w:r w:rsidRPr="00131DA2">
              <w:t>PRIMA ISD cohort dosing</w:t>
            </w:r>
            <w:r w:rsidRPr="00131DA2">
              <w:rPr>
                <w:vertAlign w:val="superscript"/>
              </w:rPr>
              <w:t>b</w:t>
            </w:r>
          </w:p>
          <w:p w14:paraId="086F156F" w14:textId="77777777" w:rsidR="007D014D" w:rsidRPr="00131DA2" w:rsidRDefault="007D014D" w:rsidP="00DE06A7">
            <w:pPr>
              <w:pStyle w:val="TableText0"/>
              <w:contextualSpacing/>
              <w:jc w:val="center"/>
            </w:pPr>
            <w:r w:rsidRPr="00131DA2">
              <w:t>183.8 mg/day</w:t>
            </w:r>
          </w:p>
        </w:tc>
        <w:tc>
          <w:tcPr>
            <w:tcW w:w="811" w:type="pct"/>
            <w:tcMar>
              <w:top w:w="0" w:type="dxa"/>
              <w:left w:w="28" w:type="dxa"/>
              <w:bottom w:w="0" w:type="dxa"/>
              <w:right w:w="28" w:type="dxa"/>
            </w:tcMar>
            <w:vAlign w:val="center"/>
            <w:hideMark/>
          </w:tcPr>
          <w:p w14:paraId="28960B08" w14:textId="77777777" w:rsidR="007D014D" w:rsidRPr="00131DA2" w:rsidRDefault="007D014D" w:rsidP="00DE06A7">
            <w:pPr>
              <w:pStyle w:val="TableText0"/>
              <w:ind w:left="-57" w:right="-57"/>
              <w:contextualSpacing/>
              <w:jc w:val="center"/>
              <w:rPr>
                <w:vertAlign w:val="superscript"/>
              </w:rPr>
            </w:pPr>
            <w:r w:rsidRPr="00131DA2">
              <w:t>Ola: 300 mg BD</w:t>
            </w:r>
            <w:r w:rsidRPr="00131DA2">
              <w:rPr>
                <w:vertAlign w:val="superscript"/>
              </w:rPr>
              <w:t>f</w:t>
            </w:r>
          </w:p>
          <w:p w14:paraId="1F32053B" w14:textId="77777777" w:rsidR="007D014D" w:rsidRPr="00131DA2" w:rsidRDefault="007D014D" w:rsidP="00DE06A7">
            <w:pPr>
              <w:pStyle w:val="TableText0"/>
              <w:ind w:left="-57" w:right="-57"/>
              <w:contextualSpacing/>
              <w:jc w:val="center"/>
            </w:pPr>
            <w:r w:rsidRPr="00131DA2">
              <w:t>Bev: 600 mg</w:t>
            </w:r>
            <w:r w:rsidRPr="00131DA2">
              <w:rPr>
                <w:vertAlign w:val="superscript"/>
              </w:rPr>
              <w:t xml:space="preserve"> </w:t>
            </w:r>
            <w:r w:rsidRPr="00131DA2">
              <w:t>Q3W</w:t>
            </w:r>
            <w:r w:rsidRPr="00131DA2">
              <w:rPr>
                <w:vertAlign w:val="superscript"/>
              </w:rPr>
              <w:t>g</w:t>
            </w:r>
          </w:p>
        </w:tc>
        <w:tc>
          <w:tcPr>
            <w:tcW w:w="474" w:type="pct"/>
            <w:tcMar>
              <w:top w:w="0" w:type="dxa"/>
              <w:left w:w="28" w:type="dxa"/>
              <w:bottom w:w="0" w:type="dxa"/>
              <w:right w:w="28" w:type="dxa"/>
            </w:tcMar>
            <w:vAlign w:val="center"/>
            <w:hideMark/>
          </w:tcPr>
          <w:p w14:paraId="5CFF5B4F" w14:textId="77777777" w:rsidR="007D014D" w:rsidRPr="00131DA2" w:rsidRDefault="007D014D" w:rsidP="00DE06A7">
            <w:pPr>
              <w:pStyle w:val="TableText0"/>
              <w:contextualSpacing/>
              <w:jc w:val="center"/>
            </w:pPr>
            <w:r w:rsidRPr="00131DA2">
              <w:t>Not used</w:t>
            </w:r>
          </w:p>
        </w:tc>
        <w:tc>
          <w:tcPr>
            <w:tcW w:w="744" w:type="pct"/>
            <w:tcMar>
              <w:top w:w="0" w:type="dxa"/>
              <w:left w:w="28" w:type="dxa"/>
              <w:bottom w:w="0" w:type="dxa"/>
              <w:right w:w="28" w:type="dxa"/>
            </w:tcMar>
            <w:vAlign w:val="center"/>
            <w:hideMark/>
          </w:tcPr>
          <w:p w14:paraId="4B5ECC5A" w14:textId="77777777" w:rsidR="007D014D" w:rsidRPr="00131DA2" w:rsidRDefault="007D014D" w:rsidP="00DE06A7">
            <w:pPr>
              <w:pStyle w:val="TableText0"/>
              <w:contextualSpacing/>
              <w:jc w:val="center"/>
            </w:pPr>
            <w:r w:rsidRPr="00131DA2">
              <w:t>Ola: 300mg BD</w:t>
            </w:r>
          </w:p>
          <w:p w14:paraId="0ED26CB1" w14:textId="77777777" w:rsidR="007D014D" w:rsidRPr="00131DA2" w:rsidRDefault="007D014D" w:rsidP="00DE06A7">
            <w:pPr>
              <w:pStyle w:val="TableText0"/>
              <w:contextualSpacing/>
              <w:jc w:val="center"/>
            </w:pPr>
            <w:r w:rsidRPr="00131DA2">
              <w:t>Bev: 600 mg</w:t>
            </w:r>
            <w:r w:rsidRPr="00131DA2">
              <w:rPr>
                <w:vertAlign w:val="superscript"/>
              </w:rPr>
              <w:t xml:space="preserve"> </w:t>
            </w:r>
            <w:r w:rsidRPr="00131DA2">
              <w:t>Q3W</w:t>
            </w:r>
            <w:r w:rsidRPr="00131DA2">
              <w:rPr>
                <w:vertAlign w:val="superscript"/>
              </w:rPr>
              <w:t>g</w:t>
            </w:r>
          </w:p>
        </w:tc>
      </w:tr>
      <w:tr w:rsidR="007D014D" w:rsidRPr="00131DA2" w14:paraId="61C81FAF" w14:textId="77777777" w:rsidTr="00FB6EE9">
        <w:trPr>
          <w:cantSplit/>
        </w:trPr>
        <w:tc>
          <w:tcPr>
            <w:tcW w:w="784" w:type="pct"/>
            <w:tcMar>
              <w:top w:w="0" w:type="dxa"/>
              <w:left w:w="28" w:type="dxa"/>
              <w:bottom w:w="0" w:type="dxa"/>
              <w:right w:w="28" w:type="dxa"/>
            </w:tcMar>
            <w:vAlign w:val="center"/>
            <w:hideMark/>
          </w:tcPr>
          <w:p w14:paraId="5F625BF8" w14:textId="77777777" w:rsidR="007D014D" w:rsidRPr="00131DA2" w:rsidRDefault="007D014D" w:rsidP="00FB6EE9">
            <w:pPr>
              <w:pStyle w:val="TableText0"/>
              <w:contextualSpacing/>
            </w:pPr>
            <w:r w:rsidRPr="00131DA2">
              <w:t>Mean duration</w:t>
            </w:r>
          </w:p>
        </w:tc>
        <w:tc>
          <w:tcPr>
            <w:tcW w:w="833" w:type="pct"/>
            <w:tcMar>
              <w:top w:w="0" w:type="dxa"/>
              <w:left w:w="28" w:type="dxa"/>
              <w:bottom w:w="0" w:type="dxa"/>
              <w:right w:w="28" w:type="dxa"/>
            </w:tcMar>
            <w:vAlign w:val="center"/>
            <w:hideMark/>
          </w:tcPr>
          <w:p w14:paraId="5B6F1075" w14:textId="77777777" w:rsidR="007D014D" w:rsidRPr="00131DA2" w:rsidRDefault="007D014D" w:rsidP="00DE06A7">
            <w:pPr>
              <w:pStyle w:val="TableText0"/>
              <w:contextualSpacing/>
              <w:jc w:val="center"/>
              <w:rPr>
                <w:vertAlign w:val="superscript"/>
              </w:rPr>
            </w:pPr>
            <w:r w:rsidRPr="00131DA2">
              <w:t>10.3 month</w:t>
            </w:r>
            <w:r w:rsidRPr="00131DA2">
              <w:rPr>
                <w:vertAlign w:val="superscript"/>
              </w:rPr>
              <w:t>c</w:t>
            </w:r>
          </w:p>
        </w:tc>
        <w:tc>
          <w:tcPr>
            <w:tcW w:w="676" w:type="pct"/>
            <w:tcMar>
              <w:top w:w="0" w:type="dxa"/>
              <w:left w:w="28" w:type="dxa"/>
              <w:bottom w:w="0" w:type="dxa"/>
              <w:right w:w="28" w:type="dxa"/>
            </w:tcMar>
            <w:vAlign w:val="center"/>
            <w:hideMark/>
          </w:tcPr>
          <w:p w14:paraId="4ED750C3" w14:textId="77777777" w:rsidR="007D014D" w:rsidRPr="00131DA2" w:rsidRDefault="007D014D" w:rsidP="00DE06A7">
            <w:pPr>
              <w:pStyle w:val="TableText0"/>
              <w:contextualSpacing/>
              <w:jc w:val="center"/>
              <w:rPr>
                <w:vertAlign w:val="superscript"/>
              </w:rPr>
            </w:pPr>
            <w:r w:rsidRPr="00131DA2">
              <w:t>16 months</w:t>
            </w:r>
            <w:r w:rsidRPr="00131DA2">
              <w:rPr>
                <w:vertAlign w:val="superscript"/>
              </w:rPr>
              <w:t>k</w:t>
            </w:r>
          </w:p>
        </w:tc>
        <w:tc>
          <w:tcPr>
            <w:tcW w:w="678" w:type="pct"/>
            <w:tcMar>
              <w:top w:w="0" w:type="dxa"/>
              <w:left w:w="28" w:type="dxa"/>
              <w:bottom w:w="0" w:type="dxa"/>
              <w:right w:w="28" w:type="dxa"/>
            </w:tcMar>
            <w:vAlign w:val="center"/>
            <w:hideMark/>
          </w:tcPr>
          <w:p w14:paraId="35423723" w14:textId="77777777" w:rsidR="007D014D" w:rsidRPr="00131DA2" w:rsidRDefault="007D014D" w:rsidP="00DE06A7">
            <w:pPr>
              <w:pStyle w:val="TableText0"/>
              <w:contextualSpacing/>
              <w:jc w:val="center"/>
              <w:rPr>
                <w:vertAlign w:val="superscript"/>
              </w:rPr>
            </w:pPr>
            <w:r w:rsidRPr="00131DA2">
              <w:t>16.8 months</w:t>
            </w:r>
          </w:p>
        </w:tc>
        <w:tc>
          <w:tcPr>
            <w:tcW w:w="811" w:type="pct"/>
            <w:tcMar>
              <w:top w:w="0" w:type="dxa"/>
              <w:left w:w="28" w:type="dxa"/>
              <w:bottom w:w="0" w:type="dxa"/>
              <w:right w:w="28" w:type="dxa"/>
            </w:tcMar>
            <w:vAlign w:val="center"/>
            <w:hideMark/>
          </w:tcPr>
          <w:p w14:paraId="4849FB94" w14:textId="77777777" w:rsidR="007D014D" w:rsidRPr="00131DA2" w:rsidRDefault="007D014D" w:rsidP="00DE06A7">
            <w:pPr>
              <w:pStyle w:val="TableText0"/>
              <w:ind w:left="-57" w:right="-57"/>
              <w:contextualSpacing/>
              <w:jc w:val="center"/>
              <w:rPr>
                <w:vertAlign w:val="superscript"/>
              </w:rPr>
            </w:pPr>
            <w:r w:rsidRPr="00131DA2">
              <w:t>Ola: 20.9 months</w:t>
            </w:r>
            <w:r w:rsidRPr="00131DA2">
              <w:rPr>
                <w:vertAlign w:val="superscript"/>
              </w:rPr>
              <w:t>h</w:t>
            </w:r>
          </w:p>
          <w:p w14:paraId="594529A4" w14:textId="77777777" w:rsidR="007D014D" w:rsidRPr="00131DA2" w:rsidRDefault="007D014D" w:rsidP="00DE06A7">
            <w:pPr>
              <w:pStyle w:val="TableText0"/>
              <w:ind w:left="-57" w:right="-57"/>
              <w:contextualSpacing/>
              <w:jc w:val="center"/>
            </w:pPr>
            <w:r w:rsidRPr="00131DA2">
              <w:t>Bev:</w:t>
            </w:r>
          </w:p>
          <w:p w14:paraId="4D5B605A" w14:textId="77777777" w:rsidR="007D014D" w:rsidRPr="00131DA2" w:rsidRDefault="007D014D" w:rsidP="00DE06A7">
            <w:pPr>
              <w:pStyle w:val="TableText0"/>
              <w:ind w:left="-57" w:right="-57"/>
              <w:contextualSpacing/>
              <w:jc w:val="center"/>
            </w:pPr>
            <w:r w:rsidRPr="00131DA2">
              <w:t>not reported</w:t>
            </w:r>
          </w:p>
        </w:tc>
        <w:tc>
          <w:tcPr>
            <w:tcW w:w="474" w:type="pct"/>
            <w:tcMar>
              <w:top w:w="0" w:type="dxa"/>
              <w:left w:w="28" w:type="dxa"/>
              <w:bottom w:w="0" w:type="dxa"/>
              <w:right w:w="28" w:type="dxa"/>
            </w:tcMar>
            <w:vAlign w:val="center"/>
            <w:hideMark/>
          </w:tcPr>
          <w:p w14:paraId="458C4C7D" w14:textId="77777777" w:rsidR="007D014D" w:rsidRPr="00131DA2" w:rsidRDefault="007D014D" w:rsidP="00DE06A7">
            <w:pPr>
              <w:pStyle w:val="TableText0"/>
              <w:contextualSpacing/>
              <w:jc w:val="center"/>
            </w:pPr>
            <w:r w:rsidRPr="00131DA2">
              <w:t>Not used</w:t>
            </w:r>
          </w:p>
        </w:tc>
        <w:tc>
          <w:tcPr>
            <w:tcW w:w="744" w:type="pct"/>
            <w:tcMar>
              <w:top w:w="0" w:type="dxa"/>
              <w:left w:w="28" w:type="dxa"/>
              <w:bottom w:w="0" w:type="dxa"/>
              <w:right w:w="28" w:type="dxa"/>
            </w:tcMar>
            <w:vAlign w:val="center"/>
            <w:hideMark/>
          </w:tcPr>
          <w:p w14:paraId="325F318D" w14:textId="77777777" w:rsidR="007D014D" w:rsidRPr="00131DA2" w:rsidRDefault="007D014D" w:rsidP="00DE06A7">
            <w:pPr>
              <w:pStyle w:val="TableText0"/>
              <w:contextualSpacing/>
              <w:jc w:val="center"/>
              <w:rPr>
                <w:vertAlign w:val="superscript"/>
              </w:rPr>
            </w:pPr>
            <w:r w:rsidRPr="00131DA2">
              <w:t>Ola: 20.9 months</w:t>
            </w:r>
            <w:r w:rsidRPr="00131DA2">
              <w:rPr>
                <w:vertAlign w:val="superscript"/>
              </w:rPr>
              <w:t>h</w:t>
            </w:r>
          </w:p>
          <w:p w14:paraId="08FCB569" w14:textId="77777777" w:rsidR="007D014D" w:rsidRPr="00131DA2" w:rsidRDefault="007D014D" w:rsidP="00DE06A7">
            <w:pPr>
              <w:pStyle w:val="TableText0"/>
              <w:contextualSpacing/>
              <w:jc w:val="center"/>
              <w:rPr>
                <w:vertAlign w:val="superscript"/>
              </w:rPr>
            </w:pPr>
            <w:r w:rsidRPr="00131DA2">
              <w:t>Bev: 8.9 months</w:t>
            </w:r>
            <w:r w:rsidRPr="00131DA2">
              <w:rPr>
                <w:vertAlign w:val="superscript"/>
              </w:rPr>
              <w:t>i</w:t>
            </w:r>
          </w:p>
        </w:tc>
      </w:tr>
      <w:tr w:rsidR="007D014D" w:rsidRPr="00131DA2" w14:paraId="6D64C4B5" w14:textId="77777777" w:rsidTr="00FB6EE9">
        <w:trPr>
          <w:cantSplit/>
        </w:trPr>
        <w:tc>
          <w:tcPr>
            <w:tcW w:w="784" w:type="pct"/>
            <w:tcMar>
              <w:top w:w="0" w:type="dxa"/>
              <w:left w:w="28" w:type="dxa"/>
              <w:bottom w:w="0" w:type="dxa"/>
              <w:right w:w="28" w:type="dxa"/>
            </w:tcMar>
            <w:vAlign w:val="center"/>
            <w:hideMark/>
          </w:tcPr>
          <w:p w14:paraId="557472A9" w14:textId="77777777" w:rsidR="007D014D" w:rsidRPr="00131DA2" w:rsidRDefault="007D014D" w:rsidP="00FB6EE9">
            <w:pPr>
              <w:pStyle w:val="TableText0"/>
              <w:contextualSpacing/>
            </w:pPr>
            <w:r w:rsidRPr="00131DA2">
              <w:t>Cost/patient/course</w:t>
            </w:r>
          </w:p>
        </w:tc>
        <w:tc>
          <w:tcPr>
            <w:tcW w:w="833" w:type="pct"/>
            <w:tcMar>
              <w:top w:w="0" w:type="dxa"/>
              <w:left w:w="28" w:type="dxa"/>
              <w:bottom w:w="0" w:type="dxa"/>
              <w:right w:w="28" w:type="dxa"/>
            </w:tcMar>
            <w:vAlign w:val="center"/>
            <w:hideMark/>
          </w:tcPr>
          <w:p w14:paraId="6F5FA16C" w14:textId="77777777" w:rsidR="007D014D" w:rsidRPr="00131DA2" w:rsidRDefault="007D014D" w:rsidP="00DE06A7">
            <w:pPr>
              <w:pStyle w:val="TableText0"/>
              <w:contextualSpacing/>
              <w:jc w:val="center"/>
              <w:rPr>
                <w:i/>
                <w:iCs/>
                <w:vertAlign w:val="superscript"/>
              </w:rPr>
            </w:pPr>
            <w:r w:rsidRPr="00131DA2">
              <w:t>$</w:t>
            </w:r>
            <w:r w:rsidR="001D7CF9">
              <w:rPr>
                <w:noProof/>
                <w:color w:val="000000"/>
                <w:highlight w:val="black"/>
              </w:rPr>
              <w:t>''''''''''''''''</w:t>
            </w:r>
            <w:r w:rsidRPr="00131DA2">
              <w:rPr>
                <w:vertAlign w:val="superscript"/>
              </w:rPr>
              <w:t>d</w:t>
            </w:r>
          </w:p>
        </w:tc>
        <w:tc>
          <w:tcPr>
            <w:tcW w:w="676" w:type="pct"/>
            <w:tcMar>
              <w:top w:w="0" w:type="dxa"/>
              <w:left w:w="28" w:type="dxa"/>
              <w:bottom w:w="0" w:type="dxa"/>
              <w:right w:w="28" w:type="dxa"/>
            </w:tcMar>
            <w:vAlign w:val="center"/>
            <w:hideMark/>
          </w:tcPr>
          <w:p w14:paraId="42C098E1" w14:textId="77777777" w:rsidR="007D014D" w:rsidRPr="00131DA2" w:rsidRDefault="007D014D" w:rsidP="00DE06A7">
            <w:pPr>
              <w:pStyle w:val="TableText0"/>
              <w:contextualSpacing/>
              <w:jc w:val="center"/>
              <w:rPr>
                <w:vertAlign w:val="superscript"/>
              </w:rPr>
            </w:pPr>
            <w:r w:rsidRPr="00131DA2">
              <w:t>$</w:t>
            </w:r>
            <w:r w:rsidR="001D7CF9">
              <w:rPr>
                <w:noProof/>
                <w:color w:val="000000"/>
                <w:highlight w:val="black"/>
              </w:rPr>
              <w:t>''''''''''''''''</w:t>
            </w:r>
            <w:r w:rsidRPr="00131DA2">
              <w:rPr>
                <w:vertAlign w:val="superscript"/>
              </w:rPr>
              <w:t>e</w:t>
            </w:r>
          </w:p>
        </w:tc>
        <w:tc>
          <w:tcPr>
            <w:tcW w:w="678" w:type="pct"/>
            <w:tcMar>
              <w:top w:w="0" w:type="dxa"/>
              <w:left w:w="28" w:type="dxa"/>
              <w:bottom w:w="0" w:type="dxa"/>
              <w:right w:w="28" w:type="dxa"/>
            </w:tcMar>
            <w:vAlign w:val="center"/>
            <w:hideMark/>
          </w:tcPr>
          <w:p w14:paraId="71B5D843" w14:textId="77777777" w:rsidR="007D014D" w:rsidRPr="00131DA2" w:rsidRDefault="007D014D" w:rsidP="00DE06A7">
            <w:pPr>
              <w:pStyle w:val="TableText0"/>
              <w:contextualSpacing/>
              <w:jc w:val="center"/>
              <w:rPr>
                <w:vertAlign w:val="superscript"/>
              </w:rPr>
            </w:pPr>
            <w:r w:rsidRPr="00131DA2">
              <w:t>$</w:t>
            </w:r>
            <w:r w:rsidR="001D7CF9">
              <w:rPr>
                <w:noProof/>
                <w:color w:val="000000"/>
                <w:highlight w:val="black"/>
              </w:rPr>
              <w:t>''''''''''''''''</w:t>
            </w:r>
          </w:p>
        </w:tc>
        <w:tc>
          <w:tcPr>
            <w:tcW w:w="811" w:type="pct"/>
            <w:tcMar>
              <w:top w:w="0" w:type="dxa"/>
              <w:left w:w="28" w:type="dxa"/>
              <w:bottom w:w="0" w:type="dxa"/>
              <w:right w:w="28" w:type="dxa"/>
            </w:tcMar>
            <w:vAlign w:val="center"/>
            <w:hideMark/>
          </w:tcPr>
          <w:p w14:paraId="68366B16" w14:textId="77777777" w:rsidR="007D014D" w:rsidRPr="00131DA2" w:rsidRDefault="007D014D" w:rsidP="00DE06A7">
            <w:pPr>
              <w:pStyle w:val="TableText0"/>
              <w:contextualSpacing/>
              <w:jc w:val="center"/>
            </w:pPr>
            <w:r w:rsidRPr="00131DA2">
              <w:t>Ola: $151</w:t>
            </w:r>
            <w:r w:rsidR="00FB7E62" w:rsidRPr="00131DA2">
              <w:t>,</w:t>
            </w:r>
            <w:r w:rsidRPr="00131DA2">
              <w:t>014</w:t>
            </w:r>
            <w:r w:rsidRPr="00131DA2">
              <w:rPr>
                <w:vertAlign w:val="superscript"/>
              </w:rPr>
              <w:t>j</w:t>
            </w:r>
          </w:p>
          <w:p w14:paraId="0AB728CD" w14:textId="77777777" w:rsidR="007D014D" w:rsidRPr="00131DA2" w:rsidRDefault="007D014D" w:rsidP="00DE06A7">
            <w:pPr>
              <w:pStyle w:val="TableText0"/>
              <w:ind w:left="-57" w:right="-57"/>
              <w:contextualSpacing/>
              <w:jc w:val="center"/>
            </w:pPr>
            <w:r w:rsidRPr="00131DA2">
              <w:t>Bev: –</w:t>
            </w:r>
          </w:p>
        </w:tc>
        <w:tc>
          <w:tcPr>
            <w:tcW w:w="474" w:type="pct"/>
            <w:tcMar>
              <w:top w:w="0" w:type="dxa"/>
              <w:left w:w="28" w:type="dxa"/>
              <w:bottom w:w="0" w:type="dxa"/>
              <w:right w:w="28" w:type="dxa"/>
            </w:tcMar>
            <w:vAlign w:val="center"/>
            <w:hideMark/>
          </w:tcPr>
          <w:p w14:paraId="2FA4F2FA" w14:textId="77777777" w:rsidR="007D014D" w:rsidRPr="00131DA2" w:rsidRDefault="007D014D" w:rsidP="00DE06A7">
            <w:pPr>
              <w:pStyle w:val="TableText0"/>
              <w:contextualSpacing/>
              <w:jc w:val="center"/>
              <w:rPr>
                <w:i/>
                <w:iCs/>
              </w:rPr>
            </w:pPr>
            <w:r w:rsidRPr="00131DA2">
              <w:t>Not used</w:t>
            </w:r>
          </w:p>
        </w:tc>
        <w:tc>
          <w:tcPr>
            <w:tcW w:w="744" w:type="pct"/>
            <w:tcMar>
              <w:top w:w="0" w:type="dxa"/>
              <w:left w:w="28" w:type="dxa"/>
              <w:bottom w:w="0" w:type="dxa"/>
              <w:right w:w="28" w:type="dxa"/>
            </w:tcMar>
            <w:vAlign w:val="center"/>
            <w:hideMark/>
          </w:tcPr>
          <w:p w14:paraId="660A24A1" w14:textId="77777777" w:rsidR="007D014D" w:rsidRPr="00131DA2" w:rsidRDefault="007D014D" w:rsidP="00DE06A7">
            <w:pPr>
              <w:pStyle w:val="TableText0"/>
              <w:contextualSpacing/>
              <w:jc w:val="center"/>
            </w:pPr>
            <w:r w:rsidRPr="00131DA2">
              <w:t>Ola: $151</w:t>
            </w:r>
            <w:r w:rsidR="00FB7E62" w:rsidRPr="00131DA2">
              <w:t>,</w:t>
            </w:r>
            <w:r w:rsidRPr="00131DA2">
              <w:t>014</w:t>
            </w:r>
            <w:r w:rsidRPr="00131DA2">
              <w:rPr>
                <w:vertAlign w:val="superscript"/>
              </w:rPr>
              <w:t>j</w:t>
            </w:r>
          </w:p>
          <w:p w14:paraId="2E2C1D17" w14:textId="77777777" w:rsidR="007D014D" w:rsidRPr="00131DA2" w:rsidRDefault="007D014D" w:rsidP="00DE06A7">
            <w:pPr>
              <w:pStyle w:val="TableText0"/>
              <w:contextualSpacing/>
              <w:jc w:val="center"/>
            </w:pPr>
            <w:r w:rsidRPr="00131DA2">
              <w:t>Bev</w:t>
            </w:r>
            <w:r w:rsidR="00557C08">
              <w:t>:</w:t>
            </w:r>
            <w:r w:rsidRPr="00131DA2">
              <w:t xml:space="preserve"> $25,323</w:t>
            </w:r>
          </w:p>
        </w:tc>
      </w:tr>
    </w:tbl>
    <w:p w14:paraId="4DDB4D49" w14:textId="77777777" w:rsidR="007D014D" w:rsidRPr="00830B4E" w:rsidRDefault="007D014D" w:rsidP="007D014D">
      <w:pPr>
        <w:pStyle w:val="TableFigureFooter"/>
        <w:rPr>
          <w:rFonts w:eastAsiaTheme="minorHAnsi" w:cs="Times New Roman"/>
          <w:szCs w:val="18"/>
          <w:lang w:eastAsia="en-US"/>
        </w:rPr>
      </w:pPr>
      <w:r w:rsidRPr="00830B4E">
        <w:t xml:space="preserve">Source: </w:t>
      </w:r>
      <w:r w:rsidRPr="00830B4E">
        <w:rPr>
          <w:iCs/>
        </w:rPr>
        <w:t>Compiled during evaluation based on Table 36, p65 and Table 89, p154 of the submission and spreadsheet ‘Trace-Niraparib, Zejula (niraparib) 1L ITT CEA.xlsx’ workbook; Zejula (niraparib) 1L BIM.xlsx’ workbook</w:t>
      </w:r>
    </w:p>
    <w:p w14:paraId="7130DB55" w14:textId="77777777" w:rsidR="007D014D" w:rsidRPr="00131DA2" w:rsidRDefault="007D014D" w:rsidP="007D014D">
      <w:pPr>
        <w:pStyle w:val="TableFigureFooter"/>
        <w:rPr>
          <w:sz w:val="20"/>
          <w:szCs w:val="20"/>
        </w:rPr>
      </w:pPr>
      <w:r w:rsidRPr="00131DA2">
        <w:t>1L = First line; Bev = bevacizumab; BD = twice daily; DPMQ = dispensed price for maximum quantity; DPMQ = dispensed price for maximum quantity; ISD = individualised starting dose, ITT = intention-to-treat; NDA HGEOC = newly diagnosed advanced high grade epithelial ovarian, fallopian tube or primary peritoneal cancer; Ola, olaparib; Q3W = every 3 weeks.</w:t>
      </w:r>
    </w:p>
    <w:p w14:paraId="7A5B48B5" w14:textId="77777777" w:rsidR="007D014D" w:rsidRPr="00131DA2" w:rsidRDefault="007D014D" w:rsidP="007D014D">
      <w:pPr>
        <w:pStyle w:val="TableFigureFooter"/>
        <w:rPr>
          <w:szCs w:val="18"/>
          <w:lang w:eastAsia="en-US"/>
        </w:rPr>
      </w:pPr>
      <w:proofErr w:type="gramStart"/>
      <w:r w:rsidRPr="00131DA2">
        <w:rPr>
          <w:vertAlign w:val="superscript"/>
        </w:rPr>
        <w:t>a</w:t>
      </w:r>
      <w:proofErr w:type="gramEnd"/>
      <w:r w:rsidRPr="00131DA2">
        <w:rPr>
          <w:vertAlign w:val="superscript"/>
        </w:rPr>
        <w:t xml:space="preserve"> </w:t>
      </w:r>
      <w:r w:rsidRPr="00131DA2">
        <w:t>Initial dose intensity for ITT cohort was 204 mg/day, decreasing to 160-170 mg/day from Cycle 4 onwards.</w:t>
      </w:r>
    </w:p>
    <w:p w14:paraId="1B013946" w14:textId="77777777" w:rsidR="007D014D" w:rsidRPr="00131DA2" w:rsidRDefault="007D014D" w:rsidP="007D014D">
      <w:pPr>
        <w:pStyle w:val="TableFigureFooter"/>
        <w:rPr>
          <w:sz w:val="20"/>
          <w:szCs w:val="20"/>
        </w:rPr>
      </w:pPr>
      <w:proofErr w:type="gramStart"/>
      <w:r w:rsidRPr="00131DA2">
        <w:rPr>
          <w:vertAlign w:val="superscript"/>
        </w:rPr>
        <w:t>b</w:t>
      </w:r>
      <w:proofErr w:type="gramEnd"/>
      <w:r w:rsidRPr="00131DA2">
        <w:t xml:space="preserve"> Initial dose intensity for ISD cohort was 184 mg/day, decreasing to 150-158 mg/day from Cycle 4 onwards.</w:t>
      </w:r>
    </w:p>
    <w:p w14:paraId="18FEED1A" w14:textId="77777777" w:rsidR="007D014D" w:rsidRPr="00131DA2" w:rsidRDefault="007D014D" w:rsidP="007D014D">
      <w:pPr>
        <w:pStyle w:val="TableFigureFooter"/>
      </w:pPr>
      <w:proofErr w:type="gramStart"/>
      <w:r w:rsidRPr="00131DA2">
        <w:rPr>
          <w:vertAlign w:val="superscript"/>
        </w:rPr>
        <w:t>c</w:t>
      </w:r>
      <w:proofErr w:type="gramEnd"/>
      <w:r w:rsidRPr="00131DA2">
        <w:rPr>
          <w:vertAlign w:val="superscript"/>
        </w:rPr>
        <w:t xml:space="preserve"> </w:t>
      </w:r>
      <w:r w:rsidRPr="00131DA2">
        <w:t>Truncated mean treatment exposure for niraparib arm in the PRIMA overall safety population (Table 36, p65 of the submission)</w:t>
      </w:r>
    </w:p>
    <w:p w14:paraId="06DABA8B" w14:textId="77777777" w:rsidR="007D014D" w:rsidRPr="00131DA2" w:rsidRDefault="007D014D" w:rsidP="007D014D">
      <w:pPr>
        <w:pStyle w:val="TableFigureFooter"/>
      </w:pPr>
      <w:proofErr w:type="gramStart"/>
      <w:r w:rsidRPr="00131DA2">
        <w:rPr>
          <w:vertAlign w:val="superscript"/>
        </w:rPr>
        <w:t>d</w:t>
      </w:r>
      <w:proofErr w:type="gramEnd"/>
      <w:r w:rsidRPr="00131DA2">
        <w:t xml:space="preserve"> This figure is undiscounted and without half-cycle correction. </w:t>
      </w:r>
    </w:p>
    <w:p w14:paraId="10330D89" w14:textId="77777777" w:rsidR="007D014D" w:rsidRPr="00131DA2" w:rsidRDefault="007D014D" w:rsidP="007D014D">
      <w:pPr>
        <w:pStyle w:val="TableFigureFooter"/>
      </w:pPr>
      <w:proofErr w:type="gramStart"/>
      <w:r w:rsidRPr="00131DA2">
        <w:rPr>
          <w:vertAlign w:val="superscript"/>
        </w:rPr>
        <w:t>e</w:t>
      </w:r>
      <w:proofErr w:type="gramEnd"/>
      <w:r w:rsidRPr="00131DA2">
        <w:t xml:space="preserve"> This figure is undiscounted and includes the half-cycle correction applied in the model. The cost/patient/course is $</w:t>
      </w:r>
      <w:r w:rsidR="001D7CF9">
        <w:rPr>
          <w:noProof/>
          <w:color w:val="000000"/>
          <w:highlight w:val="black"/>
        </w:rPr>
        <w:t xml:space="preserve">''''''''''''''' </w:t>
      </w:r>
      <w:r w:rsidRPr="00131DA2">
        <w:t>without half-cycle correction (undiscounted).</w:t>
      </w:r>
    </w:p>
    <w:p w14:paraId="119B0C9A" w14:textId="77777777" w:rsidR="007D014D" w:rsidRPr="00131DA2" w:rsidRDefault="007D014D" w:rsidP="007D014D">
      <w:pPr>
        <w:pStyle w:val="TableFigureFooter"/>
      </w:pPr>
      <w:proofErr w:type="gramStart"/>
      <w:r w:rsidRPr="00131DA2">
        <w:rPr>
          <w:vertAlign w:val="superscript"/>
        </w:rPr>
        <w:t>f</w:t>
      </w:r>
      <w:proofErr w:type="gramEnd"/>
      <w:r w:rsidRPr="00131DA2">
        <w:t xml:space="preserve"> Dosage regimen as specified in the study protocol. Data on mean dose are not available.</w:t>
      </w:r>
    </w:p>
    <w:p w14:paraId="043F1C88" w14:textId="77777777" w:rsidR="007D014D" w:rsidRPr="00131DA2" w:rsidRDefault="007D014D" w:rsidP="007D014D">
      <w:pPr>
        <w:pStyle w:val="TableFigureFooter"/>
      </w:pPr>
      <w:proofErr w:type="gramStart"/>
      <w:r w:rsidRPr="00131DA2">
        <w:rPr>
          <w:vertAlign w:val="superscript"/>
        </w:rPr>
        <w:t>g</w:t>
      </w:r>
      <w:proofErr w:type="gramEnd"/>
      <w:r w:rsidRPr="00131DA2">
        <w:rPr>
          <w:vertAlign w:val="superscript"/>
        </w:rPr>
        <w:t xml:space="preserve"> </w:t>
      </w:r>
      <w:r w:rsidRPr="00131DA2">
        <w:t>Dose regimen of 7.5 mg/kg Q3W and an average weight of 80 mg</w:t>
      </w:r>
    </w:p>
    <w:p w14:paraId="043643CF" w14:textId="77777777" w:rsidR="007D014D" w:rsidRPr="00131DA2" w:rsidRDefault="007D014D" w:rsidP="007D014D">
      <w:pPr>
        <w:pStyle w:val="TableFigureFooter"/>
      </w:pPr>
      <w:proofErr w:type="gramStart"/>
      <w:r w:rsidRPr="00131DA2">
        <w:rPr>
          <w:vertAlign w:val="superscript"/>
        </w:rPr>
        <w:t>h</w:t>
      </w:r>
      <w:proofErr w:type="gramEnd"/>
      <w:r w:rsidRPr="00131DA2">
        <w:rPr>
          <w:vertAlign w:val="superscript"/>
        </w:rPr>
        <w:t xml:space="preserve"> </w:t>
      </w:r>
      <w:r w:rsidRPr="00131DA2">
        <w:t>Treatment duration of olaparib in SOLO-1, sourced from Table 13, July 2020 olaparib PBAC public summary document</w:t>
      </w:r>
    </w:p>
    <w:p w14:paraId="30D40ABB" w14:textId="77777777" w:rsidR="007D014D" w:rsidRPr="00131DA2" w:rsidRDefault="007D014D" w:rsidP="007D014D">
      <w:pPr>
        <w:pStyle w:val="TableFigureFooter"/>
      </w:pPr>
      <w:proofErr w:type="gramStart"/>
      <w:r w:rsidRPr="00131DA2">
        <w:rPr>
          <w:vertAlign w:val="superscript"/>
        </w:rPr>
        <w:t>i</w:t>
      </w:r>
      <w:proofErr w:type="gramEnd"/>
      <w:r w:rsidRPr="00131DA2">
        <w:rPr>
          <w:vertAlign w:val="superscript"/>
        </w:rPr>
        <w:t xml:space="preserve"> </w:t>
      </w:r>
      <w:r w:rsidRPr="00131DA2">
        <w:t>Derived from the 2018 DUSC report on bevacizumab</w:t>
      </w:r>
    </w:p>
    <w:p w14:paraId="51AC7A0E" w14:textId="77777777" w:rsidR="007D014D" w:rsidRPr="00131DA2" w:rsidRDefault="007D014D" w:rsidP="007D014D">
      <w:pPr>
        <w:pStyle w:val="TableFigureFooter"/>
      </w:pPr>
      <w:proofErr w:type="gramStart"/>
      <w:r w:rsidRPr="00131DA2">
        <w:rPr>
          <w:vertAlign w:val="superscript"/>
        </w:rPr>
        <w:t>j</w:t>
      </w:r>
      <w:proofErr w:type="gramEnd"/>
      <w:r w:rsidRPr="00131DA2">
        <w:rPr>
          <w:vertAlign w:val="superscript"/>
        </w:rPr>
        <w:t xml:space="preserve"> </w:t>
      </w:r>
      <w:r w:rsidRPr="00131DA2">
        <w:t>A factor of 95.3% (=1-1/21.5) was applied in calculating the drug cost per course to account for dose interruptions</w:t>
      </w:r>
    </w:p>
    <w:p w14:paraId="60D347EC" w14:textId="77777777" w:rsidR="007D014D" w:rsidRPr="00131DA2" w:rsidRDefault="007D014D" w:rsidP="007D014D">
      <w:pPr>
        <w:pStyle w:val="TableFigureFooter"/>
      </w:pPr>
      <w:proofErr w:type="gramStart"/>
      <w:r w:rsidRPr="00131DA2">
        <w:rPr>
          <w:vertAlign w:val="superscript"/>
        </w:rPr>
        <w:t>k</w:t>
      </w:r>
      <w:proofErr w:type="gramEnd"/>
      <w:r w:rsidRPr="00131DA2">
        <w:t xml:space="preserve"> This figure is undiscounted and with half-cycle correction (The undiscounted mean duration without half-cycle correction is 16.5 months).</w:t>
      </w:r>
    </w:p>
    <w:p w14:paraId="247B0499" w14:textId="77777777" w:rsidR="007D014D" w:rsidRPr="00131DA2" w:rsidRDefault="007D014D" w:rsidP="007D014D">
      <w:pPr>
        <w:pStyle w:val="TableFigureFooter"/>
      </w:pPr>
      <w:r w:rsidRPr="00131DA2">
        <w:t>* Requested effective DPMQ for niraparib: 84-capsule pack $</w:t>
      </w:r>
      <w:r w:rsidR="001D7CF9">
        <w:rPr>
          <w:noProof/>
          <w:color w:val="000000"/>
          <w:highlight w:val="black"/>
        </w:rPr>
        <w:t>'''''''''''''''''''''</w:t>
      </w:r>
      <w:r w:rsidRPr="00131DA2">
        <w:t>, 56-capsule pack $</w:t>
      </w:r>
      <w:r w:rsidR="001D7CF9">
        <w:rPr>
          <w:noProof/>
          <w:color w:val="000000"/>
          <w:highlight w:val="black"/>
        </w:rPr>
        <w:t>'''''''''''''''''''''</w:t>
      </w:r>
      <w:r w:rsidRPr="00131DA2">
        <w:t>.</w:t>
      </w:r>
    </w:p>
    <w:p w14:paraId="1E6C2F96" w14:textId="77777777" w:rsidR="007D014D" w:rsidRDefault="007D014D" w:rsidP="007D014D">
      <w:pPr>
        <w:pStyle w:val="TableFigureFooter"/>
      </w:pPr>
      <w:r w:rsidRPr="00131DA2">
        <w:rPr>
          <w:vertAlign w:val="superscript"/>
        </w:rPr>
        <w:t xml:space="preserve">** </w:t>
      </w:r>
      <w:r w:rsidRPr="00131DA2">
        <w:t>Published DPMQ for olaparib: $6,971.16 for both 100 mg-tablet pack and 150 mg-tablet pack; weighted dispensed price for bevacizumab: $1,958.52 per administration.</w:t>
      </w:r>
    </w:p>
    <w:p w14:paraId="376A4457" w14:textId="77777777" w:rsidR="00BA2F50" w:rsidRPr="00BA2F50" w:rsidRDefault="00BA2F50" w:rsidP="007D014D">
      <w:pPr>
        <w:pStyle w:val="TableFigureFooter"/>
      </w:pPr>
      <w:r>
        <w:rPr>
          <w:vertAlign w:val="superscript"/>
        </w:rPr>
        <w:t>1</w:t>
      </w:r>
      <w:r>
        <w:t xml:space="preserve"> </w:t>
      </w:r>
      <w:r w:rsidRPr="00BA2F50">
        <w:rPr>
          <w:i/>
        </w:rPr>
        <w:t>Note that the mean dose of treatment stated in Table 12 was provided for the purposes of informing the PBAC consideration. Interpretation of the results and their application should therefore be limited to seeking to understand the basis for the PBAC outcome and should not be used for any other purpose</w:t>
      </w:r>
    </w:p>
    <w:p w14:paraId="02CC95F3" w14:textId="77777777" w:rsidR="007D014D" w:rsidRPr="00131DA2" w:rsidRDefault="007D014D" w:rsidP="007D014D">
      <w:pPr>
        <w:pStyle w:val="3-BodyText"/>
        <w:rPr>
          <w:snapToGrid/>
        </w:rPr>
      </w:pPr>
      <w:r w:rsidRPr="00131DA2">
        <w:rPr>
          <w:rFonts w:ascii="Calibri" w:hAnsi="Calibri"/>
          <w:snapToGrid/>
        </w:rPr>
        <w:t>The mean undiscounted cost per patient per course was $</w:t>
      </w:r>
      <w:r w:rsidR="001D7CF9">
        <w:rPr>
          <w:rFonts w:ascii="Calibri" w:hAnsi="Calibri"/>
          <w:noProof/>
          <w:snapToGrid/>
          <w:color w:val="000000"/>
          <w:highlight w:val="black"/>
        </w:rPr>
        <w:t>''''''''''''''</w:t>
      </w:r>
      <w:r w:rsidRPr="00131DA2">
        <w:rPr>
          <w:rFonts w:ascii="Calibri" w:hAnsi="Calibri"/>
          <w:snapToGrid/>
        </w:rPr>
        <w:t>, based on the mean treatment duration (16 months)</w:t>
      </w:r>
      <w:r w:rsidR="00ED4415" w:rsidRPr="00131DA2">
        <w:rPr>
          <w:rFonts w:ascii="Calibri" w:hAnsi="Calibri"/>
          <w:snapToGrid/>
        </w:rPr>
        <w:t xml:space="preserve"> at the price proposed in the submission</w:t>
      </w:r>
      <w:r w:rsidRPr="00131DA2">
        <w:rPr>
          <w:rFonts w:ascii="Calibri" w:hAnsi="Calibri"/>
          <w:snapToGrid/>
        </w:rPr>
        <w:t xml:space="preserve">. </w:t>
      </w:r>
      <w:r w:rsidR="00ED4415" w:rsidRPr="00131DA2">
        <w:rPr>
          <w:rFonts w:ascii="Calibri" w:hAnsi="Calibri"/>
          <w:snapToGrid/>
        </w:rPr>
        <w:t xml:space="preserve">At the revised effective price for niraparib proposed in the </w:t>
      </w:r>
      <w:r w:rsidR="00EA712C" w:rsidRPr="00131DA2">
        <w:rPr>
          <w:rFonts w:ascii="Calibri" w:hAnsi="Calibri"/>
          <w:snapToGrid/>
        </w:rPr>
        <w:t>PSCR ($</w:t>
      </w:r>
      <w:r w:rsidR="001D7CF9">
        <w:rPr>
          <w:rFonts w:ascii="Calibri" w:hAnsi="Calibri"/>
          <w:noProof/>
          <w:snapToGrid/>
          <w:color w:val="000000"/>
          <w:highlight w:val="black"/>
        </w:rPr>
        <w:t>'''''''''''''''''</w:t>
      </w:r>
      <w:r w:rsidR="008A0EDC" w:rsidRPr="00131DA2">
        <w:rPr>
          <w:rFonts w:ascii="Calibri" w:hAnsi="Calibri"/>
          <w:snapToGrid/>
        </w:rPr>
        <w:t xml:space="preserve"> per 56</w:t>
      </w:r>
      <w:r w:rsidR="00EA712C" w:rsidRPr="00131DA2">
        <w:rPr>
          <w:rFonts w:ascii="Calibri" w:hAnsi="Calibri"/>
          <w:snapToGrid/>
        </w:rPr>
        <w:t xml:space="preserve"> capsules</w:t>
      </w:r>
      <w:r w:rsidR="008C40C8" w:rsidRPr="00131DA2">
        <w:rPr>
          <w:rFonts w:ascii="Calibri" w:hAnsi="Calibri"/>
          <w:snapToGrid/>
        </w:rPr>
        <w:t>)</w:t>
      </w:r>
      <w:r w:rsidR="00EA712C" w:rsidRPr="00131DA2">
        <w:rPr>
          <w:rFonts w:ascii="Calibri" w:hAnsi="Calibri"/>
          <w:snapToGrid/>
        </w:rPr>
        <w:t xml:space="preserve"> </w:t>
      </w:r>
      <w:r w:rsidR="00ED4415" w:rsidRPr="00131DA2">
        <w:rPr>
          <w:rFonts w:ascii="Calibri" w:hAnsi="Calibri"/>
          <w:snapToGrid/>
        </w:rPr>
        <w:t xml:space="preserve">this was reduced to </w:t>
      </w:r>
      <w:r w:rsidR="008A0EDC" w:rsidRPr="00131DA2">
        <w:rPr>
          <w:rFonts w:ascii="Calibri" w:hAnsi="Calibri"/>
          <w:snapToGrid/>
        </w:rPr>
        <w:t>$</w:t>
      </w:r>
      <w:r w:rsidR="001D7CF9">
        <w:rPr>
          <w:rFonts w:ascii="Calibri" w:hAnsi="Calibri"/>
          <w:noProof/>
          <w:snapToGrid/>
          <w:color w:val="000000"/>
          <w:highlight w:val="black"/>
        </w:rPr>
        <w:t>'''''''''''''</w:t>
      </w:r>
      <w:r w:rsidR="00EA712C" w:rsidRPr="00131DA2">
        <w:rPr>
          <w:rFonts w:ascii="Calibri" w:hAnsi="Calibri"/>
          <w:snapToGrid/>
        </w:rPr>
        <w:t xml:space="preserve">. </w:t>
      </w:r>
      <w:r w:rsidRPr="00131DA2">
        <w:rPr>
          <w:rFonts w:ascii="Calibri" w:hAnsi="Calibri"/>
          <w:snapToGrid/>
        </w:rPr>
        <w:t xml:space="preserve">This </w:t>
      </w:r>
      <w:r w:rsidR="008C40C8" w:rsidRPr="00131DA2">
        <w:rPr>
          <w:rFonts w:ascii="Calibri" w:hAnsi="Calibri"/>
          <w:snapToGrid/>
        </w:rPr>
        <w:t>wa</w:t>
      </w:r>
      <w:r w:rsidRPr="00131DA2">
        <w:rPr>
          <w:rFonts w:ascii="Calibri" w:hAnsi="Calibri"/>
          <w:snapToGrid/>
        </w:rPr>
        <w:t xml:space="preserve">s calculated by adding the cost per </w:t>
      </w:r>
      <w:r w:rsidR="008C40C8" w:rsidRPr="00131DA2">
        <w:rPr>
          <w:rFonts w:ascii="Calibri" w:hAnsi="Calibri"/>
          <w:snapToGrid/>
        </w:rPr>
        <w:t xml:space="preserve">patient in </w:t>
      </w:r>
      <w:r w:rsidRPr="00131DA2">
        <w:rPr>
          <w:rFonts w:ascii="Calibri" w:hAnsi="Calibri"/>
          <w:snapToGrid/>
        </w:rPr>
        <w:t xml:space="preserve">each cycle during the treatment duration. </w:t>
      </w:r>
      <w:r w:rsidRPr="00131DA2">
        <w:t xml:space="preserve">The total cost of niraparib per cycle is estimated by multiplying the distribution of patient dosing per cycle, compliance (starting daily dose vs mean daily dose in each cycle) in the </w:t>
      </w:r>
      <w:r w:rsidRPr="00131DA2">
        <w:rPr>
          <w:rFonts w:ascii="Calibri" w:hAnsi="Calibri"/>
          <w:snapToGrid/>
        </w:rPr>
        <w:t>PRIMA ISD cohort</w:t>
      </w:r>
      <w:r w:rsidR="008C40C8" w:rsidRPr="00131DA2">
        <w:rPr>
          <w:rFonts w:ascii="Calibri" w:hAnsi="Calibri"/>
          <w:snapToGrid/>
        </w:rPr>
        <w:t xml:space="preserve"> (</w:t>
      </w:r>
      <w:r w:rsidR="002D0CB9" w:rsidRPr="00131DA2">
        <w:rPr>
          <w:rFonts w:ascii="Calibri" w:hAnsi="Calibri"/>
          <w:snapToGrid/>
        </w:rPr>
        <w:t>ITT population in the</w:t>
      </w:r>
      <w:r w:rsidR="008C40C8" w:rsidRPr="00131DA2">
        <w:rPr>
          <w:rFonts w:ascii="Calibri" w:hAnsi="Calibri"/>
          <w:snapToGrid/>
        </w:rPr>
        <w:t xml:space="preserve"> </w:t>
      </w:r>
      <w:r w:rsidR="002D0CB9" w:rsidRPr="00131DA2">
        <w:rPr>
          <w:rFonts w:ascii="Calibri" w:hAnsi="Calibri"/>
          <w:snapToGrid/>
        </w:rPr>
        <w:t>PSCR revised model)</w:t>
      </w:r>
      <w:r w:rsidRPr="00131DA2">
        <w:rPr>
          <w:rFonts w:ascii="Calibri" w:hAnsi="Calibri"/>
          <w:snapToGrid/>
        </w:rPr>
        <w:t xml:space="preserve">. </w:t>
      </w:r>
    </w:p>
    <w:p w14:paraId="7DA144AB" w14:textId="77777777" w:rsidR="00390AB1" w:rsidRPr="00131DA2" w:rsidRDefault="00390AB1" w:rsidP="00390AB1">
      <w:pPr>
        <w:pStyle w:val="4-SubsectionHeading"/>
      </w:pPr>
      <w:bookmarkStart w:id="30" w:name="_Toc72246812"/>
      <w:bookmarkStart w:id="31" w:name="_GoBack"/>
      <w:bookmarkEnd w:id="31"/>
      <w:r w:rsidRPr="00131DA2">
        <w:t>Estimated PBS usage &amp; financial implications</w:t>
      </w:r>
      <w:bookmarkEnd w:id="30"/>
    </w:p>
    <w:p w14:paraId="2ED45992" w14:textId="77777777" w:rsidR="00390AB1" w:rsidRPr="00131DA2" w:rsidRDefault="00390AB1" w:rsidP="00390AB1">
      <w:pPr>
        <w:pStyle w:val="3-BodyText"/>
      </w:pPr>
      <w:r w:rsidRPr="00131DA2">
        <w:t>This submission w</w:t>
      </w:r>
      <w:r w:rsidR="00832015">
        <w:t>as</w:t>
      </w:r>
      <w:r w:rsidRPr="00131DA2">
        <w:t xml:space="preserve"> not considered by DUSC. </w:t>
      </w:r>
    </w:p>
    <w:p w14:paraId="237D13C7" w14:textId="77777777" w:rsidR="00390AB1" w:rsidRPr="00131DA2" w:rsidRDefault="00390AB1" w:rsidP="00390AB1">
      <w:pPr>
        <w:pStyle w:val="3-BodyText"/>
      </w:pPr>
      <w:r w:rsidRPr="00131DA2">
        <w:t>The submission used an epidemiological approach to estimate the number of patients likely to be treated with niraparib as first-line maintenance therapy in newly diagnosed advanced HGEOC. The key inputs for financial estimate</w:t>
      </w:r>
      <w:r w:rsidR="00DD3462" w:rsidRPr="00131DA2">
        <w:t>s</w:t>
      </w:r>
      <w:r w:rsidRPr="00131DA2">
        <w:t xml:space="preserve"> are summarised below.</w:t>
      </w:r>
    </w:p>
    <w:p w14:paraId="106C75B0" w14:textId="77777777" w:rsidR="00390AB1" w:rsidRPr="00131DA2" w:rsidRDefault="00390AB1" w:rsidP="00390AB1">
      <w:pPr>
        <w:pStyle w:val="TableFigureHeading"/>
      </w:pPr>
      <w:bookmarkStart w:id="32" w:name="_Ref70509208"/>
      <w:r w:rsidRPr="00131DA2">
        <w:t xml:space="preserve">Table </w:t>
      </w:r>
      <w:r w:rsidR="008A7614">
        <w:rPr>
          <w:noProof/>
        </w:rPr>
        <w:t>13</w:t>
      </w:r>
      <w:bookmarkEnd w:id="32"/>
      <w:r w:rsidRPr="00131DA2">
        <w:t xml:space="preserve">: </w:t>
      </w:r>
      <w:r w:rsidRPr="00131DA2">
        <w:rPr>
          <w:rStyle w:val="CommentReference"/>
          <w:b/>
          <w:szCs w:val="24"/>
        </w:rPr>
        <w:t>Key inputs for financial estimates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686"/>
        <w:gridCol w:w="3543"/>
      </w:tblGrid>
      <w:tr w:rsidR="00390AB1" w:rsidRPr="00131DA2" w14:paraId="30807B71" w14:textId="77777777" w:rsidTr="00DD3462">
        <w:trPr>
          <w:tblHeader/>
        </w:trPr>
        <w:tc>
          <w:tcPr>
            <w:tcW w:w="1838" w:type="dxa"/>
            <w:vAlign w:val="center"/>
          </w:tcPr>
          <w:p w14:paraId="2BEBA3DA" w14:textId="77777777" w:rsidR="00390AB1" w:rsidRPr="00131DA2" w:rsidRDefault="00390AB1" w:rsidP="00A67A21">
            <w:pPr>
              <w:pStyle w:val="In-tableHeading"/>
              <w:keepNext w:val="0"/>
              <w:ind w:right="-57"/>
              <w:rPr>
                <w:szCs w:val="20"/>
                <w:lang w:val="en-AU"/>
              </w:rPr>
            </w:pPr>
            <w:r w:rsidRPr="00131DA2">
              <w:rPr>
                <w:szCs w:val="20"/>
                <w:lang w:val="en-AU"/>
              </w:rPr>
              <w:t>Data</w:t>
            </w:r>
          </w:p>
        </w:tc>
        <w:tc>
          <w:tcPr>
            <w:tcW w:w="3686" w:type="dxa"/>
            <w:vAlign w:val="center"/>
          </w:tcPr>
          <w:p w14:paraId="09F99D8B" w14:textId="77777777" w:rsidR="00390AB1" w:rsidRPr="00131DA2" w:rsidRDefault="00390AB1" w:rsidP="00A67A21">
            <w:pPr>
              <w:pStyle w:val="In-tableHeading"/>
              <w:keepNext w:val="0"/>
              <w:ind w:right="-57"/>
              <w:jc w:val="center"/>
              <w:rPr>
                <w:szCs w:val="20"/>
                <w:lang w:val="en-AU"/>
              </w:rPr>
            </w:pPr>
            <w:r w:rsidRPr="00131DA2">
              <w:rPr>
                <w:szCs w:val="20"/>
                <w:lang w:val="en-AU"/>
              </w:rPr>
              <w:t>Value and Source</w:t>
            </w:r>
          </w:p>
        </w:tc>
        <w:tc>
          <w:tcPr>
            <w:tcW w:w="3543" w:type="dxa"/>
            <w:vAlign w:val="center"/>
          </w:tcPr>
          <w:p w14:paraId="481D8B94" w14:textId="77777777" w:rsidR="00390AB1" w:rsidRPr="00131DA2" w:rsidRDefault="00390AB1" w:rsidP="00A67A21">
            <w:pPr>
              <w:pStyle w:val="In-tableHeading"/>
              <w:keepNext w:val="0"/>
              <w:ind w:right="-57"/>
              <w:jc w:val="center"/>
              <w:rPr>
                <w:szCs w:val="20"/>
                <w:lang w:val="en-AU"/>
              </w:rPr>
            </w:pPr>
            <w:r w:rsidRPr="00131DA2">
              <w:rPr>
                <w:szCs w:val="20"/>
                <w:lang w:val="en-AU"/>
              </w:rPr>
              <w:t>Comment</w:t>
            </w:r>
          </w:p>
        </w:tc>
      </w:tr>
      <w:tr w:rsidR="00390AB1" w:rsidRPr="00131DA2" w14:paraId="5C077597" w14:textId="77777777" w:rsidTr="00DD3462">
        <w:tc>
          <w:tcPr>
            <w:tcW w:w="1838" w:type="dxa"/>
          </w:tcPr>
          <w:p w14:paraId="4C0C6D40" w14:textId="77777777" w:rsidR="00390AB1" w:rsidRPr="00131DA2" w:rsidRDefault="00390AB1" w:rsidP="00A67A21">
            <w:pPr>
              <w:pStyle w:val="TableText0"/>
              <w:keepNext w:val="0"/>
              <w:ind w:right="-57"/>
              <w:rPr>
                <w:szCs w:val="20"/>
              </w:rPr>
            </w:pPr>
            <w:r w:rsidRPr="00131DA2">
              <w:rPr>
                <w:rFonts w:eastAsiaTheme="minorHAnsi" w:cstheme="minorBidi"/>
                <w:bCs w:val="0"/>
                <w:szCs w:val="20"/>
              </w:rPr>
              <w:t>Incidence of ovarian, fallopian tube or peritoneal cancer</w:t>
            </w:r>
          </w:p>
        </w:tc>
        <w:tc>
          <w:tcPr>
            <w:tcW w:w="3686" w:type="dxa"/>
          </w:tcPr>
          <w:p w14:paraId="13C809DE" w14:textId="77777777" w:rsidR="00390AB1" w:rsidRPr="00131DA2" w:rsidRDefault="00390AB1" w:rsidP="00A67A21">
            <w:pPr>
              <w:pStyle w:val="TableText0"/>
              <w:keepNext w:val="0"/>
              <w:ind w:right="-57"/>
              <w:rPr>
                <w:szCs w:val="20"/>
              </w:rPr>
            </w:pPr>
            <w:r w:rsidRPr="00131DA2">
              <w:rPr>
                <w:szCs w:val="20"/>
              </w:rPr>
              <w:t>1,594 in Year 1 to 1,683 in Year 6.</w:t>
            </w:r>
          </w:p>
          <w:p w14:paraId="7C2F4669" w14:textId="77777777" w:rsidR="00390AB1" w:rsidRPr="00131DA2" w:rsidRDefault="00390AB1" w:rsidP="00A67A21">
            <w:pPr>
              <w:pStyle w:val="TableText0"/>
              <w:keepNext w:val="0"/>
              <w:widowControl w:val="0"/>
              <w:ind w:right="-57"/>
              <w:rPr>
                <w:szCs w:val="20"/>
              </w:rPr>
            </w:pPr>
            <w:r w:rsidRPr="00131DA2">
              <w:rPr>
                <w:szCs w:val="20"/>
              </w:rPr>
              <w:t>AIHW ICD-10 codes C48, C56 and C57 (2000-2016); NZ MoH 4 character ICD code data</w:t>
            </w:r>
          </w:p>
        </w:tc>
        <w:tc>
          <w:tcPr>
            <w:tcW w:w="3543" w:type="dxa"/>
          </w:tcPr>
          <w:p w14:paraId="3CAD3643" w14:textId="77777777" w:rsidR="00390AB1" w:rsidRPr="00131DA2" w:rsidRDefault="00390AB1" w:rsidP="00832015">
            <w:pPr>
              <w:pStyle w:val="TableText0"/>
              <w:keepNext w:val="0"/>
              <w:ind w:right="-57"/>
              <w:rPr>
                <w:szCs w:val="20"/>
              </w:rPr>
            </w:pPr>
            <w:r w:rsidRPr="00131DA2">
              <w:rPr>
                <w:szCs w:val="20"/>
              </w:rPr>
              <w:t xml:space="preserve">The use of AIHW data was appropriate. NZ MoH data was used to determine the proportion of ICD-10 codes that was applicable to the population of interest was of small sample size. </w:t>
            </w:r>
          </w:p>
        </w:tc>
      </w:tr>
      <w:tr w:rsidR="00390AB1" w:rsidRPr="00131DA2" w14:paraId="469C04CA" w14:textId="77777777" w:rsidTr="00DD3462">
        <w:tc>
          <w:tcPr>
            <w:tcW w:w="1838" w:type="dxa"/>
          </w:tcPr>
          <w:p w14:paraId="2537061D" w14:textId="77777777" w:rsidR="00390AB1" w:rsidRPr="00131DA2" w:rsidRDefault="00390AB1" w:rsidP="00A67A21">
            <w:pPr>
              <w:pStyle w:val="TableText0"/>
              <w:keepNext w:val="0"/>
              <w:ind w:right="-57"/>
              <w:rPr>
                <w:szCs w:val="20"/>
              </w:rPr>
            </w:pPr>
            <w:r w:rsidRPr="00131DA2">
              <w:rPr>
                <w:szCs w:val="20"/>
              </w:rPr>
              <w:t>% with epithelial disease</w:t>
            </w:r>
          </w:p>
        </w:tc>
        <w:tc>
          <w:tcPr>
            <w:tcW w:w="3686" w:type="dxa"/>
          </w:tcPr>
          <w:p w14:paraId="4AF23B5C" w14:textId="77777777" w:rsidR="00390AB1" w:rsidRPr="00131DA2" w:rsidRDefault="00390AB1" w:rsidP="00A67A21">
            <w:pPr>
              <w:pStyle w:val="TableText0"/>
              <w:keepNext w:val="0"/>
              <w:ind w:right="-57"/>
              <w:rPr>
                <w:szCs w:val="20"/>
              </w:rPr>
            </w:pPr>
            <w:r w:rsidRPr="00131DA2">
              <w:rPr>
                <w:szCs w:val="20"/>
              </w:rPr>
              <w:t>90.9%</w:t>
            </w:r>
          </w:p>
          <w:p w14:paraId="49DC146F" w14:textId="77777777" w:rsidR="00390AB1" w:rsidRPr="00131DA2" w:rsidRDefault="00390AB1" w:rsidP="00A67A21">
            <w:pPr>
              <w:pStyle w:val="TableText0"/>
              <w:keepNext w:val="0"/>
              <w:ind w:right="-57"/>
              <w:rPr>
                <w:szCs w:val="20"/>
              </w:rPr>
            </w:pPr>
            <w:r w:rsidRPr="00131DA2">
              <w:rPr>
                <w:rFonts w:cs="Times New Roman"/>
                <w:szCs w:val="20"/>
              </w:rPr>
              <w:t>AIHW 2010</w:t>
            </w:r>
          </w:p>
        </w:tc>
        <w:tc>
          <w:tcPr>
            <w:tcW w:w="3543" w:type="dxa"/>
          </w:tcPr>
          <w:p w14:paraId="1B08C244" w14:textId="77777777" w:rsidR="00CB37BA" w:rsidRPr="00131DA2" w:rsidRDefault="00390AB1" w:rsidP="00A67A21">
            <w:pPr>
              <w:pStyle w:val="TableText0"/>
              <w:keepNext w:val="0"/>
              <w:ind w:right="-57"/>
              <w:rPr>
                <w:szCs w:val="20"/>
              </w:rPr>
            </w:pPr>
            <w:r w:rsidRPr="00131DA2">
              <w:rPr>
                <w:szCs w:val="20"/>
              </w:rPr>
              <w:t>The PBAC previously accepted an estimate of 16% of ovarian cancer with non-epithelial histology (Olaparib PSD, July 2020 PBAC meeting).</w:t>
            </w:r>
          </w:p>
          <w:p w14:paraId="3A11594F" w14:textId="77777777" w:rsidR="00CB37BA" w:rsidRPr="00131DA2" w:rsidRDefault="00DC2797" w:rsidP="00E91E30">
            <w:pPr>
              <w:pStyle w:val="TableText0"/>
              <w:keepNext w:val="0"/>
              <w:ind w:right="-57"/>
              <w:rPr>
                <w:i/>
                <w:szCs w:val="20"/>
              </w:rPr>
            </w:pPr>
            <w:r w:rsidRPr="00131DA2">
              <w:rPr>
                <w:szCs w:val="20"/>
              </w:rPr>
              <w:t>Consistent with the above, t</w:t>
            </w:r>
            <w:r w:rsidR="00CB37BA" w:rsidRPr="00131DA2">
              <w:rPr>
                <w:szCs w:val="20"/>
              </w:rPr>
              <w:t>he PSCR submitted a revised model using 83.7% instead of 90.9% (</w:t>
            </w:r>
            <w:r w:rsidR="000942AE" w:rsidRPr="00131DA2">
              <w:rPr>
                <w:szCs w:val="20"/>
              </w:rPr>
              <w:t>PSCR</w:t>
            </w:r>
            <w:r w:rsidR="00CB37BA" w:rsidRPr="00131DA2">
              <w:rPr>
                <w:szCs w:val="20"/>
              </w:rPr>
              <w:t>).</w:t>
            </w:r>
          </w:p>
        </w:tc>
      </w:tr>
      <w:tr w:rsidR="00390AB1" w:rsidRPr="00131DA2" w14:paraId="49B19071" w14:textId="77777777" w:rsidTr="00DD3462">
        <w:tc>
          <w:tcPr>
            <w:tcW w:w="1838" w:type="dxa"/>
          </w:tcPr>
          <w:p w14:paraId="6A709218" w14:textId="77777777" w:rsidR="00390AB1" w:rsidRPr="00131DA2" w:rsidRDefault="00390AB1" w:rsidP="00A67A21">
            <w:pPr>
              <w:pStyle w:val="TableText0"/>
              <w:keepNext w:val="0"/>
              <w:ind w:right="-57"/>
              <w:rPr>
                <w:szCs w:val="20"/>
              </w:rPr>
            </w:pPr>
            <w:r w:rsidRPr="00131DA2">
              <w:rPr>
                <w:szCs w:val="20"/>
              </w:rPr>
              <w:t>% with high-grade carcinoma</w:t>
            </w:r>
          </w:p>
        </w:tc>
        <w:tc>
          <w:tcPr>
            <w:tcW w:w="3686" w:type="dxa"/>
          </w:tcPr>
          <w:p w14:paraId="7BA1A551" w14:textId="77777777" w:rsidR="00390AB1" w:rsidRPr="00131DA2" w:rsidRDefault="00390AB1" w:rsidP="00A67A21">
            <w:pPr>
              <w:pStyle w:val="TableText0"/>
              <w:keepNext w:val="0"/>
              <w:ind w:right="-57"/>
              <w:rPr>
                <w:szCs w:val="20"/>
              </w:rPr>
            </w:pPr>
            <w:r w:rsidRPr="00131DA2">
              <w:rPr>
                <w:szCs w:val="20"/>
              </w:rPr>
              <w:t>93.6%</w:t>
            </w:r>
          </w:p>
          <w:p w14:paraId="03500546" w14:textId="77777777" w:rsidR="00390AB1" w:rsidRPr="00131DA2" w:rsidRDefault="00390AB1" w:rsidP="00A67A21">
            <w:pPr>
              <w:pStyle w:val="TableText0"/>
              <w:keepNext w:val="0"/>
              <w:ind w:right="-57"/>
              <w:rPr>
                <w:szCs w:val="20"/>
              </w:rPr>
            </w:pPr>
            <w:r w:rsidRPr="00131DA2">
              <w:rPr>
                <w:szCs w:val="20"/>
              </w:rPr>
              <w:t xml:space="preserve">Analysis of patients in the AOCS (Alsop 2012) </w:t>
            </w:r>
          </w:p>
        </w:tc>
        <w:tc>
          <w:tcPr>
            <w:tcW w:w="3543" w:type="dxa"/>
            <w:vMerge w:val="restart"/>
          </w:tcPr>
          <w:p w14:paraId="2FE6F0D3" w14:textId="77777777" w:rsidR="00390AB1" w:rsidRPr="00131DA2" w:rsidRDefault="00390AB1" w:rsidP="00A67A21">
            <w:pPr>
              <w:pStyle w:val="TableText0"/>
              <w:keepNext w:val="0"/>
              <w:ind w:right="-57"/>
              <w:rPr>
                <w:szCs w:val="20"/>
              </w:rPr>
            </w:pPr>
          </w:p>
        </w:tc>
      </w:tr>
      <w:tr w:rsidR="00390AB1" w:rsidRPr="00131DA2" w14:paraId="3CDDDB0B" w14:textId="77777777" w:rsidTr="00DD3462">
        <w:tc>
          <w:tcPr>
            <w:tcW w:w="1838" w:type="dxa"/>
          </w:tcPr>
          <w:p w14:paraId="3BFF1BF6" w14:textId="77777777" w:rsidR="00390AB1" w:rsidRPr="00131DA2" w:rsidRDefault="00390AB1" w:rsidP="00A67A21">
            <w:pPr>
              <w:pStyle w:val="TableText0"/>
              <w:keepNext w:val="0"/>
              <w:ind w:right="-57"/>
              <w:rPr>
                <w:szCs w:val="20"/>
              </w:rPr>
            </w:pPr>
            <w:r w:rsidRPr="00131DA2">
              <w:rPr>
                <w:szCs w:val="20"/>
              </w:rPr>
              <w:t>% advanced (FIGO III/IV) disease in high-grade ovarian cancer</w:t>
            </w:r>
          </w:p>
        </w:tc>
        <w:tc>
          <w:tcPr>
            <w:tcW w:w="3686" w:type="dxa"/>
          </w:tcPr>
          <w:p w14:paraId="44E08F33" w14:textId="77777777" w:rsidR="00390AB1" w:rsidRPr="00131DA2" w:rsidRDefault="00390AB1" w:rsidP="00A67A21">
            <w:pPr>
              <w:pStyle w:val="TableText0"/>
              <w:ind w:right="-57"/>
              <w:rPr>
                <w:szCs w:val="20"/>
              </w:rPr>
            </w:pPr>
            <w:r w:rsidRPr="00131DA2">
              <w:rPr>
                <w:szCs w:val="20"/>
              </w:rPr>
              <w:t>81.8%</w:t>
            </w:r>
          </w:p>
          <w:p w14:paraId="75E26167" w14:textId="77777777" w:rsidR="00390AB1" w:rsidRPr="00131DA2" w:rsidRDefault="00390AB1" w:rsidP="00A67A21">
            <w:pPr>
              <w:pStyle w:val="TableText0"/>
              <w:ind w:right="-57"/>
              <w:rPr>
                <w:szCs w:val="20"/>
              </w:rPr>
            </w:pPr>
            <w:r w:rsidRPr="00131DA2">
              <w:rPr>
                <w:szCs w:val="20"/>
              </w:rPr>
              <w:t>Analysis of patients in the AOCS (Lindemann 2018)</w:t>
            </w:r>
          </w:p>
        </w:tc>
        <w:tc>
          <w:tcPr>
            <w:tcW w:w="3543" w:type="dxa"/>
            <w:vMerge/>
          </w:tcPr>
          <w:p w14:paraId="08BFB05F" w14:textId="77777777" w:rsidR="00390AB1" w:rsidRPr="00131DA2" w:rsidRDefault="00390AB1" w:rsidP="00A67A21">
            <w:pPr>
              <w:pStyle w:val="TableText0"/>
              <w:keepNext w:val="0"/>
              <w:ind w:right="-57"/>
              <w:rPr>
                <w:szCs w:val="20"/>
              </w:rPr>
            </w:pPr>
          </w:p>
        </w:tc>
      </w:tr>
      <w:tr w:rsidR="00390AB1" w:rsidRPr="00131DA2" w14:paraId="77DADE79" w14:textId="77777777" w:rsidTr="00DD3462">
        <w:tc>
          <w:tcPr>
            <w:tcW w:w="1838" w:type="dxa"/>
          </w:tcPr>
          <w:p w14:paraId="2629071F" w14:textId="77777777" w:rsidR="00390AB1" w:rsidRPr="00131DA2" w:rsidRDefault="00390AB1" w:rsidP="00A67A21">
            <w:pPr>
              <w:pStyle w:val="TableText0"/>
              <w:keepNext w:val="0"/>
              <w:ind w:right="-57"/>
              <w:rPr>
                <w:szCs w:val="20"/>
              </w:rPr>
            </w:pPr>
            <w:r w:rsidRPr="00131DA2">
              <w:rPr>
                <w:szCs w:val="20"/>
              </w:rPr>
              <w:t>% treated with 1L PBC</w:t>
            </w:r>
          </w:p>
        </w:tc>
        <w:tc>
          <w:tcPr>
            <w:tcW w:w="3686" w:type="dxa"/>
          </w:tcPr>
          <w:p w14:paraId="0F02E6BD" w14:textId="77777777" w:rsidR="00390AB1" w:rsidRPr="00131DA2" w:rsidRDefault="00390AB1" w:rsidP="00A67A21">
            <w:pPr>
              <w:pStyle w:val="TableText0"/>
              <w:keepNext w:val="0"/>
              <w:ind w:right="-57"/>
              <w:rPr>
                <w:szCs w:val="20"/>
              </w:rPr>
            </w:pPr>
            <w:r w:rsidRPr="00131DA2">
              <w:rPr>
                <w:szCs w:val="20"/>
              </w:rPr>
              <w:t>91.5%</w:t>
            </w:r>
          </w:p>
          <w:p w14:paraId="7D5A9628" w14:textId="77777777" w:rsidR="00390AB1" w:rsidRPr="00131DA2" w:rsidRDefault="00390AB1" w:rsidP="00A67A21">
            <w:pPr>
              <w:pStyle w:val="TableText0"/>
              <w:keepNext w:val="0"/>
              <w:ind w:right="-57"/>
              <w:rPr>
                <w:szCs w:val="20"/>
              </w:rPr>
            </w:pPr>
            <w:r w:rsidRPr="00131DA2">
              <w:rPr>
                <w:szCs w:val="20"/>
              </w:rPr>
              <w:t>Analysis of patients in the AOCS (Alsop 2012)</w:t>
            </w:r>
          </w:p>
        </w:tc>
        <w:tc>
          <w:tcPr>
            <w:tcW w:w="3543" w:type="dxa"/>
            <w:vMerge/>
          </w:tcPr>
          <w:p w14:paraId="173F70E6" w14:textId="77777777" w:rsidR="00390AB1" w:rsidRPr="00131DA2" w:rsidRDefault="00390AB1" w:rsidP="00A67A21">
            <w:pPr>
              <w:pStyle w:val="TableText0"/>
              <w:keepNext w:val="0"/>
              <w:ind w:right="-57"/>
              <w:rPr>
                <w:szCs w:val="20"/>
              </w:rPr>
            </w:pPr>
          </w:p>
        </w:tc>
      </w:tr>
      <w:tr w:rsidR="00390AB1" w:rsidRPr="00131DA2" w14:paraId="75A2A11B" w14:textId="77777777" w:rsidTr="00DD3462">
        <w:tc>
          <w:tcPr>
            <w:tcW w:w="1838" w:type="dxa"/>
          </w:tcPr>
          <w:p w14:paraId="2295CDA2" w14:textId="77777777" w:rsidR="00390AB1" w:rsidRPr="00131DA2" w:rsidRDefault="00390AB1" w:rsidP="00A67A21">
            <w:pPr>
              <w:pStyle w:val="TableText0"/>
              <w:keepNext w:val="0"/>
              <w:ind w:right="-57"/>
              <w:rPr>
                <w:szCs w:val="20"/>
              </w:rPr>
            </w:pPr>
            <w:r w:rsidRPr="00131DA2">
              <w:rPr>
                <w:szCs w:val="20"/>
              </w:rPr>
              <w:t>Response rate (CR or PR) to 1L PBC</w:t>
            </w:r>
          </w:p>
        </w:tc>
        <w:tc>
          <w:tcPr>
            <w:tcW w:w="3686" w:type="dxa"/>
          </w:tcPr>
          <w:p w14:paraId="67FE7520" w14:textId="77777777" w:rsidR="00390AB1" w:rsidRPr="00131DA2" w:rsidRDefault="00390AB1" w:rsidP="00A67A21">
            <w:pPr>
              <w:pStyle w:val="TableText0"/>
              <w:keepNext w:val="0"/>
              <w:ind w:right="-113"/>
              <w:rPr>
                <w:szCs w:val="20"/>
              </w:rPr>
            </w:pPr>
            <w:r w:rsidRPr="00131DA2">
              <w:rPr>
                <w:szCs w:val="20"/>
              </w:rPr>
              <w:t>88.6%</w:t>
            </w:r>
          </w:p>
          <w:p w14:paraId="27E02C16" w14:textId="77777777" w:rsidR="00390AB1" w:rsidRPr="00131DA2" w:rsidRDefault="00390AB1" w:rsidP="00A67A21">
            <w:pPr>
              <w:pStyle w:val="TableText0"/>
              <w:keepNext w:val="0"/>
              <w:ind w:right="-113"/>
              <w:rPr>
                <w:szCs w:val="20"/>
              </w:rPr>
            </w:pPr>
            <w:r w:rsidRPr="00131DA2">
              <w:rPr>
                <w:szCs w:val="20"/>
              </w:rPr>
              <w:t>Analysis of response rates in ICON-8 trial (Morgan 2021)</w:t>
            </w:r>
          </w:p>
        </w:tc>
        <w:tc>
          <w:tcPr>
            <w:tcW w:w="3543" w:type="dxa"/>
          </w:tcPr>
          <w:p w14:paraId="5E080B34" w14:textId="77777777" w:rsidR="00390AB1" w:rsidRPr="00131DA2" w:rsidRDefault="00390AB1" w:rsidP="00A67A21">
            <w:pPr>
              <w:pStyle w:val="TableText0"/>
              <w:keepNext w:val="0"/>
              <w:ind w:right="-57"/>
              <w:rPr>
                <w:szCs w:val="20"/>
              </w:rPr>
            </w:pPr>
          </w:p>
        </w:tc>
      </w:tr>
      <w:tr w:rsidR="00390AB1" w:rsidRPr="00131DA2" w14:paraId="638F59BE" w14:textId="77777777" w:rsidTr="00DD3462">
        <w:tc>
          <w:tcPr>
            <w:tcW w:w="1838" w:type="dxa"/>
          </w:tcPr>
          <w:p w14:paraId="7B0B7321" w14:textId="77777777" w:rsidR="00390AB1" w:rsidRPr="00131DA2" w:rsidRDefault="00390AB1" w:rsidP="00A67A21">
            <w:pPr>
              <w:pStyle w:val="TableText0"/>
              <w:keepNext w:val="0"/>
              <w:ind w:right="-57"/>
              <w:rPr>
                <w:szCs w:val="20"/>
              </w:rPr>
            </w:pPr>
            <w:r w:rsidRPr="00131DA2">
              <w:rPr>
                <w:szCs w:val="20"/>
              </w:rPr>
              <w:t>% with BRCAm (germline and/or somatic)</w:t>
            </w:r>
          </w:p>
        </w:tc>
        <w:tc>
          <w:tcPr>
            <w:tcW w:w="3686" w:type="dxa"/>
          </w:tcPr>
          <w:p w14:paraId="014CAF9B" w14:textId="77777777" w:rsidR="00390AB1" w:rsidRPr="00131DA2" w:rsidRDefault="00390AB1" w:rsidP="00A67A21">
            <w:pPr>
              <w:pStyle w:val="TableText0"/>
              <w:keepNext w:val="0"/>
              <w:ind w:right="-57"/>
              <w:rPr>
                <w:szCs w:val="20"/>
              </w:rPr>
            </w:pPr>
            <w:r w:rsidRPr="00131DA2">
              <w:rPr>
                <w:szCs w:val="20"/>
              </w:rPr>
              <w:t>gBRCAm: 22.6%</w:t>
            </w:r>
          </w:p>
          <w:p w14:paraId="75F96F19" w14:textId="77777777" w:rsidR="00390AB1" w:rsidRPr="00131DA2" w:rsidRDefault="00390AB1" w:rsidP="00A67A21">
            <w:pPr>
              <w:pStyle w:val="TableText0"/>
              <w:keepNext w:val="0"/>
              <w:ind w:right="-57"/>
              <w:rPr>
                <w:szCs w:val="20"/>
              </w:rPr>
            </w:pPr>
            <w:r w:rsidRPr="00131DA2">
              <w:rPr>
                <w:szCs w:val="20"/>
              </w:rPr>
              <w:t>sBRCAm: 6.3%</w:t>
            </w:r>
          </w:p>
          <w:p w14:paraId="7D280F36" w14:textId="77777777" w:rsidR="00390AB1" w:rsidRPr="00131DA2" w:rsidRDefault="00390AB1" w:rsidP="00A67A21">
            <w:pPr>
              <w:pStyle w:val="TableText0"/>
              <w:keepNext w:val="0"/>
              <w:ind w:right="-57"/>
              <w:rPr>
                <w:szCs w:val="20"/>
              </w:rPr>
            </w:pPr>
            <w:r w:rsidRPr="00131DA2">
              <w:rPr>
                <w:szCs w:val="20"/>
              </w:rPr>
              <w:t>Total: 28.9%</w:t>
            </w:r>
          </w:p>
          <w:p w14:paraId="04DC7D09" w14:textId="77777777" w:rsidR="00390AB1" w:rsidRPr="00131DA2" w:rsidRDefault="00390AB1" w:rsidP="00A67A21">
            <w:pPr>
              <w:pStyle w:val="TableText0"/>
              <w:keepNext w:val="0"/>
              <w:ind w:right="-57"/>
              <w:rPr>
                <w:szCs w:val="20"/>
              </w:rPr>
            </w:pPr>
            <w:r w:rsidRPr="00131DA2">
              <w:rPr>
                <w:szCs w:val="20"/>
              </w:rPr>
              <w:t>Alsop 2012; CGARN 2011</w:t>
            </w:r>
          </w:p>
        </w:tc>
        <w:tc>
          <w:tcPr>
            <w:tcW w:w="3543" w:type="dxa"/>
          </w:tcPr>
          <w:p w14:paraId="19B583D6" w14:textId="77777777" w:rsidR="00390AB1" w:rsidRPr="00131DA2" w:rsidRDefault="00390AB1" w:rsidP="00A67A21">
            <w:pPr>
              <w:pStyle w:val="TableText0"/>
              <w:keepNext w:val="0"/>
              <w:ind w:right="-57"/>
              <w:rPr>
                <w:szCs w:val="20"/>
              </w:rPr>
            </w:pPr>
            <w:r w:rsidRPr="00131DA2">
              <w:rPr>
                <w:iCs/>
                <w:szCs w:val="20"/>
              </w:rPr>
              <w:t>The PBAC previously accepted a prevalence of 20.3% for gBRCAm and 5% for sBRCAm (Olaparib PSDs, November 2019, March 2020 and July 2020 PBAC meetings).</w:t>
            </w:r>
          </w:p>
        </w:tc>
      </w:tr>
      <w:tr w:rsidR="00390AB1" w:rsidRPr="00131DA2" w14:paraId="61AED515" w14:textId="77777777" w:rsidTr="00DD3462">
        <w:tc>
          <w:tcPr>
            <w:tcW w:w="1838" w:type="dxa"/>
          </w:tcPr>
          <w:p w14:paraId="0D72C649" w14:textId="77777777" w:rsidR="00390AB1" w:rsidRPr="00131DA2" w:rsidRDefault="00390AB1" w:rsidP="00A67A21">
            <w:pPr>
              <w:pStyle w:val="TableText0"/>
              <w:keepNext w:val="0"/>
              <w:ind w:right="-57"/>
              <w:rPr>
                <w:szCs w:val="20"/>
              </w:rPr>
            </w:pPr>
            <w:r w:rsidRPr="00131DA2">
              <w:rPr>
                <w:szCs w:val="20"/>
              </w:rPr>
              <w:t>% discontinuing olaparib as 1L therapy due to AEs</w:t>
            </w:r>
          </w:p>
        </w:tc>
        <w:tc>
          <w:tcPr>
            <w:tcW w:w="3686" w:type="dxa"/>
          </w:tcPr>
          <w:p w14:paraId="072DA674" w14:textId="77777777" w:rsidR="00390AB1" w:rsidRPr="00131DA2" w:rsidRDefault="00390AB1" w:rsidP="00A67A21">
            <w:pPr>
              <w:pStyle w:val="TableText0"/>
              <w:keepNext w:val="0"/>
              <w:ind w:right="-57"/>
              <w:rPr>
                <w:szCs w:val="20"/>
              </w:rPr>
            </w:pPr>
            <w:r w:rsidRPr="00131DA2">
              <w:rPr>
                <w:szCs w:val="20"/>
              </w:rPr>
              <w:t>11.5%</w:t>
            </w:r>
          </w:p>
          <w:p w14:paraId="7D577200" w14:textId="77777777" w:rsidR="00390AB1" w:rsidRPr="00131DA2" w:rsidRDefault="00390AB1" w:rsidP="00A67A21">
            <w:pPr>
              <w:pStyle w:val="TableText0"/>
              <w:keepNext w:val="0"/>
              <w:ind w:right="-57"/>
              <w:rPr>
                <w:szCs w:val="20"/>
              </w:rPr>
            </w:pPr>
            <w:r w:rsidRPr="00131DA2">
              <w:rPr>
                <w:szCs w:val="20"/>
              </w:rPr>
              <w:t xml:space="preserve">SOLO-1 trial </w:t>
            </w:r>
          </w:p>
        </w:tc>
        <w:tc>
          <w:tcPr>
            <w:tcW w:w="3543" w:type="dxa"/>
          </w:tcPr>
          <w:p w14:paraId="1EBD5D3E" w14:textId="77777777" w:rsidR="00390AB1" w:rsidRPr="00131DA2" w:rsidRDefault="00390AB1" w:rsidP="00A67A21">
            <w:pPr>
              <w:pStyle w:val="TableText0"/>
              <w:keepNext w:val="0"/>
              <w:ind w:right="-57"/>
              <w:rPr>
                <w:iCs/>
                <w:szCs w:val="20"/>
              </w:rPr>
            </w:pPr>
          </w:p>
        </w:tc>
      </w:tr>
      <w:tr w:rsidR="00390AB1" w:rsidRPr="00131DA2" w14:paraId="5E7992EA" w14:textId="77777777" w:rsidTr="00DD3462">
        <w:tc>
          <w:tcPr>
            <w:tcW w:w="1838" w:type="dxa"/>
          </w:tcPr>
          <w:p w14:paraId="0B31845D" w14:textId="77777777" w:rsidR="00390AB1" w:rsidRPr="00131DA2" w:rsidRDefault="00390AB1" w:rsidP="00A67A21">
            <w:pPr>
              <w:pStyle w:val="TableText0"/>
              <w:keepNext w:val="0"/>
              <w:ind w:right="-57"/>
              <w:rPr>
                <w:szCs w:val="20"/>
              </w:rPr>
            </w:pPr>
            <w:r w:rsidRPr="00131DA2">
              <w:rPr>
                <w:szCs w:val="20"/>
              </w:rPr>
              <w:t xml:space="preserve">Uptake of various first-line maintenance therapies without listing of niraparib   </w:t>
            </w:r>
          </w:p>
        </w:tc>
        <w:tc>
          <w:tcPr>
            <w:tcW w:w="3686" w:type="dxa"/>
          </w:tcPr>
          <w:p w14:paraId="05AF8F53" w14:textId="77777777" w:rsidR="00390AB1" w:rsidRPr="00131DA2" w:rsidRDefault="00390AB1" w:rsidP="00A67A21">
            <w:pPr>
              <w:pStyle w:val="TableText0"/>
              <w:keepNext w:val="0"/>
              <w:ind w:right="-57"/>
              <w:rPr>
                <w:szCs w:val="20"/>
              </w:rPr>
            </w:pPr>
            <w:r w:rsidRPr="00131DA2">
              <w:rPr>
                <w:szCs w:val="20"/>
                <w:u w:val="single"/>
              </w:rPr>
              <w:t>BRCAm patients</w:t>
            </w:r>
            <w:r w:rsidRPr="00131DA2">
              <w:rPr>
                <w:szCs w:val="20"/>
              </w:rPr>
              <w:t>:</w:t>
            </w:r>
          </w:p>
          <w:p w14:paraId="3B1A04B9" w14:textId="77777777" w:rsidR="00390AB1" w:rsidRPr="00131DA2" w:rsidRDefault="00390AB1" w:rsidP="00A67A21">
            <w:pPr>
              <w:pStyle w:val="TableText0"/>
              <w:keepNext w:val="0"/>
              <w:ind w:right="-57"/>
              <w:rPr>
                <w:szCs w:val="20"/>
              </w:rPr>
            </w:pPr>
            <w:r w:rsidRPr="00131DA2">
              <w:rPr>
                <w:szCs w:val="20"/>
              </w:rPr>
              <w:t>Bevacizumab: 15% in Year 1 to 5% in Years 3-6</w:t>
            </w:r>
          </w:p>
          <w:p w14:paraId="7033EF11" w14:textId="77777777" w:rsidR="00390AB1" w:rsidRPr="00131DA2" w:rsidRDefault="00390AB1" w:rsidP="00A67A21">
            <w:pPr>
              <w:pStyle w:val="TableText0"/>
              <w:keepNext w:val="0"/>
              <w:ind w:right="-57"/>
              <w:rPr>
                <w:szCs w:val="20"/>
              </w:rPr>
            </w:pPr>
            <w:r w:rsidRPr="00131DA2">
              <w:rPr>
                <w:szCs w:val="20"/>
              </w:rPr>
              <w:t>Olaparib: 75% in Year 1 to 90% in Years 3-6</w:t>
            </w:r>
          </w:p>
          <w:p w14:paraId="1367526B" w14:textId="77777777" w:rsidR="00390AB1" w:rsidRPr="00131DA2" w:rsidRDefault="00390AB1" w:rsidP="00A67A21">
            <w:pPr>
              <w:pStyle w:val="TableText0"/>
              <w:keepNext w:val="0"/>
              <w:ind w:right="-57"/>
              <w:rPr>
                <w:szCs w:val="20"/>
              </w:rPr>
            </w:pPr>
            <w:r w:rsidRPr="00131DA2">
              <w:rPr>
                <w:szCs w:val="20"/>
              </w:rPr>
              <w:t>SMM: 10% in Year 1 to 5% in Years 3-6</w:t>
            </w:r>
          </w:p>
          <w:p w14:paraId="7DD1946E" w14:textId="77777777" w:rsidR="00390AB1" w:rsidRPr="00131DA2" w:rsidRDefault="00390AB1" w:rsidP="00A67A21">
            <w:pPr>
              <w:pStyle w:val="TableText0"/>
              <w:keepNext w:val="0"/>
              <w:ind w:right="-57"/>
              <w:rPr>
                <w:szCs w:val="20"/>
              </w:rPr>
            </w:pPr>
            <w:r w:rsidRPr="00131DA2">
              <w:rPr>
                <w:szCs w:val="20"/>
                <w:u w:val="single"/>
              </w:rPr>
              <w:t>Non-BRCAm patients</w:t>
            </w:r>
            <w:r w:rsidRPr="00131DA2">
              <w:rPr>
                <w:szCs w:val="20"/>
              </w:rPr>
              <w:t>:</w:t>
            </w:r>
          </w:p>
          <w:p w14:paraId="6C383DB0" w14:textId="77777777" w:rsidR="00390AB1" w:rsidRPr="00131DA2" w:rsidRDefault="00390AB1" w:rsidP="00A67A21">
            <w:pPr>
              <w:pStyle w:val="TableText0"/>
              <w:keepNext w:val="0"/>
              <w:ind w:right="-57"/>
              <w:rPr>
                <w:szCs w:val="20"/>
              </w:rPr>
            </w:pPr>
            <w:r w:rsidRPr="00131DA2">
              <w:rPr>
                <w:szCs w:val="20"/>
              </w:rPr>
              <w:t>Bevacizumab: 41.4% in Years 1-6</w:t>
            </w:r>
          </w:p>
          <w:p w14:paraId="44A38159" w14:textId="77777777" w:rsidR="00390AB1" w:rsidRPr="00131DA2" w:rsidRDefault="00390AB1" w:rsidP="00A67A21">
            <w:pPr>
              <w:pStyle w:val="TableText0"/>
              <w:keepNext w:val="0"/>
              <w:ind w:right="-57"/>
              <w:rPr>
                <w:szCs w:val="20"/>
              </w:rPr>
            </w:pPr>
            <w:r w:rsidRPr="00131DA2">
              <w:rPr>
                <w:szCs w:val="20"/>
              </w:rPr>
              <w:t xml:space="preserve">SMM: 58.6% in Years 1-6 </w:t>
            </w:r>
          </w:p>
          <w:p w14:paraId="4FA60946" w14:textId="77777777" w:rsidR="00390AB1" w:rsidRPr="00131DA2" w:rsidRDefault="00390AB1" w:rsidP="00A67A21">
            <w:pPr>
              <w:pStyle w:val="TableText0"/>
              <w:keepNext w:val="0"/>
              <w:ind w:right="-57"/>
              <w:rPr>
                <w:szCs w:val="20"/>
              </w:rPr>
            </w:pPr>
            <w:r w:rsidRPr="00131DA2">
              <w:rPr>
                <w:szCs w:val="20"/>
              </w:rPr>
              <w:t>Submission’s assumptions, 2018 DUSC report on bevacizumab, assumptions in previous olaparib submissions</w:t>
            </w:r>
          </w:p>
        </w:tc>
        <w:tc>
          <w:tcPr>
            <w:tcW w:w="3543" w:type="dxa"/>
          </w:tcPr>
          <w:p w14:paraId="2FBEA962" w14:textId="77777777" w:rsidR="00390AB1" w:rsidRPr="00131DA2" w:rsidRDefault="00390AB1" w:rsidP="00A67A21">
            <w:pPr>
              <w:pStyle w:val="TableText0"/>
              <w:keepNext w:val="0"/>
              <w:ind w:right="-57"/>
              <w:rPr>
                <w:szCs w:val="20"/>
              </w:rPr>
            </w:pPr>
            <w:r w:rsidRPr="00131DA2">
              <w:rPr>
                <w:szCs w:val="20"/>
              </w:rPr>
              <w:t>The uptake rates were largely based on assumptions and were, therefore, uncertain.</w:t>
            </w:r>
          </w:p>
          <w:p w14:paraId="4074DE1B" w14:textId="77777777" w:rsidR="002D0CB9" w:rsidRPr="00131DA2" w:rsidRDefault="002D0CB9" w:rsidP="00A67A21">
            <w:pPr>
              <w:pStyle w:val="TableText0"/>
              <w:keepNext w:val="0"/>
              <w:ind w:right="-57"/>
              <w:rPr>
                <w:i/>
                <w:szCs w:val="20"/>
              </w:rPr>
            </w:pPr>
          </w:p>
        </w:tc>
      </w:tr>
      <w:tr w:rsidR="00390AB1" w:rsidRPr="00131DA2" w14:paraId="4B1E2DFD" w14:textId="77777777" w:rsidTr="00DD3462">
        <w:tc>
          <w:tcPr>
            <w:tcW w:w="1838" w:type="dxa"/>
          </w:tcPr>
          <w:p w14:paraId="7906046E" w14:textId="77777777" w:rsidR="00390AB1" w:rsidRPr="00131DA2" w:rsidRDefault="00390AB1" w:rsidP="00A67A21">
            <w:pPr>
              <w:pStyle w:val="TableText0"/>
              <w:keepNext w:val="0"/>
              <w:ind w:right="-57"/>
              <w:rPr>
                <w:szCs w:val="20"/>
              </w:rPr>
            </w:pPr>
            <w:r w:rsidRPr="00131DA2">
              <w:rPr>
                <w:szCs w:val="20"/>
              </w:rPr>
              <w:t xml:space="preserve">Uptake of various first-line maintenance therapies with listing of niraparib   </w:t>
            </w:r>
          </w:p>
        </w:tc>
        <w:tc>
          <w:tcPr>
            <w:tcW w:w="3686" w:type="dxa"/>
          </w:tcPr>
          <w:p w14:paraId="76E4DF9A" w14:textId="77777777" w:rsidR="00390AB1" w:rsidRPr="00131DA2" w:rsidRDefault="00390AB1" w:rsidP="00A67A21">
            <w:pPr>
              <w:pStyle w:val="TableText0"/>
              <w:keepNext w:val="0"/>
              <w:ind w:right="-57"/>
              <w:rPr>
                <w:szCs w:val="20"/>
              </w:rPr>
            </w:pPr>
            <w:r w:rsidRPr="00131DA2">
              <w:rPr>
                <w:szCs w:val="20"/>
                <w:u w:val="single"/>
              </w:rPr>
              <w:t>BRCAm patients</w:t>
            </w:r>
            <w:r w:rsidRPr="00131DA2">
              <w:rPr>
                <w:szCs w:val="20"/>
              </w:rPr>
              <w:t>:</w:t>
            </w:r>
          </w:p>
          <w:p w14:paraId="456309A9" w14:textId="77777777" w:rsidR="00390AB1" w:rsidRPr="00131DA2" w:rsidRDefault="00390AB1" w:rsidP="00A67A21">
            <w:pPr>
              <w:pStyle w:val="TableText0"/>
              <w:keepNext w:val="0"/>
              <w:ind w:right="-57"/>
              <w:rPr>
                <w:szCs w:val="20"/>
              </w:rPr>
            </w:pPr>
            <w:r w:rsidRPr="00131DA2">
              <w:rPr>
                <w:szCs w:val="20"/>
              </w:rPr>
              <w:t>Niraparib: 26.3% in Year 1 to 45% in Years 3-6</w:t>
            </w:r>
          </w:p>
          <w:p w14:paraId="037675D6" w14:textId="77777777" w:rsidR="00390AB1" w:rsidRPr="00131DA2" w:rsidRDefault="00390AB1" w:rsidP="00A67A21">
            <w:pPr>
              <w:pStyle w:val="TableText0"/>
              <w:keepNext w:val="0"/>
              <w:ind w:right="-57"/>
              <w:rPr>
                <w:szCs w:val="20"/>
              </w:rPr>
            </w:pPr>
            <w:r w:rsidRPr="00131DA2">
              <w:rPr>
                <w:szCs w:val="20"/>
              </w:rPr>
              <w:t>Bevacizumab: 15% in Year 1 to 5% in Years 3-6</w:t>
            </w:r>
          </w:p>
          <w:p w14:paraId="72933342" w14:textId="77777777" w:rsidR="00390AB1" w:rsidRPr="00131DA2" w:rsidRDefault="00390AB1" w:rsidP="00A67A21">
            <w:pPr>
              <w:pStyle w:val="TableText0"/>
              <w:keepNext w:val="0"/>
              <w:ind w:right="-57"/>
              <w:rPr>
                <w:szCs w:val="20"/>
              </w:rPr>
            </w:pPr>
            <w:r w:rsidRPr="00131DA2">
              <w:rPr>
                <w:szCs w:val="20"/>
              </w:rPr>
              <w:t>Olaparib: 48.8% in Year 1 to 45% in Years 3-6</w:t>
            </w:r>
          </w:p>
          <w:p w14:paraId="142264BD" w14:textId="77777777" w:rsidR="00390AB1" w:rsidRPr="00131DA2" w:rsidRDefault="00390AB1" w:rsidP="00A67A21">
            <w:pPr>
              <w:pStyle w:val="TableText0"/>
              <w:keepNext w:val="0"/>
              <w:ind w:right="-57"/>
              <w:rPr>
                <w:szCs w:val="20"/>
              </w:rPr>
            </w:pPr>
            <w:r w:rsidRPr="00131DA2">
              <w:rPr>
                <w:szCs w:val="20"/>
              </w:rPr>
              <w:t>SMM: 10% in Year 1 to 5% in Years 3-6</w:t>
            </w:r>
          </w:p>
          <w:p w14:paraId="067F6095" w14:textId="77777777" w:rsidR="00390AB1" w:rsidRPr="00131DA2" w:rsidRDefault="00390AB1" w:rsidP="00A67A21">
            <w:pPr>
              <w:pStyle w:val="TableText0"/>
              <w:keepNext w:val="0"/>
              <w:ind w:right="-57"/>
              <w:rPr>
                <w:szCs w:val="20"/>
              </w:rPr>
            </w:pPr>
            <w:r w:rsidRPr="00131DA2">
              <w:rPr>
                <w:szCs w:val="20"/>
                <w:u w:val="single"/>
              </w:rPr>
              <w:t>Non-BRCAm patients</w:t>
            </w:r>
            <w:r w:rsidRPr="00131DA2">
              <w:rPr>
                <w:szCs w:val="20"/>
              </w:rPr>
              <w:t>:</w:t>
            </w:r>
          </w:p>
          <w:p w14:paraId="5FA8F743" w14:textId="77777777" w:rsidR="00390AB1" w:rsidRPr="00131DA2" w:rsidRDefault="00390AB1" w:rsidP="00A67A21">
            <w:pPr>
              <w:pStyle w:val="TableText0"/>
              <w:keepNext w:val="0"/>
              <w:ind w:right="-57"/>
              <w:rPr>
                <w:szCs w:val="20"/>
              </w:rPr>
            </w:pPr>
            <w:r w:rsidRPr="00131DA2">
              <w:rPr>
                <w:szCs w:val="20"/>
              </w:rPr>
              <w:t>Niraparib: 50% in Year 1 to 75% in Years 3-6</w:t>
            </w:r>
          </w:p>
          <w:p w14:paraId="7022BBF3" w14:textId="77777777" w:rsidR="00390AB1" w:rsidRPr="00131DA2" w:rsidRDefault="00390AB1" w:rsidP="00A67A21">
            <w:pPr>
              <w:pStyle w:val="TableText0"/>
              <w:keepNext w:val="0"/>
              <w:ind w:right="-57"/>
              <w:rPr>
                <w:szCs w:val="20"/>
              </w:rPr>
            </w:pPr>
            <w:r w:rsidRPr="00131DA2">
              <w:rPr>
                <w:szCs w:val="20"/>
              </w:rPr>
              <w:t>Bevacizumab: 30% in Year 1 to 15% in Years 3-6</w:t>
            </w:r>
          </w:p>
          <w:p w14:paraId="7F9147B8" w14:textId="77777777" w:rsidR="00390AB1" w:rsidRPr="00131DA2" w:rsidRDefault="00390AB1" w:rsidP="00A67A21">
            <w:pPr>
              <w:pStyle w:val="TableText0"/>
              <w:keepNext w:val="0"/>
              <w:ind w:right="-57"/>
              <w:rPr>
                <w:szCs w:val="20"/>
              </w:rPr>
            </w:pPr>
            <w:r w:rsidRPr="00131DA2">
              <w:rPr>
                <w:szCs w:val="20"/>
              </w:rPr>
              <w:t>SMM: 20% in Year 1 to 10% in Years 3-6</w:t>
            </w:r>
          </w:p>
          <w:p w14:paraId="03795429" w14:textId="77777777" w:rsidR="00390AB1" w:rsidRPr="00131DA2" w:rsidRDefault="00390AB1" w:rsidP="00A67A21">
            <w:pPr>
              <w:pStyle w:val="TableText0"/>
              <w:keepNext w:val="0"/>
              <w:ind w:right="-57"/>
              <w:rPr>
                <w:szCs w:val="20"/>
              </w:rPr>
            </w:pPr>
            <w:r w:rsidRPr="00131DA2">
              <w:rPr>
                <w:szCs w:val="20"/>
              </w:rPr>
              <w:t>Submission’s assumptions</w:t>
            </w:r>
          </w:p>
        </w:tc>
        <w:tc>
          <w:tcPr>
            <w:tcW w:w="3543" w:type="dxa"/>
          </w:tcPr>
          <w:p w14:paraId="609E552D" w14:textId="77777777" w:rsidR="002D0CB9" w:rsidRPr="00131DA2" w:rsidRDefault="00390AB1" w:rsidP="002D0CB9">
            <w:pPr>
              <w:pStyle w:val="TableText0"/>
              <w:keepNext w:val="0"/>
              <w:ind w:right="-57"/>
              <w:rPr>
                <w:szCs w:val="20"/>
              </w:rPr>
            </w:pPr>
            <w:r w:rsidRPr="00131DA2">
              <w:rPr>
                <w:szCs w:val="20"/>
              </w:rPr>
              <w:t>As above</w:t>
            </w:r>
          </w:p>
          <w:p w14:paraId="3536869A" w14:textId="77777777" w:rsidR="002D0CB9" w:rsidRPr="00131DA2" w:rsidRDefault="002D0CB9" w:rsidP="002D0CB9">
            <w:pPr>
              <w:pStyle w:val="TableText0"/>
              <w:keepNext w:val="0"/>
              <w:ind w:right="-57"/>
              <w:rPr>
                <w:szCs w:val="20"/>
              </w:rPr>
            </w:pPr>
          </w:p>
          <w:p w14:paraId="07D680F7" w14:textId="77777777" w:rsidR="00390AB1" w:rsidRPr="00131DA2" w:rsidRDefault="002D0CB9" w:rsidP="002D0CB9">
            <w:pPr>
              <w:pStyle w:val="TableText0"/>
              <w:keepNext w:val="0"/>
              <w:ind w:right="-57"/>
              <w:rPr>
                <w:szCs w:val="20"/>
              </w:rPr>
            </w:pPr>
            <w:r w:rsidRPr="00131DA2">
              <w:rPr>
                <w:szCs w:val="20"/>
              </w:rPr>
              <w:t>The ESC considered that niraparib uptake in BRCAm patients is unlikely to be as high as olaparib as there is less clinical experience with niraparib and no apparent safety advantages over olaparib.</w:t>
            </w:r>
            <w:r w:rsidRPr="00131DA2" w:rsidDel="002D0CB9">
              <w:rPr>
                <w:rStyle w:val="CommentReference"/>
                <w:rFonts w:eastAsia="Times New Roman" w:cs="Times New Roman"/>
                <w:bCs w:val="0"/>
                <w:szCs w:val="20"/>
              </w:rPr>
              <w:t xml:space="preserve"> </w:t>
            </w:r>
          </w:p>
        </w:tc>
      </w:tr>
      <w:tr w:rsidR="00390AB1" w:rsidRPr="00131DA2" w14:paraId="4AC3D794" w14:textId="77777777" w:rsidTr="00DD3462">
        <w:tc>
          <w:tcPr>
            <w:tcW w:w="1838" w:type="dxa"/>
          </w:tcPr>
          <w:p w14:paraId="5FD72DD5" w14:textId="77777777" w:rsidR="00390AB1" w:rsidRPr="00131DA2" w:rsidRDefault="00390AB1" w:rsidP="002D0CB9">
            <w:pPr>
              <w:pStyle w:val="TableText0"/>
              <w:keepNext w:val="0"/>
              <w:ind w:right="-57"/>
              <w:rPr>
                <w:szCs w:val="20"/>
              </w:rPr>
            </w:pPr>
            <w:r w:rsidRPr="00131DA2">
              <w:rPr>
                <w:szCs w:val="20"/>
              </w:rPr>
              <w:t>Uptake of niraparib in patients discontinuing olaparib due to AEs</w:t>
            </w:r>
          </w:p>
        </w:tc>
        <w:tc>
          <w:tcPr>
            <w:tcW w:w="3686" w:type="dxa"/>
          </w:tcPr>
          <w:p w14:paraId="5D0625EF" w14:textId="77777777" w:rsidR="00390AB1" w:rsidRPr="00131DA2" w:rsidRDefault="00390AB1" w:rsidP="002D0CB9">
            <w:pPr>
              <w:pStyle w:val="TableText0"/>
              <w:keepNext w:val="0"/>
              <w:ind w:right="-57"/>
              <w:rPr>
                <w:szCs w:val="20"/>
              </w:rPr>
            </w:pPr>
            <w:r w:rsidRPr="00131DA2">
              <w:rPr>
                <w:szCs w:val="20"/>
              </w:rPr>
              <w:t>80%</w:t>
            </w:r>
          </w:p>
          <w:p w14:paraId="4FEA2EB2" w14:textId="77777777" w:rsidR="00390AB1" w:rsidRPr="00131DA2" w:rsidRDefault="00390AB1" w:rsidP="002D0CB9">
            <w:pPr>
              <w:pStyle w:val="TableText0"/>
              <w:keepNext w:val="0"/>
              <w:ind w:right="-57"/>
              <w:rPr>
                <w:szCs w:val="20"/>
              </w:rPr>
            </w:pPr>
            <w:r w:rsidRPr="00131DA2">
              <w:rPr>
                <w:szCs w:val="20"/>
              </w:rPr>
              <w:t xml:space="preserve">Submission’s assumption </w:t>
            </w:r>
          </w:p>
        </w:tc>
        <w:tc>
          <w:tcPr>
            <w:tcW w:w="3543" w:type="dxa"/>
          </w:tcPr>
          <w:p w14:paraId="660E3994" w14:textId="77777777" w:rsidR="00390AB1" w:rsidRPr="00131DA2" w:rsidRDefault="00390AB1" w:rsidP="002D0CB9">
            <w:pPr>
              <w:pStyle w:val="TableText0"/>
              <w:keepNext w:val="0"/>
              <w:ind w:right="-57"/>
              <w:rPr>
                <w:szCs w:val="20"/>
              </w:rPr>
            </w:pPr>
            <w:r w:rsidRPr="00131DA2">
              <w:rPr>
                <w:szCs w:val="20"/>
              </w:rPr>
              <w:t>This was a likely overestimate. When the niraparib (later-line) submission was considered, the DUSC commented that the number of patients switching from olaparib to niraparib is likely to be very small and these patients could reasonably be removed from the estimates (Niraparib DUSC Advice, March 2021).</w:t>
            </w:r>
          </w:p>
        </w:tc>
      </w:tr>
      <w:tr w:rsidR="00390AB1" w:rsidRPr="00131DA2" w14:paraId="11BDA771" w14:textId="77777777" w:rsidTr="00DD3462">
        <w:tc>
          <w:tcPr>
            <w:tcW w:w="1838" w:type="dxa"/>
          </w:tcPr>
          <w:p w14:paraId="5632296C" w14:textId="77777777" w:rsidR="00390AB1" w:rsidRPr="00131DA2" w:rsidRDefault="00390AB1" w:rsidP="00A67A21">
            <w:pPr>
              <w:pStyle w:val="TableText0"/>
              <w:keepNext w:val="0"/>
              <w:ind w:right="-57"/>
              <w:rPr>
                <w:szCs w:val="20"/>
              </w:rPr>
            </w:pPr>
            <w:r w:rsidRPr="00131DA2">
              <w:rPr>
                <w:szCs w:val="20"/>
              </w:rPr>
              <w:t>% remaining on niraparib treatment in subsequent treatment years</w:t>
            </w:r>
          </w:p>
        </w:tc>
        <w:tc>
          <w:tcPr>
            <w:tcW w:w="3686" w:type="dxa"/>
          </w:tcPr>
          <w:p w14:paraId="5D6BFA36" w14:textId="77777777" w:rsidR="00390AB1" w:rsidRPr="00131DA2" w:rsidRDefault="00390AB1" w:rsidP="00A67A21">
            <w:pPr>
              <w:pStyle w:val="TableText0"/>
              <w:keepNext w:val="0"/>
              <w:ind w:right="-57"/>
              <w:rPr>
                <w:szCs w:val="20"/>
              </w:rPr>
            </w:pPr>
            <w:r w:rsidRPr="00131DA2">
              <w:rPr>
                <w:szCs w:val="20"/>
              </w:rPr>
              <w:t>46% after 1</w:t>
            </w:r>
            <w:r w:rsidRPr="00131DA2">
              <w:rPr>
                <w:szCs w:val="20"/>
                <w:vertAlign w:val="superscript"/>
              </w:rPr>
              <w:t>st</w:t>
            </w:r>
            <w:r w:rsidRPr="00131DA2">
              <w:rPr>
                <w:szCs w:val="20"/>
              </w:rPr>
              <w:t xml:space="preserve"> year of treatment, 23% after 2</w:t>
            </w:r>
            <w:r w:rsidRPr="00131DA2">
              <w:rPr>
                <w:szCs w:val="20"/>
                <w:vertAlign w:val="superscript"/>
              </w:rPr>
              <w:t>nd</w:t>
            </w:r>
            <w:r w:rsidRPr="00131DA2">
              <w:rPr>
                <w:szCs w:val="20"/>
              </w:rPr>
              <w:t xml:space="preserve"> year to 1% after 6</w:t>
            </w:r>
            <w:r w:rsidRPr="00131DA2">
              <w:rPr>
                <w:szCs w:val="20"/>
                <w:vertAlign w:val="superscript"/>
              </w:rPr>
              <w:t>th</w:t>
            </w:r>
            <w:r w:rsidRPr="00131DA2">
              <w:rPr>
                <w:szCs w:val="20"/>
              </w:rPr>
              <w:t xml:space="preserve"> year</w:t>
            </w:r>
          </w:p>
          <w:p w14:paraId="126ACBA0" w14:textId="77777777" w:rsidR="00390AB1" w:rsidRPr="00131DA2" w:rsidRDefault="00390AB1" w:rsidP="00A67A21">
            <w:pPr>
              <w:pStyle w:val="TableText0"/>
              <w:keepNext w:val="0"/>
              <w:ind w:right="-57"/>
              <w:rPr>
                <w:szCs w:val="20"/>
              </w:rPr>
            </w:pPr>
            <w:r w:rsidRPr="00131DA2">
              <w:rPr>
                <w:szCs w:val="20"/>
              </w:rPr>
              <w:t>Modelled TTD from PRIMA ITT</w:t>
            </w:r>
          </w:p>
        </w:tc>
        <w:tc>
          <w:tcPr>
            <w:tcW w:w="3543" w:type="dxa"/>
          </w:tcPr>
          <w:p w14:paraId="26128315" w14:textId="77777777" w:rsidR="00390AB1" w:rsidRPr="00131DA2" w:rsidRDefault="00390AB1" w:rsidP="00A67A21">
            <w:pPr>
              <w:pStyle w:val="TableText0"/>
              <w:keepNext w:val="0"/>
              <w:ind w:right="-57"/>
              <w:rPr>
                <w:szCs w:val="20"/>
              </w:rPr>
            </w:pPr>
            <w:r w:rsidRPr="00131DA2">
              <w:rPr>
                <w:szCs w:val="20"/>
              </w:rPr>
              <w:t xml:space="preserve">PRIMA ITT population included patients </w:t>
            </w:r>
            <w:r w:rsidR="007976CF" w:rsidRPr="00131DA2">
              <w:rPr>
                <w:szCs w:val="20"/>
              </w:rPr>
              <w:t xml:space="preserve">who </w:t>
            </w:r>
            <w:r w:rsidRPr="00131DA2">
              <w:rPr>
                <w:szCs w:val="20"/>
              </w:rPr>
              <w:t>initiated niraparib at a fixed starting dose. The treatment duration in these patients might not represent the treatment duration of niraparib, at its proposed individualised starting dose regimen.</w:t>
            </w:r>
          </w:p>
          <w:p w14:paraId="2F3B7AD2" w14:textId="77777777" w:rsidR="00E410E9" w:rsidRPr="00131DA2" w:rsidRDefault="00E410E9" w:rsidP="00A67A21">
            <w:pPr>
              <w:pStyle w:val="TableText0"/>
              <w:keepNext w:val="0"/>
              <w:ind w:right="-57"/>
              <w:rPr>
                <w:szCs w:val="20"/>
              </w:rPr>
            </w:pPr>
          </w:p>
          <w:p w14:paraId="17E39AFD" w14:textId="77777777" w:rsidR="00E410E9" w:rsidRPr="00131DA2" w:rsidRDefault="00E410E9" w:rsidP="00832015">
            <w:pPr>
              <w:pStyle w:val="TableText0"/>
              <w:keepNext w:val="0"/>
              <w:ind w:right="-57"/>
              <w:rPr>
                <w:i/>
                <w:szCs w:val="20"/>
              </w:rPr>
            </w:pPr>
            <w:r w:rsidRPr="00131DA2">
              <w:rPr>
                <w:szCs w:val="20"/>
              </w:rPr>
              <w:t xml:space="preserve">The ESC </w:t>
            </w:r>
            <w:r w:rsidR="00603763" w:rsidRPr="00131DA2">
              <w:rPr>
                <w:szCs w:val="20"/>
              </w:rPr>
              <w:t xml:space="preserve">also </w:t>
            </w:r>
            <w:r w:rsidRPr="00131DA2">
              <w:rPr>
                <w:szCs w:val="20"/>
              </w:rPr>
              <w:t xml:space="preserve">noted </w:t>
            </w:r>
            <w:r w:rsidR="00603763" w:rsidRPr="00131DA2">
              <w:rPr>
                <w:szCs w:val="20"/>
              </w:rPr>
              <w:t xml:space="preserve">this </w:t>
            </w:r>
            <w:r w:rsidR="00DD3462" w:rsidRPr="00131DA2">
              <w:rPr>
                <w:szCs w:val="20"/>
              </w:rPr>
              <w:t>would be impacted by a cap on treatment duration if applied in the niraparib restrictions.</w:t>
            </w:r>
          </w:p>
        </w:tc>
      </w:tr>
      <w:tr w:rsidR="00390AB1" w:rsidRPr="00131DA2" w14:paraId="234A6A7F" w14:textId="77777777" w:rsidTr="00DD3462">
        <w:tc>
          <w:tcPr>
            <w:tcW w:w="1838" w:type="dxa"/>
          </w:tcPr>
          <w:p w14:paraId="33CD5120" w14:textId="77777777" w:rsidR="00390AB1" w:rsidRPr="00131DA2" w:rsidRDefault="00390AB1" w:rsidP="00A67A21">
            <w:pPr>
              <w:pStyle w:val="TableText0"/>
              <w:keepNext w:val="0"/>
              <w:ind w:right="-57"/>
              <w:rPr>
                <w:szCs w:val="20"/>
              </w:rPr>
            </w:pPr>
            <w:r w:rsidRPr="00131DA2">
              <w:rPr>
                <w:szCs w:val="20"/>
              </w:rPr>
              <w:t>No. of niraparib packs per patient in each treatment year</w:t>
            </w:r>
          </w:p>
        </w:tc>
        <w:tc>
          <w:tcPr>
            <w:tcW w:w="3686" w:type="dxa"/>
          </w:tcPr>
          <w:p w14:paraId="66ADFF81" w14:textId="77777777" w:rsidR="00390AB1" w:rsidRPr="00131DA2" w:rsidRDefault="00390AB1" w:rsidP="00A67A21">
            <w:pPr>
              <w:pStyle w:val="TableText0"/>
              <w:keepNext w:val="0"/>
              <w:ind w:right="-57"/>
              <w:rPr>
                <w:szCs w:val="20"/>
              </w:rPr>
            </w:pPr>
            <w:r w:rsidRPr="00131DA2">
              <w:rPr>
                <w:szCs w:val="20"/>
              </w:rPr>
              <w:t>84-capule pack: 0.99 in the 1</w:t>
            </w:r>
            <w:r w:rsidRPr="00131DA2">
              <w:rPr>
                <w:szCs w:val="20"/>
                <w:vertAlign w:val="superscript"/>
              </w:rPr>
              <w:t>st</w:t>
            </w:r>
            <w:r w:rsidRPr="00131DA2">
              <w:rPr>
                <w:szCs w:val="20"/>
              </w:rPr>
              <w:t xml:space="preserve"> year of treatment, 0.30 in each subsequent years</w:t>
            </w:r>
          </w:p>
          <w:p w14:paraId="3C2FF19F" w14:textId="77777777" w:rsidR="00390AB1" w:rsidRPr="00131DA2" w:rsidRDefault="00390AB1" w:rsidP="00A67A21">
            <w:pPr>
              <w:pStyle w:val="TableText0"/>
              <w:keepNext w:val="0"/>
              <w:ind w:right="-57"/>
              <w:rPr>
                <w:szCs w:val="20"/>
              </w:rPr>
            </w:pPr>
            <w:r w:rsidRPr="00131DA2">
              <w:rPr>
                <w:szCs w:val="20"/>
              </w:rPr>
              <w:t>56-capule pack: 8.79 in the 1</w:t>
            </w:r>
            <w:r w:rsidRPr="00131DA2">
              <w:rPr>
                <w:szCs w:val="20"/>
                <w:vertAlign w:val="superscript"/>
              </w:rPr>
              <w:t>st</w:t>
            </w:r>
            <w:r w:rsidRPr="00131DA2">
              <w:rPr>
                <w:szCs w:val="20"/>
              </w:rPr>
              <w:t xml:space="preserve"> year of treatment, 9.37 in each subsequent years</w:t>
            </w:r>
          </w:p>
          <w:p w14:paraId="165540F9" w14:textId="77777777" w:rsidR="00390AB1" w:rsidRPr="00ED2824" w:rsidRDefault="00390AB1" w:rsidP="00A67A21">
            <w:pPr>
              <w:pStyle w:val="TableText0"/>
              <w:keepNext w:val="0"/>
              <w:ind w:right="-57"/>
              <w:rPr>
                <w:szCs w:val="20"/>
                <w:vertAlign w:val="superscript"/>
              </w:rPr>
            </w:pPr>
            <w:r w:rsidRPr="00131DA2">
              <w:rPr>
                <w:szCs w:val="20"/>
              </w:rPr>
              <w:t>Dose intensity and compliance data from PRIMA, individualised starting dose cohort</w:t>
            </w:r>
            <w:r w:rsidR="00ED2824">
              <w:rPr>
                <w:szCs w:val="20"/>
                <w:vertAlign w:val="superscript"/>
              </w:rPr>
              <w:t>*</w:t>
            </w:r>
          </w:p>
        </w:tc>
        <w:tc>
          <w:tcPr>
            <w:tcW w:w="3543" w:type="dxa"/>
          </w:tcPr>
          <w:p w14:paraId="5FAA4C9F" w14:textId="77777777" w:rsidR="00390AB1" w:rsidRPr="00131DA2" w:rsidRDefault="00390AB1" w:rsidP="00A67A21">
            <w:pPr>
              <w:pStyle w:val="TableText0"/>
              <w:keepNext w:val="0"/>
              <w:ind w:right="-57"/>
              <w:rPr>
                <w:szCs w:val="20"/>
              </w:rPr>
            </w:pPr>
            <w:r w:rsidRPr="00131DA2">
              <w:rPr>
                <w:szCs w:val="20"/>
              </w:rPr>
              <w:t>This was the appropriate data source.</w:t>
            </w:r>
          </w:p>
        </w:tc>
      </w:tr>
      <w:tr w:rsidR="00390AB1" w:rsidRPr="00131DA2" w14:paraId="5F37EC80" w14:textId="77777777" w:rsidTr="00DD3462">
        <w:tc>
          <w:tcPr>
            <w:tcW w:w="1838" w:type="dxa"/>
          </w:tcPr>
          <w:p w14:paraId="78E451D7" w14:textId="77777777" w:rsidR="00390AB1" w:rsidRPr="00131DA2" w:rsidRDefault="00390AB1" w:rsidP="00A67A21">
            <w:pPr>
              <w:pStyle w:val="TableText0"/>
              <w:keepNext w:val="0"/>
              <w:ind w:right="-57"/>
              <w:rPr>
                <w:szCs w:val="20"/>
              </w:rPr>
            </w:pPr>
            <w:r w:rsidRPr="00131DA2">
              <w:rPr>
                <w:szCs w:val="20"/>
              </w:rPr>
              <w:t>Treatment duration of bevacizumab maintenance therapy</w:t>
            </w:r>
          </w:p>
        </w:tc>
        <w:tc>
          <w:tcPr>
            <w:tcW w:w="3686" w:type="dxa"/>
          </w:tcPr>
          <w:p w14:paraId="6A249EC9" w14:textId="77777777" w:rsidR="00390AB1" w:rsidRPr="00131DA2" w:rsidRDefault="00390AB1" w:rsidP="00A67A21">
            <w:pPr>
              <w:pStyle w:val="TableText0"/>
              <w:keepNext w:val="0"/>
              <w:ind w:right="-57"/>
              <w:rPr>
                <w:szCs w:val="20"/>
              </w:rPr>
            </w:pPr>
            <w:r w:rsidRPr="00131DA2">
              <w:rPr>
                <w:szCs w:val="20"/>
              </w:rPr>
              <w:t>12.93 doses</w:t>
            </w:r>
          </w:p>
          <w:p w14:paraId="19EC84A0" w14:textId="77777777" w:rsidR="00390AB1" w:rsidRPr="00131DA2" w:rsidRDefault="00390AB1" w:rsidP="00A67A21">
            <w:pPr>
              <w:pStyle w:val="TableText0"/>
              <w:keepNext w:val="0"/>
              <w:ind w:right="-57"/>
              <w:rPr>
                <w:szCs w:val="20"/>
              </w:rPr>
            </w:pPr>
            <w:r w:rsidRPr="00131DA2">
              <w:rPr>
                <w:szCs w:val="20"/>
              </w:rPr>
              <w:t xml:space="preserve">2018 DUSC report on bevacizumab </w:t>
            </w:r>
          </w:p>
        </w:tc>
        <w:tc>
          <w:tcPr>
            <w:tcW w:w="3543" w:type="dxa"/>
          </w:tcPr>
          <w:p w14:paraId="21A8AE6A" w14:textId="77777777" w:rsidR="00390AB1" w:rsidRPr="00131DA2" w:rsidRDefault="00390AB1" w:rsidP="00D12781">
            <w:pPr>
              <w:pStyle w:val="TableText0"/>
              <w:keepNext w:val="0"/>
              <w:ind w:right="-57"/>
              <w:rPr>
                <w:szCs w:val="20"/>
              </w:rPr>
            </w:pPr>
            <w:r w:rsidRPr="00131DA2">
              <w:rPr>
                <w:szCs w:val="20"/>
              </w:rPr>
              <w:t xml:space="preserve">The </w:t>
            </w:r>
            <w:r w:rsidR="00D12781" w:rsidRPr="00131DA2">
              <w:rPr>
                <w:szCs w:val="20"/>
              </w:rPr>
              <w:t>ESC considered that the DUSC report was an appropriate source for the bevacizumab treatment duration.</w:t>
            </w:r>
          </w:p>
        </w:tc>
      </w:tr>
      <w:tr w:rsidR="00390AB1" w:rsidRPr="00131DA2" w14:paraId="02AAAD14" w14:textId="77777777" w:rsidTr="00DD3462">
        <w:trPr>
          <w:trHeight w:val="806"/>
        </w:trPr>
        <w:tc>
          <w:tcPr>
            <w:tcW w:w="1838" w:type="dxa"/>
          </w:tcPr>
          <w:p w14:paraId="7F78DC16" w14:textId="77777777" w:rsidR="00390AB1" w:rsidRPr="00131DA2" w:rsidRDefault="00390AB1" w:rsidP="00A67A21">
            <w:pPr>
              <w:pStyle w:val="TableText0"/>
              <w:keepNext w:val="0"/>
              <w:ind w:right="-57"/>
              <w:rPr>
                <w:szCs w:val="20"/>
              </w:rPr>
            </w:pPr>
            <w:r w:rsidRPr="00131DA2">
              <w:rPr>
                <w:szCs w:val="20"/>
              </w:rPr>
              <w:t>No. of first-line olaparib scripts in each treatment year</w:t>
            </w:r>
          </w:p>
          <w:p w14:paraId="5AA04648" w14:textId="77777777" w:rsidR="00390AB1" w:rsidRPr="00131DA2" w:rsidRDefault="00390AB1" w:rsidP="00A67A21">
            <w:pPr>
              <w:jc w:val="center"/>
              <w:rPr>
                <w:rFonts w:ascii="Arial Narrow" w:hAnsi="Arial Narrow"/>
                <w:sz w:val="20"/>
                <w:szCs w:val="20"/>
              </w:rPr>
            </w:pPr>
          </w:p>
        </w:tc>
        <w:tc>
          <w:tcPr>
            <w:tcW w:w="3686" w:type="dxa"/>
          </w:tcPr>
          <w:p w14:paraId="51B50F99" w14:textId="77777777" w:rsidR="00390AB1" w:rsidRPr="00131DA2" w:rsidRDefault="00390AB1" w:rsidP="00A67A21">
            <w:pPr>
              <w:pStyle w:val="TableText0"/>
              <w:keepNext w:val="0"/>
              <w:ind w:right="-57"/>
              <w:rPr>
                <w:szCs w:val="20"/>
              </w:rPr>
            </w:pPr>
            <w:r w:rsidRPr="00131DA2">
              <w:rPr>
                <w:szCs w:val="20"/>
              </w:rPr>
              <w:t>10.3 in the 1</w:t>
            </w:r>
            <w:r w:rsidRPr="00131DA2">
              <w:rPr>
                <w:szCs w:val="20"/>
                <w:vertAlign w:val="superscript"/>
              </w:rPr>
              <w:t>st</w:t>
            </w:r>
            <w:r w:rsidRPr="00131DA2">
              <w:rPr>
                <w:szCs w:val="20"/>
              </w:rPr>
              <w:t xml:space="preserve"> year, 8.2 in 2</w:t>
            </w:r>
            <w:r w:rsidRPr="00131DA2">
              <w:rPr>
                <w:szCs w:val="20"/>
                <w:vertAlign w:val="superscript"/>
              </w:rPr>
              <w:t>nd</w:t>
            </w:r>
            <w:r w:rsidRPr="00131DA2">
              <w:rPr>
                <w:szCs w:val="20"/>
              </w:rPr>
              <w:t xml:space="preserve"> year, 1.4 in 3</w:t>
            </w:r>
            <w:r w:rsidRPr="00131DA2">
              <w:rPr>
                <w:szCs w:val="20"/>
                <w:vertAlign w:val="superscript"/>
              </w:rPr>
              <w:t>rd</w:t>
            </w:r>
            <w:r w:rsidRPr="00131DA2">
              <w:rPr>
                <w:szCs w:val="20"/>
              </w:rPr>
              <w:t xml:space="preserve"> year to 0 in 6</w:t>
            </w:r>
            <w:r w:rsidRPr="00131DA2">
              <w:rPr>
                <w:szCs w:val="20"/>
                <w:vertAlign w:val="superscript"/>
              </w:rPr>
              <w:t>th</w:t>
            </w:r>
            <w:r w:rsidRPr="00131DA2">
              <w:rPr>
                <w:szCs w:val="20"/>
              </w:rPr>
              <w:t xml:space="preserve"> year</w:t>
            </w:r>
          </w:p>
          <w:p w14:paraId="2A243973" w14:textId="77777777" w:rsidR="00390AB1" w:rsidRPr="00131DA2" w:rsidRDefault="00390AB1" w:rsidP="00A67A21">
            <w:pPr>
              <w:pStyle w:val="TableText0"/>
              <w:keepNext w:val="0"/>
              <w:ind w:right="-57"/>
              <w:rPr>
                <w:szCs w:val="20"/>
              </w:rPr>
            </w:pPr>
            <w:r w:rsidRPr="00131DA2">
              <w:rPr>
                <w:szCs w:val="20"/>
              </w:rPr>
              <w:t>July 2020 olaparib submission, based on TTD curve for olaparib in SOLO-1</w:t>
            </w:r>
          </w:p>
        </w:tc>
        <w:tc>
          <w:tcPr>
            <w:tcW w:w="3543" w:type="dxa"/>
          </w:tcPr>
          <w:p w14:paraId="4ABCB496" w14:textId="77777777" w:rsidR="00D12781" w:rsidRPr="00131DA2" w:rsidRDefault="00390AB1" w:rsidP="00D12781">
            <w:pPr>
              <w:pStyle w:val="TableText0"/>
              <w:keepNext w:val="0"/>
              <w:ind w:right="-57"/>
              <w:rPr>
                <w:szCs w:val="20"/>
              </w:rPr>
            </w:pPr>
            <w:r w:rsidRPr="00131DA2">
              <w:rPr>
                <w:szCs w:val="20"/>
              </w:rPr>
              <w:t xml:space="preserve">The restriction for </w:t>
            </w:r>
            <w:r w:rsidR="00832015">
              <w:rPr>
                <w:szCs w:val="20"/>
              </w:rPr>
              <w:t xml:space="preserve">first-line </w:t>
            </w:r>
            <w:r w:rsidRPr="00131DA2">
              <w:rPr>
                <w:szCs w:val="20"/>
              </w:rPr>
              <w:t xml:space="preserve">olaparib specifies a maximum treatment duration of 24 months for patients in complete response who have not experienced relapsed disease. </w:t>
            </w:r>
          </w:p>
          <w:p w14:paraId="4468C718" w14:textId="77777777" w:rsidR="00390AB1" w:rsidRPr="00131DA2" w:rsidRDefault="00D12781" w:rsidP="00D12781">
            <w:pPr>
              <w:pStyle w:val="TableText0"/>
              <w:keepNext w:val="0"/>
              <w:ind w:right="-57"/>
              <w:rPr>
                <w:szCs w:val="20"/>
              </w:rPr>
            </w:pPr>
            <w:r w:rsidRPr="00131DA2">
              <w:rPr>
                <w:szCs w:val="20"/>
              </w:rPr>
              <w:t xml:space="preserve">The </w:t>
            </w:r>
            <w:r w:rsidR="00390AB1" w:rsidRPr="00131DA2">
              <w:rPr>
                <w:szCs w:val="20"/>
              </w:rPr>
              <w:t>submission’s estimated number of scripts per year was not adjusted to account for treatment interruption and for the difference in days of treatment covered per olaparib scrip</w:t>
            </w:r>
            <w:r w:rsidRPr="00131DA2">
              <w:rPr>
                <w:szCs w:val="20"/>
              </w:rPr>
              <w:t>t</w:t>
            </w:r>
            <w:r w:rsidR="00390AB1" w:rsidRPr="00131DA2">
              <w:rPr>
                <w:szCs w:val="20"/>
              </w:rPr>
              <w:t xml:space="preserve"> (28 days) and the days in each months (30.4 days).</w:t>
            </w:r>
          </w:p>
        </w:tc>
      </w:tr>
      <w:tr w:rsidR="00390AB1" w:rsidRPr="00131DA2" w14:paraId="1B4269B0" w14:textId="77777777" w:rsidTr="00DD3462">
        <w:tc>
          <w:tcPr>
            <w:tcW w:w="1838" w:type="dxa"/>
          </w:tcPr>
          <w:p w14:paraId="68BE8512" w14:textId="77777777" w:rsidR="00390AB1" w:rsidRPr="00131DA2" w:rsidRDefault="00390AB1" w:rsidP="00A67A21">
            <w:pPr>
              <w:pStyle w:val="TableText0"/>
              <w:keepNext w:val="0"/>
              <w:ind w:right="-57"/>
              <w:rPr>
                <w:szCs w:val="20"/>
              </w:rPr>
            </w:pPr>
            <w:r w:rsidRPr="00131DA2">
              <w:rPr>
                <w:szCs w:val="20"/>
              </w:rPr>
              <w:t>MBS costs</w:t>
            </w:r>
          </w:p>
          <w:p w14:paraId="7003F534" w14:textId="77777777" w:rsidR="00390AB1" w:rsidRPr="00131DA2" w:rsidRDefault="00390AB1" w:rsidP="00A67A21">
            <w:pPr>
              <w:pStyle w:val="TableText0"/>
              <w:keepNext w:val="0"/>
              <w:ind w:left="175" w:right="-57"/>
              <w:rPr>
                <w:szCs w:val="20"/>
              </w:rPr>
            </w:pPr>
            <w:r w:rsidRPr="00131DA2">
              <w:rPr>
                <w:szCs w:val="20"/>
              </w:rPr>
              <w:t>CBC</w:t>
            </w:r>
          </w:p>
          <w:p w14:paraId="62E2D1C9" w14:textId="77777777" w:rsidR="00390AB1" w:rsidRPr="00131DA2" w:rsidRDefault="00390AB1" w:rsidP="00A67A21">
            <w:pPr>
              <w:pStyle w:val="TableText0"/>
              <w:keepNext w:val="0"/>
              <w:ind w:left="175" w:right="-57"/>
              <w:rPr>
                <w:szCs w:val="20"/>
              </w:rPr>
            </w:pPr>
            <w:r w:rsidRPr="00131DA2">
              <w:rPr>
                <w:szCs w:val="20"/>
              </w:rPr>
              <w:t>GP consultation</w:t>
            </w:r>
          </w:p>
          <w:p w14:paraId="3296FCA3" w14:textId="77777777" w:rsidR="00390AB1" w:rsidRPr="00131DA2" w:rsidRDefault="00390AB1" w:rsidP="00A67A21">
            <w:pPr>
              <w:pStyle w:val="TableText0"/>
              <w:keepNext w:val="0"/>
              <w:ind w:left="175" w:right="-57"/>
              <w:rPr>
                <w:szCs w:val="20"/>
              </w:rPr>
            </w:pPr>
            <w:r w:rsidRPr="00131DA2">
              <w:rPr>
                <w:szCs w:val="20"/>
              </w:rPr>
              <w:t xml:space="preserve">IV administration </w:t>
            </w:r>
          </w:p>
        </w:tc>
        <w:tc>
          <w:tcPr>
            <w:tcW w:w="3686" w:type="dxa"/>
          </w:tcPr>
          <w:p w14:paraId="6566D347" w14:textId="77777777" w:rsidR="00390AB1" w:rsidRPr="00131DA2" w:rsidRDefault="00390AB1" w:rsidP="00A67A21">
            <w:pPr>
              <w:pStyle w:val="TableText0"/>
              <w:keepNext w:val="0"/>
              <w:ind w:right="-57"/>
              <w:rPr>
                <w:szCs w:val="20"/>
              </w:rPr>
            </w:pPr>
          </w:p>
          <w:p w14:paraId="34C4315F" w14:textId="77777777" w:rsidR="00390AB1" w:rsidRPr="00131DA2" w:rsidRDefault="00390AB1" w:rsidP="00A67A21">
            <w:pPr>
              <w:pStyle w:val="TableText0"/>
              <w:keepNext w:val="0"/>
              <w:ind w:right="-57"/>
              <w:rPr>
                <w:szCs w:val="20"/>
              </w:rPr>
            </w:pPr>
            <w:r w:rsidRPr="00131DA2">
              <w:rPr>
                <w:szCs w:val="20"/>
              </w:rPr>
              <w:t>$16.95 (MBS item 65070)</w:t>
            </w:r>
          </w:p>
          <w:p w14:paraId="65A6D689" w14:textId="77777777" w:rsidR="00390AB1" w:rsidRPr="00131DA2" w:rsidRDefault="00390AB1" w:rsidP="00A67A21">
            <w:pPr>
              <w:pStyle w:val="TableText0"/>
              <w:keepNext w:val="0"/>
              <w:ind w:right="-57"/>
              <w:rPr>
                <w:szCs w:val="20"/>
              </w:rPr>
            </w:pPr>
            <w:r w:rsidRPr="00131DA2">
              <w:rPr>
                <w:szCs w:val="20"/>
              </w:rPr>
              <w:t>$38.75 (MBS item 23)</w:t>
            </w:r>
          </w:p>
          <w:p w14:paraId="4C813B7B" w14:textId="77777777" w:rsidR="00390AB1" w:rsidRPr="00131DA2" w:rsidRDefault="00390AB1" w:rsidP="00A67A21">
            <w:pPr>
              <w:pStyle w:val="TableText0"/>
              <w:keepNext w:val="0"/>
              <w:ind w:right="-57"/>
              <w:rPr>
                <w:szCs w:val="20"/>
              </w:rPr>
            </w:pPr>
            <w:r w:rsidRPr="00131DA2">
              <w:rPr>
                <w:szCs w:val="20"/>
              </w:rPr>
              <w:t>$111.40 (MBS item 13950)</w:t>
            </w:r>
          </w:p>
        </w:tc>
        <w:tc>
          <w:tcPr>
            <w:tcW w:w="3543" w:type="dxa"/>
          </w:tcPr>
          <w:p w14:paraId="14D3C53D" w14:textId="77777777" w:rsidR="00390AB1" w:rsidRPr="00131DA2" w:rsidRDefault="00390AB1" w:rsidP="00A67A21">
            <w:pPr>
              <w:pStyle w:val="TableText0"/>
              <w:keepNext w:val="0"/>
              <w:ind w:right="-57"/>
              <w:rPr>
                <w:szCs w:val="20"/>
              </w:rPr>
            </w:pPr>
          </w:p>
        </w:tc>
      </w:tr>
    </w:tbl>
    <w:p w14:paraId="5DDD4513" w14:textId="77777777" w:rsidR="00390AB1" w:rsidRPr="00131DA2" w:rsidRDefault="00390AB1" w:rsidP="00390AB1">
      <w:pPr>
        <w:pStyle w:val="TableFigureFooter"/>
      </w:pPr>
      <w:r w:rsidRPr="00131DA2">
        <w:t>Source: Table 126, p191 and Section 1, pp188-203 of the submission; “Zejula (niraparib) 1L BIM” Excel workbook</w:t>
      </w:r>
    </w:p>
    <w:p w14:paraId="0CAFD654" w14:textId="77777777" w:rsidR="00390AB1" w:rsidRDefault="00390AB1" w:rsidP="00390AB1">
      <w:pPr>
        <w:pStyle w:val="TableFigureFooter"/>
      </w:pPr>
      <w:r w:rsidRPr="00131DA2">
        <w:t>1L = first-line; AEMP = approved ex-manufacturer price; AIHW = Australian Institute of Health and Welfare; AOCS = Australian Ovarian Cancer Study; CBC = complete blood count; CGARN = Cancer Genome Atlas Research Network; CR = complete response; DPMQ = dispensed price for maximum quantity; DUSC = Drug Utilisation Sub-Committee; FIGO = International Federation of Gynecology and Obstetrics; gBRCAm = germline BRCA mutation; GP = general practitioner; ICD-10 = International Classification of Disease 10</w:t>
      </w:r>
      <w:r w:rsidRPr="00131DA2">
        <w:rPr>
          <w:vertAlign w:val="superscript"/>
        </w:rPr>
        <w:t>th</w:t>
      </w:r>
      <w:r w:rsidRPr="00131DA2">
        <w:t xml:space="preserve"> revision; ITT = intention-to-treat; IV = intravenous; NZ MoH = New Zealand Ministry of Health; PBC = platinum-based chemotherapy; PR = partial response; PSD = public summary document; sBRCAm = somatic BRCA mutation; SMM = standard medical management; TTD = time to treatment discontinuation</w:t>
      </w:r>
    </w:p>
    <w:p w14:paraId="50BE019F" w14:textId="77777777" w:rsidR="00ED2824" w:rsidRPr="00131DA2" w:rsidRDefault="00ED2824" w:rsidP="00390AB1">
      <w:pPr>
        <w:pStyle w:val="TableFigureFooter"/>
      </w:pPr>
      <w:r>
        <w:t xml:space="preserve">* </w:t>
      </w:r>
      <w:r w:rsidRPr="00ED2824">
        <w:rPr>
          <w:i/>
        </w:rPr>
        <w:t>Note that the dose intenstity and compliance data from PRIMA used to derive the number of niraparib packs stated in Table 13 was provided for the purposes of informing the PBAC consideration. Interpretation of the results and their application should therefore be limited to seeking to understand the basis for the PBAC outcome and should not be used for any other purpose</w:t>
      </w:r>
      <w:r>
        <w:rPr>
          <w:i/>
        </w:rPr>
        <w:t>.</w:t>
      </w:r>
    </w:p>
    <w:p w14:paraId="245117F1" w14:textId="77777777" w:rsidR="003E6D21" w:rsidRPr="00131DA2" w:rsidRDefault="003E6D21" w:rsidP="00D739A3">
      <w:pPr>
        <w:pStyle w:val="3-BodyText"/>
      </w:pPr>
      <w:r w:rsidRPr="00131DA2">
        <w:t xml:space="preserve">The financial analysis assumed that the proposed listing of niraparib would reduce the use of existing first-line maintenance therapies, including bevacizumab and olaparib, but would not affect the extent of use of later-line maintenance therapies. </w:t>
      </w:r>
      <w:r w:rsidR="00AB1721" w:rsidRPr="00131DA2">
        <w:t>The ESC</w:t>
      </w:r>
      <w:r w:rsidR="00FF6C61" w:rsidRPr="00131DA2">
        <w:t xml:space="preserve"> noted that </w:t>
      </w:r>
      <w:r w:rsidRPr="00131DA2">
        <w:t>this assumption was not consistent with the economic model which compared first-line niraparib with placeb</w:t>
      </w:r>
      <w:r w:rsidR="00C67453" w:rsidRPr="00131DA2">
        <w:t>o</w:t>
      </w:r>
      <w:r w:rsidRPr="00131DA2">
        <w:t xml:space="preserve"> (followed by olaparib if BRCAm)</w:t>
      </w:r>
      <w:r w:rsidR="00D12781" w:rsidRPr="00131DA2">
        <w:t>, though it reflects Australian clinical practice</w:t>
      </w:r>
      <w:r w:rsidRPr="00131DA2">
        <w:t xml:space="preserve">. </w:t>
      </w:r>
    </w:p>
    <w:p w14:paraId="56103099" w14:textId="77777777" w:rsidR="009130AB" w:rsidRPr="00131DA2" w:rsidRDefault="00390AB1" w:rsidP="00FF6C61">
      <w:pPr>
        <w:pStyle w:val="3-BodyText"/>
      </w:pPr>
      <w:r w:rsidRPr="00131DA2">
        <w:t>The uptake of various first-line maintenance therapies for treatment of newly diagnosed advanced HGEOC in scenarios with and without the listing of niraparib was mainly based on the submission’s assumptions and was a major area of uncertainty in the financial analysis. The changes in these uptake variables have large impacts on the net financial implications of the listing of niraparib to the PBS/RPBS.</w:t>
      </w:r>
      <w:r w:rsidR="00FF6C61" w:rsidRPr="00131DA2">
        <w:t xml:space="preserve"> The ESC </w:t>
      </w:r>
      <w:r w:rsidR="00D12781" w:rsidRPr="00131DA2">
        <w:t>noted that the submission assumed that, if listed, niraparib would substitute for around one third of BRCAm patients treated with olaparib</w:t>
      </w:r>
      <w:r w:rsidR="005C0FF2" w:rsidRPr="00131DA2">
        <w:t xml:space="preserve"> </w:t>
      </w:r>
      <w:r w:rsidR="00D12781" w:rsidRPr="00131DA2">
        <w:t>in year one, increasing to around half in years 3-6. In the non-BRCAm population niraparib was assumed to substitute for around one quarter of patients treated with bevacizumab</w:t>
      </w:r>
      <w:r w:rsidR="005C0FF2" w:rsidRPr="00131DA2">
        <w:t xml:space="preserve"> in year one. The ESC</w:t>
      </w:r>
      <w:r w:rsidR="00D12781" w:rsidRPr="00131DA2">
        <w:t xml:space="preserve"> </w:t>
      </w:r>
      <w:r w:rsidR="00FF6C61" w:rsidRPr="00131DA2">
        <w:t>considered that p</w:t>
      </w:r>
      <w:r w:rsidR="00433414" w:rsidRPr="00131DA2">
        <w:t>redicted changes in first line therapy were not justified and are uncertain</w:t>
      </w:r>
      <w:r w:rsidR="00FF6C61" w:rsidRPr="00131DA2">
        <w:t>.</w:t>
      </w:r>
    </w:p>
    <w:p w14:paraId="46253253" w14:textId="77777777" w:rsidR="001207E3" w:rsidRPr="00131DA2" w:rsidRDefault="00390AB1" w:rsidP="001207E3">
      <w:pPr>
        <w:pStyle w:val="3-BodyText"/>
        <w:rPr>
          <w:color w:val="0066FF"/>
        </w:rPr>
      </w:pPr>
      <w:r w:rsidRPr="00131DA2">
        <w:t>The ITT TTD data applied in the economic evaluation and in the financial analysis included 65% (315 out of 484) patients who initiated niraparib therapy at a fixed dose. Therefore, the trial-based ITT TTD might not reflect the treatment duration of niraparib in clinical practice if the proposed ISD regimen is used.</w:t>
      </w:r>
      <w:r w:rsidR="001207E3" w:rsidRPr="00131DA2">
        <w:rPr>
          <w:color w:val="0066FF"/>
        </w:rPr>
        <w:t xml:space="preserve"> </w:t>
      </w:r>
      <w:r w:rsidR="001207E3" w:rsidRPr="00131DA2">
        <w:t>The ESC considered that although FSD caused higher TEAE requiring dose reductions, drug withdrawals due to TEAE were similar in both groups of patients (13.6% ISD vs 11.1% FSD</w:t>
      </w:r>
      <w:r w:rsidR="00E23EBE" w:rsidRPr="00131DA2">
        <w:t xml:space="preserve"> vs 12.0% in the full population</w:t>
      </w:r>
      <w:r w:rsidR="001207E3" w:rsidRPr="00131DA2">
        <w:t>;</w:t>
      </w:r>
      <w:r w:rsidR="00E23EBE" w:rsidRPr="00131DA2">
        <w:t xml:space="preserve"> </w:t>
      </w:r>
      <w:r w:rsidR="008A7614" w:rsidRPr="00131DA2">
        <w:t xml:space="preserve">Table </w:t>
      </w:r>
      <w:r w:rsidR="008A7614">
        <w:t>5</w:t>
      </w:r>
      <w:r w:rsidR="001207E3" w:rsidRPr="00131DA2">
        <w:t>) therefore treatment duration was unlikely to be particularly different to the ITT population.</w:t>
      </w:r>
    </w:p>
    <w:p w14:paraId="1C0884B4" w14:textId="77777777" w:rsidR="00390AB1" w:rsidRPr="00131DA2" w:rsidRDefault="00390AB1" w:rsidP="00390AB1">
      <w:pPr>
        <w:pStyle w:val="3-BodyText"/>
      </w:pPr>
      <w:r w:rsidRPr="00131DA2">
        <w:t>The estimated use of niraparib as first-line maintenance therapy and financial implications are summarised below.</w:t>
      </w:r>
    </w:p>
    <w:p w14:paraId="0DD7AC1C" w14:textId="77777777" w:rsidR="00390AB1" w:rsidRPr="00131DA2" w:rsidRDefault="00390AB1" w:rsidP="00FB6EE9">
      <w:pPr>
        <w:pStyle w:val="TableFigureHeading"/>
      </w:pPr>
      <w:bookmarkStart w:id="33" w:name="_Ref68861573"/>
      <w:r w:rsidRPr="00131DA2">
        <w:t xml:space="preserve">Table </w:t>
      </w:r>
      <w:r w:rsidR="008A7614">
        <w:rPr>
          <w:noProof/>
        </w:rPr>
        <w:t>14</w:t>
      </w:r>
      <w:bookmarkEnd w:id="33"/>
      <w:r w:rsidRPr="00131DA2">
        <w:t xml:space="preserve">: </w:t>
      </w:r>
      <w:r w:rsidRPr="00131DA2">
        <w:rPr>
          <w:rStyle w:val="CommentReference"/>
          <w:b/>
          <w:szCs w:val="24"/>
        </w:rPr>
        <w:t>Estimated use and financial implications</w:t>
      </w:r>
      <w:r w:rsidR="00E726F6" w:rsidRPr="00131DA2">
        <w:rPr>
          <w:rStyle w:val="CommentReference"/>
          <w:b/>
          <w:szCs w:val="24"/>
        </w:rPr>
        <w:t xml:space="preserve"> (uses proposed </w:t>
      </w:r>
      <w:r w:rsidR="00DA6C66" w:rsidRPr="00131DA2">
        <w:rPr>
          <w:rStyle w:val="CommentReference"/>
          <w:b/>
          <w:szCs w:val="24"/>
        </w:rPr>
        <w:t>effective</w:t>
      </w:r>
      <w:r w:rsidR="00E726F6" w:rsidRPr="00131DA2">
        <w:rPr>
          <w:rStyle w:val="CommentReference"/>
          <w:b/>
          <w:szCs w:val="24"/>
        </w:rPr>
        <w:t xml:space="preserve"> price from submission)</w:t>
      </w: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3"/>
        <w:gridCol w:w="1167"/>
        <w:gridCol w:w="1167"/>
        <w:gridCol w:w="1167"/>
        <w:gridCol w:w="1167"/>
        <w:gridCol w:w="1285"/>
        <w:gridCol w:w="1275"/>
      </w:tblGrid>
      <w:tr w:rsidR="00390AB1" w:rsidRPr="00131DA2" w14:paraId="19919FD0" w14:textId="77777777" w:rsidTr="00E146A6">
        <w:trPr>
          <w:tblHeader/>
        </w:trPr>
        <w:tc>
          <w:tcPr>
            <w:tcW w:w="1135" w:type="pct"/>
            <w:shd w:val="clear" w:color="auto" w:fill="auto"/>
            <w:vAlign w:val="center"/>
          </w:tcPr>
          <w:p w14:paraId="25F262EC" w14:textId="77777777" w:rsidR="00390AB1" w:rsidRPr="00131DA2" w:rsidRDefault="00390AB1" w:rsidP="00FB6EE9">
            <w:pPr>
              <w:pStyle w:val="In-tableHeading"/>
              <w:jc w:val="center"/>
              <w:rPr>
                <w:lang w:val="en-AU"/>
              </w:rPr>
            </w:pPr>
          </w:p>
        </w:tc>
        <w:tc>
          <w:tcPr>
            <w:tcW w:w="624" w:type="pct"/>
            <w:shd w:val="clear" w:color="auto" w:fill="auto"/>
            <w:vAlign w:val="center"/>
          </w:tcPr>
          <w:p w14:paraId="5EC9CCC7" w14:textId="77777777" w:rsidR="00390AB1" w:rsidRPr="00131DA2" w:rsidRDefault="00390AB1" w:rsidP="00FB6EE9">
            <w:pPr>
              <w:pStyle w:val="In-tableHeading"/>
              <w:jc w:val="center"/>
              <w:rPr>
                <w:lang w:val="en-AU"/>
              </w:rPr>
            </w:pPr>
            <w:r w:rsidRPr="00131DA2">
              <w:rPr>
                <w:lang w:val="en-AU"/>
              </w:rPr>
              <w:t>Year 1</w:t>
            </w:r>
          </w:p>
        </w:tc>
        <w:tc>
          <w:tcPr>
            <w:tcW w:w="624" w:type="pct"/>
            <w:shd w:val="clear" w:color="auto" w:fill="auto"/>
            <w:vAlign w:val="center"/>
          </w:tcPr>
          <w:p w14:paraId="7EC1CE59" w14:textId="77777777" w:rsidR="00390AB1" w:rsidRPr="00131DA2" w:rsidRDefault="00390AB1" w:rsidP="00FB6EE9">
            <w:pPr>
              <w:pStyle w:val="In-tableHeading"/>
              <w:jc w:val="center"/>
              <w:rPr>
                <w:lang w:val="en-AU"/>
              </w:rPr>
            </w:pPr>
            <w:r w:rsidRPr="00131DA2">
              <w:rPr>
                <w:lang w:val="en-AU"/>
              </w:rPr>
              <w:t>Year 2</w:t>
            </w:r>
          </w:p>
        </w:tc>
        <w:tc>
          <w:tcPr>
            <w:tcW w:w="624" w:type="pct"/>
            <w:shd w:val="clear" w:color="auto" w:fill="auto"/>
            <w:vAlign w:val="center"/>
          </w:tcPr>
          <w:p w14:paraId="6C162749" w14:textId="77777777" w:rsidR="00390AB1" w:rsidRPr="00131DA2" w:rsidRDefault="00390AB1" w:rsidP="00FB6EE9">
            <w:pPr>
              <w:pStyle w:val="In-tableHeading"/>
              <w:jc w:val="center"/>
              <w:rPr>
                <w:lang w:val="en-AU"/>
              </w:rPr>
            </w:pPr>
            <w:r w:rsidRPr="00131DA2">
              <w:rPr>
                <w:lang w:val="en-AU"/>
              </w:rPr>
              <w:t>Year 3</w:t>
            </w:r>
          </w:p>
        </w:tc>
        <w:tc>
          <w:tcPr>
            <w:tcW w:w="624" w:type="pct"/>
            <w:shd w:val="clear" w:color="auto" w:fill="auto"/>
            <w:vAlign w:val="center"/>
          </w:tcPr>
          <w:p w14:paraId="28EE1E92" w14:textId="77777777" w:rsidR="00390AB1" w:rsidRPr="00131DA2" w:rsidRDefault="00390AB1" w:rsidP="00FB6EE9">
            <w:pPr>
              <w:pStyle w:val="In-tableHeading"/>
              <w:jc w:val="center"/>
              <w:rPr>
                <w:lang w:val="en-AU"/>
              </w:rPr>
            </w:pPr>
            <w:r w:rsidRPr="00131DA2">
              <w:rPr>
                <w:lang w:val="en-AU"/>
              </w:rPr>
              <w:t>Year 4</w:t>
            </w:r>
          </w:p>
        </w:tc>
        <w:tc>
          <w:tcPr>
            <w:tcW w:w="687" w:type="pct"/>
            <w:shd w:val="clear" w:color="auto" w:fill="auto"/>
            <w:vAlign w:val="center"/>
          </w:tcPr>
          <w:p w14:paraId="5217950A" w14:textId="77777777" w:rsidR="00390AB1" w:rsidRPr="00131DA2" w:rsidRDefault="00390AB1" w:rsidP="00FB6EE9">
            <w:pPr>
              <w:pStyle w:val="In-tableHeading"/>
              <w:jc w:val="center"/>
              <w:rPr>
                <w:lang w:val="en-AU"/>
              </w:rPr>
            </w:pPr>
            <w:r w:rsidRPr="00131DA2">
              <w:rPr>
                <w:lang w:val="en-AU"/>
              </w:rPr>
              <w:t>Year 5</w:t>
            </w:r>
          </w:p>
        </w:tc>
        <w:tc>
          <w:tcPr>
            <w:tcW w:w="682" w:type="pct"/>
          </w:tcPr>
          <w:p w14:paraId="6DBD7DD7" w14:textId="77777777" w:rsidR="00390AB1" w:rsidRPr="00131DA2" w:rsidRDefault="00390AB1" w:rsidP="00FB6EE9">
            <w:pPr>
              <w:pStyle w:val="In-tableHeading"/>
              <w:jc w:val="center"/>
              <w:rPr>
                <w:lang w:val="en-AU"/>
              </w:rPr>
            </w:pPr>
            <w:r w:rsidRPr="00131DA2">
              <w:rPr>
                <w:lang w:val="en-AU"/>
              </w:rPr>
              <w:t>Year 6</w:t>
            </w:r>
          </w:p>
        </w:tc>
      </w:tr>
      <w:tr w:rsidR="00390AB1" w:rsidRPr="00131DA2" w14:paraId="34B720F6" w14:textId="77777777" w:rsidTr="00E146A6">
        <w:tc>
          <w:tcPr>
            <w:tcW w:w="5000" w:type="pct"/>
            <w:gridSpan w:val="7"/>
            <w:shd w:val="clear" w:color="auto" w:fill="auto"/>
            <w:vAlign w:val="center"/>
          </w:tcPr>
          <w:p w14:paraId="02ACA809" w14:textId="77777777" w:rsidR="00390AB1" w:rsidRPr="00131DA2" w:rsidRDefault="00390AB1" w:rsidP="00FB6EE9">
            <w:pPr>
              <w:pStyle w:val="In-tableHeading"/>
              <w:rPr>
                <w:bCs/>
                <w:color w:val="000000"/>
                <w:lang w:val="en-AU"/>
              </w:rPr>
            </w:pPr>
            <w:r w:rsidRPr="00131DA2">
              <w:rPr>
                <w:bCs/>
                <w:color w:val="000000"/>
                <w:lang w:val="en-AU"/>
              </w:rPr>
              <w:t>Estimated extent of use</w:t>
            </w:r>
          </w:p>
        </w:tc>
      </w:tr>
      <w:tr w:rsidR="00390AB1" w:rsidRPr="00131DA2" w14:paraId="4B85FBEA" w14:textId="77777777" w:rsidTr="00E146A6">
        <w:tc>
          <w:tcPr>
            <w:tcW w:w="1135" w:type="pct"/>
            <w:shd w:val="clear" w:color="auto" w:fill="auto"/>
            <w:vAlign w:val="center"/>
          </w:tcPr>
          <w:p w14:paraId="70783FFA" w14:textId="77777777" w:rsidR="00390AB1" w:rsidRPr="00131DA2" w:rsidRDefault="00390AB1" w:rsidP="00FB6EE9">
            <w:pPr>
              <w:pStyle w:val="TableText0"/>
              <w:rPr>
                <w:rFonts w:ascii="Times" w:hAnsi="Times"/>
                <w:vertAlign w:val="superscript"/>
              </w:rPr>
            </w:pPr>
            <w:r w:rsidRPr="00131DA2">
              <w:t>Number of patients treated</w:t>
            </w:r>
            <w:r w:rsidRPr="00131DA2">
              <w:rPr>
                <w:vertAlign w:val="superscript"/>
              </w:rPr>
              <w:t>a</w:t>
            </w:r>
          </w:p>
        </w:tc>
        <w:tc>
          <w:tcPr>
            <w:tcW w:w="624" w:type="pct"/>
            <w:tcBorders>
              <w:bottom w:val="single" w:sz="4" w:space="0" w:color="auto"/>
            </w:tcBorders>
            <w:vAlign w:val="center"/>
          </w:tcPr>
          <w:p w14:paraId="503B5D05" w14:textId="77777777" w:rsidR="00390AB1" w:rsidRPr="001D7CF9" w:rsidRDefault="001D7CF9" w:rsidP="00FB6EE9">
            <w:pPr>
              <w:pStyle w:val="TableText0"/>
              <w:jc w:val="center"/>
              <w:rPr>
                <w:color w:val="000000"/>
              </w:rPr>
            </w:pPr>
            <w:r>
              <w:rPr>
                <w:rFonts w:cs="Times New Roman"/>
                <w:noProof/>
                <w:color w:val="000000"/>
                <w:highlight w:val="black"/>
              </w:rPr>
              <w:t>''''''''''</w:t>
            </w:r>
            <w:r w:rsidR="0034139A" w:rsidRPr="0034139A">
              <w:rPr>
                <w:rFonts w:cs="Times New Roman"/>
                <w:vertAlign w:val="superscript"/>
              </w:rPr>
              <w:t>1</w:t>
            </w:r>
          </w:p>
        </w:tc>
        <w:tc>
          <w:tcPr>
            <w:tcW w:w="624" w:type="pct"/>
            <w:tcBorders>
              <w:bottom w:val="single" w:sz="4" w:space="0" w:color="auto"/>
            </w:tcBorders>
            <w:vAlign w:val="center"/>
          </w:tcPr>
          <w:p w14:paraId="106C64C2" w14:textId="77777777" w:rsidR="00390AB1" w:rsidRPr="001D7CF9" w:rsidRDefault="001D7CF9" w:rsidP="00FB6EE9">
            <w:pPr>
              <w:pStyle w:val="TableText0"/>
              <w:jc w:val="center"/>
              <w:rPr>
                <w:color w:val="000000"/>
              </w:rPr>
            </w:pPr>
            <w:r>
              <w:rPr>
                <w:rFonts w:cs="Times New Roman"/>
                <w:noProof/>
                <w:color w:val="000000"/>
                <w:highlight w:val="black"/>
              </w:rPr>
              <w:t>'''''''''</w:t>
            </w:r>
            <w:r w:rsidR="0034139A">
              <w:rPr>
                <w:rFonts w:cs="Times New Roman"/>
                <w:vertAlign w:val="superscript"/>
              </w:rPr>
              <w:t>2</w:t>
            </w:r>
          </w:p>
        </w:tc>
        <w:tc>
          <w:tcPr>
            <w:tcW w:w="624" w:type="pct"/>
            <w:tcBorders>
              <w:bottom w:val="single" w:sz="4" w:space="0" w:color="auto"/>
            </w:tcBorders>
            <w:vAlign w:val="center"/>
          </w:tcPr>
          <w:p w14:paraId="29621515" w14:textId="77777777" w:rsidR="00390AB1" w:rsidRPr="001D7CF9" w:rsidRDefault="001D7CF9" w:rsidP="00FB6EE9">
            <w:pPr>
              <w:pStyle w:val="TableText0"/>
              <w:jc w:val="center"/>
              <w:rPr>
                <w:color w:val="000000"/>
              </w:rPr>
            </w:pPr>
            <w:r>
              <w:rPr>
                <w:rFonts w:cs="Times New Roman"/>
                <w:noProof/>
                <w:color w:val="000000"/>
                <w:highlight w:val="black"/>
              </w:rPr>
              <w:t>''''''''''</w:t>
            </w:r>
            <w:r w:rsidR="0034139A">
              <w:rPr>
                <w:rFonts w:cs="Times New Roman"/>
                <w:vertAlign w:val="superscript"/>
              </w:rPr>
              <w:t>2</w:t>
            </w:r>
          </w:p>
        </w:tc>
        <w:tc>
          <w:tcPr>
            <w:tcW w:w="624" w:type="pct"/>
            <w:tcBorders>
              <w:bottom w:val="single" w:sz="4" w:space="0" w:color="auto"/>
            </w:tcBorders>
            <w:vAlign w:val="center"/>
          </w:tcPr>
          <w:p w14:paraId="32CF9FB8" w14:textId="77777777" w:rsidR="00390AB1" w:rsidRPr="001D7CF9" w:rsidRDefault="001D7CF9" w:rsidP="00FB6EE9">
            <w:pPr>
              <w:pStyle w:val="TableText0"/>
              <w:jc w:val="center"/>
              <w:rPr>
                <w:color w:val="000000"/>
              </w:rPr>
            </w:pPr>
            <w:r>
              <w:rPr>
                <w:rFonts w:cs="Times New Roman"/>
                <w:noProof/>
                <w:color w:val="000000"/>
                <w:highlight w:val="black"/>
              </w:rPr>
              <w:t>''''''''''''</w:t>
            </w:r>
            <w:r w:rsidR="0034139A">
              <w:rPr>
                <w:rFonts w:cs="Times New Roman"/>
                <w:vertAlign w:val="superscript"/>
              </w:rPr>
              <w:t>2</w:t>
            </w:r>
          </w:p>
        </w:tc>
        <w:tc>
          <w:tcPr>
            <w:tcW w:w="687" w:type="pct"/>
            <w:tcBorders>
              <w:bottom w:val="single" w:sz="4" w:space="0" w:color="auto"/>
            </w:tcBorders>
            <w:vAlign w:val="center"/>
          </w:tcPr>
          <w:p w14:paraId="622F2E8F" w14:textId="77777777" w:rsidR="00390AB1" w:rsidRPr="001D7CF9" w:rsidRDefault="001D7CF9" w:rsidP="00FB6EE9">
            <w:pPr>
              <w:pStyle w:val="TableText0"/>
              <w:jc w:val="center"/>
              <w:rPr>
                <w:color w:val="000000"/>
              </w:rPr>
            </w:pPr>
            <w:r>
              <w:rPr>
                <w:rFonts w:cs="Times New Roman"/>
                <w:noProof/>
                <w:color w:val="000000"/>
                <w:highlight w:val="black"/>
              </w:rPr>
              <w:t>''''''''''''</w:t>
            </w:r>
            <w:r w:rsidR="0034139A">
              <w:rPr>
                <w:rFonts w:cs="Times New Roman"/>
                <w:vertAlign w:val="superscript"/>
              </w:rPr>
              <w:t>2</w:t>
            </w:r>
          </w:p>
        </w:tc>
        <w:tc>
          <w:tcPr>
            <w:tcW w:w="682" w:type="pct"/>
            <w:tcBorders>
              <w:bottom w:val="single" w:sz="4" w:space="0" w:color="auto"/>
            </w:tcBorders>
            <w:vAlign w:val="center"/>
          </w:tcPr>
          <w:p w14:paraId="471A0030" w14:textId="77777777" w:rsidR="00390AB1" w:rsidRPr="001D7CF9" w:rsidRDefault="001D7CF9" w:rsidP="00FB6EE9">
            <w:pPr>
              <w:pStyle w:val="TableText0"/>
              <w:jc w:val="center"/>
              <w:rPr>
                <w:color w:val="000000"/>
              </w:rPr>
            </w:pPr>
            <w:r>
              <w:rPr>
                <w:rFonts w:cs="Times New Roman"/>
                <w:noProof/>
                <w:color w:val="000000"/>
                <w:highlight w:val="black"/>
              </w:rPr>
              <w:t>''''''''''''''</w:t>
            </w:r>
            <w:r w:rsidR="0034139A">
              <w:rPr>
                <w:rFonts w:cs="Times New Roman"/>
                <w:vertAlign w:val="superscript"/>
              </w:rPr>
              <w:t>2</w:t>
            </w:r>
          </w:p>
        </w:tc>
      </w:tr>
      <w:tr w:rsidR="00390AB1" w:rsidRPr="00131DA2" w14:paraId="0926BF87" w14:textId="77777777" w:rsidTr="00E146A6">
        <w:tc>
          <w:tcPr>
            <w:tcW w:w="1135" w:type="pct"/>
            <w:shd w:val="clear" w:color="auto" w:fill="auto"/>
            <w:vAlign w:val="center"/>
          </w:tcPr>
          <w:p w14:paraId="6E1E2EF9" w14:textId="77777777" w:rsidR="00390AB1" w:rsidRPr="00131DA2" w:rsidRDefault="00390AB1" w:rsidP="00FB6EE9">
            <w:pPr>
              <w:pStyle w:val="TableText0"/>
              <w:rPr>
                <w:rFonts w:ascii="Times" w:hAnsi="Times"/>
              </w:rPr>
            </w:pPr>
            <w:r w:rsidRPr="00131DA2">
              <w:t>Number of scripts dispensed</w:t>
            </w:r>
            <w:r w:rsidRPr="00131DA2">
              <w:rPr>
                <w:vertAlign w:val="superscript"/>
              </w:rPr>
              <w:t>b</w:t>
            </w:r>
          </w:p>
        </w:tc>
        <w:tc>
          <w:tcPr>
            <w:tcW w:w="624" w:type="pct"/>
          </w:tcPr>
          <w:p w14:paraId="16FD0709" w14:textId="77777777" w:rsidR="00390AB1" w:rsidRPr="001D7CF9" w:rsidRDefault="001D7CF9" w:rsidP="00FB6EE9">
            <w:pPr>
              <w:pStyle w:val="TableText0"/>
              <w:jc w:val="center"/>
              <w:rPr>
                <w:color w:val="000000"/>
              </w:rPr>
            </w:pPr>
            <w:r>
              <w:rPr>
                <w:rFonts w:cs="Times New Roman"/>
                <w:noProof/>
                <w:color w:val="000000"/>
                <w:highlight w:val="black"/>
              </w:rPr>
              <w:t>'''''''''''''</w:t>
            </w:r>
            <w:r w:rsidR="0034139A">
              <w:rPr>
                <w:rFonts w:cs="Times New Roman"/>
                <w:vertAlign w:val="superscript"/>
              </w:rPr>
              <w:t>2</w:t>
            </w:r>
            <w:r>
              <w:rPr>
                <w:rFonts w:cs="Times New Roman"/>
                <w:noProof/>
                <w:color w:val="000000"/>
                <w:highlight w:val="black"/>
              </w:rPr>
              <w:t xml:space="preserve"> </w:t>
            </w:r>
          </w:p>
        </w:tc>
        <w:tc>
          <w:tcPr>
            <w:tcW w:w="624" w:type="pct"/>
          </w:tcPr>
          <w:p w14:paraId="0403B26C" w14:textId="77777777" w:rsidR="00390AB1" w:rsidRPr="001D7CF9" w:rsidRDefault="001D7CF9" w:rsidP="00FB6EE9">
            <w:pPr>
              <w:pStyle w:val="TableText0"/>
              <w:jc w:val="center"/>
              <w:rPr>
                <w:color w:val="000000"/>
              </w:rPr>
            </w:pPr>
            <w:r>
              <w:rPr>
                <w:rFonts w:cs="Times New Roman"/>
                <w:noProof/>
                <w:color w:val="000000"/>
                <w:highlight w:val="black"/>
              </w:rPr>
              <w:t>'''''''''''''''</w:t>
            </w:r>
            <w:r w:rsidR="0034139A">
              <w:rPr>
                <w:rFonts w:cs="Times New Roman"/>
                <w:vertAlign w:val="superscript"/>
              </w:rPr>
              <w:t>3</w:t>
            </w:r>
            <w:r>
              <w:rPr>
                <w:rFonts w:cs="Times New Roman"/>
                <w:noProof/>
                <w:color w:val="000000"/>
                <w:highlight w:val="black"/>
              </w:rPr>
              <w:t xml:space="preserve"> </w:t>
            </w:r>
          </w:p>
        </w:tc>
        <w:tc>
          <w:tcPr>
            <w:tcW w:w="624" w:type="pct"/>
          </w:tcPr>
          <w:p w14:paraId="1CE09E05" w14:textId="77777777" w:rsidR="00390AB1" w:rsidRPr="001D7CF9" w:rsidRDefault="001D7CF9" w:rsidP="00FB6EE9">
            <w:pPr>
              <w:pStyle w:val="TableText0"/>
              <w:jc w:val="center"/>
              <w:rPr>
                <w:color w:val="000000"/>
              </w:rPr>
            </w:pPr>
            <w:r>
              <w:rPr>
                <w:rFonts w:cs="Times New Roman"/>
                <w:noProof/>
                <w:color w:val="000000"/>
                <w:highlight w:val="black"/>
              </w:rPr>
              <w:t xml:space="preserve">'''''''''''''' </w:t>
            </w:r>
            <w:r w:rsidR="0034139A">
              <w:rPr>
                <w:rFonts w:cs="Times New Roman"/>
                <w:vertAlign w:val="superscript"/>
              </w:rPr>
              <w:t>3</w:t>
            </w:r>
          </w:p>
        </w:tc>
        <w:tc>
          <w:tcPr>
            <w:tcW w:w="624" w:type="pct"/>
          </w:tcPr>
          <w:p w14:paraId="701AF5EA" w14:textId="77777777" w:rsidR="00390AB1" w:rsidRPr="001D7CF9" w:rsidRDefault="001D7CF9" w:rsidP="00FB6EE9">
            <w:pPr>
              <w:pStyle w:val="TableText0"/>
              <w:jc w:val="center"/>
              <w:rPr>
                <w:color w:val="000000"/>
              </w:rPr>
            </w:pPr>
            <w:r>
              <w:rPr>
                <w:rFonts w:cs="Times New Roman"/>
                <w:noProof/>
                <w:color w:val="000000"/>
                <w:highlight w:val="black"/>
              </w:rPr>
              <w:t xml:space="preserve">'''''''''''''' </w:t>
            </w:r>
            <w:r w:rsidR="0034139A">
              <w:rPr>
                <w:rFonts w:cs="Times New Roman"/>
                <w:vertAlign w:val="superscript"/>
              </w:rPr>
              <w:t>3</w:t>
            </w:r>
          </w:p>
        </w:tc>
        <w:tc>
          <w:tcPr>
            <w:tcW w:w="687" w:type="pct"/>
          </w:tcPr>
          <w:p w14:paraId="5558F284" w14:textId="77777777" w:rsidR="00390AB1" w:rsidRPr="001D7CF9" w:rsidRDefault="001D7CF9" w:rsidP="00FB6EE9">
            <w:pPr>
              <w:pStyle w:val="TableText0"/>
              <w:jc w:val="center"/>
              <w:rPr>
                <w:color w:val="000000"/>
              </w:rPr>
            </w:pPr>
            <w:r>
              <w:rPr>
                <w:rFonts w:cs="Times New Roman"/>
                <w:noProof/>
                <w:color w:val="000000"/>
                <w:highlight w:val="black"/>
              </w:rPr>
              <w:t xml:space="preserve">''''''''''''' </w:t>
            </w:r>
            <w:r w:rsidR="0034139A">
              <w:rPr>
                <w:rFonts w:cs="Times New Roman"/>
                <w:vertAlign w:val="superscript"/>
              </w:rPr>
              <w:t>3</w:t>
            </w:r>
          </w:p>
        </w:tc>
        <w:tc>
          <w:tcPr>
            <w:tcW w:w="682" w:type="pct"/>
          </w:tcPr>
          <w:p w14:paraId="505C89FE" w14:textId="77777777" w:rsidR="00390AB1" w:rsidRPr="001D7CF9" w:rsidRDefault="001D7CF9" w:rsidP="00FB6EE9">
            <w:pPr>
              <w:pStyle w:val="TableText0"/>
              <w:jc w:val="center"/>
              <w:rPr>
                <w:color w:val="000000"/>
              </w:rPr>
            </w:pPr>
            <w:r>
              <w:rPr>
                <w:rFonts w:cs="Times New Roman"/>
                <w:noProof/>
                <w:color w:val="000000"/>
                <w:highlight w:val="black"/>
              </w:rPr>
              <w:t xml:space="preserve">''''''''''''' </w:t>
            </w:r>
            <w:r w:rsidR="0034139A">
              <w:rPr>
                <w:rFonts w:cs="Times New Roman"/>
                <w:vertAlign w:val="superscript"/>
              </w:rPr>
              <w:t>3</w:t>
            </w:r>
          </w:p>
        </w:tc>
      </w:tr>
      <w:tr w:rsidR="00390AB1" w:rsidRPr="00131DA2" w14:paraId="225C09B3" w14:textId="77777777" w:rsidTr="00E146A6">
        <w:tc>
          <w:tcPr>
            <w:tcW w:w="5000" w:type="pct"/>
            <w:gridSpan w:val="7"/>
            <w:shd w:val="clear" w:color="auto" w:fill="auto"/>
            <w:vAlign w:val="center"/>
          </w:tcPr>
          <w:p w14:paraId="2E8E40E3" w14:textId="77777777" w:rsidR="00390AB1" w:rsidRPr="00131DA2" w:rsidRDefault="00390AB1" w:rsidP="00FB6EE9">
            <w:pPr>
              <w:pStyle w:val="In-tableHeading"/>
              <w:rPr>
                <w:lang w:val="en-AU"/>
              </w:rPr>
            </w:pPr>
            <w:r w:rsidRPr="00131DA2">
              <w:rPr>
                <w:lang w:val="en-AU"/>
              </w:rPr>
              <w:t>Estimated financial implications of niraparib</w:t>
            </w:r>
          </w:p>
        </w:tc>
      </w:tr>
      <w:tr w:rsidR="00390AB1" w:rsidRPr="00131DA2" w14:paraId="19828065" w14:textId="77777777" w:rsidTr="00E146A6">
        <w:tc>
          <w:tcPr>
            <w:tcW w:w="1135" w:type="pct"/>
            <w:shd w:val="clear" w:color="auto" w:fill="auto"/>
            <w:vAlign w:val="center"/>
          </w:tcPr>
          <w:p w14:paraId="3FECEB93" w14:textId="77777777" w:rsidR="00390AB1" w:rsidRPr="00131DA2" w:rsidRDefault="00390AB1" w:rsidP="00FB6EE9">
            <w:pPr>
              <w:pStyle w:val="TableText0"/>
              <w:rPr>
                <w:sz w:val="19"/>
                <w:szCs w:val="19"/>
              </w:rPr>
            </w:pPr>
            <w:r w:rsidRPr="00131DA2">
              <w:rPr>
                <w:sz w:val="19"/>
                <w:szCs w:val="19"/>
              </w:rPr>
              <w:t>Cost to PBS/RPBS less copayments</w:t>
            </w:r>
          </w:p>
        </w:tc>
        <w:tc>
          <w:tcPr>
            <w:tcW w:w="624" w:type="pct"/>
          </w:tcPr>
          <w:p w14:paraId="7F162E2E" w14:textId="77777777" w:rsidR="00390AB1" w:rsidRPr="00131DA2" w:rsidRDefault="00390AB1" w:rsidP="0034139A">
            <w:pPr>
              <w:pStyle w:val="TableText0"/>
              <w:ind w:right="57"/>
              <w:jc w:val="right"/>
            </w:pPr>
            <w:r w:rsidRPr="00131DA2">
              <w:rPr>
                <w:rFonts w:cs="Times New Roman"/>
              </w:rPr>
              <w:t>$</w:t>
            </w:r>
            <w:r w:rsidR="001D7CF9">
              <w:rPr>
                <w:rFonts w:cs="Times New Roman"/>
                <w:noProof/>
                <w:color w:val="000000"/>
                <w:highlight w:val="black"/>
              </w:rPr>
              <w:t>'''''''''''''''''''''''''''</w:t>
            </w:r>
            <w:r w:rsidR="0034139A">
              <w:rPr>
                <w:rFonts w:cs="Times New Roman"/>
                <w:vertAlign w:val="superscript"/>
              </w:rPr>
              <w:t>4</w:t>
            </w:r>
          </w:p>
        </w:tc>
        <w:tc>
          <w:tcPr>
            <w:tcW w:w="624" w:type="pct"/>
          </w:tcPr>
          <w:p w14:paraId="10F69B5E" w14:textId="77777777" w:rsidR="00390AB1" w:rsidRPr="00131DA2" w:rsidRDefault="00390AB1" w:rsidP="0034139A">
            <w:pPr>
              <w:pStyle w:val="TableText0"/>
              <w:ind w:right="57"/>
              <w:jc w:val="right"/>
            </w:pPr>
            <w:r w:rsidRPr="00131DA2">
              <w:rPr>
                <w:rFonts w:cs="Times New Roman"/>
              </w:rPr>
              <w:t>$</w:t>
            </w:r>
            <w:r w:rsidR="001D7CF9">
              <w:rPr>
                <w:rFonts w:cs="Times New Roman"/>
                <w:noProof/>
                <w:color w:val="000000"/>
                <w:highlight w:val="black"/>
              </w:rPr>
              <w:t>''''''''''''''''''''''''''''</w:t>
            </w:r>
            <w:r w:rsidR="0034139A">
              <w:rPr>
                <w:rFonts w:cs="Times New Roman"/>
                <w:vertAlign w:val="superscript"/>
              </w:rPr>
              <w:t>5</w:t>
            </w:r>
          </w:p>
        </w:tc>
        <w:tc>
          <w:tcPr>
            <w:tcW w:w="624" w:type="pct"/>
          </w:tcPr>
          <w:p w14:paraId="5FB313FA" w14:textId="77777777" w:rsidR="00390AB1" w:rsidRPr="00131DA2" w:rsidRDefault="00390AB1" w:rsidP="00FB6EE9">
            <w:pPr>
              <w:pStyle w:val="TableText0"/>
              <w:ind w:right="57"/>
              <w:jc w:val="right"/>
            </w:pPr>
            <w:r w:rsidRPr="00131DA2">
              <w:rPr>
                <w:rFonts w:cs="Times New Roman"/>
              </w:rPr>
              <w:t>$</w:t>
            </w:r>
            <w:r w:rsidR="001D7CF9">
              <w:rPr>
                <w:rFonts w:cs="Times New Roman"/>
                <w:noProof/>
                <w:color w:val="000000"/>
                <w:highlight w:val="black"/>
              </w:rPr>
              <w:t>''''''''''''''''''''''''''</w:t>
            </w:r>
            <w:r w:rsidR="0034139A">
              <w:rPr>
                <w:rFonts w:cs="Times New Roman"/>
                <w:vertAlign w:val="superscript"/>
              </w:rPr>
              <w:t>5</w:t>
            </w:r>
          </w:p>
        </w:tc>
        <w:tc>
          <w:tcPr>
            <w:tcW w:w="624" w:type="pct"/>
          </w:tcPr>
          <w:p w14:paraId="74124BD0" w14:textId="77777777" w:rsidR="00390AB1" w:rsidRPr="00131DA2" w:rsidRDefault="00390AB1" w:rsidP="00FB6EE9">
            <w:pPr>
              <w:pStyle w:val="TableText0"/>
              <w:ind w:right="57"/>
              <w:jc w:val="right"/>
            </w:pPr>
            <w:r w:rsidRPr="00131DA2">
              <w:rPr>
                <w:rFonts w:cs="Times New Roman"/>
              </w:rPr>
              <w:t>$</w:t>
            </w:r>
            <w:r w:rsidR="001D7CF9">
              <w:rPr>
                <w:rFonts w:cs="Times New Roman"/>
                <w:noProof/>
                <w:color w:val="000000"/>
                <w:highlight w:val="black"/>
              </w:rPr>
              <w:t>''''''''''''''''''''''''''</w:t>
            </w:r>
            <w:r w:rsidR="0034139A">
              <w:rPr>
                <w:rFonts w:cs="Times New Roman"/>
                <w:vertAlign w:val="superscript"/>
              </w:rPr>
              <w:t>6</w:t>
            </w:r>
          </w:p>
        </w:tc>
        <w:tc>
          <w:tcPr>
            <w:tcW w:w="687" w:type="pct"/>
          </w:tcPr>
          <w:p w14:paraId="7CF35D46" w14:textId="77777777" w:rsidR="00390AB1" w:rsidRPr="00131DA2" w:rsidRDefault="00390AB1" w:rsidP="00FB6EE9">
            <w:pPr>
              <w:pStyle w:val="TableText0"/>
              <w:ind w:right="57"/>
              <w:jc w:val="right"/>
            </w:pPr>
            <w:r w:rsidRPr="00131DA2">
              <w:rPr>
                <w:rFonts w:cs="Times New Roman"/>
              </w:rPr>
              <w:t>$</w:t>
            </w:r>
            <w:r w:rsidR="001D7CF9">
              <w:rPr>
                <w:rFonts w:cs="Times New Roman"/>
                <w:noProof/>
                <w:color w:val="000000"/>
                <w:highlight w:val="black"/>
              </w:rPr>
              <w:t>'''''''''''''''''''''''''''''</w:t>
            </w:r>
            <w:r w:rsidR="0034139A">
              <w:rPr>
                <w:rFonts w:cs="Times New Roman"/>
                <w:vertAlign w:val="superscript"/>
              </w:rPr>
              <w:t>6</w:t>
            </w:r>
          </w:p>
        </w:tc>
        <w:tc>
          <w:tcPr>
            <w:tcW w:w="682" w:type="pct"/>
          </w:tcPr>
          <w:p w14:paraId="1F4E4A3B" w14:textId="77777777" w:rsidR="00390AB1" w:rsidRPr="00131DA2" w:rsidRDefault="00390AB1" w:rsidP="00FB6EE9">
            <w:pPr>
              <w:pStyle w:val="TableText0"/>
              <w:ind w:right="57"/>
              <w:jc w:val="right"/>
            </w:pPr>
            <w:r w:rsidRPr="00131DA2">
              <w:rPr>
                <w:rFonts w:cs="Times New Roman"/>
              </w:rPr>
              <w:t>$</w:t>
            </w:r>
            <w:r w:rsidR="001D7CF9">
              <w:rPr>
                <w:rFonts w:cs="Times New Roman"/>
                <w:noProof/>
                <w:color w:val="000000"/>
                <w:highlight w:val="black"/>
              </w:rPr>
              <w:t>'''''''''''''''''''''''</w:t>
            </w:r>
            <w:r w:rsidR="0034139A">
              <w:rPr>
                <w:rFonts w:cs="Times New Roman"/>
                <w:vertAlign w:val="superscript"/>
              </w:rPr>
              <w:t>6</w:t>
            </w:r>
          </w:p>
        </w:tc>
      </w:tr>
      <w:tr w:rsidR="00390AB1" w:rsidRPr="00131DA2" w14:paraId="75FEA062" w14:textId="77777777" w:rsidTr="00E146A6">
        <w:tc>
          <w:tcPr>
            <w:tcW w:w="5000" w:type="pct"/>
            <w:gridSpan w:val="7"/>
            <w:shd w:val="clear" w:color="auto" w:fill="auto"/>
            <w:vAlign w:val="center"/>
          </w:tcPr>
          <w:p w14:paraId="3E8456B1" w14:textId="77777777" w:rsidR="00390AB1" w:rsidRPr="00131DA2" w:rsidRDefault="00390AB1" w:rsidP="00FB6EE9">
            <w:pPr>
              <w:pStyle w:val="TableText0"/>
              <w:rPr>
                <w:b/>
              </w:rPr>
            </w:pPr>
            <w:r w:rsidRPr="00131DA2">
              <w:rPr>
                <w:b/>
              </w:rPr>
              <w:t>Estimated financial implications for olaparib and bevacizumab</w:t>
            </w:r>
          </w:p>
        </w:tc>
      </w:tr>
      <w:tr w:rsidR="00390AB1" w:rsidRPr="00131DA2" w14:paraId="2D4DD734" w14:textId="77777777" w:rsidTr="00E146A6">
        <w:tc>
          <w:tcPr>
            <w:tcW w:w="1135" w:type="pct"/>
            <w:tcBorders>
              <w:bottom w:val="single" w:sz="4" w:space="0" w:color="auto"/>
            </w:tcBorders>
            <w:shd w:val="clear" w:color="auto" w:fill="auto"/>
            <w:vAlign w:val="center"/>
          </w:tcPr>
          <w:p w14:paraId="445BD8DF" w14:textId="77777777" w:rsidR="00390AB1" w:rsidRPr="00131DA2" w:rsidRDefault="00390AB1" w:rsidP="00FB6EE9">
            <w:pPr>
              <w:pStyle w:val="TableText0"/>
              <w:rPr>
                <w:sz w:val="19"/>
                <w:szCs w:val="19"/>
              </w:rPr>
            </w:pPr>
            <w:r w:rsidRPr="00131DA2">
              <w:rPr>
                <w:sz w:val="19"/>
                <w:szCs w:val="19"/>
              </w:rPr>
              <w:t>Cost of bevacizumab to PBS/RPBS less copayments</w:t>
            </w:r>
          </w:p>
        </w:tc>
        <w:tc>
          <w:tcPr>
            <w:tcW w:w="624" w:type="pct"/>
            <w:tcBorders>
              <w:bottom w:val="single" w:sz="4" w:space="0" w:color="auto"/>
            </w:tcBorders>
            <w:shd w:val="clear" w:color="auto" w:fill="FFFFFF" w:themeFill="background1"/>
          </w:tcPr>
          <w:p w14:paraId="129BB3DD" w14:textId="77777777" w:rsidR="00390AB1" w:rsidRPr="00131DA2" w:rsidRDefault="00390AB1" w:rsidP="00646018">
            <w:pPr>
              <w:pStyle w:val="TableText0"/>
              <w:ind w:right="57"/>
              <w:jc w:val="right"/>
            </w:pPr>
            <w:r w:rsidRPr="00131DA2">
              <w:rPr>
                <w:szCs w:val="20"/>
              </w:rPr>
              <w:t>-$</w:t>
            </w:r>
            <w:r w:rsidR="001D7CF9">
              <w:rPr>
                <w:noProof/>
                <w:color w:val="000000"/>
                <w:szCs w:val="20"/>
                <w:highlight w:val="black"/>
              </w:rPr>
              <w:t>'''''''''''''''''''''''''</w:t>
            </w:r>
            <w:r w:rsidR="00646018">
              <w:rPr>
                <w:rFonts w:cs="Times New Roman"/>
                <w:vertAlign w:val="superscript"/>
              </w:rPr>
              <w:t>7</w:t>
            </w:r>
          </w:p>
        </w:tc>
        <w:tc>
          <w:tcPr>
            <w:tcW w:w="624" w:type="pct"/>
            <w:tcBorders>
              <w:bottom w:val="single" w:sz="4" w:space="0" w:color="auto"/>
            </w:tcBorders>
            <w:shd w:val="clear" w:color="auto" w:fill="FFFFFF" w:themeFill="background1"/>
          </w:tcPr>
          <w:p w14:paraId="7A4FD862" w14:textId="77777777" w:rsidR="00390AB1" w:rsidRPr="00131DA2" w:rsidRDefault="00390AB1" w:rsidP="00FB6EE9">
            <w:pPr>
              <w:pStyle w:val="TableText0"/>
              <w:ind w:right="57"/>
              <w:jc w:val="right"/>
            </w:pPr>
            <w:r w:rsidRPr="00131DA2">
              <w:rPr>
                <w:szCs w:val="20"/>
              </w:rPr>
              <w:t>-$</w:t>
            </w:r>
            <w:r w:rsidR="001D7CF9">
              <w:rPr>
                <w:noProof/>
                <w:color w:val="000000"/>
                <w:szCs w:val="20"/>
                <w:highlight w:val="black"/>
              </w:rPr>
              <w:t>'''''''''''''''''''''''</w:t>
            </w:r>
            <w:r w:rsidR="00646018">
              <w:rPr>
                <w:rFonts w:cs="Times New Roman"/>
                <w:vertAlign w:val="superscript"/>
              </w:rPr>
              <w:t>7</w:t>
            </w:r>
          </w:p>
        </w:tc>
        <w:tc>
          <w:tcPr>
            <w:tcW w:w="624" w:type="pct"/>
            <w:tcBorders>
              <w:bottom w:val="single" w:sz="4" w:space="0" w:color="auto"/>
            </w:tcBorders>
            <w:shd w:val="clear" w:color="auto" w:fill="FFFFFF" w:themeFill="background1"/>
          </w:tcPr>
          <w:p w14:paraId="642D2328" w14:textId="77777777" w:rsidR="00390AB1" w:rsidRPr="00131DA2" w:rsidRDefault="00390AB1" w:rsidP="00FB6EE9">
            <w:pPr>
              <w:pStyle w:val="TableText0"/>
              <w:ind w:right="57"/>
              <w:jc w:val="right"/>
            </w:pPr>
            <w:r w:rsidRPr="00131DA2">
              <w:rPr>
                <w:szCs w:val="20"/>
              </w:rPr>
              <w:t>-$</w:t>
            </w:r>
            <w:r w:rsidR="001D7CF9">
              <w:rPr>
                <w:noProof/>
                <w:color w:val="000000"/>
                <w:szCs w:val="20"/>
                <w:highlight w:val="black"/>
              </w:rPr>
              <w:t>''''''''''''''''''''''''</w:t>
            </w:r>
            <w:r w:rsidR="00646018">
              <w:rPr>
                <w:rFonts w:cs="Times New Roman"/>
                <w:vertAlign w:val="superscript"/>
              </w:rPr>
              <w:t>7</w:t>
            </w:r>
          </w:p>
        </w:tc>
        <w:tc>
          <w:tcPr>
            <w:tcW w:w="624" w:type="pct"/>
            <w:tcBorders>
              <w:bottom w:val="single" w:sz="4" w:space="0" w:color="auto"/>
            </w:tcBorders>
            <w:shd w:val="clear" w:color="auto" w:fill="FFFFFF" w:themeFill="background1"/>
          </w:tcPr>
          <w:p w14:paraId="32AAA39A" w14:textId="77777777" w:rsidR="00390AB1" w:rsidRPr="00131DA2" w:rsidRDefault="00390AB1" w:rsidP="00FB6EE9">
            <w:pPr>
              <w:pStyle w:val="TableText0"/>
              <w:ind w:right="57"/>
              <w:jc w:val="right"/>
            </w:pPr>
            <w:r w:rsidRPr="00131DA2">
              <w:rPr>
                <w:szCs w:val="20"/>
              </w:rPr>
              <w:t>-$</w:t>
            </w:r>
            <w:r w:rsidR="001D7CF9">
              <w:rPr>
                <w:noProof/>
                <w:color w:val="000000"/>
                <w:szCs w:val="20"/>
                <w:highlight w:val="black"/>
              </w:rPr>
              <w:t>''''''''''''''''''''''</w:t>
            </w:r>
            <w:r w:rsidR="00646018">
              <w:rPr>
                <w:rFonts w:cs="Times New Roman"/>
                <w:vertAlign w:val="superscript"/>
              </w:rPr>
              <w:t>7</w:t>
            </w:r>
          </w:p>
        </w:tc>
        <w:tc>
          <w:tcPr>
            <w:tcW w:w="687" w:type="pct"/>
            <w:tcBorders>
              <w:bottom w:val="single" w:sz="4" w:space="0" w:color="auto"/>
            </w:tcBorders>
            <w:shd w:val="clear" w:color="auto" w:fill="FFFFFF" w:themeFill="background1"/>
          </w:tcPr>
          <w:p w14:paraId="57531E44" w14:textId="77777777" w:rsidR="00390AB1" w:rsidRPr="00131DA2" w:rsidRDefault="00390AB1" w:rsidP="00FB6EE9">
            <w:pPr>
              <w:pStyle w:val="TableText0"/>
              <w:ind w:right="57"/>
              <w:jc w:val="right"/>
            </w:pPr>
            <w:r w:rsidRPr="00131DA2">
              <w:rPr>
                <w:szCs w:val="20"/>
              </w:rPr>
              <w:t>-$</w:t>
            </w:r>
            <w:r w:rsidR="001D7CF9">
              <w:rPr>
                <w:noProof/>
                <w:color w:val="000000"/>
                <w:szCs w:val="20"/>
                <w:highlight w:val="black"/>
              </w:rPr>
              <w:t>''''''''''''''''''''''''''</w:t>
            </w:r>
            <w:r w:rsidR="00646018">
              <w:rPr>
                <w:rFonts w:cs="Times New Roman"/>
                <w:vertAlign w:val="superscript"/>
              </w:rPr>
              <w:t>7</w:t>
            </w:r>
          </w:p>
        </w:tc>
        <w:tc>
          <w:tcPr>
            <w:tcW w:w="682" w:type="pct"/>
            <w:tcBorders>
              <w:bottom w:val="single" w:sz="4" w:space="0" w:color="auto"/>
            </w:tcBorders>
            <w:shd w:val="clear" w:color="auto" w:fill="FFFFFF" w:themeFill="background1"/>
          </w:tcPr>
          <w:p w14:paraId="2ABCEFF2" w14:textId="77777777" w:rsidR="00390AB1" w:rsidRPr="00131DA2" w:rsidRDefault="00390AB1" w:rsidP="00FB6EE9">
            <w:pPr>
              <w:pStyle w:val="TableText0"/>
              <w:ind w:right="57"/>
              <w:jc w:val="right"/>
            </w:pPr>
            <w:r w:rsidRPr="00131DA2">
              <w:rPr>
                <w:szCs w:val="20"/>
              </w:rPr>
              <w:t>-$</w:t>
            </w:r>
            <w:r w:rsidR="001D7CF9">
              <w:rPr>
                <w:noProof/>
                <w:color w:val="000000"/>
                <w:szCs w:val="20"/>
                <w:highlight w:val="black"/>
              </w:rPr>
              <w:t>''''''''''''''''''''''''''</w:t>
            </w:r>
            <w:r w:rsidR="00646018">
              <w:rPr>
                <w:rFonts w:cs="Times New Roman"/>
                <w:vertAlign w:val="superscript"/>
              </w:rPr>
              <w:t>7</w:t>
            </w:r>
          </w:p>
        </w:tc>
      </w:tr>
      <w:tr w:rsidR="00390AB1" w:rsidRPr="00131DA2" w14:paraId="542DC41D" w14:textId="77777777" w:rsidTr="00E146A6">
        <w:trPr>
          <w:trHeight w:val="276"/>
        </w:trPr>
        <w:tc>
          <w:tcPr>
            <w:tcW w:w="1135" w:type="pct"/>
            <w:tcBorders>
              <w:bottom w:val="nil"/>
            </w:tcBorders>
            <w:shd w:val="clear" w:color="auto" w:fill="auto"/>
            <w:vAlign w:val="center"/>
          </w:tcPr>
          <w:p w14:paraId="1E45B9E3" w14:textId="77777777" w:rsidR="00390AB1" w:rsidRPr="00131DA2" w:rsidRDefault="00390AB1" w:rsidP="00FB6EE9">
            <w:pPr>
              <w:pStyle w:val="TableText0"/>
              <w:rPr>
                <w:sz w:val="19"/>
                <w:szCs w:val="19"/>
              </w:rPr>
            </w:pPr>
            <w:r w:rsidRPr="00131DA2">
              <w:rPr>
                <w:sz w:val="19"/>
                <w:szCs w:val="19"/>
              </w:rPr>
              <w:t>Cost of olaparib to PBS/RPBS less copayments</w:t>
            </w:r>
          </w:p>
        </w:tc>
        <w:tc>
          <w:tcPr>
            <w:tcW w:w="624" w:type="pct"/>
            <w:tcBorders>
              <w:bottom w:val="nil"/>
            </w:tcBorders>
            <w:shd w:val="clear" w:color="auto" w:fill="FFFFFF" w:themeFill="background1"/>
          </w:tcPr>
          <w:p w14:paraId="73F904B1" w14:textId="77777777" w:rsidR="00390AB1" w:rsidRPr="00131DA2" w:rsidRDefault="00390AB1" w:rsidP="00FB6EE9">
            <w:pPr>
              <w:pStyle w:val="TableText0"/>
              <w:ind w:right="57"/>
              <w:jc w:val="right"/>
            </w:pPr>
            <w:r w:rsidRPr="00131DA2">
              <w:rPr>
                <w:szCs w:val="20"/>
              </w:rPr>
              <w:t>-$</w:t>
            </w:r>
            <w:r w:rsidR="001D7CF9">
              <w:rPr>
                <w:noProof/>
                <w:color w:val="000000"/>
                <w:szCs w:val="20"/>
                <w:highlight w:val="black"/>
              </w:rPr>
              <w:t>''''''''''''''''''''''''</w:t>
            </w:r>
            <w:r w:rsidR="00646018">
              <w:rPr>
                <w:rFonts w:cs="Times New Roman"/>
                <w:vertAlign w:val="superscript"/>
              </w:rPr>
              <w:t>7</w:t>
            </w:r>
          </w:p>
        </w:tc>
        <w:tc>
          <w:tcPr>
            <w:tcW w:w="624" w:type="pct"/>
            <w:tcBorders>
              <w:bottom w:val="nil"/>
            </w:tcBorders>
            <w:shd w:val="clear" w:color="auto" w:fill="FFFFFF" w:themeFill="background1"/>
          </w:tcPr>
          <w:p w14:paraId="3335E23A" w14:textId="77777777" w:rsidR="00390AB1" w:rsidRPr="00131DA2" w:rsidRDefault="00390AB1" w:rsidP="00FB6EE9">
            <w:pPr>
              <w:pStyle w:val="TableText0"/>
              <w:ind w:right="57"/>
              <w:jc w:val="right"/>
            </w:pPr>
            <w:r w:rsidRPr="00131DA2">
              <w:rPr>
                <w:szCs w:val="20"/>
              </w:rPr>
              <w:t>-$</w:t>
            </w:r>
            <w:r w:rsidR="001D7CF9">
              <w:rPr>
                <w:noProof/>
                <w:color w:val="000000"/>
                <w:szCs w:val="20"/>
                <w:highlight w:val="black"/>
              </w:rPr>
              <w:t>'''''''''''''''''''''''''</w:t>
            </w:r>
            <w:r w:rsidR="00646018">
              <w:rPr>
                <w:rFonts w:cs="Times New Roman"/>
                <w:vertAlign w:val="superscript"/>
              </w:rPr>
              <w:t>4</w:t>
            </w:r>
          </w:p>
        </w:tc>
        <w:tc>
          <w:tcPr>
            <w:tcW w:w="624" w:type="pct"/>
            <w:tcBorders>
              <w:bottom w:val="nil"/>
            </w:tcBorders>
            <w:shd w:val="clear" w:color="auto" w:fill="FFFFFF" w:themeFill="background1"/>
          </w:tcPr>
          <w:p w14:paraId="3534A283" w14:textId="77777777" w:rsidR="00390AB1" w:rsidRPr="00131DA2" w:rsidRDefault="00390AB1" w:rsidP="00FB6EE9">
            <w:pPr>
              <w:pStyle w:val="TableText0"/>
              <w:ind w:right="57"/>
              <w:jc w:val="right"/>
            </w:pPr>
            <w:r w:rsidRPr="00131DA2">
              <w:rPr>
                <w:szCs w:val="20"/>
              </w:rPr>
              <w:t>-$</w:t>
            </w:r>
            <w:r w:rsidR="001D7CF9">
              <w:rPr>
                <w:noProof/>
                <w:color w:val="000000"/>
                <w:szCs w:val="20"/>
                <w:highlight w:val="black"/>
              </w:rPr>
              <w:t>''''''''''''''''''''''''''</w:t>
            </w:r>
            <w:r w:rsidR="00646018">
              <w:rPr>
                <w:rFonts w:cs="Times New Roman"/>
                <w:vertAlign w:val="superscript"/>
              </w:rPr>
              <w:t>4</w:t>
            </w:r>
          </w:p>
        </w:tc>
        <w:tc>
          <w:tcPr>
            <w:tcW w:w="624" w:type="pct"/>
            <w:tcBorders>
              <w:bottom w:val="nil"/>
            </w:tcBorders>
            <w:shd w:val="clear" w:color="auto" w:fill="FFFFFF" w:themeFill="background1"/>
          </w:tcPr>
          <w:p w14:paraId="3F4B5475" w14:textId="77777777" w:rsidR="00390AB1" w:rsidRPr="00131DA2" w:rsidRDefault="00390AB1" w:rsidP="00FB6EE9">
            <w:pPr>
              <w:pStyle w:val="TableText0"/>
              <w:ind w:right="57"/>
              <w:jc w:val="right"/>
            </w:pPr>
            <w:r w:rsidRPr="00131DA2">
              <w:rPr>
                <w:szCs w:val="20"/>
              </w:rPr>
              <w:t>-$</w:t>
            </w:r>
            <w:r w:rsidR="001D7CF9">
              <w:rPr>
                <w:noProof/>
                <w:color w:val="000000"/>
                <w:szCs w:val="20"/>
                <w:highlight w:val="black"/>
              </w:rPr>
              <w:t>'''''''''''''''''''''''''</w:t>
            </w:r>
            <w:r w:rsidR="00646018">
              <w:rPr>
                <w:rFonts w:cs="Times New Roman"/>
                <w:vertAlign w:val="superscript"/>
              </w:rPr>
              <w:t>4</w:t>
            </w:r>
          </w:p>
        </w:tc>
        <w:tc>
          <w:tcPr>
            <w:tcW w:w="687" w:type="pct"/>
            <w:tcBorders>
              <w:bottom w:val="nil"/>
            </w:tcBorders>
            <w:shd w:val="clear" w:color="auto" w:fill="FFFFFF" w:themeFill="background1"/>
          </w:tcPr>
          <w:p w14:paraId="47F3D050" w14:textId="77777777" w:rsidR="00390AB1" w:rsidRPr="00131DA2" w:rsidRDefault="00390AB1" w:rsidP="00FB6EE9">
            <w:pPr>
              <w:pStyle w:val="TableText0"/>
              <w:ind w:right="57"/>
              <w:jc w:val="right"/>
            </w:pPr>
            <w:r w:rsidRPr="00131DA2">
              <w:rPr>
                <w:szCs w:val="20"/>
              </w:rPr>
              <w:t>-$</w:t>
            </w:r>
            <w:r w:rsidR="001D7CF9">
              <w:rPr>
                <w:noProof/>
                <w:color w:val="000000"/>
                <w:szCs w:val="20"/>
                <w:highlight w:val="black"/>
              </w:rPr>
              <w:t>''''''''''''''''''''''''</w:t>
            </w:r>
            <w:r w:rsidR="00646018">
              <w:rPr>
                <w:rFonts w:cs="Times New Roman"/>
                <w:vertAlign w:val="superscript"/>
              </w:rPr>
              <w:t>4</w:t>
            </w:r>
          </w:p>
        </w:tc>
        <w:tc>
          <w:tcPr>
            <w:tcW w:w="682" w:type="pct"/>
            <w:tcBorders>
              <w:bottom w:val="nil"/>
            </w:tcBorders>
            <w:shd w:val="clear" w:color="auto" w:fill="FFFFFF" w:themeFill="background1"/>
          </w:tcPr>
          <w:p w14:paraId="6F8B75A9" w14:textId="77777777" w:rsidR="00390AB1" w:rsidRPr="00131DA2" w:rsidRDefault="00390AB1" w:rsidP="00FB6EE9">
            <w:pPr>
              <w:pStyle w:val="TableText0"/>
              <w:ind w:right="57"/>
              <w:jc w:val="right"/>
            </w:pPr>
            <w:r w:rsidRPr="00131DA2">
              <w:rPr>
                <w:szCs w:val="20"/>
              </w:rPr>
              <w:t>-$</w:t>
            </w:r>
            <w:r w:rsidR="001D7CF9">
              <w:rPr>
                <w:noProof/>
                <w:color w:val="000000"/>
                <w:szCs w:val="20"/>
                <w:highlight w:val="black"/>
              </w:rPr>
              <w:t>''''''''''''''''''''''''''</w:t>
            </w:r>
            <w:r w:rsidR="00646018">
              <w:rPr>
                <w:rFonts w:cs="Times New Roman"/>
                <w:vertAlign w:val="superscript"/>
              </w:rPr>
              <w:t>4</w:t>
            </w:r>
          </w:p>
        </w:tc>
      </w:tr>
      <w:tr w:rsidR="00390AB1" w:rsidRPr="00131DA2" w14:paraId="667647DC" w14:textId="77777777" w:rsidTr="00E146A6">
        <w:trPr>
          <w:trHeight w:val="275"/>
        </w:trPr>
        <w:tc>
          <w:tcPr>
            <w:tcW w:w="1135" w:type="pct"/>
            <w:tcBorders>
              <w:top w:val="nil"/>
            </w:tcBorders>
            <w:shd w:val="clear" w:color="auto" w:fill="auto"/>
            <w:vAlign w:val="center"/>
          </w:tcPr>
          <w:p w14:paraId="7AC95FC7" w14:textId="77777777" w:rsidR="00390AB1" w:rsidRPr="00131DA2" w:rsidRDefault="00390AB1" w:rsidP="00FB6EE9">
            <w:pPr>
              <w:pStyle w:val="TableText0"/>
              <w:ind w:left="251"/>
              <w:rPr>
                <w:sz w:val="19"/>
                <w:szCs w:val="19"/>
              </w:rPr>
            </w:pPr>
            <w:r w:rsidRPr="00131DA2">
              <w:rPr>
                <w:sz w:val="19"/>
                <w:szCs w:val="19"/>
              </w:rPr>
              <w:t>Revised</w:t>
            </w:r>
            <w:r w:rsidRPr="00131DA2">
              <w:rPr>
                <w:sz w:val="19"/>
                <w:szCs w:val="19"/>
                <w:vertAlign w:val="superscript"/>
              </w:rPr>
              <w:t>c</w:t>
            </w:r>
          </w:p>
        </w:tc>
        <w:tc>
          <w:tcPr>
            <w:tcW w:w="624" w:type="pct"/>
            <w:tcBorders>
              <w:top w:val="nil"/>
              <w:bottom w:val="single" w:sz="4" w:space="0" w:color="auto"/>
            </w:tcBorders>
            <w:shd w:val="clear" w:color="auto" w:fill="FFFFFF" w:themeFill="background1"/>
          </w:tcPr>
          <w:p w14:paraId="1A6C4DEE" w14:textId="77777777" w:rsidR="00390AB1" w:rsidRPr="00131DA2" w:rsidRDefault="00390AB1" w:rsidP="00FB6EE9">
            <w:pPr>
              <w:pStyle w:val="TableText0"/>
              <w:ind w:right="57"/>
              <w:jc w:val="right"/>
            </w:pPr>
            <w:r w:rsidRPr="00131DA2">
              <w:rPr>
                <w:szCs w:val="20"/>
              </w:rPr>
              <w:t>-$</w:t>
            </w:r>
            <w:r w:rsidR="001D7CF9">
              <w:rPr>
                <w:noProof/>
                <w:color w:val="000000"/>
                <w:szCs w:val="20"/>
                <w:highlight w:val="black"/>
              </w:rPr>
              <w:t>'''''''''''''''''''''</w:t>
            </w:r>
            <w:r w:rsidR="00646018">
              <w:rPr>
                <w:rFonts w:cs="Times New Roman"/>
                <w:vertAlign w:val="superscript"/>
              </w:rPr>
              <w:t>7</w:t>
            </w:r>
          </w:p>
        </w:tc>
        <w:tc>
          <w:tcPr>
            <w:tcW w:w="624" w:type="pct"/>
            <w:tcBorders>
              <w:top w:val="nil"/>
              <w:bottom w:val="single" w:sz="4" w:space="0" w:color="auto"/>
            </w:tcBorders>
            <w:shd w:val="clear" w:color="auto" w:fill="FFFFFF" w:themeFill="background1"/>
          </w:tcPr>
          <w:p w14:paraId="47F66805" w14:textId="77777777" w:rsidR="00390AB1" w:rsidRPr="00131DA2" w:rsidRDefault="00390AB1" w:rsidP="00FB6EE9">
            <w:pPr>
              <w:pStyle w:val="TableText0"/>
              <w:ind w:right="57"/>
              <w:jc w:val="right"/>
            </w:pPr>
            <w:r w:rsidRPr="00131DA2">
              <w:rPr>
                <w:szCs w:val="20"/>
              </w:rPr>
              <w:t>-$</w:t>
            </w:r>
            <w:r w:rsidR="001D7CF9">
              <w:rPr>
                <w:noProof/>
                <w:color w:val="000000"/>
                <w:szCs w:val="20"/>
                <w:highlight w:val="black"/>
              </w:rPr>
              <w:t>'''''''''''''''''''''''''</w:t>
            </w:r>
            <w:r w:rsidR="00646018">
              <w:rPr>
                <w:rFonts w:cs="Times New Roman"/>
                <w:vertAlign w:val="superscript"/>
              </w:rPr>
              <w:t>4</w:t>
            </w:r>
          </w:p>
        </w:tc>
        <w:tc>
          <w:tcPr>
            <w:tcW w:w="624" w:type="pct"/>
            <w:tcBorders>
              <w:top w:val="nil"/>
              <w:bottom w:val="single" w:sz="4" w:space="0" w:color="auto"/>
            </w:tcBorders>
            <w:shd w:val="clear" w:color="auto" w:fill="FFFFFF" w:themeFill="background1"/>
          </w:tcPr>
          <w:p w14:paraId="5301695F" w14:textId="77777777" w:rsidR="00390AB1" w:rsidRPr="00131DA2" w:rsidRDefault="00390AB1" w:rsidP="00FB6EE9">
            <w:pPr>
              <w:pStyle w:val="TableText0"/>
              <w:ind w:right="57"/>
              <w:jc w:val="right"/>
            </w:pPr>
            <w:r w:rsidRPr="00131DA2">
              <w:rPr>
                <w:szCs w:val="20"/>
              </w:rPr>
              <w:t>-$</w:t>
            </w:r>
            <w:r w:rsidR="001D7CF9">
              <w:rPr>
                <w:noProof/>
                <w:color w:val="000000"/>
                <w:szCs w:val="20"/>
                <w:highlight w:val="black"/>
              </w:rPr>
              <w:t>''''''''''''''''''''''''</w:t>
            </w:r>
            <w:r w:rsidR="00646018">
              <w:rPr>
                <w:rFonts w:cs="Times New Roman"/>
                <w:vertAlign w:val="superscript"/>
              </w:rPr>
              <w:t>4</w:t>
            </w:r>
          </w:p>
        </w:tc>
        <w:tc>
          <w:tcPr>
            <w:tcW w:w="624" w:type="pct"/>
            <w:tcBorders>
              <w:top w:val="nil"/>
              <w:bottom w:val="single" w:sz="4" w:space="0" w:color="auto"/>
            </w:tcBorders>
            <w:shd w:val="clear" w:color="auto" w:fill="FFFFFF" w:themeFill="background1"/>
          </w:tcPr>
          <w:p w14:paraId="78344E61" w14:textId="77777777" w:rsidR="00390AB1" w:rsidRPr="00131DA2" w:rsidRDefault="00390AB1" w:rsidP="00FB6EE9">
            <w:pPr>
              <w:pStyle w:val="TableText0"/>
              <w:ind w:right="57"/>
              <w:jc w:val="right"/>
            </w:pPr>
            <w:r w:rsidRPr="00131DA2">
              <w:rPr>
                <w:szCs w:val="20"/>
              </w:rPr>
              <w:t>-$</w:t>
            </w:r>
            <w:r w:rsidR="001D7CF9">
              <w:rPr>
                <w:noProof/>
                <w:color w:val="000000"/>
                <w:szCs w:val="20"/>
                <w:highlight w:val="black"/>
              </w:rPr>
              <w:t>''''''''''''''''''''''''</w:t>
            </w:r>
            <w:r w:rsidR="00646018">
              <w:rPr>
                <w:rFonts w:cs="Times New Roman"/>
                <w:vertAlign w:val="superscript"/>
              </w:rPr>
              <w:t>4</w:t>
            </w:r>
          </w:p>
        </w:tc>
        <w:tc>
          <w:tcPr>
            <w:tcW w:w="687" w:type="pct"/>
            <w:tcBorders>
              <w:top w:val="nil"/>
              <w:bottom w:val="single" w:sz="4" w:space="0" w:color="auto"/>
            </w:tcBorders>
            <w:shd w:val="clear" w:color="auto" w:fill="FFFFFF" w:themeFill="background1"/>
          </w:tcPr>
          <w:p w14:paraId="09AFDC86" w14:textId="77777777" w:rsidR="00390AB1" w:rsidRPr="00131DA2" w:rsidRDefault="00390AB1" w:rsidP="00FB6EE9">
            <w:pPr>
              <w:pStyle w:val="TableText0"/>
              <w:ind w:right="57"/>
              <w:jc w:val="right"/>
            </w:pPr>
            <w:r w:rsidRPr="00131DA2">
              <w:rPr>
                <w:szCs w:val="20"/>
              </w:rPr>
              <w:t>-$</w:t>
            </w:r>
            <w:r w:rsidR="001D7CF9">
              <w:rPr>
                <w:noProof/>
                <w:color w:val="000000"/>
                <w:szCs w:val="20"/>
                <w:highlight w:val="black"/>
              </w:rPr>
              <w:t>''''''''''''''''''''''''</w:t>
            </w:r>
            <w:r w:rsidR="00646018">
              <w:rPr>
                <w:rFonts w:cs="Times New Roman"/>
                <w:vertAlign w:val="superscript"/>
              </w:rPr>
              <w:t>4</w:t>
            </w:r>
          </w:p>
        </w:tc>
        <w:tc>
          <w:tcPr>
            <w:tcW w:w="682" w:type="pct"/>
            <w:tcBorders>
              <w:top w:val="nil"/>
              <w:bottom w:val="single" w:sz="4" w:space="0" w:color="auto"/>
            </w:tcBorders>
            <w:shd w:val="clear" w:color="auto" w:fill="FFFFFF" w:themeFill="background1"/>
          </w:tcPr>
          <w:p w14:paraId="3AABA8C4" w14:textId="77777777" w:rsidR="00390AB1" w:rsidRPr="00131DA2" w:rsidRDefault="00390AB1" w:rsidP="00FB6EE9">
            <w:pPr>
              <w:pStyle w:val="TableText0"/>
              <w:ind w:right="57"/>
              <w:jc w:val="right"/>
            </w:pPr>
            <w:r w:rsidRPr="00131DA2">
              <w:rPr>
                <w:szCs w:val="20"/>
              </w:rPr>
              <w:t>-$</w:t>
            </w:r>
            <w:r w:rsidR="001D7CF9">
              <w:rPr>
                <w:noProof/>
                <w:color w:val="000000"/>
                <w:szCs w:val="20"/>
                <w:highlight w:val="black"/>
              </w:rPr>
              <w:t>''''''''''''''''''''''''</w:t>
            </w:r>
            <w:r w:rsidR="00646018">
              <w:rPr>
                <w:rFonts w:cs="Times New Roman"/>
                <w:vertAlign w:val="superscript"/>
              </w:rPr>
              <w:t>4</w:t>
            </w:r>
          </w:p>
        </w:tc>
      </w:tr>
      <w:tr w:rsidR="00390AB1" w:rsidRPr="00131DA2" w14:paraId="07EF6191" w14:textId="77777777" w:rsidTr="00E146A6">
        <w:tc>
          <w:tcPr>
            <w:tcW w:w="5000" w:type="pct"/>
            <w:gridSpan w:val="7"/>
            <w:tcBorders>
              <w:bottom w:val="single" w:sz="4" w:space="0" w:color="auto"/>
            </w:tcBorders>
            <w:shd w:val="clear" w:color="auto" w:fill="auto"/>
            <w:vAlign w:val="center"/>
          </w:tcPr>
          <w:p w14:paraId="62AFA8E6" w14:textId="77777777" w:rsidR="00390AB1" w:rsidRPr="00131DA2" w:rsidRDefault="00390AB1" w:rsidP="00FB6EE9">
            <w:pPr>
              <w:pStyle w:val="In-tableHeading"/>
              <w:rPr>
                <w:lang w:val="en-AU"/>
              </w:rPr>
            </w:pPr>
            <w:r w:rsidRPr="00131DA2">
              <w:rPr>
                <w:lang w:val="en-AU"/>
              </w:rPr>
              <w:t>Net financial implications</w:t>
            </w:r>
          </w:p>
        </w:tc>
      </w:tr>
      <w:tr w:rsidR="00390AB1" w:rsidRPr="00131DA2" w14:paraId="0DAA0CE9" w14:textId="77777777" w:rsidTr="00E146A6">
        <w:tc>
          <w:tcPr>
            <w:tcW w:w="1135" w:type="pct"/>
            <w:tcBorders>
              <w:bottom w:val="nil"/>
            </w:tcBorders>
            <w:shd w:val="clear" w:color="auto" w:fill="auto"/>
            <w:vAlign w:val="center"/>
          </w:tcPr>
          <w:p w14:paraId="057E9B45" w14:textId="77777777" w:rsidR="00390AB1" w:rsidRPr="00131DA2" w:rsidRDefault="00390AB1" w:rsidP="00FB6EE9">
            <w:pPr>
              <w:pStyle w:val="TableText0"/>
              <w:rPr>
                <w:sz w:val="19"/>
                <w:szCs w:val="19"/>
              </w:rPr>
            </w:pPr>
            <w:r w:rsidRPr="00131DA2">
              <w:rPr>
                <w:sz w:val="19"/>
                <w:szCs w:val="19"/>
              </w:rPr>
              <w:t>Net cost to PBS/RPBS</w:t>
            </w:r>
          </w:p>
        </w:tc>
        <w:tc>
          <w:tcPr>
            <w:tcW w:w="624" w:type="pct"/>
            <w:tcBorders>
              <w:bottom w:val="nil"/>
            </w:tcBorders>
          </w:tcPr>
          <w:p w14:paraId="65176441" w14:textId="77777777" w:rsidR="00390AB1" w:rsidRPr="00131DA2" w:rsidRDefault="00390AB1" w:rsidP="00FB6EE9">
            <w:pPr>
              <w:pStyle w:val="TableText0"/>
              <w:jc w:val="right"/>
            </w:pPr>
            <w:r w:rsidRPr="00131DA2">
              <w:t>$</w:t>
            </w:r>
            <w:r w:rsidR="001D7CF9">
              <w:rPr>
                <w:noProof/>
                <w:color w:val="000000"/>
                <w:highlight w:val="black"/>
              </w:rPr>
              <w:t>'''''''''''''''''''''''</w:t>
            </w:r>
            <w:r w:rsidR="00646018">
              <w:rPr>
                <w:rFonts w:cs="Times New Roman"/>
                <w:vertAlign w:val="superscript"/>
              </w:rPr>
              <w:t>7</w:t>
            </w:r>
          </w:p>
        </w:tc>
        <w:tc>
          <w:tcPr>
            <w:tcW w:w="624" w:type="pct"/>
            <w:tcBorders>
              <w:bottom w:val="nil"/>
            </w:tcBorders>
          </w:tcPr>
          <w:p w14:paraId="4D6E08AD" w14:textId="77777777" w:rsidR="00390AB1" w:rsidRPr="00131DA2" w:rsidRDefault="00390AB1" w:rsidP="00FB6EE9">
            <w:pPr>
              <w:pStyle w:val="TableText0"/>
              <w:jc w:val="right"/>
            </w:pPr>
            <w:r w:rsidRPr="00131DA2">
              <w:t>$</w:t>
            </w:r>
            <w:r w:rsidR="001D7CF9">
              <w:rPr>
                <w:noProof/>
                <w:color w:val="000000"/>
                <w:highlight w:val="black"/>
              </w:rPr>
              <w:t>''''''''''''''''''''''</w:t>
            </w:r>
            <w:r w:rsidR="00646018">
              <w:rPr>
                <w:rFonts w:cs="Times New Roman"/>
                <w:vertAlign w:val="superscript"/>
              </w:rPr>
              <w:t>7</w:t>
            </w:r>
          </w:p>
        </w:tc>
        <w:tc>
          <w:tcPr>
            <w:tcW w:w="624" w:type="pct"/>
            <w:tcBorders>
              <w:bottom w:val="nil"/>
            </w:tcBorders>
          </w:tcPr>
          <w:p w14:paraId="114FA061" w14:textId="77777777" w:rsidR="00390AB1" w:rsidRPr="00131DA2" w:rsidRDefault="00390AB1" w:rsidP="00FB6EE9">
            <w:pPr>
              <w:pStyle w:val="TableText0"/>
              <w:jc w:val="right"/>
            </w:pPr>
            <w:r w:rsidRPr="00131DA2">
              <w:t>$</w:t>
            </w:r>
            <w:r w:rsidR="001D7CF9">
              <w:rPr>
                <w:noProof/>
                <w:color w:val="000000"/>
                <w:highlight w:val="black"/>
              </w:rPr>
              <w:t>''''''''''''''''''''''''''</w:t>
            </w:r>
            <w:r w:rsidR="00646018">
              <w:rPr>
                <w:rFonts w:cs="Times New Roman"/>
                <w:vertAlign w:val="superscript"/>
              </w:rPr>
              <w:t>4</w:t>
            </w:r>
          </w:p>
        </w:tc>
        <w:tc>
          <w:tcPr>
            <w:tcW w:w="624" w:type="pct"/>
            <w:tcBorders>
              <w:bottom w:val="nil"/>
            </w:tcBorders>
          </w:tcPr>
          <w:p w14:paraId="36C86050" w14:textId="77777777" w:rsidR="00390AB1" w:rsidRPr="00131DA2" w:rsidRDefault="00390AB1" w:rsidP="00FB6EE9">
            <w:pPr>
              <w:pStyle w:val="TableText0"/>
              <w:jc w:val="right"/>
            </w:pPr>
            <w:r w:rsidRPr="00131DA2">
              <w:t>$</w:t>
            </w:r>
            <w:r w:rsidR="001D7CF9">
              <w:rPr>
                <w:noProof/>
                <w:color w:val="000000"/>
                <w:highlight w:val="black"/>
              </w:rPr>
              <w:t>'''''''''''''''''''''''''</w:t>
            </w:r>
            <w:r w:rsidR="00646018">
              <w:rPr>
                <w:rFonts w:cs="Times New Roman"/>
                <w:vertAlign w:val="superscript"/>
              </w:rPr>
              <w:t>4</w:t>
            </w:r>
          </w:p>
        </w:tc>
        <w:tc>
          <w:tcPr>
            <w:tcW w:w="687" w:type="pct"/>
            <w:tcBorders>
              <w:bottom w:val="nil"/>
            </w:tcBorders>
          </w:tcPr>
          <w:p w14:paraId="4023A3F2" w14:textId="77777777" w:rsidR="00390AB1" w:rsidRPr="00131DA2" w:rsidRDefault="00390AB1" w:rsidP="00FB6EE9">
            <w:pPr>
              <w:pStyle w:val="TableText0"/>
              <w:jc w:val="right"/>
            </w:pPr>
            <w:r w:rsidRPr="00131DA2">
              <w:t>$</w:t>
            </w:r>
            <w:r w:rsidR="001D7CF9">
              <w:rPr>
                <w:noProof/>
                <w:color w:val="000000"/>
                <w:highlight w:val="black"/>
              </w:rPr>
              <w:t>''''''''''''''''''''''''</w:t>
            </w:r>
            <w:r w:rsidR="00646018">
              <w:rPr>
                <w:rFonts w:cs="Times New Roman"/>
                <w:vertAlign w:val="superscript"/>
              </w:rPr>
              <w:t>4</w:t>
            </w:r>
          </w:p>
        </w:tc>
        <w:tc>
          <w:tcPr>
            <w:tcW w:w="682" w:type="pct"/>
            <w:tcBorders>
              <w:bottom w:val="nil"/>
            </w:tcBorders>
          </w:tcPr>
          <w:p w14:paraId="32554E4F" w14:textId="77777777" w:rsidR="00390AB1" w:rsidRPr="00131DA2" w:rsidRDefault="00390AB1" w:rsidP="00FB6EE9">
            <w:pPr>
              <w:pStyle w:val="TableText0"/>
              <w:jc w:val="right"/>
            </w:pPr>
            <w:r w:rsidRPr="00131DA2">
              <w:t>$</w:t>
            </w:r>
            <w:r w:rsidR="001D7CF9">
              <w:rPr>
                <w:noProof/>
                <w:color w:val="000000"/>
                <w:highlight w:val="black"/>
              </w:rPr>
              <w:t>'''''''''''''''''''''''</w:t>
            </w:r>
            <w:r w:rsidR="00646018">
              <w:rPr>
                <w:rFonts w:cs="Times New Roman"/>
                <w:vertAlign w:val="superscript"/>
              </w:rPr>
              <w:t>4</w:t>
            </w:r>
          </w:p>
        </w:tc>
      </w:tr>
      <w:tr w:rsidR="00390AB1" w:rsidRPr="00131DA2" w14:paraId="0E4F9E08" w14:textId="77777777" w:rsidTr="00E146A6">
        <w:tc>
          <w:tcPr>
            <w:tcW w:w="1135" w:type="pct"/>
            <w:tcBorders>
              <w:top w:val="nil"/>
              <w:bottom w:val="single" w:sz="4" w:space="0" w:color="auto"/>
            </w:tcBorders>
            <w:shd w:val="clear" w:color="auto" w:fill="auto"/>
            <w:vAlign w:val="center"/>
          </w:tcPr>
          <w:p w14:paraId="4FBE02D0" w14:textId="77777777" w:rsidR="00390AB1" w:rsidRPr="00131DA2" w:rsidRDefault="00390AB1" w:rsidP="00FB6EE9">
            <w:pPr>
              <w:pStyle w:val="TableText0"/>
              <w:ind w:left="251"/>
              <w:rPr>
                <w:sz w:val="19"/>
                <w:szCs w:val="19"/>
              </w:rPr>
            </w:pPr>
            <w:r w:rsidRPr="00131DA2">
              <w:rPr>
                <w:sz w:val="19"/>
                <w:szCs w:val="19"/>
              </w:rPr>
              <w:t>Revised</w:t>
            </w:r>
            <w:r w:rsidRPr="00131DA2">
              <w:rPr>
                <w:sz w:val="19"/>
                <w:szCs w:val="19"/>
                <w:vertAlign w:val="superscript"/>
              </w:rPr>
              <w:t>c</w:t>
            </w:r>
          </w:p>
        </w:tc>
        <w:tc>
          <w:tcPr>
            <w:tcW w:w="624" w:type="pct"/>
            <w:tcBorders>
              <w:top w:val="nil"/>
              <w:left w:val="single" w:sz="4" w:space="0" w:color="auto"/>
              <w:bottom w:val="single" w:sz="4" w:space="0" w:color="auto"/>
              <w:right w:val="single" w:sz="4" w:space="0" w:color="auto"/>
            </w:tcBorders>
          </w:tcPr>
          <w:p w14:paraId="477EB9EE" w14:textId="77777777" w:rsidR="00390AB1" w:rsidRPr="00131DA2" w:rsidRDefault="00390AB1" w:rsidP="00FB6EE9">
            <w:pPr>
              <w:pStyle w:val="TableText0"/>
              <w:ind w:right="57"/>
              <w:jc w:val="right"/>
            </w:pPr>
            <w:r w:rsidRPr="00131DA2">
              <w:t>$</w:t>
            </w:r>
            <w:r w:rsidR="001D7CF9">
              <w:rPr>
                <w:noProof/>
                <w:color w:val="000000"/>
                <w:highlight w:val="black"/>
              </w:rPr>
              <w:t>'''''''''''''''''''''''''</w:t>
            </w:r>
            <w:r w:rsidR="00646018">
              <w:rPr>
                <w:rFonts w:cs="Times New Roman"/>
                <w:vertAlign w:val="superscript"/>
              </w:rPr>
              <w:t>7</w:t>
            </w:r>
          </w:p>
        </w:tc>
        <w:tc>
          <w:tcPr>
            <w:tcW w:w="624" w:type="pct"/>
            <w:tcBorders>
              <w:top w:val="nil"/>
              <w:left w:val="single" w:sz="4" w:space="0" w:color="auto"/>
              <w:bottom w:val="single" w:sz="4" w:space="0" w:color="auto"/>
              <w:right w:val="single" w:sz="4" w:space="0" w:color="auto"/>
            </w:tcBorders>
          </w:tcPr>
          <w:p w14:paraId="63AFCD87" w14:textId="77777777" w:rsidR="00390AB1" w:rsidRPr="00131DA2" w:rsidRDefault="00390AB1" w:rsidP="00FB6EE9">
            <w:pPr>
              <w:pStyle w:val="TableText0"/>
              <w:ind w:right="57"/>
              <w:jc w:val="right"/>
            </w:pPr>
            <w:r w:rsidRPr="00131DA2">
              <w:t>$</w:t>
            </w:r>
            <w:r w:rsidR="001D7CF9">
              <w:rPr>
                <w:noProof/>
                <w:color w:val="000000"/>
                <w:highlight w:val="black"/>
              </w:rPr>
              <w:t>'''''''''''''''''''''''''</w:t>
            </w:r>
            <w:r w:rsidR="00646018">
              <w:rPr>
                <w:rFonts w:cs="Times New Roman"/>
                <w:vertAlign w:val="superscript"/>
              </w:rPr>
              <w:t>7</w:t>
            </w:r>
          </w:p>
        </w:tc>
        <w:tc>
          <w:tcPr>
            <w:tcW w:w="624" w:type="pct"/>
            <w:tcBorders>
              <w:top w:val="nil"/>
              <w:left w:val="single" w:sz="4" w:space="0" w:color="auto"/>
              <w:bottom w:val="single" w:sz="4" w:space="0" w:color="auto"/>
              <w:right w:val="single" w:sz="4" w:space="0" w:color="auto"/>
            </w:tcBorders>
          </w:tcPr>
          <w:p w14:paraId="6A6CADB9" w14:textId="77777777" w:rsidR="00390AB1" w:rsidRPr="00131DA2" w:rsidRDefault="00390AB1" w:rsidP="00FB6EE9">
            <w:pPr>
              <w:pStyle w:val="TableText0"/>
              <w:ind w:right="57"/>
              <w:jc w:val="right"/>
            </w:pPr>
            <w:r w:rsidRPr="00131DA2">
              <w:t>$</w:t>
            </w:r>
            <w:r w:rsidR="001D7CF9">
              <w:rPr>
                <w:noProof/>
                <w:color w:val="000000"/>
                <w:highlight w:val="black"/>
              </w:rPr>
              <w:t>'''''''''''''''''''''''''''</w:t>
            </w:r>
            <w:r w:rsidR="00646018">
              <w:rPr>
                <w:rFonts w:cs="Times New Roman"/>
                <w:vertAlign w:val="superscript"/>
              </w:rPr>
              <w:t>4</w:t>
            </w:r>
          </w:p>
        </w:tc>
        <w:tc>
          <w:tcPr>
            <w:tcW w:w="624" w:type="pct"/>
            <w:tcBorders>
              <w:top w:val="nil"/>
              <w:left w:val="single" w:sz="4" w:space="0" w:color="auto"/>
              <w:bottom w:val="single" w:sz="4" w:space="0" w:color="auto"/>
              <w:right w:val="single" w:sz="4" w:space="0" w:color="auto"/>
            </w:tcBorders>
          </w:tcPr>
          <w:p w14:paraId="665191CF" w14:textId="77777777" w:rsidR="00390AB1" w:rsidRPr="00131DA2" w:rsidRDefault="00390AB1" w:rsidP="00FB6EE9">
            <w:pPr>
              <w:pStyle w:val="TableText0"/>
              <w:ind w:right="57"/>
              <w:jc w:val="right"/>
            </w:pPr>
            <w:r w:rsidRPr="00131DA2">
              <w:t>$</w:t>
            </w:r>
            <w:r w:rsidR="001D7CF9">
              <w:rPr>
                <w:noProof/>
                <w:color w:val="000000"/>
                <w:highlight w:val="black"/>
              </w:rPr>
              <w:t>'''''''''''''''''''''''''''</w:t>
            </w:r>
            <w:r w:rsidR="00646018">
              <w:rPr>
                <w:rFonts w:cs="Times New Roman"/>
                <w:vertAlign w:val="superscript"/>
              </w:rPr>
              <w:t>4</w:t>
            </w:r>
          </w:p>
        </w:tc>
        <w:tc>
          <w:tcPr>
            <w:tcW w:w="687" w:type="pct"/>
            <w:tcBorders>
              <w:top w:val="nil"/>
              <w:left w:val="single" w:sz="4" w:space="0" w:color="auto"/>
              <w:bottom w:val="single" w:sz="4" w:space="0" w:color="auto"/>
              <w:right w:val="single" w:sz="4" w:space="0" w:color="auto"/>
            </w:tcBorders>
          </w:tcPr>
          <w:p w14:paraId="625398D9" w14:textId="77777777" w:rsidR="00390AB1" w:rsidRPr="00131DA2" w:rsidRDefault="00390AB1" w:rsidP="00FB6EE9">
            <w:pPr>
              <w:pStyle w:val="TableText0"/>
              <w:ind w:right="57"/>
              <w:jc w:val="right"/>
            </w:pPr>
            <w:r w:rsidRPr="00131DA2">
              <w:t>$</w:t>
            </w:r>
            <w:r w:rsidR="001D7CF9">
              <w:rPr>
                <w:noProof/>
                <w:color w:val="000000"/>
                <w:highlight w:val="black"/>
              </w:rPr>
              <w:t>'''''''''''''''''''''''''''</w:t>
            </w:r>
            <w:r w:rsidR="00646018">
              <w:rPr>
                <w:rFonts w:cs="Times New Roman"/>
                <w:vertAlign w:val="superscript"/>
              </w:rPr>
              <w:t>4</w:t>
            </w:r>
          </w:p>
        </w:tc>
        <w:tc>
          <w:tcPr>
            <w:tcW w:w="682" w:type="pct"/>
            <w:tcBorders>
              <w:top w:val="nil"/>
              <w:left w:val="single" w:sz="4" w:space="0" w:color="auto"/>
              <w:bottom w:val="single" w:sz="4" w:space="0" w:color="auto"/>
              <w:right w:val="single" w:sz="4" w:space="0" w:color="auto"/>
            </w:tcBorders>
          </w:tcPr>
          <w:p w14:paraId="3C1BB731" w14:textId="77777777" w:rsidR="00390AB1" w:rsidRPr="00131DA2" w:rsidRDefault="00390AB1" w:rsidP="00FB6EE9">
            <w:pPr>
              <w:pStyle w:val="TableText0"/>
              <w:ind w:right="57"/>
              <w:jc w:val="right"/>
            </w:pPr>
            <w:r w:rsidRPr="00131DA2">
              <w:t>$</w:t>
            </w:r>
            <w:r w:rsidR="001D7CF9">
              <w:rPr>
                <w:noProof/>
                <w:color w:val="000000"/>
                <w:highlight w:val="black"/>
              </w:rPr>
              <w:t>'''''''''''''''''''''''''''</w:t>
            </w:r>
            <w:r w:rsidR="00646018">
              <w:rPr>
                <w:rFonts w:cs="Times New Roman"/>
                <w:vertAlign w:val="superscript"/>
              </w:rPr>
              <w:t>4</w:t>
            </w:r>
          </w:p>
        </w:tc>
      </w:tr>
      <w:tr w:rsidR="00390AB1" w:rsidRPr="00131DA2" w14:paraId="7A176CCD" w14:textId="77777777" w:rsidTr="00E146A6">
        <w:tc>
          <w:tcPr>
            <w:tcW w:w="1135" w:type="pct"/>
            <w:tcBorders>
              <w:bottom w:val="nil"/>
            </w:tcBorders>
            <w:shd w:val="clear" w:color="auto" w:fill="auto"/>
            <w:vAlign w:val="center"/>
          </w:tcPr>
          <w:p w14:paraId="1F6E5A79" w14:textId="77777777" w:rsidR="00390AB1" w:rsidRPr="00131DA2" w:rsidRDefault="00390AB1" w:rsidP="00FB6EE9">
            <w:pPr>
              <w:pStyle w:val="TableText0"/>
              <w:rPr>
                <w:rFonts w:ascii="Times" w:hAnsi="Times"/>
              </w:rPr>
            </w:pPr>
            <w:r w:rsidRPr="00131DA2">
              <w:rPr>
                <w:sz w:val="19"/>
                <w:szCs w:val="19"/>
              </w:rPr>
              <w:t>Net cost to MBS</w:t>
            </w:r>
          </w:p>
        </w:tc>
        <w:tc>
          <w:tcPr>
            <w:tcW w:w="624" w:type="pct"/>
            <w:tcBorders>
              <w:bottom w:val="nil"/>
            </w:tcBorders>
            <w:shd w:val="clear" w:color="auto" w:fill="FFFFFF" w:themeFill="background1"/>
          </w:tcPr>
          <w:p w14:paraId="679184F5" w14:textId="77777777" w:rsidR="00390AB1" w:rsidRPr="00131DA2" w:rsidRDefault="00390AB1" w:rsidP="00FB6EE9">
            <w:pPr>
              <w:pStyle w:val="TableText0"/>
              <w:ind w:right="57"/>
              <w:jc w:val="right"/>
            </w:pPr>
            <w:r w:rsidRPr="00131DA2">
              <w:rPr>
                <w:rFonts w:cs="Times New Roman"/>
              </w:rPr>
              <w:t>$</w:t>
            </w:r>
            <w:r w:rsidR="001D7CF9">
              <w:rPr>
                <w:rFonts w:cs="Times New Roman"/>
                <w:noProof/>
                <w:color w:val="000000"/>
                <w:highlight w:val="black"/>
              </w:rPr>
              <w:t>''''''''''''''''''</w:t>
            </w:r>
            <w:r w:rsidR="00646018">
              <w:rPr>
                <w:rFonts w:cs="Times New Roman"/>
                <w:vertAlign w:val="superscript"/>
              </w:rPr>
              <w:t>7</w:t>
            </w:r>
          </w:p>
        </w:tc>
        <w:tc>
          <w:tcPr>
            <w:tcW w:w="624" w:type="pct"/>
            <w:tcBorders>
              <w:bottom w:val="nil"/>
            </w:tcBorders>
            <w:shd w:val="clear" w:color="auto" w:fill="FFFFFF" w:themeFill="background1"/>
          </w:tcPr>
          <w:p w14:paraId="54A6A343" w14:textId="77777777" w:rsidR="00390AB1" w:rsidRPr="00131DA2" w:rsidRDefault="00390AB1" w:rsidP="00FB6EE9">
            <w:pPr>
              <w:pStyle w:val="TableText0"/>
              <w:ind w:right="57"/>
              <w:jc w:val="right"/>
            </w:pPr>
            <w:r w:rsidRPr="00131DA2">
              <w:rPr>
                <w:rFonts w:cs="Times New Roman"/>
              </w:rPr>
              <w:t>$</w:t>
            </w:r>
            <w:r w:rsidR="001D7CF9">
              <w:rPr>
                <w:rFonts w:cs="Times New Roman"/>
                <w:noProof/>
                <w:color w:val="000000"/>
                <w:highlight w:val="black"/>
              </w:rPr>
              <w:t>'''''''''''''''</w:t>
            </w:r>
            <w:r w:rsidR="00646018">
              <w:rPr>
                <w:rFonts w:cs="Times New Roman"/>
                <w:vertAlign w:val="superscript"/>
              </w:rPr>
              <w:t>7</w:t>
            </w:r>
          </w:p>
        </w:tc>
        <w:tc>
          <w:tcPr>
            <w:tcW w:w="624" w:type="pct"/>
            <w:tcBorders>
              <w:bottom w:val="nil"/>
            </w:tcBorders>
            <w:shd w:val="clear" w:color="auto" w:fill="FFFFFF" w:themeFill="background1"/>
          </w:tcPr>
          <w:p w14:paraId="17D22FA3" w14:textId="77777777" w:rsidR="00390AB1" w:rsidRPr="00131DA2" w:rsidRDefault="00390AB1" w:rsidP="00FB6EE9">
            <w:pPr>
              <w:pStyle w:val="TableText0"/>
              <w:ind w:right="57"/>
              <w:jc w:val="right"/>
            </w:pPr>
            <w:r w:rsidRPr="00131DA2">
              <w:rPr>
                <w:rFonts w:cs="Times New Roman"/>
              </w:rPr>
              <w:t>$</w:t>
            </w:r>
            <w:r w:rsidR="001D7CF9">
              <w:rPr>
                <w:rFonts w:cs="Times New Roman"/>
                <w:noProof/>
                <w:color w:val="000000"/>
                <w:highlight w:val="black"/>
              </w:rPr>
              <w:t>'''''''''''''''</w:t>
            </w:r>
            <w:r w:rsidR="00646018">
              <w:rPr>
                <w:rFonts w:cs="Times New Roman"/>
                <w:vertAlign w:val="superscript"/>
              </w:rPr>
              <w:t>7</w:t>
            </w:r>
          </w:p>
        </w:tc>
        <w:tc>
          <w:tcPr>
            <w:tcW w:w="624" w:type="pct"/>
            <w:tcBorders>
              <w:bottom w:val="nil"/>
            </w:tcBorders>
            <w:shd w:val="clear" w:color="auto" w:fill="FFFFFF" w:themeFill="background1"/>
          </w:tcPr>
          <w:p w14:paraId="757A4213" w14:textId="77777777" w:rsidR="00390AB1" w:rsidRPr="00131DA2" w:rsidRDefault="00390AB1" w:rsidP="00FB6EE9">
            <w:pPr>
              <w:pStyle w:val="TableText0"/>
              <w:ind w:right="57"/>
              <w:jc w:val="right"/>
            </w:pPr>
            <w:r w:rsidRPr="00131DA2">
              <w:rPr>
                <w:rFonts w:cs="Times New Roman"/>
              </w:rPr>
              <w:t>$</w:t>
            </w:r>
            <w:r w:rsidR="001D7CF9">
              <w:rPr>
                <w:rFonts w:cs="Times New Roman"/>
                <w:noProof/>
                <w:color w:val="000000"/>
                <w:highlight w:val="black"/>
              </w:rPr>
              <w:t>''''''''''''''''''</w:t>
            </w:r>
            <w:r w:rsidR="00646018">
              <w:rPr>
                <w:rFonts w:cs="Times New Roman"/>
                <w:vertAlign w:val="superscript"/>
              </w:rPr>
              <w:t>7</w:t>
            </w:r>
          </w:p>
        </w:tc>
        <w:tc>
          <w:tcPr>
            <w:tcW w:w="687" w:type="pct"/>
            <w:tcBorders>
              <w:bottom w:val="nil"/>
            </w:tcBorders>
            <w:shd w:val="clear" w:color="auto" w:fill="FFFFFF" w:themeFill="background1"/>
          </w:tcPr>
          <w:p w14:paraId="6E45C624" w14:textId="77777777" w:rsidR="00390AB1" w:rsidRPr="00131DA2" w:rsidRDefault="00390AB1" w:rsidP="00FB6EE9">
            <w:pPr>
              <w:pStyle w:val="TableText0"/>
              <w:ind w:right="57"/>
              <w:jc w:val="right"/>
            </w:pPr>
            <w:r w:rsidRPr="00131DA2">
              <w:rPr>
                <w:rFonts w:cs="Times New Roman"/>
              </w:rPr>
              <w:t>$</w:t>
            </w:r>
            <w:r w:rsidR="001D7CF9">
              <w:rPr>
                <w:rFonts w:cs="Times New Roman"/>
                <w:noProof/>
                <w:color w:val="000000"/>
                <w:highlight w:val="black"/>
              </w:rPr>
              <w:t>'''''''''''''''''</w:t>
            </w:r>
            <w:r w:rsidR="00646018">
              <w:rPr>
                <w:rFonts w:cs="Times New Roman"/>
                <w:vertAlign w:val="superscript"/>
              </w:rPr>
              <w:t>7</w:t>
            </w:r>
          </w:p>
        </w:tc>
        <w:tc>
          <w:tcPr>
            <w:tcW w:w="682" w:type="pct"/>
            <w:tcBorders>
              <w:bottom w:val="nil"/>
            </w:tcBorders>
            <w:shd w:val="clear" w:color="auto" w:fill="FFFFFF" w:themeFill="background1"/>
          </w:tcPr>
          <w:p w14:paraId="05CF3B02" w14:textId="77777777" w:rsidR="00390AB1" w:rsidRPr="00131DA2" w:rsidRDefault="00390AB1" w:rsidP="00FB6EE9">
            <w:pPr>
              <w:pStyle w:val="TableText0"/>
              <w:ind w:right="57"/>
              <w:jc w:val="right"/>
            </w:pPr>
            <w:r w:rsidRPr="00131DA2">
              <w:rPr>
                <w:rFonts w:cs="Times New Roman"/>
              </w:rPr>
              <w:t>$</w:t>
            </w:r>
            <w:r w:rsidR="001D7CF9">
              <w:rPr>
                <w:rFonts w:cs="Times New Roman"/>
                <w:noProof/>
                <w:color w:val="000000"/>
                <w:highlight w:val="black"/>
              </w:rPr>
              <w:t>''''''''''''''''''</w:t>
            </w:r>
            <w:r w:rsidR="00646018">
              <w:rPr>
                <w:rFonts w:cs="Times New Roman"/>
                <w:vertAlign w:val="superscript"/>
              </w:rPr>
              <w:t>7</w:t>
            </w:r>
          </w:p>
        </w:tc>
      </w:tr>
      <w:tr w:rsidR="00390AB1" w:rsidRPr="00131DA2" w14:paraId="24A29DD0" w14:textId="77777777" w:rsidTr="00E146A6">
        <w:tc>
          <w:tcPr>
            <w:tcW w:w="1135" w:type="pct"/>
            <w:tcBorders>
              <w:top w:val="nil"/>
              <w:bottom w:val="single" w:sz="4" w:space="0" w:color="auto"/>
            </w:tcBorders>
            <w:shd w:val="clear" w:color="auto" w:fill="auto"/>
            <w:vAlign w:val="center"/>
          </w:tcPr>
          <w:p w14:paraId="6FB5F3B3" w14:textId="77777777" w:rsidR="00390AB1" w:rsidRPr="00131DA2" w:rsidRDefault="00390AB1" w:rsidP="00FB6EE9">
            <w:pPr>
              <w:pStyle w:val="TableText0"/>
              <w:ind w:left="251"/>
              <w:rPr>
                <w:sz w:val="19"/>
                <w:szCs w:val="19"/>
              </w:rPr>
            </w:pPr>
            <w:r w:rsidRPr="00131DA2">
              <w:rPr>
                <w:sz w:val="19"/>
                <w:szCs w:val="19"/>
              </w:rPr>
              <w:t>Revised</w:t>
            </w:r>
            <w:r w:rsidRPr="00131DA2">
              <w:rPr>
                <w:sz w:val="19"/>
                <w:szCs w:val="19"/>
                <w:vertAlign w:val="superscript"/>
              </w:rPr>
              <w:t>c</w:t>
            </w:r>
          </w:p>
        </w:tc>
        <w:tc>
          <w:tcPr>
            <w:tcW w:w="624" w:type="pct"/>
            <w:tcBorders>
              <w:top w:val="nil"/>
              <w:bottom w:val="single" w:sz="4" w:space="0" w:color="auto"/>
            </w:tcBorders>
            <w:shd w:val="clear" w:color="auto" w:fill="FFFFFF" w:themeFill="background1"/>
          </w:tcPr>
          <w:p w14:paraId="3253045A" w14:textId="77777777" w:rsidR="00390AB1" w:rsidRPr="00131DA2" w:rsidRDefault="00390AB1" w:rsidP="00FB6EE9">
            <w:pPr>
              <w:pStyle w:val="TableText0"/>
              <w:ind w:right="57"/>
              <w:jc w:val="right"/>
            </w:pPr>
            <w:r w:rsidRPr="00131DA2">
              <w:rPr>
                <w:rFonts w:cs="Times New Roman"/>
              </w:rPr>
              <w:t>$</w:t>
            </w:r>
            <w:r w:rsidR="001D7CF9">
              <w:rPr>
                <w:rFonts w:cs="Times New Roman"/>
                <w:noProof/>
                <w:color w:val="000000"/>
                <w:highlight w:val="black"/>
              </w:rPr>
              <w:t>'''''''''''''''''''''</w:t>
            </w:r>
            <w:r w:rsidR="00646018">
              <w:rPr>
                <w:rFonts w:cs="Times New Roman"/>
                <w:vertAlign w:val="superscript"/>
              </w:rPr>
              <w:t>7</w:t>
            </w:r>
          </w:p>
        </w:tc>
        <w:tc>
          <w:tcPr>
            <w:tcW w:w="624" w:type="pct"/>
            <w:tcBorders>
              <w:top w:val="nil"/>
              <w:bottom w:val="single" w:sz="4" w:space="0" w:color="auto"/>
            </w:tcBorders>
            <w:shd w:val="clear" w:color="auto" w:fill="FFFFFF" w:themeFill="background1"/>
          </w:tcPr>
          <w:p w14:paraId="35DAC0F2" w14:textId="77777777" w:rsidR="00390AB1" w:rsidRPr="00131DA2" w:rsidRDefault="00390AB1" w:rsidP="00FB6EE9">
            <w:pPr>
              <w:pStyle w:val="TableText0"/>
              <w:ind w:right="57"/>
              <w:jc w:val="right"/>
            </w:pPr>
            <w:r w:rsidRPr="00131DA2">
              <w:rPr>
                <w:rFonts w:cs="Times New Roman"/>
              </w:rPr>
              <w:t>$</w:t>
            </w:r>
            <w:r w:rsidR="001D7CF9">
              <w:rPr>
                <w:rFonts w:cs="Times New Roman"/>
                <w:noProof/>
                <w:color w:val="000000"/>
                <w:highlight w:val="black"/>
              </w:rPr>
              <w:t>''''''''''''''''</w:t>
            </w:r>
            <w:r w:rsidR="00646018">
              <w:rPr>
                <w:rFonts w:cs="Times New Roman"/>
                <w:vertAlign w:val="superscript"/>
              </w:rPr>
              <w:t>7</w:t>
            </w:r>
          </w:p>
        </w:tc>
        <w:tc>
          <w:tcPr>
            <w:tcW w:w="624" w:type="pct"/>
            <w:tcBorders>
              <w:top w:val="nil"/>
              <w:bottom w:val="single" w:sz="4" w:space="0" w:color="auto"/>
            </w:tcBorders>
            <w:shd w:val="clear" w:color="auto" w:fill="FFFFFF" w:themeFill="background1"/>
          </w:tcPr>
          <w:p w14:paraId="2428CBFF" w14:textId="77777777" w:rsidR="00390AB1" w:rsidRPr="00131DA2" w:rsidRDefault="00390AB1" w:rsidP="00FB6EE9">
            <w:pPr>
              <w:pStyle w:val="TableText0"/>
              <w:ind w:right="57"/>
              <w:jc w:val="right"/>
            </w:pPr>
            <w:r w:rsidRPr="00131DA2">
              <w:rPr>
                <w:rFonts w:cs="Times New Roman"/>
              </w:rPr>
              <w:t>$</w:t>
            </w:r>
            <w:r w:rsidR="001D7CF9">
              <w:rPr>
                <w:rFonts w:cs="Times New Roman"/>
                <w:noProof/>
                <w:color w:val="000000"/>
                <w:highlight w:val="black"/>
              </w:rPr>
              <w:t>''''''''''''''''</w:t>
            </w:r>
            <w:r w:rsidR="00646018">
              <w:rPr>
                <w:rFonts w:cs="Times New Roman"/>
                <w:vertAlign w:val="superscript"/>
              </w:rPr>
              <w:t>7</w:t>
            </w:r>
          </w:p>
        </w:tc>
        <w:tc>
          <w:tcPr>
            <w:tcW w:w="624" w:type="pct"/>
            <w:tcBorders>
              <w:top w:val="nil"/>
              <w:bottom w:val="single" w:sz="4" w:space="0" w:color="auto"/>
            </w:tcBorders>
            <w:shd w:val="clear" w:color="auto" w:fill="FFFFFF" w:themeFill="background1"/>
          </w:tcPr>
          <w:p w14:paraId="4C26C56F" w14:textId="77777777" w:rsidR="00390AB1" w:rsidRPr="00131DA2" w:rsidRDefault="00390AB1" w:rsidP="00FB6EE9">
            <w:pPr>
              <w:pStyle w:val="TableText0"/>
              <w:ind w:right="57"/>
              <w:jc w:val="right"/>
            </w:pPr>
            <w:r w:rsidRPr="00131DA2">
              <w:rPr>
                <w:rFonts w:cs="Times New Roman"/>
              </w:rPr>
              <w:t>$</w:t>
            </w:r>
            <w:r w:rsidR="001D7CF9">
              <w:rPr>
                <w:rFonts w:cs="Times New Roman"/>
                <w:noProof/>
                <w:color w:val="000000"/>
                <w:highlight w:val="black"/>
              </w:rPr>
              <w:t>'''''''''''''''''''</w:t>
            </w:r>
            <w:r w:rsidR="00646018">
              <w:rPr>
                <w:rFonts w:cs="Times New Roman"/>
                <w:vertAlign w:val="superscript"/>
              </w:rPr>
              <w:t>7</w:t>
            </w:r>
          </w:p>
        </w:tc>
        <w:tc>
          <w:tcPr>
            <w:tcW w:w="687" w:type="pct"/>
            <w:tcBorders>
              <w:top w:val="nil"/>
              <w:bottom w:val="single" w:sz="4" w:space="0" w:color="auto"/>
            </w:tcBorders>
            <w:shd w:val="clear" w:color="auto" w:fill="FFFFFF" w:themeFill="background1"/>
          </w:tcPr>
          <w:p w14:paraId="06711E53" w14:textId="77777777" w:rsidR="00390AB1" w:rsidRPr="00131DA2" w:rsidRDefault="00390AB1" w:rsidP="00FB6EE9">
            <w:pPr>
              <w:pStyle w:val="TableText0"/>
              <w:ind w:right="57"/>
              <w:jc w:val="right"/>
            </w:pPr>
            <w:r w:rsidRPr="00131DA2">
              <w:rPr>
                <w:rFonts w:cs="Times New Roman"/>
              </w:rPr>
              <w:t>$</w:t>
            </w:r>
            <w:r w:rsidR="001D7CF9">
              <w:rPr>
                <w:rFonts w:cs="Times New Roman"/>
                <w:noProof/>
                <w:color w:val="000000"/>
                <w:highlight w:val="black"/>
              </w:rPr>
              <w:t>'''''''''''''''''''</w:t>
            </w:r>
            <w:r w:rsidR="00646018">
              <w:rPr>
                <w:rFonts w:cs="Times New Roman"/>
                <w:vertAlign w:val="superscript"/>
              </w:rPr>
              <w:t>7</w:t>
            </w:r>
          </w:p>
        </w:tc>
        <w:tc>
          <w:tcPr>
            <w:tcW w:w="682" w:type="pct"/>
            <w:tcBorders>
              <w:top w:val="nil"/>
              <w:bottom w:val="single" w:sz="4" w:space="0" w:color="auto"/>
            </w:tcBorders>
            <w:shd w:val="clear" w:color="auto" w:fill="FFFFFF" w:themeFill="background1"/>
          </w:tcPr>
          <w:p w14:paraId="3CA51851" w14:textId="77777777" w:rsidR="00390AB1" w:rsidRPr="00131DA2" w:rsidRDefault="00390AB1" w:rsidP="00FB6EE9">
            <w:pPr>
              <w:pStyle w:val="TableText0"/>
              <w:ind w:right="57"/>
              <w:jc w:val="right"/>
            </w:pPr>
            <w:r w:rsidRPr="00131DA2">
              <w:rPr>
                <w:rFonts w:cs="Times New Roman"/>
              </w:rPr>
              <w:t>$</w:t>
            </w:r>
            <w:r w:rsidR="001D7CF9">
              <w:rPr>
                <w:rFonts w:cs="Times New Roman"/>
                <w:noProof/>
                <w:color w:val="000000"/>
                <w:highlight w:val="black"/>
              </w:rPr>
              <w:t>'''''''''''''''''</w:t>
            </w:r>
            <w:r w:rsidR="00646018">
              <w:rPr>
                <w:rFonts w:cs="Times New Roman"/>
                <w:vertAlign w:val="superscript"/>
              </w:rPr>
              <w:t>7</w:t>
            </w:r>
          </w:p>
        </w:tc>
      </w:tr>
      <w:tr w:rsidR="00390AB1" w:rsidRPr="00131DA2" w14:paraId="3F0004D7" w14:textId="77777777" w:rsidTr="00E146A6">
        <w:tc>
          <w:tcPr>
            <w:tcW w:w="1135" w:type="pct"/>
            <w:tcBorders>
              <w:bottom w:val="nil"/>
            </w:tcBorders>
            <w:shd w:val="clear" w:color="auto" w:fill="auto"/>
            <w:vAlign w:val="center"/>
          </w:tcPr>
          <w:p w14:paraId="0D8D0BDB" w14:textId="77777777" w:rsidR="00390AB1" w:rsidRPr="00131DA2" w:rsidRDefault="00390AB1" w:rsidP="00FB6EE9">
            <w:pPr>
              <w:pStyle w:val="TableText0"/>
              <w:rPr>
                <w:sz w:val="19"/>
                <w:szCs w:val="19"/>
              </w:rPr>
            </w:pPr>
            <w:r w:rsidRPr="00131DA2">
              <w:rPr>
                <w:sz w:val="19"/>
                <w:szCs w:val="19"/>
              </w:rPr>
              <w:t>Net cost to Government health budget</w:t>
            </w:r>
          </w:p>
        </w:tc>
        <w:tc>
          <w:tcPr>
            <w:tcW w:w="624" w:type="pct"/>
            <w:tcBorders>
              <w:bottom w:val="nil"/>
            </w:tcBorders>
            <w:shd w:val="clear" w:color="auto" w:fill="FFFFFF" w:themeFill="background1"/>
          </w:tcPr>
          <w:p w14:paraId="770C9B7C" w14:textId="77777777" w:rsidR="00390AB1" w:rsidRPr="00131DA2" w:rsidRDefault="00390AB1" w:rsidP="00FB6EE9">
            <w:pPr>
              <w:pStyle w:val="TableText0"/>
              <w:ind w:right="57"/>
              <w:jc w:val="right"/>
            </w:pPr>
            <w:r w:rsidRPr="00131DA2">
              <w:rPr>
                <w:rFonts w:cs="Times New Roman"/>
                <w:b/>
              </w:rPr>
              <w:t>$</w:t>
            </w:r>
            <w:r w:rsidR="001D7CF9">
              <w:rPr>
                <w:rFonts w:cs="Times New Roman"/>
                <w:b/>
                <w:noProof/>
                <w:color w:val="000000"/>
                <w:highlight w:val="black"/>
              </w:rPr>
              <w:t>''''''''''''''''''''</w:t>
            </w:r>
            <w:r w:rsidR="00646018">
              <w:rPr>
                <w:rFonts w:cs="Times New Roman"/>
                <w:vertAlign w:val="superscript"/>
              </w:rPr>
              <w:t>7</w:t>
            </w:r>
          </w:p>
        </w:tc>
        <w:tc>
          <w:tcPr>
            <w:tcW w:w="624" w:type="pct"/>
            <w:tcBorders>
              <w:bottom w:val="nil"/>
            </w:tcBorders>
            <w:shd w:val="clear" w:color="auto" w:fill="FFFFFF" w:themeFill="background1"/>
          </w:tcPr>
          <w:p w14:paraId="39B5D677" w14:textId="77777777" w:rsidR="00390AB1" w:rsidRPr="00131DA2" w:rsidRDefault="00390AB1" w:rsidP="00FB6EE9">
            <w:pPr>
              <w:pStyle w:val="TableText0"/>
              <w:ind w:right="57"/>
              <w:jc w:val="right"/>
            </w:pPr>
            <w:r w:rsidRPr="00131DA2">
              <w:rPr>
                <w:rFonts w:cs="Times New Roman"/>
                <w:b/>
              </w:rPr>
              <w:t>$</w:t>
            </w:r>
            <w:r w:rsidR="001D7CF9">
              <w:rPr>
                <w:rFonts w:cs="Times New Roman"/>
                <w:b/>
                <w:noProof/>
                <w:color w:val="000000"/>
                <w:highlight w:val="black"/>
              </w:rPr>
              <w:t>''''''''''''''''''''</w:t>
            </w:r>
            <w:r w:rsidR="00646018">
              <w:rPr>
                <w:rFonts w:cs="Times New Roman"/>
                <w:vertAlign w:val="superscript"/>
              </w:rPr>
              <w:t>7</w:t>
            </w:r>
          </w:p>
        </w:tc>
        <w:tc>
          <w:tcPr>
            <w:tcW w:w="624" w:type="pct"/>
            <w:tcBorders>
              <w:bottom w:val="nil"/>
            </w:tcBorders>
            <w:shd w:val="clear" w:color="auto" w:fill="FFFFFF" w:themeFill="background1"/>
          </w:tcPr>
          <w:p w14:paraId="0FF154CC" w14:textId="77777777" w:rsidR="00390AB1" w:rsidRPr="00131DA2" w:rsidRDefault="00390AB1" w:rsidP="00FB6EE9">
            <w:pPr>
              <w:pStyle w:val="TableText0"/>
              <w:ind w:right="57"/>
              <w:jc w:val="right"/>
            </w:pPr>
            <w:r w:rsidRPr="00131DA2">
              <w:rPr>
                <w:rFonts w:cs="Times New Roman"/>
                <w:b/>
              </w:rPr>
              <w:t>$</w:t>
            </w:r>
            <w:r w:rsidR="001D7CF9">
              <w:rPr>
                <w:rFonts w:cs="Times New Roman"/>
                <w:b/>
                <w:noProof/>
                <w:color w:val="000000"/>
                <w:highlight w:val="black"/>
              </w:rPr>
              <w:t>''''''''''''''''''''''</w:t>
            </w:r>
            <w:r w:rsidR="00646018">
              <w:rPr>
                <w:rFonts w:cs="Times New Roman"/>
                <w:vertAlign w:val="superscript"/>
              </w:rPr>
              <w:t>4</w:t>
            </w:r>
          </w:p>
        </w:tc>
        <w:tc>
          <w:tcPr>
            <w:tcW w:w="624" w:type="pct"/>
            <w:tcBorders>
              <w:bottom w:val="nil"/>
            </w:tcBorders>
            <w:shd w:val="clear" w:color="auto" w:fill="FFFFFF" w:themeFill="background1"/>
          </w:tcPr>
          <w:p w14:paraId="384EC71D" w14:textId="77777777" w:rsidR="00390AB1" w:rsidRPr="00131DA2" w:rsidRDefault="00390AB1" w:rsidP="00FB6EE9">
            <w:pPr>
              <w:pStyle w:val="TableText0"/>
              <w:ind w:right="57"/>
              <w:jc w:val="right"/>
            </w:pPr>
            <w:r w:rsidRPr="00131DA2">
              <w:rPr>
                <w:rFonts w:cs="Times New Roman"/>
                <w:b/>
              </w:rPr>
              <w:t>$</w:t>
            </w:r>
            <w:r w:rsidR="001D7CF9">
              <w:rPr>
                <w:rFonts w:cs="Times New Roman"/>
                <w:b/>
                <w:noProof/>
                <w:color w:val="000000"/>
                <w:highlight w:val="black"/>
              </w:rPr>
              <w:t>'''''''''''''''''''''</w:t>
            </w:r>
            <w:r w:rsidR="00646018">
              <w:rPr>
                <w:rFonts w:cs="Times New Roman"/>
                <w:vertAlign w:val="superscript"/>
              </w:rPr>
              <w:t>4</w:t>
            </w:r>
          </w:p>
        </w:tc>
        <w:tc>
          <w:tcPr>
            <w:tcW w:w="687" w:type="pct"/>
            <w:tcBorders>
              <w:bottom w:val="nil"/>
            </w:tcBorders>
            <w:shd w:val="clear" w:color="auto" w:fill="FFFFFF" w:themeFill="background1"/>
          </w:tcPr>
          <w:p w14:paraId="4139756F" w14:textId="77777777" w:rsidR="00390AB1" w:rsidRPr="00131DA2" w:rsidRDefault="00390AB1" w:rsidP="00FB6EE9">
            <w:pPr>
              <w:pStyle w:val="TableText0"/>
              <w:ind w:right="57"/>
              <w:jc w:val="right"/>
            </w:pPr>
            <w:r w:rsidRPr="00131DA2">
              <w:rPr>
                <w:rFonts w:cs="Times New Roman"/>
                <w:b/>
              </w:rPr>
              <w:t>$</w:t>
            </w:r>
            <w:r w:rsidR="001D7CF9">
              <w:rPr>
                <w:rFonts w:cs="Times New Roman"/>
                <w:b/>
                <w:noProof/>
                <w:color w:val="000000"/>
                <w:highlight w:val="black"/>
              </w:rPr>
              <w:t>''''''''''''''''''''</w:t>
            </w:r>
            <w:r w:rsidR="00646018">
              <w:rPr>
                <w:rFonts w:cs="Times New Roman"/>
                <w:vertAlign w:val="superscript"/>
              </w:rPr>
              <w:t>4</w:t>
            </w:r>
          </w:p>
        </w:tc>
        <w:tc>
          <w:tcPr>
            <w:tcW w:w="682" w:type="pct"/>
            <w:tcBorders>
              <w:bottom w:val="nil"/>
            </w:tcBorders>
            <w:shd w:val="clear" w:color="auto" w:fill="FFFFFF" w:themeFill="background1"/>
          </w:tcPr>
          <w:p w14:paraId="545AEB41" w14:textId="77777777" w:rsidR="00390AB1" w:rsidRPr="00131DA2" w:rsidRDefault="00390AB1" w:rsidP="00FB6EE9">
            <w:pPr>
              <w:pStyle w:val="TableText0"/>
              <w:ind w:right="57"/>
              <w:jc w:val="right"/>
            </w:pPr>
            <w:r w:rsidRPr="00131DA2">
              <w:rPr>
                <w:rFonts w:cs="Times New Roman"/>
                <w:b/>
              </w:rPr>
              <w:t>$</w:t>
            </w:r>
            <w:r w:rsidR="001D7CF9">
              <w:rPr>
                <w:rFonts w:cs="Times New Roman"/>
                <w:b/>
                <w:noProof/>
                <w:color w:val="000000"/>
                <w:highlight w:val="black"/>
              </w:rPr>
              <w:t>'''''''''''''''''''''''</w:t>
            </w:r>
            <w:r w:rsidR="00646018">
              <w:rPr>
                <w:rFonts w:cs="Times New Roman"/>
                <w:vertAlign w:val="superscript"/>
              </w:rPr>
              <w:t>4</w:t>
            </w:r>
          </w:p>
        </w:tc>
      </w:tr>
      <w:tr w:rsidR="00390AB1" w:rsidRPr="00131DA2" w14:paraId="3BA3A95C" w14:textId="77777777" w:rsidTr="00E146A6">
        <w:tc>
          <w:tcPr>
            <w:tcW w:w="1135" w:type="pct"/>
            <w:tcBorders>
              <w:top w:val="nil"/>
            </w:tcBorders>
            <w:shd w:val="clear" w:color="auto" w:fill="auto"/>
            <w:vAlign w:val="center"/>
          </w:tcPr>
          <w:p w14:paraId="7EC678FA" w14:textId="77777777" w:rsidR="00390AB1" w:rsidRPr="00131DA2" w:rsidRDefault="00390AB1" w:rsidP="00FB6EE9">
            <w:pPr>
              <w:pStyle w:val="TableText0"/>
              <w:ind w:left="251"/>
              <w:rPr>
                <w:sz w:val="19"/>
                <w:szCs w:val="19"/>
              </w:rPr>
            </w:pPr>
            <w:r w:rsidRPr="00131DA2">
              <w:rPr>
                <w:sz w:val="19"/>
                <w:szCs w:val="19"/>
              </w:rPr>
              <w:t>Revised</w:t>
            </w:r>
            <w:r w:rsidRPr="00131DA2">
              <w:rPr>
                <w:sz w:val="19"/>
                <w:szCs w:val="19"/>
                <w:vertAlign w:val="superscript"/>
              </w:rPr>
              <w:t>c</w:t>
            </w:r>
          </w:p>
        </w:tc>
        <w:tc>
          <w:tcPr>
            <w:tcW w:w="624" w:type="pct"/>
            <w:tcBorders>
              <w:top w:val="nil"/>
            </w:tcBorders>
            <w:shd w:val="clear" w:color="auto" w:fill="FFFFFF" w:themeFill="background1"/>
          </w:tcPr>
          <w:p w14:paraId="1F1C1CF6" w14:textId="77777777" w:rsidR="00390AB1" w:rsidRPr="00131DA2" w:rsidRDefault="00390AB1" w:rsidP="00FB6EE9">
            <w:pPr>
              <w:pStyle w:val="TableText0"/>
              <w:ind w:right="57"/>
              <w:jc w:val="right"/>
            </w:pPr>
            <w:r w:rsidRPr="00131DA2">
              <w:rPr>
                <w:rFonts w:cs="Times New Roman"/>
                <w:b/>
              </w:rPr>
              <w:t>$</w:t>
            </w:r>
            <w:r w:rsidR="001D7CF9">
              <w:rPr>
                <w:rFonts w:cs="Times New Roman"/>
                <w:b/>
                <w:noProof/>
                <w:color w:val="000000"/>
                <w:highlight w:val="black"/>
              </w:rPr>
              <w:t>''''''''''''''''''''</w:t>
            </w:r>
            <w:r w:rsidR="00646018">
              <w:rPr>
                <w:rFonts w:cs="Times New Roman"/>
                <w:vertAlign w:val="superscript"/>
              </w:rPr>
              <w:t>7</w:t>
            </w:r>
          </w:p>
        </w:tc>
        <w:tc>
          <w:tcPr>
            <w:tcW w:w="624" w:type="pct"/>
            <w:tcBorders>
              <w:top w:val="nil"/>
            </w:tcBorders>
            <w:shd w:val="clear" w:color="auto" w:fill="FFFFFF" w:themeFill="background1"/>
          </w:tcPr>
          <w:p w14:paraId="148FD2E0" w14:textId="77777777" w:rsidR="00390AB1" w:rsidRPr="00131DA2" w:rsidRDefault="00390AB1" w:rsidP="00FB6EE9">
            <w:pPr>
              <w:pStyle w:val="TableText0"/>
              <w:ind w:right="57"/>
              <w:jc w:val="right"/>
            </w:pPr>
            <w:r w:rsidRPr="00131DA2">
              <w:rPr>
                <w:rFonts w:cs="Times New Roman"/>
                <w:b/>
              </w:rPr>
              <w:t>$</w:t>
            </w:r>
            <w:r w:rsidR="001D7CF9">
              <w:rPr>
                <w:rFonts w:cs="Times New Roman"/>
                <w:b/>
                <w:noProof/>
                <w:color w:val="000000"/>
                <w:highlight w:val="black"/>
              </w:rPr>
              <w:t>''''''''''''''''''''</w:t>
            </w:r>
            <w:r w:rsidR="00646018">
              <w:rPr>
                <w:rFonts w:cs="Times New Roman"/>
                <w:vertAlign w:val="superscript"/>
              </w:rPr>
              <w:t>7</w:t>
            </w:r>
          </w:p>
        </w:tc>
        <w:tc>
          <w:tcPr>
            <w:tcW w:w="624" w:type="pct"/>
            <w:tcBorders>
              <w:top w:val="nil"/>
            </w:tcBorders>
            <w:shd w:val="clear" w:color="auto" w:fill="FFFFFF" w:themeFill="background1"/>
          </w:tcPr>
          <w:p w14:paraId="6C99961E" w14:textId="77777777" w:rsidR="00390AB1" w:rsidRPr="00131DA2" w:rsidRDefault="00390AB1" w:rsidP="00FB6EE9">
            <w:pPr>
              <w:pStyle w:val="TableText0"/>
              <w:ind w:right="57"/>
              <w:jc w:val="right"/>
            </w:pPr>
            <w:r w:rsidRPr="00131DA2">
              <w:rPr>
                <w:rFonts w:cs="Times New Roman"/>
                <w:b/>
              </w:rPr>
              <w:t>$</w:t>
            </w:r>
            <w:r w:rsidR="001D7CF9">
              <w:rPr>
                <w:rFonts w:cs="Times New Roman"/>
                <w:b/>
                <w:noProof/>
                <w:color w:val="000000"/>
                <w:highlight w:val="black"/>
              </w:rPr>
              <w:t>''''''''''''''''''''</w:t>
            </w:r>
            <w:r w:rsidR="00646018">
              <w:rPr>
                <w:rFonts w:cs="Times New Roman"/>
                <w:vertAlign w:val="superscript"/>
              </w:rPr>
              <w:t>4</w:t>
            </w:r>
          </w:p>
        </w:tc>
        <w:tc>
          <w:tcPr>
            <w:tcW w:w="624" w:type="pct"/>
            <w:tcBorders>
              <w:top w:val="nil"/>
            </w:tcBorders>
            <w:shd w:val="clear" w:color="auto" w:fill="FFFFFF" w:themeFill="background1"/>
          </w:tcPr>
          <w:p w14:paraId="5B20E652" w14:textId="77777777" w:rsidR="00390AB1" w:rsidRPr="00131DA2" w:rsidRDefault="00390AB1" w:rsidP="00FB6EE9">
            <w:pPr>
              <w:pStyle w:val="TableText0"/>
              <w:ind w:right="57"/>
              <w:jc w:val="right"/>
            </w:pPr>
            <w:r w:rsidRPr="00131DA2">
              <w:rPr>
                <w:rFonts w:cs="Times New Roman"/>
                <w:b/>
              </w:rPr>
              <w:t>$</w:t>
            </w:r>
            <w:r w:rsidR="001D7CF9">
              <w:rPr>
                <w:rFonts w:cs="Times New Roman"/>
                <w:b/>
                <w:noProof/>
                <w:color w:val="000000"/>
                <w:highlight w:val="black"/>
              </w:rPr>
              <w:t>'''''''''''''''''''''''</w:t>
            </w:r>
            <w:r w:rsidR="00646018">
              <w:rPr>
                <w:rFonts w:cs="Times New Roman"/>
                <w:vertAlign w:val="superscript"/>
              </w:rPr>
              <w:t>4</w:t>
            </w:r>
          </w:p>
        </w:tc>
        <w:tc>
          <w:tcPr>
            <w:tcW w:w="687" w:type="pct"/>
            <w:tcBorders>
              <w:top w:val="nil"/>
            </w:tcBorders>
            <w:shd w:val="clear" w:color="auto" w:fill="FFFFFF" w:themeFill="background1"/>
          </w:tcPr>
          <w:p w14:paraId="1830C783" w14:textId="77777777" w:rsidR="00390AB1" w:rsidRPr="00131DA2" w:rsidRDefault="00390AB1" w:rsidP="00FB6EE9">
            <w:pPr>
              <w:pStyle w:val="TableText0"/>
              <w:ind w:right="57"/>
              <w:jc w:val="right"/>
            </w:pPr>
            <w:r w:rsidRPr="00131DA2">
              <w:rPr>
                <w:rFonts w:cs="Times New Roman"/>
                <w:b/>
              </w:rPr>
              <w:t>$</w:t>
            </w:r>
            <w:r w:rsidR="001D7CF9">
              <w:rPr>
                <w:rFonts w:cs="Times New Roman"/>
                <w:b/>
                <w:noProof/>
                <w:color w:val="000000"/>
                <w:highlight w:val="black"/>
              </w:rPr>
              <w:t>'''''''''''''''''''''''</w:t>
            </w:r>
            <w:r w:rsidR="00646018">
              <w:rPr>
                <w:rFonts w:cs="Times New Roman"/>
                <w:vertAlign w:val="superscript"/>
              </w:rPr>
              <w:t>4</w:t>
            </w:r>
          </w:p>
        </w:tc>
        <w:tc>
          <w:tcPr>
            <w:tcW w:w="682" w:type="pct"/>
            <w:tcBorders>
              <w:top w:val="nil"/>
            </w:tcBorders>
            <w:shd w:val="clear" w:color="auto" w:fill="FFFFFF" w:themeFill="background1"/>
          </w:tcPr>
          <w:p w14:paraId="22629966" w14:textId="77777777" w:rsidR="00390AB1" w:rsidRPr="00131DA2" w:rsidRDefault="00390AB1" w:rsidP="00FB6EE9">
            <w:pPr>
              <w:pStyle w:val="TableText0"/>
              <w:ind w:right="57"/>
              <w:jc w:val="right"/>
            </w:pPr>
            <w:r w:rsidRPr="00131DA2">
              <w:rPr>
                <w:rFonts w:cs="Times New Roman"/>
                <w:b/>
              </w:rPr>
              <w:t>$</w:t>
            </w:r>
            <w:r w:rsidR="001D7CF9">
              <w:rPr>
                <w:rFonts w:cs="Times New Roman"/>
                <w:b/>
                <w:noProof/>
                <w:color w:val="000000"/>
                <w:highlight w:val="black"/>
              </w:rPr>
              <w:t>'''''''''''''''''''''</w:t>
            </w:r>
            <w:r w:rsidR="00646018">
              <w:rPr>
                <w:rFonts w:cs="Times New Roman"/>
                <w:vertAlign w:val="superscript"/>
              </w:rPr>
              <w:t>4</w:t>
            </w:r>
          </w:p>
        </w:tc>
      </w:tr>
    </w:tbl>
    <w:p w14:paraId="10A4F6F5" w14:textId="77777777" w:rsidR="00390AB1" w:rsidRPr="00131DA2" w:rsidRDefault="00390AB1" w:rsidP="00390AB1">
      <w:pPr>
        <w:pStyle w:val="TableFigureFooter"/>
        <w:rPr>
          <w:rStyle w:val="CommentReference"/>
        </w:rPr>
      </w:pPr>
      <w:r w:rsidRPr="00131DA2">
        <w:t>Source: Table 152, p215, Table 158, p218, Table 162, p220, and Table 185, p232 of the submission; ‘4c. Impact - affected (eff)’ spreadsheet in the “Zejula (niraparib) 1L BIM” Excel workbook.</w:t>
      </w:r>
    </w:p>
    <w:p w14:paraId="23A2C1E3" w14:textId="77777777" w:rsidR="00390AB1" w:rsidRPr="00131DA2" w:rsidRDefault="00390AB1" w:rsidP="00390AB1">
      <w:pPr>
        <w:pStyle w:val="TableFigureFooter"/>
      </w:pPr>
      <w:proofErr w:type="gramStart"/>
      <w:r w:rsidRPr="00131DA2">
        <w:rPr>
          <w:vertAlign w:val="superscript"/>
        </w:rPr>
        <w:t>a</w:t>
      </w:r>
      <w:proofErr w:type="gramEnd"/>
      <w:r w:rsidRPr="00131DA2">
        <w:t xml:space="preserve"> Includes patients initiating treatment and patients continuing treatment from previous years.</w:t>
      </w:r>
    </w:p>
    <w:p w14:paraId="35F4F3BD" w14:textId="77777777" w:rsidR="00390AB1" w:rsidRPr="00131DA2" w:rsidRDefault="00390AB1" w:rsidP="00390AB1">
      <w:pPr>
        <w:pStyle w:val="TableFigureFooter"/>
        <w:rPr>
          <w:color w:val="000000" w:themeColor="text1"/>
        </w:rPr>
      </w:pPr>
      <w:r w:rsidRPr="00131DA2">
        <w:rPr>
          <w:color w:val="000000" w:themeColor="text1"/>
          <w:vertAlign w:val="superscript"/>
        </w:rPr>
        <w:t xml:space="preserve">b </w:t>
      </w:r>
      <w:r w:rsidRPr="00131DA2">
        <w:rPr>
          <w:color w:val="000000" w:themeColor="text1"/>
        </w:rPr>
        <w:t>The number of niraparib scripts was estimated on the basis of the distribution of doses and compliance rates from the individualised starting dose cohort of the PRIMA trial. Dose volumes and compliance rates were translated into an estimated number of niraparib scripts per cycle, by assuming all patients on 300 mg daily receive 84-capsule packs and all patients on 200 mg and 100 mg daily receive 56-capsule packs.</w:t>
      </w:r>
    </w:p>
    <w:p w14:paraId="11375E13" w14:textId="77777777" w:rsidR="00390AB1" w:rsidRDefault="00390AB1" w:rsidP="00390AB1">
      <w:pPr>
        <w:pStyle w:val="TableFigureFooter"/>
      </w:pPr>
      <w:proofErr w:type="gramStart"/>
      <w:r w:rsidRPr="00131DA2">
        <w:rPr>
          <w:i/>
          <w:vertAlign w:val="superscript"/>
        </w:rPr>
        <w:t>c</w:t>
      </w:r>
      <w:proofErr w:type="gramEnd"/>
      <w:r w:rsidRPr="00131DA2">
        <w:rPr>
          <w:i/>
          <w:vertAlign w:val="superscript"/>
        </w:rPr>
        <w:t xml:space="preserve"> </w:t>
      </w:r>
      <w:r w:rsidRPr="00131DA2">
        <w:t>Financial implications were revised during the evaluation by correcting the estimated number of olaparib scripts substituted by niraparib. A factor of 1.087 (=365.25/12/28) was applied to the average number of treatment in months in each treatment year as provided in Table 13 of July 2020 olaparib public summary document (PSD) to calculate the number of olaparib scripts required. In addition, a factor of 95.35% (=1-1/21.5) was applied to the number of scripts to account for dose interruptions (Paragraph 6.48, olaparib PSD, July 2020 PBAC meeting).</w:t>
      </w:r>
    </w:p>
    <w:p w14:paraId="1420AC29" w14:textId="77777777" w:rsidR="00731AE7" w:rsidRPr="00B62999" w:rsidRDefault="00731AE7" w:rsidP="00731AE7">
      <w:pPr>
        <w:pStyle w:val="TableFigureFooter"/>
        <w:spacing w:after="0"/>
        <w:contextualSpacing w:val="0"/>
        <w:rPr>
          <w:szCs w:val="18"/>
        </w:rPr>
      </w:pPr>
      <w:r w:rsidRPr="00B62999">
        <w:rPr>
          <w:i/>
          <w:szCs w:val="18"/>
        </w:rPr>
        <w:t xml:space="preserve">The redacted values correspond to the following ranges: </w:t>
      </w:r>
    </w:p>
    <w:p w14:paraId="7E9C8D76" w14:textId="77777777" w:rsidR="00AF7DC3" w:rsidRDefault="00731AE7" w:rsidP="0034139A">
      <w:pPr>
        <w:rPr>
          <w:rFonts w:ascii="Arial Narrow" w:hAnsi="Arial Narrow"/>
          <w:i/>
          <w:sz w:val="18"/>
          <w:szCs w:val="18"/>
        </w:rPr>
      </w:pPr>
      <w:r w:rsidRPr="00B62999">
        <w:rPr>
          <w:rFonts w:ascii="Arial Narrow" w:hAnsi="Arial Narrow"/>
          <w:i/>
          <w:sz w:val="18"/>
          <w:szCs w:val="18"/>
          <w:vertAlign w:val="superscript"/>
        </w:rPr>
        <w:t>1</w:t>
      </w:r>
      <w:r>
        <w:rPr>
          <w:rFonts w:ascii="Arial Narrow" w:hAnsi="Arial Narrow"/>
          <w:sz w:val="18"/>
          <w:szCs w:val="18"/>
        </w:rPr>
        <w:t xml:space="preserve"> </w:t>
      </w:r>
      <w:r w:rsidR="0034139A" w:rsidRPr="0034139A">
        <w:rPr>
          <w:rFonts w:ascii="Arial Narrow" w:hAnsi="Arial Narrow"/>
          <w:i/>
          <w:sz w:val="18"/>
          <w:szCs w:val="18"/>
        </w:rPr>
        <w:t>&lt; 500</w:t>
      </w:r>
    </w:p>
    <w:p w14:paraId="3884632F" w14:textId="77777777" w:rsidR="00AF7DC3" w:rsidRDefault="00731AE7" w:rsidP="0034139A">
      <w:pPr>
        <w:rPr>
          <w:rFonts w:ascii="Arial Narrow" w:hAnsi="Arial Narrow"/>
          <w:i/>
          <w:sz w:val="18"/>
          <w:szCs w:val="18"/>
        </w:rPr>
      </w:pPr>
      <w:r w:rsidRPr="00B62999">
        <w:rPr>
          <w:rFonts w:ascii="Arial Narrow" w:hAnsi="Arial Narrow"/>
          <w:i/>
          <w:sz w:val="18"/>
          <w:szCs w:val="18"/>
          <w:vertAlign w:val="superscript"/>
        </w:rPr>
        <w:t>2</w:t>
      </w:r>
      <w:r>
        <w:rPr>
          <w:rFonts w:ascii="Arial Narrow" w:hAnsi="Arial Narrow"/>
          <w:i/>
          <w:sz w:val="18"/>
          <w:szCs w:val="18"/>
          <w:vertAlign w:val="superscript"/>
        </w:rPr>
        <w:t xml:space="preserve"> </w:t>
      </w:r>
      <w:r w:rsidR="0034139A" w:rsidRPr="0034139A">
        <w:rPr>
          <w:rFonts w:ascii="Arial Narrow" w:hAnsi="Arial Narrow"/>
          <w:i/>
          <w:sz w:val="18"/>
          <w:szCs w:val="18"/>
        </w:rPr>
        <w:t>500 to &lt; 5,000</w:t>
      </w:r>
    </w:p>
    <w:p w14:paraId="44796FA5" w14:textId="63F13B7F" w:rsidR="0034139A" w:rsidRPr="0034139A" w:rsidRDefault="00731AE7" w:rsidP="0034139A">
      <w:pPr>
        <w:rPr>
          <w:rFonts w:ascii="Arial Narrow" w:hAnsi="Arial Narrow"/>
          <w:i/>
          <w:sz w:val="18"/>
          <w:szCs w:val="18"/>
        </w:rPr>
      </w:pPr>
      <w:r w:rsidRPr="00B62999">
        <w:rPr>
          <w:rFonts w:ascii="Arial Narrow" w:hAnsi="Arial Narrow"/>
          <w:i/>
          <w:sz w:val="18"/>
          <w:szCs w:val="18"/>
          <w:vertAlign w:val="superscript"/>
        </w:rPr>
        <w:t>3</w:t>
      </w:r>
      <w:r w:rsidR="0034139A">
        <w:rPr>
          <w:rFonts w:ascii="Arial Narrow" w:hAnsi="Arial Narrow"/>
          <w:i/>
          <w:sz w:val="18"/>
          <w:szCs w:val="18"/>
          <w:vertAlign w:val="superscript"/>
        </w:rPr>
        <w:t xml:space="preserve"> </w:t>
      </w:r>
      <w:r w:rsidR="0034139A" w:rsidRPr="0034139A">
        <w:rPr>
          <w:rFonts w:ascii="Arial Narrow" w:hAnsi="Arial Narrow"/>
          <w:i/>
          <w:sz w:val="18"/>
          <w:szCs w:val="18"/>
        </w:rPr>
        <w:t>5,000 to &lt; 10,000</w:t>
      </w:r>
    </w:p>
    <w:p w14:paraId="01BCE31D" w14:textId="77777777" w:rsidR="00731AE7" w:rsidRPr="0034139A" w:rsidRDefault="0034139A" w:rsidP="00731AE7">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34139A">
        <w:rPr>
          <w:rFonts w:ascii="Arial Narrow" w:hAnsi="Arial Narrow"/>
          <w:i/>
          <w:sz w:val="18"/>
          <w:szCs w:val="18"/>
        </w:rPr>
        <w:t>$10 million to &lt; $20 million</w:t>
      </w:r>
    </w:p>
    <w:p w14:paraId="46617EAA" w14:textId="77777777" w:rsidR="002B75E5" w:rsidRPr="0034139A" w:rsidRDefault="002B75E5" w:rsidP="002B75E5">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34139A">
        <w:rPr>
          <w:rFonts w:ascii="Arial Narrow" w:hAnsi="Arial Narrow"/>
          <w:i/>
          <w:sz w:val="18"/>
          <w:szCs w:val="18"/>
        </w:rPr>
        <w:t>$</w:t>
      </w:r>
      <w:r>
        <w:rPr>
          <w:rFonts w:ascii="Arial Narrow" w:hAnsi="Arial Narrow"/>
          <w:i/>
          <w:sz w:val="18"/>
          <w:szCs w:val="18"/>
        </w:rPr>
        <w:t>2</w:t>
      </w:r>
      <w:r w:rsidRPr="0034139A">
        <w:rPr>
          <w:rFonts w:ascii="Arial Narrow" w:hAnsi="Arial Narrow"/>
          <w:i/>
          <w:sz w:val="18"/>
          <w:szCs w:val="18"/>
        </w:rPr>
        <w:t>0 million to &lt; $</w:t>
      </w:r>
      <w:r>
        <w:rPr>
          <w:rFonts w:ascii="Arial Narrow" w:hAnsi="Arial Narrow"/>
          <w:i/>
          <w:sz w:val="18"/>
          <w:szCs w:val="18"/>
        </w:rPr>
        <w:t>3</w:t>
      </w:r>
      <w:r w:rsidRPr="0034139A">
        <w:rPr>
          <w:rFonts w:ascii="Arial Narrow" w:hAnsi="Arial Narrow"/>
          <w:i/>
          <w:sz w:val="18"/>
          <w:szCs w:val="18"/>
        </w:rPr>
        <w:t>0 million</w:t>
      </w:r>
    </w:p>
    <w:p w14:paraId="25452344" w14:textId="77777777" w:rsidR="002B75E5" w:rsidRDefault="002B75E5" w:rsidP="002B75E5">
      <w:pPr>
        <w:rPr>
          <w:rFonts w:ascii="Arial Narrow" w:hAnsi="Arial Narrow"/>
          <w:i/>
          <w:sz w:val="18"/>
          <w:szCs w:val="18"/>
        </w:rPr>
      </w:pPr>
      <w:r w:rsidRPr="002B75E5">
        <w:rPr>
          <w:rFonts w:ascii="Arial Narrow" w:hAnsi="Arial Narrow"/>
          <w:i/>
          <w:sz w:val="18"/>
          <w:szCs w:val="18"/>
          <w:vertAlign w:val="superscript"/>
        </w:rPr>
        <w:t>6</w:t>
      </w:r>
      <w:r>
        <w:rPr>
          <w:rFonts w:ascii="Arial Narrow" w:hAnsi="Arial Narrow"/>
          <w:i/>
          <w:sz w:val="18"/>
          <w:szCs w:val="18"/>
        </w:rPr>
        <w:t xml:space="preserve"> </w:t>
      </w:r>
      <w:r w:rsidRPr="0034139A">
        <w:rPr>
          <w:rFonts w:ascii="Arial Narrow" w:hAnsi="Arial Narrow"/>
          <w:i/>
          <w:sz w:val="18"/>
          <w:szCs w:val="18"/>
        </w:rPr>
        <w:t>$</w:t>
      </w:r>
      <w:r>
        <w:rPr>
          <w:rFonts w:ascii="Arial Narrow" w:hAnsi="Arial Narrow"/>
          <w:i/>
          <w:sz w:val="18"/>
          <w:szCs w:val="18"/>
        </w:rPr>
        <w:t>3</w:t>
      </w:r>
      <w:r w:rsidRPr="0034139A">
        <w:rPr>
          <w:rFonts w:ascii="Arial Narrow" w:hAnsi="Arial Narrow"/>
          <w:i/>
          <w:sz w:val="18"/>
          <w:szCs w:val="18"/>
        </w:rPr>
        <w:t>0 million to &lt; $</w:t>
      </w:r>
      <w:r>
        <w:rPr>
          <w:rFonts w:ascii="Arial Narrow" w:hAnsi="Arial Narrow"/>
          <w:i/>
          <w:sz w:val="18"/>
          <w:szCs w:val="18"/>
        </w:rPr>
        <w:t>4</w:t>
      </w:r>
      <w:r w:rsidRPr="0034139A">
        <w:rPr>
          <w:rFonts w:ascii="Arial Narrow" w:hAnsi="Arial Narrow"/>
          <w:i/>
          <w:sz w:val="18"/>
          <w:szCs w:val="18"/>
        </w:rPr>
        <w:t>0 million</w:t>
      </w:r>
    </w:p>
    <w:p w14:paraId="6866BA92" w14:textId="77777777" w:rsidR="00646018" w:rsidRPr="00646018" w:rsidRDefault="00646018" w:rsidP="002B75E5">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646018">
        <w:rPr>
          <w:rFonts w:ascii="Arial Narrow" w:hAnsi="Arial Narrow"/>
          <w:i/>
          <w:sz w:val="18"/>
          <w:szCs w:val="18"/>
        </w:rPr>
        <w:t>$0 to &lt; $10 million</w:t>
      </w:r>
    </w:p>
    <w:p w14:paraId="48106F32" w14:textId="77777777" w:rsidR="00731AE7" w:rsidRPr="00131DA2" w:rsidRDefault="00731AE7" w:rsidP="00390AB1">
      <w:pPr>
        <w:pStyle w:val="TableFigureFooter"/>
      </w:pPr>
    </w:p>
    <w:p w14:paraId="3986AA2E" w14:textId="3EEED957" w:rsidR="00390AB1" w:rsidRPr="00131DA2" w:rsidRDefault="00390AB1" w:rsidP="006542BB">
      <w:pPr>
        <w:pStyle w:val="3-BodyText"/>
      </w:pPr>
      <w:r w:rsidRPr="00131DA2">
        <w:t xml:space="preserve">The total cost to the PBS/RPBS of listing niraparib was estimated to be </w:t>
      </w:r>
      <w:r w:rsidR="00646018" w:rsidRPr="00646018">
        <w:t>$10 million to &lt; $20 million</w:t>
      </w:r>
      <w:r w:rsidR="00646018" w:rsidRPr="00646018" w:rsidDel="00646018">
        <w:t xml:space="preserve"> </w:t>
      </w:r>
      <w:r w:rsidRPr="00131DA2">
        <w:t xml:space="preserve">in Year 6, and a total of more than </w:t>
      </w:r>
      <w:r w:rsidR="006542BB" w:rsidRPr="006542BB">
        <w:t xml:space="preserve">$60 million to &lt; $70 </w:t>
      </w:r>
      <w:r w:rsidR="00AF7DC3" w:rsidRPr="006542BB">
        <w:t>million</w:t>
      </w:r>
      <w:r w:rsidR="00AF7DC3" w:rsidRPr="00131DA2">
        <w:t xml:space="preserve"> in</w:t>
      </w:r>
      <w:r w:rsidRPr="00131DA2">
        <w:t xml:space="preserve"> the first 6 years of listing.</w:t>
      </w:r>
      <w:r w:rsidRPr="00131DA2">
        <w:rPr>
          <w:color w:val="3366FF"/>
        </w:rPr>
        <w:t xml:space="preserve"> </w:t>
      </w:r>
    </w:p>
    <w:p w14:paraId="7E3B7874" w14:textId="77777777" w:rsidR="00390AB1" w:rsidRPr="00131DA2" w:rsidRDefault="00390AB1" w:rsidP="00390AB1">
      <w:pPr>
        <w:pStyle w:val="3-BodyText"/>
        <w:rPr>
          <w:iCs/>
        </w:rPr>
      </w:pPr>
      <w:r w:rsidRPr="00131DA2">
        <w:rPr>
          <w:iCs/>
        </w:rPr>
        <w:t>The estimated financial implications for the PBS/RPBS listing of niraparib were sensitive to:</w:t>
      </w:r>
    </w:p>
    <w:p w14:paraId="4A8900DD" w14:textId="77777777" w:rsidR="00390AB1" w:rsidRPr="00131DA2" w:rsidRDefault="00390AB1" w:rsidP="00E7222F">
      <w:pPr>
        <w:pStyle w:val="3-BodyText"/>
        <w:numPr>
          <w:ilvl w:val="0"/>
          <w:numId w:val="10"/>
        </w:numPr>
        <w:rPr>
          <w:rFonts w:eastAsia="Calibri"/>
        </w:rPr>
      </w:pPr>
      <w:r w:rsidRPr="00131DA2">
        <w:rPr>
          <w:rFonts w:eastAsia="Calibri"/>
        </w:rPr>
        <w:t>Niraparib uptake rates. In the non-BRCAm population niraparib is expected to substitute bevacizumab, a</w:t>
      </w:r>
      <w:r w:rsidRPr="00701F69">
        <w:rPr>
          <w:rFonts w:eastAsia="Calibri"/>
        </w:rPr>
        <w:t xml:space="preserve"> </w:t>
      </w:r>
      <w:r w:rsidRPr="008D673D">
        <w:rPr>
          <w:rFonts w:eastAsia="Calibri"/>
        </w:rPr>
        <w:t>lower</w:t>
      </w:r>
      <w:r w:rsidRPr="00131DA2">
        <w:rPr>
          <w:rFonts w:eastAsia="Calibri"/>
        </w:rPr>
        <w:t xml:space="preserve"> cost medicine compared with niraparib, or SMM where no cost of medicines was considered. Whereas, in the BRCAm population niraparib is expected to substitute olaparib, a </w:t>
      </w:r>
      <w:r w:rsidRPr="00701F69">
        <w:rPr>
          <w:rFonts w:eastAsia="Calibri"/>
        </w:rPr>
        <w:t>higher</w:t>
      </w:r>
      <w:r w:rsidRPr="00131DA2">
        <w:rPr>
          <w:rFonts w:eastAsia="Calibri"/>
        </w:rPr>
        <w:t xml:space="preserve"> </w:t>
      </w:r>
      <w:r w:rsidR="005C0FF2" w:rsidRPr="00131DA2">
        <w:rPr>
          <w:rFonts w:eastAsia="Calibri"/>
        </w:rPr>
        <w:t>published price compared with the proposed effective price for</w:t>
      </w:r>
      <w:r w:rsidRPr="00131DA2">
        <w:rPr>
          <w:rFonts w:eastAsia="Calibri"/>
        </w:rPr>
        <w:t xml:space="preserve"> niraparib. Therefore, increasing the uptake of niraparib in the non-BRCAm cohorts or decreasing the uptake of niraparib in the BRCAm cohorts would result in a proportionally larger financial impact, and vice versa.</w:t>
      </w:r>
    </w:p>
    <w:p w14:paraId="04F2E88B" w14:textId="77777777" w:rsidR="00390AB1" w:rsidRPr="00131DA2" w:rsidRDefault="00390AB1" w:rsidP="00E7222F">
      <w:pPr>
        <w:pStyle w:val="3-BodyText"/>
        <w:numPr>
          <w:ilvl w:val="0"/>
          <w:numId w:val="10"/>
        </w:numPr>
        <w:rPr>
          <w:rFonts w:eastAsia="Calibri"/>
        </w:rPr>
      </w:pPr>
      <w:r w:rsidRPr="00131DA2">
        <w:rPr>
          <w:rFonts w:eastAsia="Calibri"/>
        </w:rPr>
        <w:t xml:space="preserve">Bevacizumab uptake. Reducing the estimated current bevacizumab uptake rate among newly diagnosed advanced HGEOC patients receiving first-line platinum-based chemotherapy prior to the listing of niraparib from 41.4% to 30%, the net PBS/RPBS implications of niraparib listing would increase by 18%. </w:t>
      </w:r>
    </w:p>
    <w:p w14:paraId="75CFD032" w14:textId="77777777" w:rsidR="00390AB1" w:rsidRPr="00131DA2" w:rsidRDefault="00390AB1" w:rsidP="006542BB">
      <w:pPr>
        <w:pStyle w:val="3-BodyText"/>
        <w:numPr>
          <w:ilvl w:val="0"/>
          <w:numId w:val="10"/>
        </w:numPr>
      </w:pPr>
      <w:r w:rsidRPr="00131DA2">
        <w:rPr>
          <w:rFonts w:eastAsia="Calibri"/>
        </w:rPr>
        <w:t xml:space="preserve">Prevalence of BRCAm. The change of this variable would affect the number of patients currently being treated with first-line olaparib (BRCAm patients only) or bevacizumab (in both BRCAm and non-BRCAm patients) who would otherwise receive niraparib if </w:t>
      </w:r>
      <w:r w:rsidR="005A364C">
        <w:rPr>
          <w:rFonts w:eastAsia="Calibri"/>
        </w:rPr>
        <w:t>PBS</w:t>
      </w:r>
      <w:r w:rsidRPr="00131DA2">
        <w:rPr>
          <w:rFonts w:eastAsia="Calibri"/>
        </w:rPr>
        <w:t xml:space="preserve"> listed. When a 25.3% prevalence rate as accepted by the PBAC was used (vs. 28.9% in base case), the net PBS/RPBS costs over the 6 years of listing would increase by 19% to </w:t>
      </w:r>
      <w:r w:rsidR="006542BB">
        <w:rPr>
          <w:rFonts w:eastAsia="Calibri"/>
        </w:rPr>
        <w:t>$70 million to &lt; $8</w:t>
      </w:r>
      <w:r w:rsidR="006542BB" w:rsidRPr="006542BB">
        <w:rPr>
          <w:rFonts w:eastAsia="Calibri"/>
        </w:rPr>
        <w:t>0 million</w:t>
      </w:r>
      <w:r w:rsidRPr="00131DA2">
        <w:rPr>
          <w:rFonts w:eastAsia="Calibri"/>
        </w:rPr>
        <w:t>.</w:t>
      </w:r>
    </w:p>
    <w:p w14:paraId="4072F4BE" w14:textId="77777777" w:rsidR="005C0FF2" w:rsidRPr="00131DA2" w:rsidRDefault="00603763" w:rsidP="005C0FF2">
      <w:pPr>
        <w:pStyle w:val="3-BodyText"/>
      </w:pPr>
      <w:r w:rsidRPr="00131DA2">
        <w:t xml:space="preserve">The PSCR provided revised estimates of financial implications to the PBS/RPBS, using: </w:t>
      </w:r>
    </w:p>
    <w:p w14:paraId="1523EA21" w14:textId="77777777" w:rsidR="005C0FF2" w:rsidRPr="00131DA2" w:rsidRDefault="00DA6C66" w:rsidP="00C16CC0">
      <w:pPr>
        <w:pStyle w:val="ListParagraph"/>
        <w:ind w:left="1134" w:hanging="425"/>
      </w:pPr>
      <w:r w:rsidRPr="00131DA2">
        <w:t xml:space="preserve">a </w:t>
      </w:r>
      <w:r w:rsidR="00603763" w:rsidRPr="00131DA2">
        <w:t xml:space="preserve">revised proportion of patients with epithelial ovarian cancer (83.7% vs. 90.9% in the submission); </w:t>
      </w:r>
    </w:p>
    <w:p w14:paraId="1DD9A3F2" w14:textId="77777777" w:rsidR="005C0FF2" w:rsidRPr="00131DA2" w:rsidRDefault="00DA6C66" w:rsidP="00C16CC0">
      <w:pPr>
        <w:pStyle w:val="ListParagraph"/>
        <w:ind w:left="1134" w:hanging="425"/>
      </w:pPr>
      <w:r w:rsidRPr="00131DA2">
        <w:t xml:space="preserve">the </w:t>
      </w:r>
      <w:r w:rsidR="00603763" w:rsidRPr="00131DA2">
        <w:t xml:space="preserve">corrected number of olaparib scripts, adjusting for dose interruptions (adjustment factor of 0.9535) and for the difference in days of treatment covered per olaparib script and the days in each month (adjustment factor of 1.087); and </w:t>
      </w:r>
    </w:p>
    <w:p w14:paraId="417337FB" w14:textId="77777777" w:rsidR="005C0FF2" w:rsidRPr="00131DA2" w:rsidRDefault="00DA6C66" w:rsidP="00C16CC0">
      <w:pPr>
        <w:pStyle w:val="ListParagraph"/>
        <w:ind w:left="1134" w:hanging="425"/>
      </w:pPr>
      <w:proofErr w:type="gramStart"/>
      <w:r w:rsidRPr="00131DA2">
        <w:t>an</w:t>
      </w:r>
      <w:proofErr w:type="gramEnd"/>
      <w:r w:rsidRPr="00131DA2">
        <w:t xml:space="preserve"> </w:t>
      </w:r>
      <w:r w:rsidR="00603763" w:rsidRPr="00131DA2">
        <w:t>updated effective ex-manufacturer price for niraparib proposed in the PSCR ($</w:t>
      </w:r>
      <w:r w:rsidR="001D7CF9">
        <w:rPr>
          <w:noProof/>
          <w:color w:val="000000"/>
          <w:highlight w:val="black"/>
        </w:rPr>
        <w:t>''''''''''''''''''</w:t>
      </w:r>
      <w:r w:rsidR="00603763" w:rsidRPr="00131DA2">
        <w:t xml:space="preserve"> vs. $</w:t>
      </w:r>
      <w:r w:rsidR="001D7CF9">
        <w:rPr>
          <w:noProof/>
          <w:color w:val="000000"/>
          <w:highlight w:val="black"/>
        </w:rPr>
        <w:t xml:space="preserve">'''''''''''''''' </w:t>
      </w:r>
      <w:r w:rsidR="00603763" w:rsidRPr="00131DA2">
        <w:t xml:space="preserve">per 100mg x 56 capsules). </w:t>
      </w:r>
    </w:p>
    <w:p w14:paraId="7C377371" w14:textId="62513540" w:rsidR="00603763" w:rsidRDefault="00603763" w:rsidP="005C0FF2">
      <w:pPr>
        <w:ind w:left="568"/>
      </w:pPr>
      <w:r w:rsidRPr="00131DA2">
        <w:t xml:space="preserve">Based on </w:t>
      </w:r>
      <w:r w:rsidR="005C0FF2" w:rsidRPr="00131DA2">
        <w:t>these changes</w:t>
      </w:r>
      <w:r w:rsidR="00DA6C66" w:rsidRPr="00131DA2">
        <w:t xml:space="preserve"> to the financial estimates</w:t>
      </w:r>
      <w:r w:rsidRPr="00131DA2">
        <w:t>,</w:t>
      </w:r>
      <w:r w:rsidR="00DA6C66" w:rsidRPr="00131DA2">
        <w:t xml:space="preserve"> the estimated</w:t>
      </w:r>
      <w:r w:rsidRPr="00131DA2">
        <w:t xml:space="preserve"> net cost to the PBS/RPBS </w:t>
      </w:r>
      <w:r w:rsidR="00DA6C66" w:rsidRPr="00131DA2">
        <w:t>was reduced to</w:t>
      </w:r>
      <w:r w:rsidRPr="00131DA2">
        <w:t xml:space="preserve"> </w:t>
      </w:r>
      <w:r w:rsidR="006542BB">
        <w:t>$30 million to &lt; $4</w:t>
      </w:r>
      <w:r w:rsidR="006542BB" w:rsidRPr="006542BB">
        <w:t xml:space="preserve">0 </w:t>
      </w:r>
      <w:r w:rsidR="00AF7DC3" w:rsidRPr="006542BB">
        <w:t>million</w:t>
      </w:r>
      <w:r w:rsidR="00AF7DC3" w:rsidRPr="00131DA2">
        <w:t xml:space="preserve"> over</w:t>
      </w:r>
      <w:r w:rsidRPr="00131DA2">
        <w:t xml:space="preserve"> the first 6 years of listing.</w:t>
      </w:r>
    </w:p>
    <w:p w14:paraId="7654BF64" w14:textId="77777777" w:rsidR="00C32FEF" w:rsidRDefault="00C32FEF" w:rsidP="005C0FF2">
      <w:pPr>
        <w:ind w:left="568"/>
      </w:pPr>
    </w:p>
    <w:p w14:paraId="2C3F5D95" w14:textId="77777777" w:rsidR="00390AB1" w:rsidRPr="00131DA2" w:rsidRDefault="00390AB1" w:rsidP="00390AB1">
      <w:pPr>
        <w:pStyle w:val="4-SubsectionHeading"/>
      </w:pPr>
      <w:bookmarkStart w:id="34" w:name="_Toc22897648"/>
      <w:bookmarkStart w:id="35" w:name="_Toc22898860"/>
      <w:bookmarkStart w:id="36" w:name="_Toc72246813"/>
      <w:r w:rsidRPr="00131DA2">
        <w:t>Quality Use of Medicines</w:t>
      </w:r>
      <w:bookmarkEnd w:id="34"/>
      <w:bookmarkEnd w:id="35"/>
      <w:bookmarkEnd w:id="36"/>
    </w:p>
    <w:p w14:paraId="15F5F985" w14:textId="77777777" w:rsidR="00390AB1" w:rsidRPr="00131DA2" w:rsidRDefault="00390AB1" w:rsidP="00390AB1">
      <w:pPr>
        <w:pStyle w:val="3-BodyText"/>
      </w:pPr>
      <w:r w:rsidRPr="00131DA2">
        <w:t>The submission noted additional pharmacovigilance activities outlined in the regulatory dossier, as part of ensuring the quality of use of niraparib: specific adverse reaction follow-up questionnaires to ensure additional follow-up information when cases occur and to monitor outcomes and trends in incidence and evaluation of risk factor for acute myeloid leukaemia/myelodysplastic syndrome and second primary malignancies.</w:t>
      </w:r>
    </w:p>
    <w:p w14:paraId="1872155F" w14:textId="77777777" w:rsidR="00390AB1" w:rsidRPr="00131DA2" w:rsidRDefault="00390AB1" w:rsidP="00390AB1">
      <w:pPr>
        <w:pStyle w:val="3-BodyText"/>
      </w:pPr>
      <w:r w:rsidRPr="00131DA2">
        <w:t>The submission also outlined activities being developed to support the quality use of medicine</w:t>
      </w:r>
      <w:r w:rsidR="001F4D1B">
        <w:t>s</w:t>
      </w:r>
      <w:r w:rsidRPr="00131DA2">
        <w:t xml:space="preserve">, a patient access program, educational activities (e.g. webinars), advisory boards, and health care provider and patient brochures. </w:t>
      </w:r>
    </w:p>
    <w:p w14:paraId="6BAA9DDF" w14:textId="77777777" w:rsidR="00390AB1" w:rsidRPr="00131DA2" w:rsidRDefault="00390AB1" w:rsidP="00390AB1">
      <w:pPr>
        <w:pStyle w:val="4-SubsectionHeading"/>
      </w:pPr>
      <w:bookmarkStart w:id="37" w:name="_Toc22897649"/>
      <w:bookmarkStart w:id="38" w:name="_Toc22898861"/>
      <w:bookmarkStart w:id="39" w:name="_Toc72246814"/>
      <w:r w:rsidRPr="00131DA2">
        <w:t>Financial Management – Risk Sharing Arrangements</w:t>
      </w:r>
      <w:bookmarkEnd w:id="37"/>
      <w:bookmarkEnd w:id="38"/>
      <w:bookmarkEnd w:id="39"/>
    </w:p>
    <w:p w14:paraId="0B777557" w14:textId="77777777" w:rsidR="003668A8" w:rsidRPr="00131DA2" w:rsidRDefault="00C911FE" w:rsidP="003668A8">
      <w:pPr>
        <w:pStyle w:val="ListParagraph"/>
        <w:numPr>
          <w:ilvl w:val="1"/>
          <w:numId w:val="1"/>
        </w:numPr>
      </w:pPr>
      <w:r>
        <w:t>The submission did not propose a</w:t>
      </w:r>
      <w:r w:rsidRPr="00131DA2">
        <w:t xml:space="preserve"> </w:t>
      </w:r>
      <w:r w:rsidR="00390AB1" w:rsidRPr="00131DA2">
        <w:t xml:space="preserve">risk-sharing arrangement (RSA). It is expected that the listing of first-line niraparib would affect the extent of use of olaparib in BRCAm patients. </w:t>
      </w:r>
    </w:p>
    <w:p w14:paraId="00DD51DE" w14:textId="77777777" w:rsidR="003668A8" w:rsidRPr="00131DA2" w:rsidRDefault="003668A8" w:rsidP="001358B3">
      <w:pPr>
        <w:pStyle w:val="ListParagraph"/>
        <w:numPr>
          <w:ilvl w:val="1"/>
          <w:numId w:val="1"/>
        </w:numPr>
        <w:rPr>
          <w:rFonts w:cs="Times New Roman"/>
        </w:rPr>
      </w:pPr>
      <w:r w:rsidRPr="00131DA2">
        <w:t xml:space="preserve">The PSCR acknowledged </w:t>
      </w:r>
      <w:r w:rsidRPr="00131DA2">
        <w:rPr>
          <w:rFonts w:cs="Times New Roman"/>
        </w:rPr>
        <w:t xml:space="preserve">that an RSA will be required for the PBS listing of niraparib. The PSCR noted that given the different populations (niraparib = 1L all comers; olaparib = 1L and 2L BRCAm), associated effective prices and the inability to distinguish niraparib utilisation based on BRCA status there are several challenges associated with a joint cap. </w:t>
      </w:r>
      <w:r w:rsidR="00C143DD">
        <w:rPr>
          <w:rFonts w:cs="Times New Roman"/>
        </w:rPr>
        <w:t>T</w:t>
      </w:r>
      <w:r w:rsidRPr="00131DA2">
        <w:rPr>
          <w:rFonts w:cs="Times New Roman"/>
        </w:rPr>
        <w:t xml:space="preserve">he sponsor recognised that a joint cap, with expansion of the existing olaparib arrangement (1L &amp; 2L BRCAm) to include the estimated expenditure from the non-BRCAm cohort for niraparib 1L may limit the above </w:t>
      </w:r>
      <w:r w:rsidR="00987556" w:rsidRPr="00131DA2">
        <w:rPr>
          <w:rFonts w:cs="Times New Roman"/>
        </w:rPr>
        <w:t>challenges</w:t>
      </w:r>
      <w:r w:rsidRPr="00131DA2">
        <w:rPr>
          <w:rFonts w:cs="Times New Roman"/>
        </w:rPr>
        <w:t xml:space="preserve">.    </w:t>
      </w:r>
    </w:p>
    <w:p w14:paraId="459A5B29" w14:textId="77777777" w:rsidR="00A238BC" w:rsidRPr="00131DA2" w:rsidRDefault="00A238BC" w:rsidP="00A238BC">
      <w:pPr>
        <w:ind w:firstLine="709"/>
        <w:rPr>
          <w:rFonts w:asciiTheme="minorHAnsi" w:hAnsiTheme="minorHAnsi"/>
          <w:i/>
        </w:rPr>
      </w:pPr>
      <w:r w:rsidRPr="00131DA2">
        <w:rPr>
          <w:rFonts w:asciiTheme="minorHAnsi" w:hAnsiTheme="minorHAnsi"/>
          <w:i/>
        </w:rPr>
        <w:t>For more detail on PBAC’s view, see section 7 PBAC outcome.</w:t>
      </w:r>
    </w:p>
    <w:p w14:paraId="41019B01" w14:textId="77777777" w:rsidR="008C2940" w:rsidRPr="00A662B3" w:rsidRDefault="008C2940" w:rsidP="008C2940">
      <w:pPr>
        <w:pStyle w:val="2-SectionHeading"/>
        <w:numPr>
          <w:ilvl w:val="0"/>
          <w:numId w:val="1"/>
        </w:numPr>
      </w:pPr>
      <w:r w:rsidRPr="00A662B3">
        <w:t>PBAC Outcome</w:t>
      </w:r>
    </w:p>
    <w:p w14:paraId="75A45678" w14:textId="77777777" w:rsidR="009036DB" w:rsidRPr="009036DB" w:rsidRDefault="009036DB" w:rsidP="009036DB">
      <w:pPr>
        <w:pStyle w:val="3-BodyText"/>
        <w:rPr>
          <w:bCs/>
        </w:rPr>
      </w:pPr>
      <w:r w:rsidRPr="009036DB">
        <w:rPr>
          <w:bCs/>
        </w:rPr>
        <w:t>The PBAC did not recommend niraparib for the treatment of newly diagnosed advanced, high-grade epithelial ovarian, fallopian tube or primary peritoneal cancer (HGEOC), who are in response to platinum-based chemotherapy. The PBAC was unable to assess the incremental clinical and economic effectiveness based on the submission provided, which did not include the relevant comparator for patients with BRCA1/2 pathogenic gene variants who would be treated with olaparib</w:t>
      </w:r>
      <w:r w:rsidR="00021491">
        <w:rPr>
          <w:bCs/>
        </w:rPr>
        <w:t>,</w:t>
      </w:r>
      <w:r w:rsidRPr="009036DB">
        <w:rPr>
          <w:bCs/>
        </w:rPr>
        <w:t xml:space="preserve"> or for patients who would </w:t>
      </w:r>
      <w:r>
        <w:rPr>
          <w:bCs/>
        </w:rPr>
        <w:t xml:space="preserve">otherwise </w:t>
      </w:r>
      <w:r w:rsidRPr="009036DB">
        <w:rPr>
          <w:bCs/>
        </w:rPr>
        <w:t>be treated with bevacizumab. The PBAC noted that the progression free survival (PFS) benefit from treatment with niraparib varied depending on the presence of BRCA1/2 pathogenic gene variants and homologous repair deficiency (HRD) status. The PBAC considered there may be differences in benefits and harms in the different patient subgroups, if niraparib is used in place of olaparib, bevacizumab or standard medical management</w:t>
      </w:r>
      <w:r w:rsidR="00385AFD">
        <w:rPr>
          <w:bCs/>
        </w:rPr>
        <w:t xml:space="preserve"> (SMM)</w:t>
      </w:r>
      <w:r w:rsidRPr="009036DB">
        <w:rPr>
          <w:bCs/>
        </w:rPr>
        <w:t xml:space="preserve">, and that these potential differences were not adequately </w:t>
      </w:r>
      <w:r w:rsidR="00E03667">
        <w:rPr>
          <w:bCs/>
        </w:rPr>
        <w:t>addressed</w:t>
      </w:r>
      <w:r w:rsidRPr="009036DB">
        <w:rPr>
          <w:bCs/>
        </w:rPr>
        <w:t xml:space="preserve"> in the submission.  </w:t>
      </w:r>
    </w:p>
    <w:p w14:paraId="3C962305" w14:textId="77777777" w:rsidR="009036DB" w:rsidRPr="009036DB" w:rsidRDefault="003859D6" w:rsidP="00753D17">
      <w:pPr>
        <w:pStyle w:val="3-BodyText"/>
        <w:rPr>
          <w:rFonts w:cstheme="minorHAnsi"/>
          <w:b/>
        </w:rPr>
      </w:pPr>
      <w:r>
        <w:t>The PBAC noted that the NCCN guidelines</w:t>
      </w:r>
      <w:r w:rsidRPr="001D7946">
        <w:rPr>
          <w:vertAlign w:val="superscript"/>
        </w:rPr>
        <w:t xml:space="preserve"> </w:t>
      </w:r>
      <w:r>
        <w:t xml:space="preserve">include niraparib as an alternative to olaparib in BRCAm patients, and as an alternative to observation </w:t>
      </w:r>
      <w:r w:rsidR="00F11763">
        <w:t xml:space="preserve">(SMM) </w:t>
      </w:r>
      <w:r>
        <w:t>in non</w:t>
      </w:r>
      <w:r w:rsidR="00F11763">
        <w:noBreakHyphen/>
      </w:r>
      <w:r>
        <w:t>BRACm patients</w:t>
      </w:r>
      <w:r w:rsidR="00451AF9">
        <w:t xml:space="preserve">, especially those </w:t>
      </w:r>
      <w:r w:rsidR="006E5330">
        <w:t xml:space="preserve">patients </w:t>
      </w:r>
      <w:r w:rsidR="00451AF9">
        <w:t>whose tumours are HRD-positive</w:t>
      </w:r>
      <w:r w:rsidR="00E03667">
        <w:t xml:space="preserve">. </w:t>
      </w:r>
      <w:r w:rsidR="00E03667">
        <w:rPr>
          <w:rFonts w:cstheme="minorHAnsi"/>
        </w:rPr>
        <w:t xml:space="preserve">The PBAC considered that for patients without BRCAm there is a moderate need for additional PBS therapies, noting that </w:t>
      </w:r>
      <w:r w:rsidR="00805281">
        <w:rPr>
          <w:rFonts w:cstheme="minorHAnsi"/>
        </w:rPr>
        <w:t xml:space="preserve">no </w:t>
      </w:r>
      <w:r w:rsidR="00E03667">
        <w:rPr>
          <w:rFonts w:cstheme="minorHAnsi"/>
        </w:rPr>
        <w:t xml:space="preserve">PARP inhibitors </w:t>
      </w:r>
      <w:r w:rsidR="00805281">
        <w:rPr>
          <w:rFonts w:cstheme="minorHAnsi"/>
        </w:rPr>
        <w:t>are</w:t>
      </w:r>
      <w:r w:rsidR="00E03667">
        <w:rPr>
          <w:rFonts w:cstheme="minorHAnsi"/>
        </w:rPr>
        <w:t xml:space="preserve"> PBS listed for this population though other treatments, such as bevacizumab, are available. </w:t>
      </w:r>
      <w:r w:rsidR="00E03667">
        <w:t>The PBAC also noted that NCCN guidelines state</w:t>
      </w:r>
      <w:r w:rsidR="000550AE">
        <w:t xml:space="preserve"> that </w:t>
      </w:r>
      <w:r w:rsidR="00021491">
        <w:t>in the absence of BRCAm</w:t>
      </w:r>
      <w:r>
        <w:t xml:space="preserve">, homologous recombination status may provide information on the magnitude of benefit of PARPi therapy. The PBAC noted that HRD testing is not currently part of the standard clinical management of HGEOC in Australia. </w:t>
      </w:r>
    </w:p>
    <w:p w14:paraId="66CA402B" w14:textId="77777777" w:rsidR="009036DB" w:rsidRPr="00131DA2" w:rsidRDefault="00F11763" w:rsidP="008941B7">
      <w:pPr>
        <w:pStyle w:val="3-BodyText"/>
      </w:pPr>
      <w:r>
        <w:t xml:space="preserve">The PBAC </w:t>
      </w:r>
      <w:r w:rsidR="00180180">
        <w:t>noted that patients with Stage III HGEOC, R0 after PDS were excluded from the PRIMA trial</w:t>
      </w:r>
      <w:r w:rsidR="00021491">
        <w:t xml:space="preserve">, </w:t>
      </w:r>
      <w:r w:rsidR="00805281">
        <w:t>h</w:t>
      </w:r>
      <w:r w:rsidR="00021491">
        <w:t>owever</w:t>
      </w:r>
      <w:r w:rsidR="00180180">
        <w:t xml:space="preserve"> the PBAC considered</w:t>
      </w:r>
      <w:r>
        <w:t xml:space="preserve"> that </w:t>
      </w:r>
      <w:r w:rsidR="00180180">
        <w:t xml:space="preserve">it was </w:t>
      </w:r>
      <w:r w:rsidR="00033B6B">
        <w:t xml:space="preserve">clinically </w:t>
      </w:r>
      <w:r w:rsidR="00180180">
        <w:t xml:space="preserve">appropriate that the </w:t>
      </w:r>
      <w:r>
        <w:t xml:space="preserve">listing </w:t>
      </w:r>
      <w:r w:rsidR="00180180">
        <w:t xml:space="preserve">include </w:t>
      </w:r>
      <w:r w:rsidR="008941B7">
        <w:t xml:space="preserve">all </w:t>
      </w:r>
      <w:r w:rsidR="00180180">
        <w:t>patients with S</w:t>
      </w:r>
      <w:r>
        <w:t>tage III/IV</w:t>
      </w:r>
      <w:r w:rsidR="00180180">
        <w:t xml:space="preserve"> </w:t>
      </w:r>
      <w:r w:rsidR="008941B7">
        <w:t>HGEOC. The PBAC considered that it would be appropriate for</w:t>
      </w:r>
      <w:r w:rsidRPr="00F11763">
        <w:t xml:space="preserve"> </w:t>
      </w:r>
      <w:r w:rsidR="008941B7">
        <w:t xml:space="preserve">restrictions to limit </w:t>
      </w:r>
      <w:r>
        <w:t>a</w:t>
      </w:r>
      <w:r w:rsidR="008941B7">
        <w:t>ccess to PARP inhibitors</w:t>
      </w:r>
      <w:r>
        <w:t xml:space="preserve"> to one course per patient lifetime </w:t>
      </w:r>
      <w:r w:rsidR="00451AF9">
        <w:t>and</w:t>
      </w:r>
      <w:r w:rsidRPr="00D5673B">
        <w:t xml:space="preserve"> the duration of treatment </w:t>
      </w:r>
      <w:r w:rsidR="00C26839">
        <w:t>should be consistent</w:t>
      </w:r>
      <w:r>
        <w:t xml:space="preserve"> with</w:t>
      </w:r>
      <w:r w:rsidRPr="00D5673B">
        <w:t xml:space="preserve"> the </w:t>
      </w:r>
      <w:r w:rsidR="00C26839">
        <w:t xml:space="preserve">clinical data, </w:t>
      </w:r>
      <w:r w:rsidRPr="00D5673B">
        <w:t>economic model and financial estimates.</w:t>
      </w:r>
    </w:p>
    <w:p w14:paraId="780CAB27" w14:textId="77777777" w:rsidR="00C20401" w:rsidRPr="00C20401" w:rsidRDefault="001C0C9B" w:rsidP="00497CED">
      <w:pPr>
        <w:pStyle w:val="3-BodyText"/>
        <w:rPr>
          <w:rFonts w:cstheme="minorHAnsi"/>
        </w:rPr>
      </w:pPr>
      <w:r w:rsidRPr="00C20401">
        <w:rPr>
          <w:bCs/>
        </w:rPr>
        <w:t xml:space="preserve">The PBAC noted that </w:t>
      </w:r>
      <w:r w:rsidR="009468C3" w:rsidRPr="00C20401">
        <w:rPr>
          <w:bCs/>
        </w:rPr>
        <w:t>for patients with</w:t>
      </w:r>
      <w:r w:rsidR="009468C3">
        <w:t xml:space="preserve"> </w:t>
      </w:r>
      <w:r w:rsidR="008224EE">
        <w:t>BRCA1/2 pathological variants</w:t>
      </w:r>
      <w:r w:rsidRPr="00A662B3">
        <w:t xml:space="preserve"> olaparib is the appropriate comparator</w:t>
      </w:r>
      <w:r w:rsidR="009468C3">
        <w:t>, whil</w:t>
      </w:r>
      <w:r w:rsidR="00385AFD">
        <w:t>e for patients without BRCAm the appropriate comparator is either bevacizumab or SMM</w:t>
      </w:r>
      <w:r w:rsidR="008224EE">
        <w:t>, noting that not all eligible patients would be treated with bevacizumab</w:t>
      </w:r>
      <w:r w:rsidR="001222BC">
        <w:t xml:space="preserve"> due to its benefit</w:t>
      </w:r>
      <w:proofErr w:type="gramStart"/>
      <w:r w:rsidR="001222BC">
        <w:t>:risk</w:t>
      </w:r>
      <w:proofErr w:type="gramEnd"/>
      <w:r w:rsidR="001222BC">
        <w:t xml:space="preserve"> profile</w:t>
      </w:r>
      <w:r w:rsidR="00385AFD">
        <w:t xml:space="preserve">. The PBAC noted that the submission nominated the appropriate comparators but </w:t>
      </w:r>
      <w:r w:rsidR="008224EE" w:rsidRPr="00C20401">
        <w:rPr>
          <w:bCs/>
        </w:rPr>
        <w:t>did not present clinical evidence for niraparib versus olaparib or bevacizumab in the relevant populations and did not present an economic model t</w:t>
      </w:r>
      <w:r w:rsidR="00C20401">
        <w:rPr>
          <w:bCs/>
        </w:rPr>
        <w:t xml:space="preserve">hat included these comparators. </w:t>
      </w:r>
      <w:r w:rsidR="00A3706F" w:rsidRPr="00C20401">
        <w:rPr>
          <w:bCs/>
        </w:rPr>
        <w:t xml:space="preserve">Therefore, </w:t>
      </w:r>
      <w:r w:rsidR="00C20401" w:rsidRPr="00C20401">
        <w:rPr>
          <w:bCs/>
        </w:rPr>
        <w:t>t</w:t>
      </w:r>
      <w:r w:rsidR="00C20401" w:rsidRPr="00C20401">
        <w:rPr>
          <w:rFonts w:cstheme="minorHAnsi"/>
        </w:rPr>
        <w:t xml:space="preserve">he PBAC considered that the comparative clinical effectiveness and cost-effectiveness of niraparib in the proposed PBS population could not be assessed based on the clinical evidence and economic evaluation presented in the submission. Importantly, the PBAC considered there may be differences in benefits and harms in </w:t>
      </w:r>
      <w:r w:rsidR="001D4C12">
        <w:rPr>
          <w:rFonts w:cstheme="minorHAnsi"/>
        </w:rPr>
        <w:t>the different patient subgroups</w:t>
      </w:r>
      <w:r w:rsidR="00C20401" w:rsidRPr="00C20401">
        <w:rPr>
          <w:rFonts w:cstheme="minorHAnsi"/>
        </w:rPr>
        <w:t xml:space="preserve"> if niraparib is used in place of olaparib, bevacizumab or SMM.</w:t>
      </w:r>
    </w:p>
    <w:p w14:paraId="190EE8D6" w14:textId="77777777" w:rsidR="00E76398" w:rsidRPr="005A704F" w:rsidRDefault="00A3706F" w:rsidP="00497CED">
      <w:pPr>
        <w:pStyle w:val="3-BodyText"/>
        <w:ind w:left="709"/>
      </w:pPr>
      <w:r w:rsidRPr="005A704F">
        <w:t xml:space="preserve">The PBAC noted that the evidence presented in the submission was based on a direct comparison of niraparib versus placebo </w:t>
      </w:r>
      <w:r w:rsidR="008122F5">
        <w:t xml:space="preserve">(SMM) </w:t>
      </w:r>
      <w:r w:rsidRPr="005A704F">
        <w:t xml:space="preserve">from the PRIMA trial, a phase 3, randomised, double-blind, placebo-controlled, multicentre study of niraparib maintenance treatment in patients with advanced ovarian cancer following response </w:t>
      </w:r>
      <w:r w:rsidR="00C20401" w:rsidRPr="005A704F">
        <w:t>to</w:t>
      </w:r>
      <w:r w:rsidRPr="005A704F">
        <w:t xml:space="preserve"> front-line platinum-based chemotherapy. </w:t>
      </w:r>
    </w:p>
    <w:p w14:paraId="6C072258" w14:textId="77777777" w:rsidR="00832F19" w:rsidRPr="005A704F" w:rsidRDefault="00E76398" w:rsidP="001D4C12">
      <w:pPr>
        <w:pStyle w:val="3-BodyText"/>
      </w:pPr>
      <w:r w:rsidRPr="005A704F">
        <w:t xml:space="preserve">The PBAC noted that the sponsor also presented results of the SOLO-1 trial (olaparib versus placebo) and </w:t>
      </w:r>
      <w:r w:rsidR="00F60318" w:rsidRPr="005A704F">
        <w:t xml:space="preserve">the </w:t>
      </w:r>
      <w:r w:rsidRPr="005A704F">
        <w:t xml:space="preserve">ICON-7 </w:t>
      </w:r>
      <w:r w:rsidR="00F60318" w:rsidRPr="005A704F">
        <w:t xml:space="preserve">trial </w:t>
      </w:r>
      <w:r w:rsidRPr="005A704F">
        <w:t>(bevacizumab ve</w:t>
      </w:r>
      <w:r w:rsidR="00C911FE">
        <w:t>r</w:t>
      </w:r>
      <w:r w:rsidRPr="005A704F">
        <w:t xml:space="preserve">sus placebo). The submission claimed that indirect comparisons between niraparib and olaparib or bevacizumab </w:t>
      </w:r>
      <w:r w:rsidR="00F60318" w:rsidRPr="005A704F">
        <w:t xml:space="preserve">using these trials </w:t>
      </w:r>
      <w:r w:rsidRPr="005A704F">
        <w:t>could not be performed due to significant heterogeneity between trials</w:t>
      </w:r>
      <w:r w:rsidR="00F60318" w:rsidRPr="005A704F">
        <w:t>. C</w:t>
      </w:r>
      <w:r w:rsidRPr="005A704F">
        <w:t xml:space="preserve">onsequently, the clinical </w:t>
      </w:r>
      <w:r w:rsidR="001222BC">
        <w:t>claim and economic model were</w:t>
      </w:r>
      <w:r w:rsidRPr="005A704F">
        <w:t xml:space="preserve"> primarily informed by the head-to-head comparison of niraparib versus placebo in the ITT population of the PRIMA trial. </w:t>
      </w:r>
    </w:p>
    <w:p w14:paraId="68BD8A8B" w14:textId="616B2C57" w:rsidR="00832F19" w:rsidRPr="005A704F" w:rsidRDefault="00C909C2" w:rsidP="001D4C12">
      <w:pPr>
        <w:pStyle w:val="3-BodyText"/>
        <w:rPr>
          <w:snapToGrid/>
        </w:rPr>
      </w:pPr>
      <w:r w:rsidRPr="005A704F">
        <w:t xml:space="preserve">The PBAC acknowledged that </w:t>
      </w:r>
      <w:r w:rsidR="00130D6C" w:rsidRPr="005A704F">
        <w:t>a</w:t>
      </w:r>
      <w:r w:rsidR="00C765A0">
        <w:t xml:space="preserve"> formal quant</w:t>
      </w:r>
      <w:r w:rsidR="00C911FE">
        <w:t>it</w:t>
      </w:r>
      <w:r w:rsidR="00C765A0">
        <w:t>ative</w:t>
      </w:r>
      <w:r w:rsidR="00130D6C" w:rsidRPr="005A704F">
        <w:t xml:space="preserve"> indirect </w:t>
      </w:r>
      <w:r w:rsidRPr="005A704F">
        <w:t xml:space="preserve">comparison between niraparib and bevacizumab based on the PRIMA and ICON-7 trials </w:t>
      </w:r>
      <w:r w:rsidR="00C765A0">
        <w:t>w</w:t>
      </w:r>
      <w:r w:rsidR="00D05154">
        <w:t>ould</w:t>
      </w:r>
      <w:r w:rsidR="00C765A0">
        <w:t xml:space="preserve"> be difficult</w:t>
      </w:r>
      <w:r w:rsidRPr="005A704F">
        <w:t xml:space="preserve"> because the ICON</w:t>
      </w:r>
      <w:r w:rsidRPr="005A704F">
        <w:noBreakHyphen/>
        <w:t xml:space="preserve">7 study was </w:t>
      </w:r>
      <w:r w:rsidR="00D05154">
        <w:t xml:space="preserve">a </w:t>
      </w:r>
      <w:r w:rsidRPr="005A704F">
        <w:t xml:space="preserve">considerably older </w:t>
      </w:r>
      <w:r w:rsidR="00D05154">
        <w:t xml:space="preserve">study </w:t>
      </w:r>
      <w:r w:rsidRPr="005A704F">
        <w:t xml:space="preserve">and included a substantially different patient population than </w:t>
      </w:r>
      <w:r w:rsidR="001222BC">
        <w:t xml:space="preserve">the </w:t>
      </w:r>
      <w:r w:rsidR="003A052C">
        <w:t>PRIMA trial</w:t>
      </w:r>
      <w:r w:rsidRPr="005A704F">
        <w:t xml:space="preserve">. However the PBAC also recalled that it had previously recognised bevacizumab as a relevant comparator to olaparib in a subgroup of patients </w:t>
      </w:r>
      <w:r w:rsidR="00C911FE">
        <w:t xml:space="preserve">in </w:t>
      </w:r>
      <w:r w:rsidRPr="005A704F">
        <w:t>the 1L setting during its consideration of olaparib in July 2020</w:t>
      </w:r>
      <w:r w:rsidR="003A052C">
        <w:t xml:space="preserve"> and that</w:t>
      </w:r>
      <w:r w:rsidRPr="005A704F">
        <w:t xml:space="preserve"> the sponsor of olaparib provided a qualitative analysis using data from trials </w:t>
      </w:r>
      <w:r w:rsidRPr="005A704F">
        <w:rPr>
          <w:snapToGrid/>
        </w:rPr>
        <w:t>comparing efficacy of bevacizumab to olaparib (from SOLO-1) (</w:t>
      </w:r>
      <w:r w:rsidR="00AF7DC3" w:rsidRPr="005A704F">
        <w:rPr>
          <w:snapToGrid/>
        </w:rPr>
        <w:t>paragraph</w:t>
      </w:r>
      <w:r w:rsidRPr="005A704F">
        <w:rPr>
          <w:snapToGrid/>
        </w:rPr>
        <w:t xml:space="preserve"> 2.4, olaparib PSD, July 2020 PBAC Meeting).</w:t>
      </w:r>
      <w:r w:rsidR="00130D6C" w:rsidRPr="005A704F">
        <w:rPr>
          <w:snapToGrid/>
        </w:rPr>
        <w:t xml:space="preserve"> </w:t>
      </w:r>
    </w:p>
    <w:p w14:paraId="4A78EB02" w14:textId="77777777" w:rsidR="00A3706F" w:rsidRPr="005A704F" w:rsidRDefault="00832F19" w:rsidP="001D4C12">
      <w:pPr>
        <w:pStyle w:val="3-BodyText"/>
      </w:pPr>
      <w:r w:rsidRPr="005A704F">
        <w:rPr>
          <w:snapToGrid/>
        </w:rPr>
        <w:t>The PBAC noted that</w:t>
      </w:r>
      <w:r w:rsidR="005A704F">
        <w:rPr>
          <w:snapToGrid/>
        </w:rPr>
        <w:t xml:space="preserve"> olaparib was the relevant comparator for the BRCAm population however</w:t>
      </w:r>
      <w:r w:rsidRPr="005A704F">
        <w:rPr>
          <w:snapToGrid/>
        </w:rPr>
        <w:t xml:space="preserve"> the sponsor maintained that </w:t>
      </w:r>
      <w:r w:rsidR="003A052C" w:rsidRPr="005A704F">
        <w:rPr>
          <w:snapToGrid/>
        </w:rPr>
        <w:t xml:space="preserve">an adjusted indirect comparison </w:t>
      </w:r>
      <w:r w:rsidR="003A052C">
        <w:rPr>
          <w:snapToGrid/>
        </w:rPr>
        <w:t xml:space="preserve">using the </w:t>
      </w:r>
      <w:r w:rsidR="003A052C" w:rsidRPr="005A704F">
        <w:rPr>
          <w:snapToGrid/>
        </w:rPr>
        <w:t>SOLO-1</w:t>
      </w:r>
      <w:r w:rsidR="003A052C">
        <w:rPr>
          <w:snapToGrid/>
        </w:rPr>
        <w:t xml:space="preserve"> and PRIMA trials was </w:t>
      </w:r>
      <w:r w:rsidR="003A052C" w:rsidRPr="005A704F">
        <w:rPr>
          <w:snapToGrid/>
        </w:rPr>
        <w:t>inappropriate</w:t>
      </w:r>
      <w:r w:rsidR="003A052C">
        <w:rPr>
          <w:snapToGrid/>
        </w:rPr>
        <w:t xml:space="preserve"> due to </w:t>
      </w:r>
      <w:r w:rsidR="003A052C" w:rsidRPr="005A704F">
        <w:rPr>
          <w:snapToGrid/>
        </w:rPr>
        <w:t>differences in baseline demographics between</w:t>
      </w:r>
      <w:r w:rsidR="003A052C">
        <w:rPr>
          <w:snapToGrid/>
        </w:rPr>
        <w:t xml:space="preserve"> patients in</w:t>
      </w:r>
      <w:r w:rsidR="003A052C" w:rsidRPr="005A704F">
        <w:rPr>
          <w:snapToGrid/>
        </w:rPr>
        <w:t xml:space="preserve"> the SOLO-1 trial and the BRCAm patient populati</w:t>
      </w:r>
      <w:r w:rsidR="003A052C">
        <w:rPr>
          <w:snapToGrid/>
        </w:rPr>
        <w:t xml:space="preserve">on in the PRIMA trial and </w:t>
      </w:r>
      <w:r w:rsidRPr="005A704F">
        <w:rPr>
          <w:snapToGrid/>
        </w:rPr>
        <w:t xml:space="preserve">the population in PRIMA may have poorer prognosis than the population in SOLO-1. The sponsor also argued that conducting a MAIC would not be </w:t>
      </w:r>
      <w:r w:rsidR="00FB22DF" w:rsidRPr="005A704F">
        <w:rPr>
          <w:snapToGrid/>
        </w:rPr>
        <w:t>informative</w:t>
      </w:r>
      <w:r w:rsidRPr="005A704F">
        <w:rPr>
          <w:snapToGrid/>
        </w:rPr>
        <w:t xml:space="preserve"> as </w:t>
      </w:r>
      <w:r w:rsidR="00FB22DF" w:rsidRPr="005A704F">
        <w:rPr>
          <w:snapToGrid/>
        </w:rPr>
        <w:t xml:space="preserve">matching would result in a </w:t>
      </w:r>
      <w:r w:rsidR="003A052C">
        <w:rPr>
          <w:snapToGrid/>
        </w:rPr>
        <w:t>considerably</w:t>
      </w:r>
      <w:r w:rsidR="00207CEC">
        <w:rPr>
          <w:snapToGrid/>
        </w:rPr>
        <w:t xml:space="preserve"> reduced</w:t>
      </w:r>
      <w:r w:rsidR="00FB22DF" w:rsidRPr="005A704F">
        <w:rPr>
          <w:snapToGrid/>
        </w:rPr>
        <w:t xml:space="preserve"> </w:t>
      </w:r>
      <w:r w:rsidRPr="005A704F">
        <w:rPr>
          <w:snapToGrid/>
        </w:rPr>
        <w:t>sample size</w:t>
      </w:r>
      <w:r w:rsidR="00FB22DF" w:rsidRPr="005A704F">
        <w:rPr>
          <w:snapToGrid/>
        </w:rPr>
        <w:t xml:space="preserve"> available for comparison</w:t>
      </w:r>
      <w:r w:rsidRPr="005A704F">
        <w:rPr>
          <w:snapToGrid/>
        </w:rPr>
        <w:t xml:space="preserve">. </w:t>
      </w:r>
      <w:r w:rsidR="00FB22DF" w:rsidRPr="005A704F">
        <w:rPr>
          <w:snapToGrid/>
        </w:rPr>
        <w:t xml:space="preserve">The PBAC noted that the ESC considered a comparison between niraparib and olaparib may have been achievable with the PRIMA and SOLO-1 trials, noting that concerns regarding the transitivity of the studies </w:t>
      </w:r>
      <w:r w:rsidR="00401CB7" w:rsidRPr="005A704F">
        <w:rPr>
          <w:snapToGrid/>
        </w:rPr>
        <w:t xml:space="preserve">would need to be considered in interpretation of the results. </w:t>
      </w:r>
      <w:r w:rsidR="00FB22DF" w:rsidRPr="005A704F">
        <w:rPr>
          <w:snapToGrid/>
        </w:rPr>
        <w:t xml:space="preserve">The PBAC considered that a comparison </w:t>
      </w:r>
      <w:r w:rsidR="00207CEC">
        <w:rPr>
          <w:snapToGrid/>
        </w:rPr>
        <w:t xml:space="preserve">with olaparib </w:t>
      </w:r>
      <w:r w:rsidR="00FB22DF" w:rsidRPr="005A704F">
        <w:rPr>
          <w:snapToGrid/>
        </w:rPr>
        <w:t>would provid</w:t>
      </w:r>
      <w:r w:rsidR="00207CEC">
        <w:rPr>
          <w:snapToGrid/>
        </w:rPr>
        <w:t>e</w:t>
      </w:r>
      <w:r w:rsidR="00A3706F" w:rsidRPr="005A704F">
        <w:rPr>
          <w:snapToGrid/>
        </w:rPr>
        <w:t xml:space="preserve"> </w:t>
      </w:r>
      <w:r w:rsidR="00401CB7" w:rsidRPr="005A704F">
        <w:rPr>
          <w:snapToGrid/>
        </w:rPr>
        <w:t xml:space="preserve">important </w:t>
      </w:r>
      <w:r w:rsidR="00A3706F" w:rsidRPr="005A704F">
        <w:rPr>
          <w:snapToGrid/>
        </w:rPr>
        <w:t xml:space="preserve">evidence applicable to Australian </w:t>
      </w:r>
      <w:r w:rsidR="00130D6C" w:rsidRPr="005A704F">
        <w:rPr>
          <w:snapToGrid/>
        </w:rPr>
        <w:t xml:space="preserve">population requested for PBS listing.  </w:t>
      </w:r>
    </w:p>
    <w:p w14:paraId="1BDC96E0" w14:textId="77777777" w:rsidR="0024615C" w:rsidRDefault="005A704F" w:rsidP="00497CED">
      <w:pPr>
        <w:pStyle w:val="3-BodyText"/>
        <w:ind w:left="709"/>
      </w:pPr>
      <w:r>
        <w:t xml:space="preserve">The PBAC noted that the PRIMA trial demonstrated a PFS benefit for </w:t>
      </w:r>
      <w:r w:rsidR="00497CED">
        <w:t xml:space="preserve">niraparib compared to placebo in </w:t>
      </w:r>
      <w:r>
        <w:t xml:space="preserve">the ITT population of </w:t>
      </w:r>
      <w:r w:rsidR="00497CED" w:rsidRPr="00497CED">
        <w:t>13.8mo vs 8.2mo (HR 0.62, p&lt;0.001), however the OS data was immature and a statistical difference had not been demonstrated</w:t>
      </w:r>
      <w:r w:rsidR="00497CED">
        <w:t xml:space="preserve">. </w:t>
      </w:r>
      <w:r w:rsidR="00C52AF4">
        <w:t>The PBAC noted that evidence of ben</w:t>
      </w:r>
      <w:r w:rsidR="00772ACF">
        <w:t>efit varied by patient subgroup</w:t>
      </w:r>
      <w:r w:rsidR="00C52AF4">
        <w:t xml:space="preserve"> on the basis of BRCA and HRD status</w:t>
      </w:r>
      <w:r w:rsidR="00C52AF4" w:rsidRPr="00AC5A24">
        <w:t xml:space="preserve">. </w:t>
      </w:r>
      <w:r w:rsidR="00497CED">
        <w:t>The PBAC noted that the PFS benefit for</w:t>
      </w:r>
      <w:r w:rsidR="00A3706F" w:rsidRPr="009117D4">
        <w:rPr>
          <w:bCs/>
        </w:rPr>
        <w:t xml:space="preserve"> niraparib in the BRCAm subgroup (HR= 0.40, 95% CI: 0.27, 0.62</w:t>
      </w:r>
      <w:r w:rsidR="00497CED">
        <w:rPr>
          <w:bCs/>
        </w:rPr>
        <w:t xml:space="preserve">) was greater than </w:t>
      </w:r>
      <w:r w:rsidR="00A3706F" w:rsidRPr="009117D4">
        <w:rPr>
          <w:bCs/>
        </w:rPr>
        <w:t xml:space="preserve">in </w:t>
      </w:r>
      <w:r w:rsidR="00497CED" w:rsidRPr="009117D4">
        <w:rPr>
          <w:bCs/>
        </w:rPr>
        <w:t>the non</w:t>
      </w:r>
      <w:r w:rsidR="00772ACF">
        <w:rPr>
          <w:bCs/>
        </w:rPr>
        <w:noBreakHyphen/>
      </w:r>
      <w:r w:rsidR="00497CED" w:rsidRPr="009117D4">
        <w:rPr>
          <w:bCs/>
        </w:rPr>
        <w:t xml:space="preserve">BRCAm subgroup </w:t>
      </w:r>
      <w:r w:rsidR="00C52AF4">
        <w:rPr>
          <w:bCs/>
        </w:rPr>
        <w:t>(</w:t>
      </w:r>
      <w:r w:rsidR="00A3706F" w:rsidRPr="009117D4">
        <w:rPr>
          <w:bCs/>
        </w:rPr>
        <w:t xml:space="preserve">HR= 0.69, 95% CI: 0.54, 0.88 in non-BRCAm); </w:t>
      </w:r>
      <w:r w:rsidR="00C52AF4">
        <w:rPr>
          <w:bCs/>
        </w:rPr>
        <w:t>and PFS benefit was greater for</w:t>
      </w:r>
      <w:r w:rsidR="00A3706F" w:rsidRPr="009117D4">
        <w:rPr>
          <w:bCs/>
        </w:rPr>
        <w:t xml:space="preserve"> patients with HRD positive tumours (HR= 0.43, 95% CI: 0.31, 0.59) compared to patients </w:t>
      </w:r>
      <w:r w:rsidR="00C52AF4">
        <w:rPr>
          <w:bCs/>
        </w:rPr>
        <w:t>in the</w:t>
      </w:r>
      <w:r w:rsidR="00C52AF4" w:rsidRPr="009117D4">
        <w:rPr>
          <w:bCs/>
        </w:rPr>
        <w:t xml:space="preserve"> </w:t>
      </w:r>
      <w:r w:rsidR="00A3706F" w:rsidRPr="009117D4">
        <w:rPr>
          <w:bCs/>
        </w:rPr>
        <w:t>HRD negative</w:t>
      </w:r>
      <w:r w:rsidR="00C52AF4">
        <w:rPr>
          <w:bCs/>
        </w:rPr>
        <w:t xml:space="preserve"> subgroup</w:t>
      </w:r>
      <w:r w:rsidR="00A3706F" w:rsidRPr="009117D4">
        <w:rPr>
          <w:bCs/>
        </w:rPr>
        <w:t xml:space="preserve"> (HR= 0.68, 95% CI: 0.49, 0.94) or </w:t>
      </w:r>
      <w:r w:rsidR="00C52AF4">
        <w:rPr>
          <w:bCs/>
        </w:rPr>
        <w:t xml:space="preserve">HRD </w:t>
      </w:r>
      <w:r w:rsidR="00A3706F" w:rsidRPr="009117D4">
        <w:rPr>
          <w:bCs/>
        </w:rPr>
        <w:t xml:space="preserve">not determined </w:t>
      </w:r>
      <w:r w:rsidR="00C52AF4">
        <w:rPr>
          <w:bCs/>
        </w:rPr>
        <w:t xml:space="preserve">subgroup </w:t>
      </w:r>
      <w:r w:rsidR="00A3706F" w:rsidRPr="009117D4">
        <w:rPr>
          <w:bCs/>
        </w:rPr>
        <w:t>(HR= 0.85, 95% CI: 0.51, 1.43)</w:t>
      </w:r>
      <w:r w:rsidR="008D3AB6">
        <w:rPr>
          <w:bCs/>
        </w:rPr>
        <w:t>. The PBAC noted that a</w:t>
      </w:r>
      <w:r w:rsidR="008D3AB6">
        <w:t xml:space="preserve">bout 30% of patients in PRIMA had BRCAm </w:t>
      </w:r>
      <w:r w:rsidR="008D3AB6">
        <w:rPr>
          <w:bCs/>
        </w:rPr>
        <w:t>and</w:t>
      </w:r>
      <w:r w:rsidR="00A3706F">
        <w:rPr>
          <w:bCs/>
        </w:rPr>
        <w:t xml:space="preserve"> </w:t>
      </w:r>
      <w:r w:rsidR="00A3706F" w:rsidRPr="009117D4">
        <w:rPr>
          <w:bCs/>
        </w:rPr>
        <w:t>51% ha</w:t>
      </w:r>
      <w:r w:rsidR="00C52AF4">
        <w:rPr>
          <w:bCs/>
        </w:rPr>
        <w:t>d</w:t>
      </w:r>
      <w:r w:rsidR="00A3706F">
        <w:rPr>
          <w:bCs/>
        </w:rPr>
        <w:t xml:space="preserve"> HRD positive tumours</w:t>
      </w:r>
      <w:r w:rsidR="006730CD">
        <w:rPr>
          <w:bCs/>
        </w:rPr>
        <w:t xml:space="preserve"> (which included BRC</w:t>
      </w:r>
      <w:r w:rsidR="00673728">
        <w:rPr>
          <w:bCs/>
        </w:rPr>
        <w:t>A</w:t>
      </w:r>
      <w:r w:rsidR="006730CD">
        <w:rPr>
          <w:bCs/>
        </w:rPr>
        <w:t>m patients)</w:t>
      </w:r>
      <w:r w:rsidR="00A3706F">
        <w:rPr>
          <w:bCs/>
        </w:rPr>
        <w:t>.</w:t>
      </w:r>
      <w:r w:rsidR="008D3AB6">
        <w:rPr>
          <w:bCs/>
        </w:rPr>
        <w:t xml:space="preserve"> As such, the PBAC considered that the PFS benefit was driven by patients who were BRCAm or HRD positive. </w:t>
      </w:r>
      <w:r w:rsidR="00020E9F" w:rsidRPr="00020E9F">
        <w:t xml:space="preserve"> </w:t>
      </w:r>
    </w:p>
    <w:p w14:paraId="7894DF78" w14:textId="77777777" w:rsidR="0024615C" w:rsidRPr="00772ACF" w:rsidRDefault="00C52AF4" w:rsidP="0024615C">
      <w:pPr>
        <w:pStyle w:val="3-BodyText"/>
        <w:ind w:left="709"/>
        <w:rPr>
          <w:bCs/>
        </w:rPr>
      </w:pPr>
      <w:r>
        <w:t xml:space="preserve">The PBAC considered that </w:t>
      </w:r>
      <w:r w:rsidR="0024615C">
        <w:t>while the PRIMA trial supported the clinical claim of superior efficacy versus placebo</w:t>
      </w:r>
      <w:r w:rsidR="00772ACF">
        <w:t xml:space="preserve"> in the ITT population</w:t>
      </w:r>
      <w:r w:rsidR="0024615C">
        <w:t xml:space="preserve">, </w:t>
      </w:r>
      <w:r>
        <w:t>in the HRD-</w:t>
      </w:r>
      <w:r w:rsidR="00772ACF">
        <w:t>negative</w:t>
      </w:r>
      <w:r>
        <w:t xml:space="preserve"> and not determined subgroups the magnitude of benefit was small and may not be clinically meaningful. Further, the PBAC considered that the PFS benefit may not translate into an OS benefit.</w:t>
      </w:r>
      <w:r w:rsidR="0024615C">
        <w:t xml:space="preserve"> Importantly, the PBAC considered that the evidence presented in the submission to support the clinical claim was not fully applicable to the Australian setting because it did not present an adequate comparison versus relevant </w:t>
      </w:r>
      <w:r w:rsidR="0024615C" w:rsidRPr="00772ACF">
        <w:t xml:space="preserve">comparators, olaparib and bevacizumab. </w:t>
      </w:r>
    </w:p>
    <w:p w14:paraId="024E0578" w14:textId="77777777" w:rsidR="00A3706F" w:rsidRPr="007F7274" w:rsidRDefault="00772ACF" w:rsidP="00772ACF">
      <w:pPr>
        <w:pStyle w:val="3-BodyText"/>
        <w:ind w:left="709"/>
        <w:rPr>
          <w:bCs/>
        </w:rPr>
      </w:pPr>
      <w:r w:rsidRPr="00772ACF">
        <w:rPr>
          <w:color w:val="000000" w:themeColor="text1"/>
        </w:rPr>
        <w:t>The PBAC noted that an anchored indirect comparison</w:t>
      </w:r>
      <w:r w:rsidR="00ED2824">
        <w:rPr>
          <w:rStyle w:val="FootnoteReference"/>
          <w:color w:val="000000" w:themeColor="text1"/>
        </w:rPr>
        <w:footnoteReference w:id="17"/>
      </w:r>
      <w:r w:rsidRPr="00772ACF">
        <w:rPr>
          <w:color w:val="000000" w:themeColor="text1"/>
        </w:rPr>
        <w:t xml:space="preserve"> of PFS of niraparib vs olaparib in the BRCAm population </w:t>
      </w:r>
      <w:r>
        <w:rPr>
          <w:color w:val="000000" w:themeColor="text1"/>
        </w:rPr>
        <w:t>was</w:t>
      </w:r>
      <w:r w:rsidRPr="00772ACF">
        <w:rPr>
          <w:color w:val="000000" w:themeColor="text1"/>
        </w:rPr>
        <w:t xml:space="preserve"> conducted during the evaluation. </w:t>
      </w:r>
      <w:r w:rsidR="00440139">
        <w:t>Acknowledging the limitation</w:t>
      </w:r>
      <w:r w:rsidR="006E5330">
        <w:t>s</w:t>
      </w:r>
      <w:r w:rsidR="00440139">
        <w:t xml:space="preserve"> of this comparison, the PBAC noted that t</w:t>
      </w:r>
      <w:r w:rsidR="008D3AB6">
        <w:t xml:space="preserve">he result </w:t>
      </w:r>
      <w:r w:rsidRPr="00772ACF">
        <w:t>was numerically in favour of olaparib and</w:t>
      </w:r>
      <w:r w:rsidRPr="00131DA2">
        <w:t xml:space="preserve"> did not rule out inferiority of niraparib to olaparib (HR = 1.43, 95% CI: 0.83, 2.45 for niraparib versus olaparib in the overall BRCAm patient population, and HR = 1.11, 95% CI: 0.58, 2.12 for niraparib versus olaparib in BRCAm patient population post NACT-IDS subgroup</w:t>
      </w:r>
      <w:r w:rsidR="00ED2824">
        <w:rPr>
          <w:rStyle w:val="FootnoteReference"/>
        </w:rPr>
        <w:footnoteReference w:id="18"/>
      </w:r>
      <w:r w:rsidRPr="00131DA2">
        <w:t>)</w:t>
      </w:r>
      <w:r w:rsidR="008D3AB6">
        <w:t>.</w:t>
      </w:r>
    </w:p>
    <w:p w14:paraId="06347E46" w14:textId="77777777" w:rsidR="00440139" w:rsidRDefault="007E2140" w:rsidP="00440139">
      <w:pPr>
        <w:pStyle w:val="3-BodyText"/>
      </w:pPr>
      <w:r>
        <w:t>Th</w:t>
      </w:r>
      <w:r w:rsidR="00440139">
        <w:t xml:space="preserve">e PBAC noted that </w:t>
      </w:r>
      <w:r w:rsidR="003B5901">
        <w:t xml:space="preserve">the </w:t>
      </w:r>
      <w:r w:rsidR="00440139">
        <w:t xml:space="preserve">PRIMA trial protocol was changed to include </w:t>
      </w:r>
      <w:r>
        <w:t>a</w:t>
      </w:r>
      <w:r w:rsidR="001D4C12">
        <w:t>n</w:t>
      </w:r>
      <w:r>
        <w:t xml:space="preserve"> </w:t>
      </w:r>
      <w:r w:rsidR="00440139" w:rsidRPr="00131DA2">
        <w:t>ISD regimen based on baseline body weight and platelet count</w:t>
      </w:r>
      <w:r>
        <w:t xml:space="preserve">, which the sponsor </w:t>
      </w:r>
      <w:r w:rsidR="00DA7CC7">
        <w:t>indicated</w:t>
      </w:r>
      <w:r>
        <w:t xml:space="preserve"> would be used in clinical practice</w:t>
      </w:r>
      <w:r w:rsidR="00440139" w:rsidRPr="00131DA2">
        <w:t xml:space="preserve">. </w:t>
      </w:r>
      <w:r w:rsidR="00440139">
        <w:t xml:space="preserve">The PBAC </w:t>
      </w:r>
      <w:r>
        <w:t>considered</w:t>
      </w:r>
      <w:r w:rsidR="00440139">
        <w:t xml:space="preserve"> that efficacy is likely to be similar for ISD and FSD approaches because a high rate of dose reductions would be expected for the latter approach, as seen in PRIMA.</w:t>
      </w:r>
    </w:p>
    <w:p w14:paraId="26DD0752" w14:textId="77777777" w:rsidR="007F7274" w:rsidRDefault="007F7274" w:rsidP="007F7274">
      <w:pPr>
        <w:pStyle w:val="3-BodyText"/>
      </w:pPr>
      <w:r>
        <w:t xml:space="preserve">Based on the PRIMA trial the PBAC considered that niraparib was inferior to placebo in terms of safety, with more grade ≥3 TEAEs, SAEs, and TEAEs leading to drug discontinuation being observed in the niraparib arm compared to placebo arm. The PBAC noted that no formal comparison of safety between niraparib and olaparib was presented, but considered that overall, olaparib seems to have a better safety profile compared to niraparib based on the lower rate of dose reduction in the SOLO-1 trial compared to that in the PRIMA trial. The PBAC also noted this was consistent with its previous consideration of comparative safety for niraparib in the 2L maintenance setting (paragraph 7.8, olaparib PSD, March 2021 PBAC Meeting). </w:t>
      </w:r>
    </w:p>
    <w:p w14:paraId="086E8EA1" w14:textId="77777777" w:rsidR="005A42ED" w:rsidRDefault="005A42ED" w:rsidP="005A42ED">
      <w:pPr>
        <w:pStyle w:val="3-BodyText"/>
      </w:pPr>
      <w:r w:rsidRPr="00CB1332">
        <w:t xml:space="preserve">The PBAC considered that the economic model provided in the submission was not reliable for decision making because it failed to present an economic evaluation that reflects the proposed circumstances of use of niraparib in the proposed PBS population. </w:t>
      </w:r>
      <w:r w:rsidRPr="003B4A45">
        <w:rPr>
          <w:rFonts w:cstheme="minorHAnsi"/>
        </w:rPr>
        <w:t>The PBAC considered it was reasonable to expect differences in comparative benefits and harms in the different patient subgroups if niraparib is used in place of olaparib, bevacizumab or SMM</w:t>
      </w:r>
      <w:r>
        <w:rPr>
          <w:rFonts w:cstheme="minorHAnsi"/>
        </w:rPr>
        <w:t>. N</w:t>
      </w:r>
      <w:r w:rsidRPr="003B4A45">
        <w:rPr>
          <w:rFonts w:cstheme="minorHAnsi"/>
        </w:rPr>
        <w:t xml:space="preserve">oting the differences in PFS benefit in the BRCAm and HRD positive subgroups </w:t>
      </w:r>
      <w:r>
        <w:rPr>
          <w:rFonts w:cstheme="minorHAnsi"/>
        </w:rPr>
        <w:t xml:space="preserve">demonstrated in the PRIMA trial, the PBAC considered that the efficacy outcomes were driven by inclusion of the BRCAm patients in the model. </w:t>
      </w:r>
    </w:p>
    <w:p w14:paraId="14626369" w14:textId="77777777" w:rsidR="008D3225" w:rsidRDefault="008D3225" w:rsidP="005A42ED">
      <w:pPr>
        <w:pStyle w:val="3-BodyText"/>
      </w:pPr>
      <w:bookmarkStart w:id="40" w:name="_Ref79413708"/>
      <w:r>
        <w:t>In addition</w:t>
      </w:r>
      <w:r w:rsidR="001724C3">
        <w:t>,</w:t>
      </w:r>
      <w:r>
        <w:t xml:space="preserve"> the PBAC considered that the ICER presented was uncertain and likely to be underestimated for the following reasons:</w:t>
      </w:r>
      <w:bookmarkEnd w:id="40"/>
    </w:p>
    <w:p w14:paraId="1D8C75B9" w14:textId="77777777" w:rsidR="008D3225" w:rsidRPr="008D3225" w:rsidRDefault="008D3225" w:rsidP="008D3225">
      <w:pPr>
        <w:pStyle w:val="ListParagraph"/>
        <w:ind w:left="1134"/>
      </w:pPr>
      <w:r>
        <w:t>The model assumed a continued treatment effect beyond the end of the trial, which was not adequately justified in the submission, and introduced substantial uncertainty to the modelled results;</w:t>
      </w:r>
    </w:p>
    <w:p w14:paraId="308CE960" w14:textId="77777777" w:rsidR="00296965" w:rsidRDefault="005A42ED" w:rsidP="008D3225">
      <w:pPr>
        <w:pStyle w:val="ListParagraph"/>
        <w:ind w:left="1134"/>
      </w:pPr>
      <w:r>
        <w:t xml:space="preserve">The model was sensitive to the parametric functions for OS extrapolation and time horizon. </w:t>
      </w:r>
      <w:r w:rsidR="00296965">
        <w:t xml:space="preserve">The PBAC </w:t>
      </w:r>
      <w:r>
        <w:t>considered</w:t>
      </w:r>
      <w:r w:rsidR="00296965">
        <w:t xml:space="preserve"> that 20 years may be too long for the non</w:t>
      </w:r>
      <w:r w:rsidR="00DA7CC7">
        <w:noBreakHyphen/>
      </w:r>
      <w:r w:rsidR="00296965">
        <w:t>BRCAm population and</w:t>
      </w:r>
      <w:r w:rsidR="00296965" w:rsidRPr="00131DA2">
        <w:t xml:space="preserve"> introduced additional uncertainty due to the immaturity of the OS data from PRIMA.</w:t>
      </w:r>
      <w:r w:rsidR="00296965">
        <w:t xml:space="preserve"> </w:t>
      </w:r>
    </w:p>
    <w:p w14:paraId="28E1DBAF" w14:textId="77777777" w:rsidR="008D3225" w:rsidRDefault="008D3225" w:rsidP="008D3225">
      <w:pPr>
        <w:pStyle w:val="ListParagraph"/>
        <w:ind w:left="1134"/>
      </w:pPr>
      <w:r>
        <w:t>The cost of second-line PARPi use is the main source of cost-offsets modelled an</w:t>
      </w:r>
      <w:r w:rsidR="001724C3">
        <w:t>d has a high impact on the ICER and</w:t>
      </w:r>
      <w:r w:rsidR="001724C3" w:rsidRPr="001724C3">
        <w:t xml:space="preserve"> </w:t>
      </w:r>
      <w:r w:rsidR="001724C3">
        <w:t>assumptions around second line use of olaparib appear to overestimate the cost offsets for second-line PARP inhibitors in the model.</w:t>
      </w:r>
    </w:p>
    <w:p w14:paraId="7BB5958F" w14:textId="77777777" w:rsidR="00A3706F" w:rsidRPr="001724C3" w:rsidRDefault="001724C3" w:rsidP="0042603B">
      <w:pPr>
        <w:pStyle w:val="3-BodyText"/>
      </w:pPr>
      <w:r w:rsidRPr="006472CA">
        <w:t>The PBAC noted that the approach taken in the economic model was inconsistent with the proposed place in therapy and the utilisation and financial estimate</w:t>
      </w:r>
      <w:r>
        <w:t>s presented</w:t>
      </w:r>
      <w:r w:rsidR="00D865D5">
        <w:t xml:space="preserve">, which </w:t>
      </w:r>
      <w:r w:rsidR="00D865D5" w:rsidRPr="00131DA2">
        <w:t>assumed that the proposed listing of niraparib would reduce the use of existing first-line maintenance therapies, including bevacizumab and olaparib, but would not affect the extent of use of later-line maintenance therapies</w:t>
      </w:r>
      <w:r w:rsidRPr="006472CA">
        <w:t>.</w:t>
      </w:r>
      <w:r w:rsidRPr="005A42ED">
        <w:t xml:space="preserve"> </w:t>
      </w:r>
      <w:r w:rsidR="00A3706F">
        <w:t>The PBAC considered that the financial estimates were uncertain because the uptake assumptions, and rates of substitution of alternative therapies were not well justified.</w:t>
      </w:r>
      <w:r w:rsidRPr="001724C3">
        <w:t xml:space="preserve"> </w:t>
      </w:r>
      <w:bookmarkStart w:id="41" w:name="_Ref79413939"/>
      <w:r w:rsidR="00A3706F" w:rsidRPr="001724C3">
        <w:t>Furthermore, the PBAC noted that the current submission had assumed that niraparib would substitute for olaparib in up to one half of olaparib-eligible patients.</w:t>
      </w:r>
      <w:r>
        <w:t xml:space="preserve"> The PBAC considered this proportion was overestimated as clinicians are familiar with the use of olaparib and its safety profile appears superior to niraparib. </w:t>
      </w:r>
      <w:r w:rsidR="00D865D5">
        <w:rPr>
          <w:szCs w:val="20"/>
        </w:rPr>
        <w:t xml:space="preserve">The PBAC also </w:t>
      </w:r>
      <w:r w:rsidR="00DA7CC7">
        <w:rPr>
          <w:szCs w:val="20"/>
        </w:rPr>
        <w:t>considered</w:t>
      </w:r>
      <w:r w:rsidR="00D865D5">
        <w:rPr>
          <w:szCs w:val="20"/>
        </w:rPr>
        <w:t xml:space="preserve"> that the number of patients switching from olaparib to niraparib is likely to be very small and these patients could reasonably be removed from the estimates.</w:t>
      </w:r>
      <w:bookmarkEnd w:id="41"/>
    </w:p>
    <w:p w14:paraId="0037945D" w14:textId="77777777" w:rsidR="009036DB" w:rsidRDefault="00D865D5" w:rsidP="009036DB">
      <w:pPr>
        <w:pStyle w:val="3-BodyText"/>
        <w:rPr>
          <w:bCs/>
        </w:rPr>
      </w:pPr>
      <w:r>
        <w:rPr>
          <w:bCs/>
        </w:rPr>
        <w:t xml:space="preserve">Given the uncertain clinical benefit for niraparib in patients with HRD negative </w:t>
      </w:r>
      <w:r w:rsidRPr="009036DB">
        <w:rPr>
          <w:bCs/>
        </w:rPr>
        <w:t>HGEOC</w:t>
      </w:r>
      <w:r>
        <w:rPr>
          <w:bCs/>
        </w:rPr>
        <w:t>, t</w:t>
      </w:r>
      <w:r w:rsidRPr="00A339F8">
        <w:rPr>
          <w:bCs/>
        </w:rPr>
        <w:t xml:space="preserve">he </w:t>
      </w:r>
      <w:r>
        <w:rPr>
          <w:bCs/>
        </w:rPr>
        <w:t xml:space="preserve">PBAC considered that a resubmission for niraparib may need to </w:t>
      </w:r>
      <w:r w:rsidRPr="00A339F8">
        <w:rPr>
          <w:bCs/>
        </w:rPr>
        <w:t xml:space="preserve">identify </w:t>
      </w:r>
      <w:r>
        <w:rPr>
          <w:bCs/>
        </w:rPr>
        <w:t>and target the</w:t>
      </w:r>
      <w:r w:rsidRPr="00A339F8">
        <w:rPr>
          <w:bCs/>
        </w:rPr>
        <w:t xml:space="preserve"> patients </w:t>
      </w:r>
      <w:r>
        <w:rPr>
          <w:bCs/>
        </w:rPr>
        <w:t xml:space="preserve">who </w:t>
      </w:r>
      <w:r w:rsidRPr="00A339F8">
        <w:rPr>
          <w:bCs/>
        </w:rPr>
        <w:t>are most l</w:t>
      </w:r>
      <w:r>
        <w:rPr>
          <w:bCs/>
        </w:rPr>
        <w:t>ikely to benefit from treatment</w:t>
      </w:r>
      <w:r w:rsidRPr="00A339F8">
        <w:rPr>
          <w:bCs/>
        </w:rPr>
        <w:t>.</w:t>
      </w:r>
      <w:r>
        <w:rPr>
          <w:bCs/>
        </w:rPr>
        <w:t xml:space="preserve"> </w:t>
      </w:r>
      <w:r w:rsidR="00E7222F">
        <w:t xml:space="preserve">The PBAC noted that HRD testing is not currently part of the clinical management of HGEOC in Australia, and therefore a codependent submission </w:t>
      </w:r>
      <w:r w:rsidR="00DA7CC7">
        <w:t xml:space="preserve">would be required </w:t>
      </w:r>
      <w:r w:rsidR="00E7222F">
        <w:t xml:space="preserve">if the sponsor was to seek a PBS listing that relied on HRD status. </w:t>
      </w:r>
      <w:r w:rsidR="009036DB" w:rsidRPr="009036DB">
        <w:rPr>
          <w:bCs/>
        </w:rPr>
        <w:t>The PBAC considered a resubmission for</w:t>
      </w:r>
      <w:r>
        <w:rPr>
          <w:bCs/>
        </w:rPr>
        <w:t xml:space="preserve"> niraparib</w:t>
      </w:r>
      <w:r w:rsidR="009036DB" w:rsidRPr="009036DB">
        <w:rPr>
          <w:bCs/>
        </w:rPr>
        <w:t xml:space="preserve"> should</w:t>
      </w:r>
      <w:r>
        <w:rPr>
          <w:bCs/>
        </w:rPr>
        <w:t xml:space="preserve"> also</w:t>
      </w:r>
      <w:r w:rsidR="009036DB" w:rsidRPr="009036DB">
        <w:rPr>
          <w:bCs/>
        </w:rPr>
        <w:t xml:space="preserve"> address the following:</w:t>
      </w:r>
    </w:p>
    <w:p w14:paraId="6F4363F6" w14:textId="77777777" w:rsidR="00D865D5" w:rsidRDefault="00E7222F" w:rsidP="00D865D5">
      <w:pPr>
        <w:pStyle w:val="ListParagraph"/>
        <w:ind w:left="1134"/>
      </w:pPr>
      <w:r>
        <w:t>P</w:t>
      </w:r>
      <w:r w:rsidR="00296965">
        <w:t xml:space="preserve">resent a </w:t>
      </w:r>
      <w:r w:rsidR="00DA7CC7">
        <w:t>clinical and economic evaluation</w:t>
      </w:r>
      <w:r w:rsidR="00296965">
        <w:t xml:space="preserve"> including relevant comparators (olaparib and bevacizumab) for the proposed population</w:t>
      </w:r>
      <w:r>
        <w:t>.</w:t>
      </w:r>
    </w:p>
    <w:p w14:paraId="075ECCB5" w14:textId="77777777" w:rsidR="00E7222F" w:rsidRDefault="00E7222F" w:rsidP="00E7222F">
      <w:pPr>
        <w:pStyle w:val="ListParagraph"/>
        <w:ind w:left="1134"/>
      </w:pPr>
      <w:r w:rsidRPr="00E7222F">
        <w:t>Address uncertainty in the clinical claims by providing separate clinical evaluations for the BRCAm population and nonBRCAm populations</w:t>
      </w:r>
      <w:r w:rsidR="006730CD">
        <w:t>; and possibly the HRD-positive, HRD-negative, and HRD-not-determined populations</w:t>
      </w:r>
      <w:r w:rsidRPr="00E7222F">
        <w:t>.</w:t>
      </w:r>
    </w:p>
    <w:p w14:paraId="5ADFF2AD" w14:textId="7C79F377" w:rsidR="00D865D5" w:rsidRPr="00D865D5" w:rsidRDefault="00E7222F" w:rsidP="00D865D5">
      <w:pPr>
        <w:pStyle w:val="ListParagraph"/>
        <w:ind w:left="1134"/>
      </w:pPr>
      <w:r w:rsidRPr="00E7222F">
        <w:t>Q</w:t>
      </w:r>
      <w:r w:rsidR="00D865D5" w:rsidRPr="00E7222F">
        <w:t xml:space="preserve">uantify any differences between niraparib and olaparib in terms of safety profile, noting that a CMA (if pursued) </w:t>
      </w:r>
      <w:r w:rsidR="00AF7DC3" w:rsidRPr="00E7222F">
        <w:t>would require</w:t>
      </w:r>
      <w:r w:rsidR="00D865D5" w:rsidRPr="00E7222F">
        <w:t xml:space="preserve"> adjustment for higher rates of AEs with niraparib</w:t>
      </w:r>
      <w:r w:rsidR="006730CD">
        <w:t>, unless it can be shown that this is mitigated by the ISD</w:t>
      </w:r>
      <w:r w:rsidRPr="00E7222F">
        <w:t>.</w:t>
      </w:r>
    </w:p>
    <w:p w14:paraId="5C6DB628" w14:textId="77777777" w:rsidR="00E7222F" w:rsidRPr="00E7222F" w:rsidRDefault="00E7222F" w:rsidP="00E7222F">
      <w:pPr>
        <w:pStyle w:val="ListParagraph"/>
        <w:ind w:left="1134"/>
      </w:pPr>
      <w:r>
        <w:t xml:space="preserve">Address areas of uncertainty in the economic model as outlined in paragraph </w:t>
      </w:r>
      <w:r w:rsidR="001D4C12">
        <w:t>7.15</w:t>
      </w:r>
      <w:r>
        <w:t>.</w:t>
      </w:r>
      <w:r w:rsidRPr="00E7222F">
        <w:t xml:space="preserve"> </w:t>
      </w:r>
    </w:p>
    <w:p w14:paraId="77F1F82A" w14:textId="77777777" w:rsidR="00F11763" w:rsidRDefault="00E7222F" w:rsidP="00E7222F">
      <w:pPr>
        <w:pStyle w:val="ListParagraph"/>
        <w:ind w:left="1134"/>
      </w:pPr>
      <w:r>
        <w:t>J</w:t>
      </w:r>
      <w:r w:rsidR="00F11763" w:rsidRPr="00D5673B">
        <w:t xml:space="preserve">ustify the duration of treatment proposed and </w:t>
      </w:r>
      <w:r w:rsidR="00F11763">
        <w:t xml:space="preserve">ensure consistency </w:t>
      </w:r>
      <w:r>
        <w:t>between</w:t>
      </w:r>
      <w:r w:rsidR="00F11763" w:rsidRPr="00D5673B">
        <w:t xml:space="preserve"> the </w:t>
      </w:r>
      <w:r>
        <w:t xml:space="preserve">proposed restrictions, </w:t>
      </w:r>
      <w:r w:rsidR="00F11763" w:rsidRPr="00D5673B">
        <w:t>economic model and financial estimates.</w:t>
      </w:r>
    </w:p>
    <w:p w14:paraId="18CA6915" w14:textId="77777777" w:rsidR="00E7222F" w:rsidRDefault="00E7222F" w:rsidP="00C04C24">
      <w:pPr>
        <w:pStyle w:val="ListParagraph"/>
        <w:ind w:left="1134"/>
      </w:pPr>
      <w:r>
        <w:t xml:space="preserve">Revise the financial estimates as outlined in paragraph </w:t>
      </w:r>
      <w:r w:rsidR="001D4C12">
        <w:t>7.16</w:t>
      </w:r>
      <w:r>
        <w:t>.</w:t>
      </w:r>
    </w:p>
    <w:p w14:paraId="282E0DFE" w14:textId="77777777" w:rsidR="00E7222F" w:rsidRPr="00E7222F" w:rsidRDefault="00E7222F" w:rsidP="00E7222F">
      <w:pPr>
        <w:pStyle w:val="ListBullet"/>
        <w:numPr>
          <w:ilvl w:val="0"/>
          <w:numId w:val="0"/>
        </w:numPr>
        <w:ind w:left="1070"/>
      </w:pPr>
    </w:p>
    <w:p w14:paraId="09DB8811" w14:textId="77777777" w:rsidR="000C7126" w:rsidRPr="000D4FE4" w:rsidRDefault="009036DB" w:rsidP="00E7222F">
      <w:pPr>
        <w:pStyle w:val="3-BodyText"/>
      </w:pPr>
      <w:r w:rsidRPr="009036DB">
        <w:rPr>
          <w:bCs/>
        </w:rPr>
        <w:t>The resubmission may be lodged at any future standard due date for PBAC submissions using the standard re-entry pathway.</w:t>
      </w:r>
    </w:p>
    <w:p w14:paraId="45FFAFE5" w14:textId="77777777" w:rsidR="005D7656" w:rsidRPr="000B477D" w:rsidRDefault="005D7656" w:rsidP="005D7656">
      <w:pPr>
        <w:widowControl w:val="0"/>
        <w:numPr>
          <w:ilvl w:val="1"/>
          <w:numId w:val="1"/>
        </w:numPr>
        <w:spacing w:after="120"/>
        <w:rPr>
          <w:rFonts w:asciiTheme="minorHAnsi" w:hAnsiTheme="minorHAnsi"/>
          <w:b/>
          <w:bCs/>
          <w:snapToGrid w:val="0"/>
          <w:lang w:val="en-GB"/>
        </w:rPr>
      </w:pPr>
      <w:r w:rsidRPr="00525B39">
        <w:rPr>
          <w:rFonts w:asciiTheme="minorHAnsi" w:hAnsiTheme="minorHAnsi"/>
          <w:bCs/>
          <w:snapToGrid w:val="0"/>
          <w:lang w:val="en-GB"/>
        </w:rPr>
        <w:t xml:space="preserve">The PBAC noted that this submission is eligible for an Independent Review. </w:t>
      </w:r>
    </w:p>
    <w:p w14:paraId="7D0BB51C" w14:textId="77777777" w:rsidR="008C2940" w:rsidRPr="00131DA2" w:rsidRDefault="008C2940" w:rsidP="008C2940">
      <w:pPr>
        <w:spacing w:before="240"/>
        <w:rPr>
          <w:rFonts w:asciiTheme="minorHAnsi" w:hAnsiTheme="minorHAnsi"/>
          <w:b/>
          <w:bCs/>
          <w:snapToGrid w:val="0"/>
        </w:rPr>
      </w:pPr>
      <w:r w:rsidRPr="00131DA2">
        <w:rPr>
          <w:rFonts w:asciiTheme="minorHAnsi" w:hAnsiTheme="minorHAnsi"/>
          <w:b/>
          <w:bCs/>
          <w:snapToGrid w:val="0"/>
        </w:rPr>
        <w:t>Outcome:</w:t>
      </w:r>
    </w:p>
    <w:p w14:paraId="452FF9F8" w14:textId="77777777" w:rsidR="00BC0643" w:rsidRPr="00F5193D" w:rsidRDefault="00244887" w:rsidP="00F5193D">
      <w:pPr>
        <w:rPr>
          <w:rFonts w:asciiTheme="minorHAnsi" w:hAnsiTheme="minorHAnsi"/>
          <w:bCs/>
          <w:snapToGrid w:val="0"/>
        </w:rPr>
      </w:pPr>
      <w:r>
        <w:rPr>
          <w:rFonts w:asciiTheme="minorHAnsi" w:hAnsiTheme="minorHAnsi"/>
          <w:bCs/>
          <w:snapToGrid w:val="0"/>
        </w:rPr>
        <w:t>Not recommended</w:t>
      </w:r>
    </w:p>
    <w:bookmarkEnd w:id="28"/>
    <w:p w14:paraId="5C95703D" w14:textId="77777777" w:rsidR="00FB23A4" w:rsidRDefault="00FB23A4" w:rsidP="004621FA">
      <w:pPr>
        <w:widowControl w:val="0"/>
        <w:rPr>
          <w:color w:val="FF0000"/>
        </w:rPr>
      </w:pPr>
    </w:p>
    <w:p w14:paraId="6BFFC97F" w14:textId="77777777" w:rsidR="000A4533" w:rsidRDefault="000A4533" w:rsidP="000A4533">
      <w:pPr>
        <w:pStyle w:val="2-SectionHeading"/>
        <w:numPr>
          <w:ilvl w:val="0"/>
          <w:numId w:val="1"/>
        </w:numPr>
        <w:rPr>
          <w:bCs/>
          <w:lang w:val="en-GB"/>
        </w:rPr>
      </w:pPr>
      <w:r w:rsidRPr="00C07617">
        <w:t>Context for Decision</w:t>
      </w:r>
    </w:p>
    <w:p w14:paraId="4EE1F835" w14:textId="77777777" w:rsidR="000A4533" w:rsidRPr="007129F2" w:rsidRDefault="000A4533" w:rsidP="000A4533">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DFBF8D2" w14:textId="77777777" w:rsidR="000A4533" w:rsidRPr="00C07617" w:rsidRDefault="000A4533" w:rsidP="000A4533">
      <w:pPr>
        <w:pStyle w:val="2-SectionHeading"/>
        <w:numPr>
          <w:ilvl w:val="0"/>
          <w:numId w:val="1"/>
        </w:numPr>
        <w:rPr>
          <w:b w:val="0"/>
        </w:rPr>
      </w:pPr>
      <w:r>
        <w:t>Sponsor’s Comment</w:t>
      </w:r>
    </w:p>
    <w:p w14:paraId="56857BE3" w14:textId="77777777" w:rsidR="000A4533" w:rsidRPr="001179AC" w:rsidRDefault="00ED2824" w:rsidP="00ED2824">
      <w:pPr>
        <w:spacing w:after="120"/>
        <w:ind w:left="720"/>
        <w:rPr>
          <w:rFonts w:asciiTheme="minorHAnsi" w:hAnsiTheme="minorHAnsi"/>
          <w:bCs/>
        </w:rPr>
      </w:pPr>
      <w:r w:rsidRPr="00ED2824">
        <w:rPr>
          <w:rFonts w:asciiTheme="minorHAnsi" w:hAnsiTheme="minorHAnsi"/>
          <w:bCs/>
        </w:rPr>
        <w:t>GSK is disappointed by the PBAC’s decision not to recommend niraparib (Zejula), for newly diagnosed advanced, high-grade epithelial ovarian, fallopian tube or primary peritoneal cancer (HGEOC), who are in response to platinum-based chemotherapy. However, we remain committed to working with the PBAC to ensure Australian women with ovarian cancer have timely access to Zejula</w:t>
      </w:r>
      <w:r>
        <w:rPr>
          <w:rFonts w:asciiTheme="minorHAnsi" w:hAnsiTheme="minorHAnsi"/>
          <w:bCs/>
        </w:rPr>
        <w:t>.</w:t>
      </w:r>
    </w:p>
    <w:p w14:paraId="59EE8702" w14:textId="77777777" w:rsidR="000A4533" w:rsidRDefault="000A4533" w:rsidP="004621FA">
      <w:pPr>
        <w:widowControl w:val="0"/>
        <w:rPr>
          <w:color w:val="FF0000"/>
        </w:rPr>
      </w:pPr>
    </w:p>
    <w:sectPr w:rsidR="000A4533" w:rsidSect="002D76D4">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6C4D5" w14:textId="77777777" w:rsidR="001D7CF9" w:rsidRDefault="001D7CF9" w:rsidP="00124A51">
      <w:r>
        <w:separator/>
      </w:r>
    </w:p>
    <w:p w14:paraId="5BA9DE9E" w14:textId="77777777" w:rsidR="001D7CF9" w:rsidRDefault="001D7CF9"/>
  </w:endnote>
  <w:endnote w:type="continuationSeparator" w:id="0">
    <w:p w14:paraId="686AD1A8" w14:textId="77777777" w:rsidR="001D7CF9" w:rsidRDefault="001D7CF9" w:rsidP="00124A51">
      <w:r>
        <w:continuationSeparator/>
      </w:r>
    </w:p>
    <w:p w14:paraId="64FA1A02" w14:textId="77777777" w:rsidR="001D7CF9" w:rsidRDefault="001D7CF9"/>
  </w:endnote>
  <w:endnote w:type="continuationNotice" w:id="1">
    <w:p w14:paraId="37823450" w14:textId="77777777" w:rsidR="001D7CF9" w:rsidRDefault="001D7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ingLiU-ExtB">
    <w:panose1 w:val="02020500000000000000"/>
    <w:charset w:val="88"/>
    <w:family w:val="roman"/>
    <w:pitch w:val="variable"/>
    <w:sig w:usb0="8000002F" w:usb1="0A080008" w:usb2="00000010"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15E8C" w14:textId="77777777" w:rsidR="001D7CF9" w:rsidRDefault="001D7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E9E13" w14:textId="77777777" w:rsidR="00526BD0" w:rsidRDefault="00526BD0" w:rsidP="00A238BC">
    <w:pPr>
      <w:pStyle w:val="Footer"/>
      <w:keepNext/>
      <w:ind w:left="360"/>
      <w:jc w:val="center"/>
      <w:rPr>
        <w:b/>
      </w:rPr>
    </w:pPr>
  </w:p>
  <w:p w14:paraId="6CD2F6A6" w14:textId="3E9EBEE3" w:rsidR="00526BD0" w:rsidRPr="00F90A91" w:rsidRDefault="00526BD0" w:rsidP="00A238BC">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E146A6">
      <w:rPr>
        <w:b/>
        <w:noProof/>
      </w:rPr>
      <w:t>44</w:t>
    </w:r>
    <w:r w:rsidRPr="00836F75">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A74AF" w14:textId="77777777" w:rsidR="001D7CF9" w:rsidRDefault="001D7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D9F18" w14:textId="77777777" w:rsidR="001D7CF9" w:rsidRDefault="001D7CF9">
      <w:r>
        <w:separator/>
      </w:r>
    </w:p>
  </w:footnote>
  <w:footnote w:type="continuationSeparator" w:id="0">
    <w:p w14:paraId="5B84426E" w14:textId="77777777" w:rsidR="001D7CF9" w:rsidRDefault="001D7CF9" w:rsidP="00124A51">
      <w:r>
        <w:continuationSeparator/>
      </w:r>
    </w:p>
    <w:p w14:paraId="7BF562AE" w14:textId="77777777" w:rsidR="001D7CF9" w:rsidRDefault="001D7CF9"/>
  </w:footnote>
  <w:footnote w:type="continuationNotice" w:id="1">
    <w:p w14:paraId="5D9DCA6D" w14:textId="77777777" w:rsidR="001D7CF9" w:rsidRDefault="001D7CF9"/>
  </w:footnote>
  <w:footnote w:id="2">
    <w:p w14:paraId="1F0E9942" w14:textId="77777777" w:rsidR="00526BD0" w:rsidRPr="0009185A" w:rsidRDefault="00526BD0" w:rsidP="00884F00">
      <w:pPr>
        <w:pStyle w:val="FootnoteText"/>
      </w:pPr>
      <w:r>
        <w:rPr>
          <w:rStyle w:val="FootnoteReference"/>
        </w:rPr>
        <w:footnoteRef/>
      </w:r>
      <w:r w:rsidRPr="00510BC1">
        <w:t xml:space="preserve">Mirza MR, Monk BJ, Herrstedt J, Oza AM, Mahner S, Redondo A, et al. Niraparib maintenance therapy in platinum-sensitive, recurrent ovarian cancer. New England Journal of </w:t>
      </w:r>
      <w:r>
        <w:t>Medicine. 2016</w:t>
      </w:r>
      <w:proofErr w:type="gramStart"/>
      <w:r>
        <w:t>;375</w:t>
      </w:r>
      <w:proofErr w:type="gramEnd"/>
      <w:r>
        <w:t xml:space="preserve">(22):2154-64. </w:t>
      </w:r>
      <w:r w:rsidRPr="0009185A">
        <w:t>Post-hoc analyses from this trial showed that low body weight (&lt;77 kg) and low baseline platelet count were predictors of grade 3/4 thrombocytopenia.</w:t>
      </w:r>
    </w:p>
  </w:footnote>
  <w:footnote w:id="3">
    <w:p w14:paraId="0E1A38F8" w14:textId="77777777" w:rsidR="00526BD0" w:rsidRDefault="00526BD0" w:rsidP="00884F00">
      <w:pPr>
        <w:pStyle w:val="FootnoteText"/>
      </w:pPr>
      <w:r>
        <w:rPr>
          <w:rStyle w:val="FootnoteReference"/>
        </w:rPr>
        <w:footnoteRef/>
      </w:r>
      <w:r>
        <w:t xml:space="preserve"> National Comprehensive Cancer Network (NCCN) Guidelines Ovarian Cancer, version 1.2021, p129</w:t>
      </w:r>
    </w:p>
  </w:footnote>
  <w:footnote w:id="4">
    <w:p w14:paraId="1F083A38" w14:textId="77777777" w:rsidR="00526BD0" w:rsidRPr="005D19A2" w:rsidRDefault="00526BD0">
      <w:pPr>
        <w:pStyle w:val="FootnoteText"/>
        <w:rPr>
          <w:lang w:val="en-US"/>
        </w:rPr>
      </w:pPr>
      <w:r>
        <w:rPr>
          <w:rStyle w:val="FootnoteReference"/>
        </w:rPr>
        <w:footnoteRef/>
      </w:r>
      <w:r>
        <w:t xml:space="preserve"> </w:t>
      </w:r>
      <w:r w:rsidRPr="005D19A2">
        <w:t>European Society of Medical O</w:t>
      </w:r>
      <w:r>
        <w:t>ncology (ESMO) guidelines; T</w:t>
      </w:r>
      <w:r w:rsidRPr="005D19A2">
        <w:t>he National Comprehensive Canc</w:t>
      </w:r>
      <w:r>
        <w:t>er Network (NCCN) guidelines; T</w:t>
      </w:r>
      <w:r w:rsidRPr="005D19A2">
        <w:t>he ESMO-European Society of Gynaecology (ESGO) 2019 consensus rec</w:t>
      </w:r>
      <w:r>
        <w:t>ommendations on ovarian cancer</w:t>
      </w:r>
      <w:r w:rsidRPr="005D19A2">
        <w:t>, and the American Society of Clinical Oncology (ASCO) guidelines</w:t>
      </w:r>
    </w:p>
  </w:footnote>
  <w:footnote w:id="5">
    <w:p w14:paraId="19AE2BB2" w14:textId="77777777" w:rsidR="00526BD0" w:rsidRDefault="00526BD0" w:rsidP="00EC7BE4">
      <w:pPr>
        <w:pStyle w:val="FootnoteText"/>
      </w:pPr>
      <w:r>
        <w:rPr>
          <w:rStyle w:val="FootnoteReference"/>
        </w:rPr>
        <w:footnoteRef/>
      </w:r>
      <w:r>
        <w:t xml:space="preserve"> In PRIMA, 57% of the non-BRCAm patients (37% of the whole study population) had Stage III, R0-1 resection.</w:t>
      </w:r>
    </w:p>
  </w:footnote>
  <w:footnote w:id="6">
    <w:p w14:paraId="49CF0BBA" w14:textId="77777777" w:rsidR="00526BD0" w:rsidRPr="008E27D3" w:rsidRDefault="00526BD0" w:rsidP="004A54DB">
      <w:pPr>
        <w:pStyle w:val="FootnoteText"/>
      </w:pPr>
      <w:r w:rsidRPr="008E27D3">
        <w:rPr>
          <w:rStyle w:val="FootnoteReference"/>
        </w:rPr>
        <w:footnoteRef/>
      </w:r>
      <w:r w:rsidRPr="008E27D3">
        <w:t xml:space="preserve"> </w:t>
      </w:r>
      <w:r w:rsidRPr="008E27D3">
        <w:rPr>
          <w:rFonts w:asciiTheme="minorHAnsi" w:hAnsiTheme="minorHAnsi"/>
          <w:bCs/>
          <w:snapToGrid w:val="0"/>
        </w:rPr>
        <w:t>Cherny NI, Dafni U, Bogaerts J, et al: ESMO-Magnitude of Clinical Benefit Scale version 1.1. Annals</w:t>
      </w:r>
      <w:r>
        <w:rPr>
          <w:rFonts w:asciiTheme="minorHAnsi" w:hAnsiTheme="minorHAnsi"/>
          <w:bCs/>
          <w:snapToGrid w:val="0"/>
        </w:rPr>
        <w:t xml:space="preserve"> of Oncology 28:2340-2366, 2017.</w:t>
      </w:r>
    </w:p>
  </w:footnote>
  <w:footnote w:id="7">
    <w:p w14:paraId="2701C406" w14:textId="77777777" w:rsidR="00526BD0" w:rsidRDefault="00526BD0">
      <w:pPr>
        <w:pStyle w:val="FootnoteText"/>
      </w:pPr>
      <w:r>
        <w:rPr>
          <w:rStyle w:val="FootnoteReference"/>
        </w:rPr>
        <w:footnoteRef/>
      </w:r>
      <w:r>
        <w:t xml:space="preserve"> </w:t>
      </w:r>
      <w:r w:rsidRPr="001613C6">
        <w:t>Rauh-Hain JA, Melamed A, Wright A, Gockley A, Clemmer JT, Schorge JO, et al. Overall survival following neoadjuvant chemotherapy vs primary cytoreductive surgery in women with epithelial ovarian cancer: analysis of the National Cancer Database. JAMA oncology. 2017;3(1):76-82</w:t>
      </w:r>
    </w:p>
  </w:footnote>
  <w:footnote w:id="8">
    <w:p w14:paraId="09C9F1C6" w14:textId="77777777" w:rsidR="00526BD0" w:rsidRDefault="00526BD0">
      <w:pPr>
        <w:pStyle w:val="FootnoteText"/>
      </w:pPr>
      <w:r>
        <w:rPr>
          <w:rStyle w:val="FootnoteReference"/>
        </w:rPr>
        <w:footnoteRef/>
      </w:r>
      <w:r>
        <w:t xml:space="preserve"> Note that the non-BRCAm Stage III R0-1 results are derived from a post-hoc analysis performed specifically for the purposes of informing the PBAC consideration. This analysis was not part of the pre-specified statistical plan for PRIMA. Interpretation of the results and their application should therefore be limited to seeking to understand the basis for the PBAC outcome and should not be used for any other purpose.</w:t>
      </w:r>
    </w:p>
  </w:footnote>
  <w:footnote w:id="9">
    <w:p w14:paraId="234CF95F" w14:textId="77777777" w:rsidR="00526BD0" w:rsidRDefault="00526BD0">
      <w:pPr>
        <w:pStyle w:val="FootnoteText"/>
      </w:pPr>
      <w:r>
        <w:rPr>
          <w:rStyle w:val="FootnoteReference"/>
        </w:rPr>
        <w:footnoteRef/>
      </w:r>
      <w:r>
        <w:t xml:space="preserve"> </w:t>
      </w:r>
      <w:r w:rsidRPr="0070372A">
        <w:rPr>
          <w:i/>
        </w:rPr>
        <w:t>Note that the anchored indirect comparisons were conducted by the evaluation specifically for the purposes of informing the PBAC consideration. Interpretation of the results and their application should therefore be limited to seeking to understand the basis for the PBAC outcome and should not be used for any other purpose</w:t>
      </w:r>
      <w:r>
        <w:rPr>
          <w:i/>
        </w:rPr>
        <w:t>.</w:t>
      </w:r>
    </w:p>
  </w:footnote>
  <w:footnote w:id="10">
    <w:p w14:paraId="5B076D14" w14:textId="77777777" w:rsidR="00526BD0" w:rsidRDefault="00526BD0">
      <w:pPr>
        <w:pStyle w:val="FootnoteText"/>
      </w:pPr>
      <w:r>
        <w:rPr>
          <w:rStyle w:val="FootnoteReference"/>
        </w:rPr>
        <w:footnoteRef/>
      </w:r>
      <w:r>
        <w:t xml:space="preserve"> </w:t>
      </w:r>
      <w:r w:rsidRPr="0070372A">
        <w:rPr>
          <w:i/>
        </w:rPr>
        <w:t>Note that the results for niraparib vs placebo in the BRCAm NACT-IDS subgroup included in the indirect comparison are derived from a post-hoc analysis performed specifically for the purposes of informing the PBAC consideration. This analysis was not part of the pre-specified statistical plan for PRIMA.</w:t>
      </w:r>
    </w:p>
  </w:footnote>
  <w:footnote w:id="11">
    <w:p w14:paraId="46F0819D" w14:textId="77777777" w:rsidR="00526BD0" w:rsidRDefault="00526BD0" w:rsidP="00AE13E6">
      <w:pPr>
        <w:pStyle w:val="FootnoteText"/>
        <w:jc w:val="left"/>
      </w:pPr>
      <w:r>
        <w:rPr>
          <w:rStyle w:val="FootnoteReference"/>
        </w:rPr>
        <w:footnoteRef/>
      </w:r>
      <w:r>
        <w:t xml:space="preserve"> pCODR EXPERT REVIEW COMMITTEE (pERC) FINAL RECOMMENDATION </w:t>
      </w:r>
      <w:r w:rsidRPr="005C40A5">
        <w:t>https://www.cadth.ca/sites/default/files/pcodr/Reviews2021/10224NiraparibOC_fnRec_pERC%20Chair%20Approved_Post29Apr2021_final.pdf</w:t>
      </w:r>
    </w:p>
  </w:footnote>
  <w:footnote w:id="12">
    <w:p w14:paraId="13A94CB7" w14:textId="77777777" w:rsidR="00526BD0" w:rsidRDefault="00526BD0" w:rsidP="00EA712C">
      <w:pPr>
        <w:pStyle w:val="FootnoteText"/>
      </w:pPr>
      <w:r>
        <w:rPr>
          <w:rStyle w:val="FootnoteReference"/>
        </w:rPr>
        <w:footnoteRef/>
      </w:r>
      <w:r>
        <w:rPr>
          <w:rFonts w:asciiTheme="minorHAnsi" w:hAnsiTheme="minorHAnsi" w:cstheme="minorHAnsi"/>
          <w:lang w:val="en-US"/>
        </w:rPr>
        <w:t xml:space="preserve"> </w:t>
      </w:r>
      <w:r w:rsidRPr="00453B0B">
        <w:rPr>
          <w:rFonts w:asciiTheme="minorHAnsi" w:hAnsiTheme="minorHAnsi" w:cstheme="minorHAnsi"/>
          <w:lang w:val="en-US"/>
        </w:rPr>
        <w:t>National Institute for Health and Care Excellence (NICE). Niraparib for maintenance treatment of advanced ovarian, fallopian tube and peritoneal cancer after response to first-line platinum-based chemotherapy - Technology appraisal guidance. 2021.</w:t>
      </w:r>
    </w:p>
  </w:footnote>
  <w:footnote w:id="13">
    <w:p w14:paraId="60F0B270" w14:textId="77777777" w:rsidR="00526BD0" w:rsidRDefault="00526BD0" w:rsidP="00EA712C">
      <w:pPr>
        <w:pStyle w:val="FootnoteText"/>
      </w:pPr>
      <w:r>
        <w:rPr>
          <w:rStyle w:val="FootnoteReference"/>
        </w:rPr>
        <w:footnoteRef/>
      </w:r>
      <w:r>
        <w:t xml:space="preserve"> I</w:t>
      </w:r>
      <w:r w:rsidRPr="00D46758">
        <w:t xml:space="preserve">rodi A, Rye T, et al. Patterns of clinicopathological features and outcome in epithelial ovarian cancer patients: 35 years of prospectively collected data. </w:t>
      </w:r>
      <w:r w:rsidRPr="007A5DD1">
        <w:rPr>
          <w:i/>
        </w:rPr>
        <w:t>BJOG: An International Journal of Obstetrics &amp; Gynaecology</w:t>
      </w:r>
      <w:r w:rsidRPr="00D46758">
        <w:t>. 2020</w:t>
      </w:r>
      <w:proofErr w:type="gramStart"/>
      <w:r w:rsidRPr="00D46758">
        <w:t>;127</w:t>
      </w:r>
      <w:proofErr w:type="gramEnd"/>
      <w:r w:rsidRPr="00D46758">
        <w:t>(11):1409-20.</w:t>
      </w:r>
    </w:p>
    <w:p w14:paraId="0CFA681B" w14:textId="77777777" w:rsidR="00526BD0" w:rsidRDefault="00526BD0" w:rsidP="00EA712C">
      <w:pPr>
        <w:pStyle w:val="FootnoteText"/>
        <w:rPr>
          <w:rFonts w:ascii="Segoe UI" w:hAnsi="Segoe UI" w:cs="Segoe UI"/>
          <w:sz w:val="18"/>
          <w:szCs w:val="18"/>
        </w:rPr>
      </w:pPr>
      <w:r>
        <w:rPr>
          <w:rFonts w:ascii="Segoe UI" w:hAnsi="Segoe UI" w:cs="Segoe UI"/>
          <w:sz w:val="18"/>
          <w:szCs w:val="18"/>
        </w:rPr>
        <w:t xml:space="preserve">Oliver KE, Brady WE, et al. An evaluation of progression free survival and overall survival of ovarian cancer patients with clear cell carcinoma versus serous carcinoma treated with platinum therapy: An NRG Oncology/Gynecologic Oncology Group experience. </w:t>
      </w:r>
      <w:r>
        <w:rPr>
          <w:rFonts w:ascii="Segoe UI" w:hAnsi="Segoe UI" w:cs="Segoe UI"/>
          <w:i/>
          <w:iCs/>
          <w:sz w:val="18"/>
          <w:szCs w:val="18"/>
        </w:rPr>
        <w:t>Gynecol Oncol</w:t>
      </w:r>
      <w:r>
        <w:rPr>
          <w:rFonts w:ascii="Segoe UI" w:hAnsi="Segoe UI" w:cs="Segoe UI"/>
          <w:sz w:val="18"/>
          <w:szCs w:val="18"/>
        </w:rPr>
        <w:t>. 2017</w:t>
      </w:r>
      <w:proofErr w:type="gramStart"/>
      <w:r>
        <w:rPr>
          <w:rFonts w:ascii="Segoe UI" w:hAnsi="Segoe UI" w:cs="Segoe UI"/>
          <w:sz w:val="18"/>
          <w:szCs w:val="18"/>
        </w:rPr>
        <w:t>;147</w:t>
      </w:r>
      <w:proofErr w:type="gramEnd"/>
      <w:r>
        <w:rPr>
          <w:rFonts w:ascii="Segoe UI" w:hAnsi="Segoe UI" w:cs="Segoe UI"/>
          <w:sz w:val="18"/>
          <w:szCs w:val="18"/>
        </w:rPr>
        <w:t>(2):243-9.</w:t>
      </w:r>
    </w:p>
    <w:p w14:paraId="7D78791F" w14:textId="77777777" w:rsidR="00526BD0" w:rsidRDefault="00526BD0" w:rsidP="00EA712C">
      <w:pPr>
        <w:pStyle w:val="FootnoteText"/>
      </w:pPr>
      <w:r w:rsidRPr="007A5DD1">
        <w:t xml:space="preserve">Vergote I, Coens C, et al. Neoadjuvant chemotherapy versus debulking surgery in advanced tubo-ovarian cancers: pooled analysis of individual patient data from the EORTC 55971 and CHORUS trials. </w:t>
      </w:r>
      <w:r w:rsidRPr="007A5DD1">
        <w:rPr>
          <w:i/>
        </w:rPr>
        <w:t>The Lancet Oncology</w:t>
      </w:r>
      <w:r w:rsidRPr="007A5DD1">
        <w:t>. 2018</w:t>
      </w:r>
      <w:proofErr w:type="gramStart"/>
      <w:r w:rsidRPr="007A5DD1">
        <w:t>;19</w:t>
      </w:r>
      <w:proofErr w:type="gramEnd"/>
      <w:r w:rsidRPr="007A5DD1">
        <w:t>(12):1680-7.</w:t>
      </w:r>
    </w:p>
  </w:footnote>
  <w:footnote w:id="14">
    <w:p w14:paraId="11CB85A3" w14:textId="77777777" w:rsidR="00526BD0" w:rsidRDefault="00526BD0" w:rsidP="00C46920">
      <w:pPr>
        <w:pStyle w:val="FootnoteText"/>
      </w:pPr>
      <w:r>
        <w:rPr>
          <w:rStyle w:val="FootnoteReference"/>
        </w:rPr>
        <w:footnoteRef/>
      </w:r>
      <w:r>
        <w:t xml:space="preserve"> Calculated by multiplying 73% (th</w:t>
      </w:r>
      <w:r w:rsidRPr="0038796F">
        <w:t xml:space="preserve">e number of patients </w:t>
      </w:r>
      <w:r>
        <w:t xml:space="preserve">who progress </w:t>
      </w:r>
      <w:r w:rsidRPr="0038796F">
        <w:t>from cycle four onwards</w:t>
      </w:r>
      <w:r>
        <w:t>, to reflect response to 1L platinum-based chemotherapy) x 28.9% (proportion of BRCAm) x 82% (response rate to 2L platinum-based chemotherapy) x 90% (uptake rate of 2L PARPi).</w:t>
      </w:r>
    </w:p>
  </w:footnote>
  <w:footnote w:id="15">
    <w:p w14:paraId="47D27CEE" w14:textId="77777777" w:rsidR="00526BD0" w:rsidRDefault="00526BD0" w:rsidP="00EA712C">
      <w:pPr>
        <w:pStyle w:val="FootnoteText"/>
      </w:pPr>
      <w:r>
        <w:rPr>
          <w:rStyle w:val="FootnoteReference"/>
        </w:rPr>
        <w:footnoteRef/>
      </w:r>
      <w:r>
        <w:t xml:space="preserve"> </w:t>
      </w:r>
      <w:r w:rsidRPr="00A60546">
        <w:t xml:space="preserve">Norman R, Cronin P, Viney R. A pilot discrete choice experiment to explore preferences for EQ-5D-5L health states. </w:t>
      </w:r>
      <w:r w:rsidRPr="00A60546">
        <w:rPr>
          <w:i/>
        </w:rPr>
        <w:t>Appl Health Econ Health Policy</w:t>
      </w:r>
      <w:r w:rsidRPr="00A60546">
        <w:t>. 2013</w:t>
      </w:r>
      <w:proofErr w:type="gramStart"/>
      <w:r w:rsidRPr="00A60546">
        <w:t>;11</w:t>
      </w:r>
      <w:proofErr w:type="gramEnd"/>
      <w:r w:rsidRPr="00A60546">
        <w:t>(3):287-98.</w:t>
      </w:r>
    </w:p>
  </w:footnote>
  <w:footnote w:id="16">
    <w:p w14:paraId="710F9192" w14:textId="77777777" w:rsidR="00526BD0" w:rsidRDefault="00526BD0">
      <w:pPr>
        <w:pStyle w:val="FootnoteText"/>
      </w:pPr>
      <w:r>
        <w:rPr>
          <w:rStyle w:val="FootnoteReference"/>
        </w:rPr>
        <w:footnoteRef/>
      </w:r>
      <w:r>
        <w:t xml:space="preserve"> </w:t>
      </w:r>
      <w:r w:rsidRPr="00BA2F50">
        <w:rPr>
          <w:i/>
        </w:rPr>
        <w:t>Note that the mean dose of treatment was provided for the purposes of informing the PBAC consideration. Interpretation of the results and their application should therefore be limited to seeking to understand the basis for the PBAC outcome and should not be used for any other purpose</w:t>
      </w:r>
      <w:r>
        <w:rPr>
          <w:i/>
        </w:rPr>
        <w:t>.</w:t>
      </w:r>
    </w:p>
  </w:footnote>
  <w:footnote w:id="17">
    <w:p w14:paraId="7D508971" w14:textId="77777777" w:rsidR="00526BD0" w:rsidRDefault="00526BD0">
      <w:pPr>
        <w:pStyle w:val="FootnoteText"/>
      </w:pPr>
      <w:r>
        <w:rPr>
          <w:rStyle w:val="FootnoteReference"/>
        </w:rPr>
        <w:footnoteRef/>
      </w:r>
      <w:r>
        <w:t xml:space="preserve"> </w:t>
      </w:r>
      <w:r w:rsidRPr="00ED2824">
        <w:rPr>
          <w:i/>
        </w:rPr>
        <w:t>Note that the indirect comparisons of niraparib vs olaparib were conducted by the evaluation specifically for the purposes of informing the PBAC consideration. Interpretation of the results and their application should therefore be limited to seeking to understand the basis for the PBAC outcome and should not be used for any other purpose</w:t>
      </w:r>
      <w:r>
        <w:rPr>
          <w:i/>
        </w:rPr>
        <w:t>.</w:t>
      </w:r>
    </w:p>
  </w:footnote>
  <w:footnote w:id="18">
    <w:p w14:paraId="15B5BA8D" w14:textId="77777777" w:rsidR="00526BD0" w:rsidRDefault="00526BD0">
      <w:pPr>
        <w:pStyle w:val="FootnoteText"/>
      </w:pPr>
      <w:r>
        <w:rPr>
          <w:rStyle w:val="FootnoteReference"/>
        </w:rPr>
        <w:footnoteRef/>
      </w:r>
      <w:r>
        <w:t xml:space="preserve"> </w:t>
      </w:r>
      <w:r w:rsidRPr="00ED2824">
        <w:rPr>
          <w:i/>
        </w:rPr>
        <w:t>Results for niraparib vs placebo in the BRCAm NACT-IDS subgroup included in the indirect comparison are derived from a post-hoc analysis performed specifically for the purposes of informing the PBAC consideration. This analysis was not part of the pre-specified statistical plan for PRIMA</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F5794" w14:textId="77777777" w:rsidR="001D7CF9" w:rsidRDefault="001D7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E17A4" w14:textId="77777777" w:rsidR="00526BD0" w:rsidRPr="00A238BC" w:rsidRDefault="00526BD0" w:rsidP="009C4C26">
    <w:pPr>
      <w:pStyle w:val="Header"/>
      <w:rPr>
        <w:i/>
      </w:rPr>
    </w:pPr>
    <w:r>
      <w:rPr>
        <w:i/>
      </w:rPr>
      <w:t xml:space="preserve">Public Summary Document </w:t>
    </w:r>
    <w:r w:rsidRPr="00A238BC">
      <w:rPr>
        <w:i/>
      </w:rPr>
      <w:t xml:space="preserve">– </w:t>
    </w:r>
    <w:r>
      <w:rPr>
        <w:i/>
      </w:rPr>
      <w:t>July</w:t>
    </w:r>
    <w:r w:rsidRPr="00A238BC">
      <w:rPr>
        <w:i/>
      </w:rPr>
      <w:t xml:space="preserve"> 2021 PBAC Meeting</w:t>
    </w:r>
  </w:p>
  <w:p w14:paraId="295DD18F" w14:textId="77777777" w:rsidR="00526BD0" w:rsidRPr="008C7ECB" w:rsidRDefault="00526B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30BE0" w14:textId="77777777" w:rsidR="001D7CF9" w:rsidRDefault="001D7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9624048"/>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07EF078C"/>
    <w:multiLevelType w:val="hybridMultilevel"/>
    <w:tmpl w:val="8C10CFBA"/>
    <w:lvl w:ilvl="0" w:tplc="0C4E4756">
      <w:start w:val="1"/>
      <w:numFmt w:val="lowerLetter"/>
      <w:pStyle w:val="LetteredList"/>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08F7B8C"/>
    <w:multiLevelType w:val="hybridMultilevel"/>
    <w:tmpl w:val="1BBAEE7C"/>
    <w:lvl w:ilvl="0" w:tplc="C0FCF582">
      <w:start w:val="1"/>
      <w:numFmt w:val="bullet"/>
      <w:lvlText w:val=""/>
      <w:lvlJc w:val="left"/>
      <w:pPr>
        <w:ind w:left="396" w:hanging="360"/>
      </w:pPr>
      <w:rPr>
        <w:rFonts w:ascii="Symbol" w:hAnsi="Symbol" w:hint="default"/>
        <w:color w:val="auto"/>
      </w:rPr>
    </w:lvl>
    <w:lvl w:ilvl="1" w:tplc="0C090001">
      <w:start w:val="1"/>
      <w:numFmt w:val="bullet"/>
      <w:lvlText w:val=""/>
      <w:lvlJc w:val="left"/>
      <w:pPr>
        <w:ind w:left="908" w:hanging="360"/>
      </w:pPr>
      <w:rPr>
        <w:rFonts w:ascii="Symbol" w:hAnsi="Symbol" w:hint="default"/>
      </w:rPr>
    </w:lvl>
    <w:lvl w:ilvl="2" w:tplc="04090005">
      <w:start w:val="1"/>
      <w:numFmt w:val="bullet"/>
      <w:lvlText w:val=""/>
      <w:lvlJc w:val="left"/>
      <w:pPr>
        <w:ind w:left="1628" w:hanging="360"/>
      </w:pPr>
      <w:rPr>
        <w:rFonts w:ascii="Wingdings" w:hAnsi="Wingdings" w:hint="default"/>
      </w:rPr>
    </w:lvl>
    <w:lvl w:ilvl="3" w:tplc="04090001" w:tentative="1">
      <w:start w:val="1"/>
      <w:numFmt w:val="bullet"/>
      <w:lvlText w:val=""/>
      <w:lvlJc w:val="left"/>
      <w:pPr>
        <w:ind w:left="2348" w:hanging="360"/>
      </w:pPr>
      <w:rPr>
        <w:rFonts w:ascii="Symbol" w:hAnsi="Symbol" w:hint="default"/>
      </w:rPr>
    </w:lvl>
    <w:lvl w:ilvl="4" w:tplc="04090003" w:tentative="1">
      <w:start w:val="1"/>
      <w:numFmt w:val="bullet"/>
      <w:lvlText w:val="o"/>
      <w:lvlJc w:val="left"/>
      <w:pPr>
        <w:ind w:left="3068" w:hanging="360"/>
      </w:pPr>
      <w:rPr>
        <w:rFonts w:ascii="Courier New" w:hAnsi="Courier New" w:hint="default"/>
      </w:rPr>
    </w:lvl>
    <w:lvl w:ilvl="5" w:tplc="04090005" w:tentative="1">
      <w:start w:val="1"/>
      <w:numFmt w:val="bullet"/>
      <w:lvlText w:val=""/>
      <w:lvlJc w:val="left"/>
      <w:pPr>
        <w:ind w:left="3788" w:hanging="360"/>
      </w:pPr>
      <w:rPr>
        <w:rFonts w:ascii="Wingdings" w:hAnsi="Wingdings" w:hint="default"/>
      </w:rPr>
    </w:lvl>
    <w:lvl w:ilvl="6" w:tplc="04090001" w:tentative="1">
      <w:start w:val="1"/>
      <w:numFmt w:val="bullet"/>
      <w:lvlText w:val=""/>
      <w:lvlJc w:val="left"/>
      <w:pPr>
        <w:ind w:left="4508" w:hanging="360"/>
      </w:pPr>
      <w:rPr>
        <w:rFonts w:ascii="Symbol" w:hAnsi="Symbol" w:hint="default"/>
      </w:rPr>
    </w:lvl>
    <w:lvl w:ilvl="7" w:tplc="04090003" w:tentative="1">
      <w:start w:val="1"/>
      <w:numFmt w:val="bullet"/>
      <w:lvlText w:val="o"/>
      <w:lvlJc w:val="left"/>
      <w:pPr>
        <w:ind w:left="5228" w:hanging="360"/>
      </w:pPr>
      <w:rPr>
        <w:rFonts w:ascii="Courier New" w:hAnsi="Courier New" w:hint="default"/>
      </w:rPr>
    </w:lvl>
    <w:lvl w:ilvl="8" w:tplc="04090005" w:tentative="1">
      <w:start w:val="1"/>
      <w:numFmt w:val="bullet"/>
      <w:lvlText w:val=""/>
      <w:lvlJc w:val="left"/>
      <w:pPr>
        <w:ind w:left="5948" w:hanging="360"/>
      </w:pPr>
      <w:rPr>
        <w:rFonts w:ascii="Wingdings" w:hAnsi="Wingdings" w:hint="default"/>
      </w:rPr>
    </w:lvl>
  </w:abstractNum>
  <w:abstractNum w:abstractNumId="3"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9D38CD"/>
    <w:multiLevelType w:val="hybridMultilevel"/>
    <w:tmpl w:val="96E08E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80E1D6D"/>
    <w:multiLevelType w:val="hybridMultilevel"/>
    <w:tmpl w:val="602E488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D5E65DE2">
      <w:numFmt w:val="bullet"/>
      <w:lvlText w:val="•"/>
      <w:lvlJc w:val="left"/>
      <w:pPr>
        <w:ind w:left="1800" w:hanging="720"/>
      </w:pPr>
      <w:rPr>
        <w:rFonts w:ascii="Calibri" w:eastAsia="Times New Roman" w:hAnsi="Calibri" w:cs="Calibri"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6" w15:restartNumberingAfterBreak="0">
    <w:nsid w:val="386C41CB"/>
    <w:multiLevelType w:val="hybridMultilevel"/>
    <w:tmpl w:val="7F94C816"/>
    <w:lvl w:ilvl="0" w:tplc="903248AE">
      <w:start w:val="1"/>
      <w:numFmt w:val="decimal"/>
      <w:pStyle w:val="NumberedList"/>
      <w:lvlText w:val="%1."/>
      <w:lvlJc w:val="left"/>
      <w:pPr>
        <w:ind w:left="720" w:hanging="360"/>
      </w:pPr>
      <w:rPr>
        <w:rFonts w:cs="Times New Roman"/>
      </w:rPr>
    </w:lvl>
    <w:lvl w:ilvl="1" w:tplc="ACD2A5C2" w:tentative="1">
      <w:start w:val="1"/>
      <w:numFmt w:val="lowerLetter"/>
      <w:lvlText w:val="%2."/>
      <w:lvlJc w:val="left"/>
      <w:pPr>
        <w:ind w:left="1440" w:hanging="360"/>
      </w:pPr>
      <w:rPr>
        <w:rFonts w:cs="Times New Roman"/>
      </w:rPr>
    </w:lvl>
    <w:lvl w:ilvl="2" w:tplc="81041AEE" w:tentative="1">
      <w:start w:val="1"/>
      <w:numFmt w:val="lowerRoman"/>
      <w:lvlText w:val="%3."/>
      <w:lvlJc w:val="right"/>
      <w:pPr>
        <w:ind w:left="2160" w:hanging="180"/>
      </w:pPr>
      <w:rPr>
        <w:rFonts w:cs="Times New Roman"/>
      </w:rPr>
    </w:lvl>
    <w:lvl w:ilvl="3" w:tplc="6F9E5ABC" w:tentative="1">
      <w:start w:val="1"/>
      <w:numFmt w:val="decimal"/>
      <w:lvlText w:val="%4."/>
      <w:lvlJc w:val="left"/>
      <w:pPr>
        <w:ind w:left="2880" w:hanging="360"/>
      </w:pPr>
      <w:rPr>
        <w:rFonts w:cs="Times New Roman"/>
      </w:rPr>
    </w:lvl>
    <w:lvl w:ilvl="4" w:tplc="79BE0738" w:tentative="1">
      <w:start w:val="1"/>
      <w:numFmt w:val="lowerLetter"/>
      <w:lvlText w:val="%5."/>
      <w:lvlJc w:val="left"/>
      <w:pPr>
        <w:ind w:left="3600" w:hanging="360"/>
      </w:pPr>
      <w:rPr>
        <w:rFonts w:cs="Times New Roman"/>
      </w:rPr>
    </w:lvl>
    <w:lvl w:ilvl="5" w:tplc="73E0EA72" w:tentative="1">
      <w:start w:val="1"/>
      <w:numFmt w:val="lowerRoman"/>
      <w:lvlText w:val="%6."/>
      <w:lvlJc w:val="right"/>
      <w:pPr>
        <w:ind w:left="4320" w:hanging="180"/>
      </w:pPr>
      <w:rPr>
        <w:rFonts w:cs="Times New Roman"/>
      </w:rPr>
    </w:lvl>
    <w:lvl w:ilvl="6" w:tplc="AF7840C6" w:tentative="1">
      <w:start w:val="1"/>
      <w:numFmt w:val="decimal"/>
      <w:lvlText w:val="%7."/>
      <w:lvlJc w:val="left"/>
      <w:pPr>
        <w:ind w:left="5040" w:hanging="360"/>
      </w:pPr>
      <w:rPr>
        <w:rFonts w:cs="Times New Roman"/>
      </w:rPr>
    </w:lvl>
    <w:lvl w:ilvl="7" w:tplc="72047760" w:tentative="1">
      <w:start w:val="1"/>
      <w:numFmt w:val="lowerLetter"/>
      <w:lvlText w:val="%8."/>
      <w:lvlJc w:val="left"/>
      <w:pPr>
        <w:ind w:left="5760" w:hanging="360"/>
      </w:pPr>
      <w:rPr>
        <w:rFonts w:cs="Times New Roman"/>
      </w:rPr>
    </w:lvl>
    <w:lvl w:ilvl="8" w:tplc="3C167224" w:tentative="1">
      <w:start w:val="1"/>
      <w:numFmt w:val="lowerRoman"/>
      <w:lvlText w:val="%9."/>
      <w:lvlJc w:val="right"/>
      <w:pPr>
        <w:ind w:left="6480" w:hanging="180"/>
      </w:pPr>
      <w:rPr>
        <w:rFonts w:cs="Times New Roman"/>
      </w:rPr>
    </w:lvl>
  </w:abstractNum>
  <w:abstractNum w:abstractNumId="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D67A6"/>
    <w:multiLevelType w:val="hybridMultilevel"/>
    <w:tmpl w:val="F536DCFC"/>
    <w:lvl w:ilvl="0" w:tplc="2DBC1112">
      <w:start w:val="1"/>
      <w:numFmt w:val="bullet"/>
      <w:pStyle w:val="ListParagraph"/>
      <w:lvlText w:val=""/>
      <w:lvlJc w:val="left"/>
      <w:pPr>
        <w:ind w:left="396" w:hanging="360"/>
      </w:pPr>
      <w:rPr>
        <w:rFonts w:ascii="Symbol" w:hAnsi="Symbol" w:hint="default"/>
        <w:color w:val="auto"/>
      </w:rPr>
    </w:lvl>
    <w:lvl w:ilvl="1" w:tplc="04090003">
      <w:start w:val="1"/>
      <w:numFmt w:val="bullet"/>
      <w:lvlText w:val="o"/>
      <w:lvlJc w:val="left"/>
      <w:pPr>
        <w:ind w:left="908" w:hanging="360"/>
      </w:pPr>
      <w:rPr>
        <w:rFonts w:ascii="Courier New" w:hAnsi="Courier New" w:hint="default"/>
      </w:rPr>
    </w:lvl>
    <w:lvl w:ilvl="2" w:tplc="04090005">
      <w:start w:val="1"/>
      <w:numFmt w:val="bullet"/>
      <w:lvlText w:val=""/>
      <w:lvlJc w:val="left"/>
      <w:pPr>
        <w:ind w:left="1628" w:hanging="360"/>
      </w:pPr>
      <w:rPr>
        <w:rFonts w:ascii="Wingdings" w:hAnsi="Wingdings" w:hint="default"/>
      </w:rPr>
    </w:lvl>
    <w:lvl w:ilvl="3" w:tplc="04090001" w:tentative="1">
      <w:start w:val="1"/>
      <w:numFmt w:val="bullet"/>
      <w:lvlText w:val=""/>
      <w:lvlJc w:val="left"/>
      <w:pPr>
        <w:ind w:left="2348" w:hanging="360"/>
      </w:pPr>
      <w:rPr>
        <w:rFonts w:ascii="Symbol" w:hAnsi="Symbol" w:hint="default"/>
      </w:rPr>
    </w:lvl>
    <w:lvl w:ilvl="4" w:tplc="04090003" w:tentative="1">
      <w:start w:val="1"/>
      <w:numFmt w:val="bullet"/>
      <w:lvlText w:val="o"/>
      <w:lvlJc w:val="left"/>
      <w:pPr>
        <w:ind w:left="3068" w:hanging="360"/>
      </w:pPr>
      <w:rPr>
        <w:rFonts w:ascii="Courier New" w:hAnsi="Courier New" w:hint="default"/>
      </w:rPr>
    </w:lvl>
    <w:lvl w:ilvl="5" w:tplc="04090005" w:tentative="1">
      <w:start w:val="1"/>
      <w:numFmt w:val="bullet"/>
      <w:lvlText w:val=""/>
      <w:lvlJc w:val="left"/>
      <w:pPr>
        <w:ind w:left="3788" w:hanging="360"/>
      </w:pPr>
      <w:rPr>
        <w:rFonts w:ascii="Wingdings" w:hAnsi="Wingdings" w:hint="default"/>
      </w:rPr>
    </w:lvl>
    <w:lvl w:ilvl="6" w:tplc="04090001" w:tentative="1">
      <w:start w:val="1"/>
      <w:numFmt w:val="bullet"/>
      <w:lvlText w:val=""/>
      <w:lvlJc w:val="left"/>
      <w:pPr>
        <w:ind w:left="4508" w:hanging="360"/>
      </w:pPr>
      <w:rPr>
        <w:rFonts w:ascii="Symbol" w:hAnsi="Symbol" w:hint="default"/>
      </w:rPr>
    </w:lvl>
    <w:lvl w:ilvl="7" w:tplc="04090003" w:tentative="1">
      <w:start w:val="1"/>
      <w:numFmt w:val="bullet"/>
      <w:lvlText w:val="o"/>
      <w:lvlJc w:val="left"/>
      <w:pPr>
        <w:ind w:left="5228" w:hanging="360"/>
      </w:pPr>
      <w:rPr>
        <w:rFonts w:ascii="Courier New" w:hAnsi="Courier New" w:hint="default"/>
      </w:rPr>
    </w:lvl>
    <w:lvl w:ilvl="8" w:tplc="04090005" w:tentative="1">
      <w:start w:val="1"/>
      <w:numFmt w:val="bullet"/>
      <w:lvlText w:val=""/>
      <w:lvlJc w:val="left"/>
      <w:pPr>
        <w:ind w:left="5948" w:hanging="360"/>
      </w:pPr>
      <w:rPr>
        <w:rFonts w:ascii="Wingdings" w:hAnsi="Wingdings" w:hint="default"/>
      </w:rPr>
    </w:lvl>
  </w:abstractNum>
  <w:abstractNum w:abstractNumId="9" w15:restartNumberingAfterBreak="0">
    <w:nsid w:val="571F0319"/>
    <w:multiLevelType w:val="hybridMultilevel"/>
    <w:tmpl w:val="25A80A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4247F7C"/>
    <w:multiLevelType w:val="hybridMultilevel"/>
    <w:tmpl w:val="284A2A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A0623C2"/>
    <w:multiLevelType w:val="hybridMultilevel"/>
    <w:tmpl w:val="00C4A03E"/>
    <w:lvl w:ilvl="0" w:tplc="D21E40AC">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7"/>
  </w:num>
  <w:num w:numId="3">
    <w:abstractNumId w:val="8"/>
  </w:num>
  <w:num w:numId="4">
    <w:abstractNumId w:val="0"/>
  </w:num>
  <w:num w:numId="5">
    <w:abstractNumId w:val="12"/>
  </w:num>
  <w:num w:numId="6">
    <w:abstractNumId w:val="1"/>
  </w:num>
  <w:num w:numId="7">
    <w:abstractNumId w:val="3"/>
  </w:num>
  <w:num w:numId="8">
    <w:abstractNumId w:val="11"/>
  </w:num>
  <w:num w:numId="9">
    <w:abstractNumId w:val="6"/>
  </w:num>
  <w:num w:numId="10">
    <w:abstractNumId w:val="5"/>
  </w:num>
  <w:num w:numId="11">
    <w:abstractNumId w:val="10"/>
  </w:num>
  <w:num w:numId="12">
    <w:abstractNumId w:val="9"/>
  </w:num>
  <w:num w:numId="13">
    <w:abstractNumId w:val="4"/>
  </w:num>
  <w:num w:numId="14">
    <w:abstractNumId w:val="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removePersonalInformation/>
  <w:removeDateAndTime/>
  <w:hideSpellingErrors/>
  <w:activeWritingStyle w:appName="MSWord" w:lang="en-AU" w:vendorID="64" w:dllVersion="0"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e5zwrve5dtrelezp2rvfzdgpffpvw5sw5rr&quot;&gt;Niraparib endnote&lt;record-ids&gt;&lt;item&gt;6&lt;/item&gt;&lt;item&gt;7&lt;/item&gt;&lt;item&gt;9&lt;/item&gt;&lt;item&gt;10&lt;/item&gt;&lt;item&gt;11&lt;/item&gt;&lt;item&gt;12&lt;/item&gt;&lt;item&gt;16&lt;/item&gt;&lt;item&gt;17&lt;/item&gt;&lt;item&gt;18&lt;/item&gt;&lt;item&gt;20&lt;/item&gt;&lt;item&gt;21&lt;/item&gt;&lt;item&gt;22&lt;/item&gt;&lt;item&gt;23&lt;/item&gt;&lt;item&gt;44&lt;/item&gt;&lt;item&gt;46&lt;/item&gt;&lt;item&gt;47&lt;/item&gt;&lt;item&gt;50&lt;/item&gt;&lt;item&gt;54&lt;/item&gt;&lt;item&gt;55&lt;/item&gt;&lt;item&gt;56&lt;/item&gt;&lt;item&gt;58&lt;/item&gt;&lt;item&gt;60&lt;/item&gt;&lt;item&gt;62&lt;/item&gt;&lt;item&gt;63&lt;/item&gt;&lt;item&gt;64&lt;/item&gt;&lt;item&gt;65&lt;/item&gt;&lt;item&gt;66&lt;/item&gt;&lt;item&gt;67&lt;/item&gt;&lt;item&gt;68&lt;/item&gt;&lt;item&gt;69&lt;/item&gt;&lt;item&gt;70&lt;/item&gt;&lt;item&gt;71&lt;/item&gt;&lt;item&gt;72&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4&lt;/item&gt;&lt;item&gt;95&lt;/item&gt;&lt;item&gt;96&lt;/item&gt;&lt;item&gt;97&lt;/item&gt;&lt;item&gt;98&lt;/item&gt;&lt;item&gt;100&lt;/item&gt;&lt;item&gt;101&lt;/item&gt;&lt;item&gt;102&lt;/item&gt;&lt;item&gt;104&lt;/item&gt;&lt;/record-ids&gt;&lt;/item&gt;&lt;/Libraries&gt;"/>
  </w:docVars>
  <w:rsids>
    <w:rsidRoot w:val="00E65E79"/>
    <w:rsid w:val="00000790"/>
    <w:rsid w:val="0000110B"/>
    <w:rsid w:val="00001DFD"/>
    <w:rsid w:val="000026F8"/>
    <w:rsid w:val="00003499"/>
    <w:rsid w:val="000039B7"/>
    <w:rsid w:val="0000524C"/>
    <w:rsid w:val="000059E6"/>
    <w:rsid w:val="0000639A"/>
    <w:rsid w:val="00007E7D"/>
    <w:rsid w:val="000107A9"/>
    <w:rsid w:val="00010F1A"/>
    <w:rsid w:val="0001198F"/>
    <w:rsid w:val="00012871"/>
    <w:rsid w:val="00013247"/>
    <w:rsid w:val="000141AF"/>
    <w:rsid w:val="00015886"/>
    <w:rsid w:val="000162EF"/>
    <w:rsid w:val="000165D7"/>
    <w:rsid w:val="00017835"/>
    <w:rsid w:val="000207C9"/>
    <w:rsid w:val="00020E9F"/>
    <w:rsid w:val="00021491"/>
    <w:rsid w:val="00021FA2"/>
    <w:rsid w:val="0002225F"/>
    <w:rsid w:val="00022517"/>
    <w:rsid w:val="0002302D"/>
    <w:rsid w:val="00023763"/>
    <w:rsid w:val="00023B5F"/>
    <w:rsid w:val="000263A2"/>
    <w:rsid w:val="00026422"/>
    <w:rsid w:val="000268ED"/>
    <w:rsid w:val="000274B8"/>
    <w:rsid w:val="00027999"/>
    <w:rsid w:val="00031738"/>
    <w:rsid w:val="00031A1F"/>
    <w:rsid w:val="00031B81"/>
    <w:rsid w:val="00032921"/>
    <w:rsid w:val="00032DCE"/>
    <w:rsid w:val="000337BF"/>
    <w:rsid w:val="00033863"/>
    <w:rsid w:val="00033B6B"/>
    <w:rsid w:val="00035DC0"/>
    <w:rsid w:val="00035F51"/>
    <w:rsid w:val="00036299"/>
    <w:rsid w:val="00036829"/>
    <w:rsid w:val="000376AB"/>
    <w:rsid w:val="00040895"/>
    <w:rsid w:val="00041275"/>
    <w:rsid w:val="00041A7A"/>
    <w:rsid w:val="00042C95"/>
    <w:rsid w:val="00042EC5"/>
    <w:rsid w:val="000435EE"/>
    <w:rsid w:val="00043C37"/>
    <w:rsid w:val="00044133"/>
    <w:rsid w:val="00044D88"/>
    <w:rsid w:val="00045017"/>
    <w:rsid w:val="00045A2B"/>
    <w:rsid w:val="0004698F"/>
    <w:rsid w:val="0004784E"/>
    <w:rsid w:val="0005052B"/>
    <w:rsid w:val="0005091F"/>
    <w:rsid w:val="00052F55"/>
    <w:rsid w:val="000539D0"/>
    <w:rsid w:val="00054621"/>
    <w:rsid w:val="000546D7"/>
    <w:rsid w:val="000550AE"/>
    <w:rsid w:val="00055AFB"/>
    <w:rsid w:val="00056ECF"/>
    <w:rsid w:val="000604DF"/>
    <w:rsid w:val="00060DE5"/>
    <w:rsid w:val="00062144"/>
    <w:rsid w:val="00062A82"/>
    <w:rsid w:val="000636CF"/>
    <w:rsid w:val="0006457A"/>
    <w:rsid w:val="000653B5"/>
    <w:rsid w:val="00066360"/>
    <w:rsid w:val="00066AF8"/>
    <w:rsid w:val="000678FB"/>
    <w:rsid w:val="0007093B"/>
    <w:rsid w:val="00071248"/>
    <w:rsid w:val="000720B9"/>
    <w:rsid w:val="00072674"/>
    <w:rsid w:val="000728C4"/>
    <w:rsid w:val="00073594"/>
    <w:rsid w:val="000737F7"/>
    <w:rsid w:val="0007498B"/>
    <w:rsid w:val="0007672F"/>
    <w:rsid w:val="00076B54"/>
    <w:rsid w:val="000774F0"/>
    <w:rsid w:val="000777AA"/>
    <w:rsid w:val="00077E97"/>
    <w:rsid w:val="00080592"/>
    <w:rsid w:val="00080909"/>
    <w:rsid w:val="00080B5E"/>
    <w:rsid w:val="000812CA"/>
    <w:rsid w:val="00081E63"/>
    <w:rsid w:val="00081F80"/>
    <w:rsid w:val="0008215D"/>
    <w:rsid w:val="0008258D"/>
    <w:rsid w:val="00083C97"/>
    <w:rsid w:val="00083E99"/>
    <w:rsid w:val="00084F79"/>
    <w:rsid w:val="00084FA8"/>
    <w:rsid w:val="0008538D"/>
    <w:rsid w:val="0008568B"/>
    <w:rsid w:val="000856C5"/>
    <w:rsid w:val="00085C31"/>
    <w:rsid w:val="00085EFB"/>
    <w:rsid w:val="00086EA3"/>
    <w:rsid w:val="000874F1"/>
    <w:rsid w:val="00087E84"/>
    <w:rsid w:val="0009029E"/>
    <w:rsid w:val="000902D9"/>
    <w:rsid w:val="00090439"/>
    <w:rsid w:val="00090C7E"/>
    <w:rsid w:val="00091851"/>
    <w:rsid w:val="0009185A"/>
    <w:rsid w:val="00091DE5"/>
    <w:rsid w:val="00092600"/>
    <w:rsid w:val="0009262B"/>
    <w:rsid w:val="00092656"/>
    <w:rsid w:val="00093310"/>
    <w:rsid w:val="000941DC"/>
    <w:rsid w:val="000942AE"/>
    <w:rsid w:val="0009445C"/>
    <w:rsid w:val="00095200"/>
    <w:rsid w:val="00095FE5"/>
    <w:rsid w:val="00096284"/>
    <w:rsid w:val="00097663"/>
    <w:rsid w:val="000A0965"/>
    <w:rsid w:val="000A14AC"/>
    <w:rsid w:val="000A1BC0"/>
    <w:rsid w:val="000A23F8"/>
    <w:rsid w:val="000A296A"/>
    <w:rsid w:val="000A2AF4"/>
    <w:rsid w:val="000A2E66"/>
    <w:rsid w:val="000A34AB"/>
    <w:rsid w:val="000A4533"/>
    <w:rsid w:val="000A4E92"/>
    <w:rsid w:val="000A58A7"/>
    <w:rsid w:val="000A5E22"/>
    <w:rsid w:val="000A5EC4"/>
    <w:rsid w:val="000A6039"/>
    <w:rsid w:val="000A6BC8"/>
    <w:rsid w:val="000A7453"/>
    <w:rsid w:val="000A7D08"/>
    <w:rsid w:val="000A7E1A"/>
    <w:rsid w:val="000B0121"/>
    <w:rsid w:val="000B052A"/>
    <w:rsid w:val="000B0670"/>
    <w:rsid w:val="000B0B01"/>
    <w:rsid w:val="000B0E75"/>
    <w:rsid w:val="000B1989"/>
    <w:rsid w:val="000B26F8"/>
    <w:rsid w:val="000B2DCB"/>
    <w:rsid w:val="000B3D80"/>
    <w:rsid w:val="000B405F"/>
    <w:rsid w:val="000B5CE0"/>
    <w:rsid w:val="000B6CAC"/>
    <w:rsid w:val="000B73DD"/>
    <w:rsid w:val="000B7612"/>
    <w:rsid w:val="000B78AE"/>
    <w:rsid w:val="000C0AC9"/>
    <w:rsid w:val="000C3DF9"/>
    <w:rsid w:val="000C4808"/>
    <w:rsid w:val="000C4CEF"/>
    <w:rsid w:val="000C4D9A"/>
    <w:rsid w:val="000C5942"/>
    <w:rsid w:val="000C6713"/>
    <w:rsid w:val="000C7126"/>
    <w:rsid w:val="000C7DD6"/>
    <w:rsid w:val="000C7E5C"/>
    <w:rsid w:val="000D19E3"/>
    <w:rsid w:val="000D1BFC"/>
    <w:rsid w:val="000D1D5D"/>
    <w:rsid w:val="000D281A"/>
    <w:rsid w:val="000D2848"/>
    <w:rsid w:val="000D326A"/>
    <w:rsid w:val="000D398C"/>
    <w:rsid w:val="000D3C41"/>
    <w:rsid w:val="000D429A"/>
    <w:rsid w:val="000D4FE4"/>
    <w:rsid w:val="000D51FB"/>
    <w:rsid w:val="000D54C8"/>
    <w:rsid w:val="000D6C1E"/>
    <w:rsid w:val="000D782C"/>
    <w:rsid w:val="000E010C"/>
    <w:rsid w:val="000E0640"/>
    <w:rsid w:val="000E1192"/>
    <w:rsid w:val="000E135D"/>
    <w:rsid w:val="000E1532"/>
    <w:rsid w:val="000E4190"/>
    <w:rsid w:val="000E459F"/>
    <w:rsid w:val="000E68A2"/>
    <w:rsid w:val="000E73C0"/>
    <w:rsid w:val="000E7DC4"/>
    <w:rsid w:val="000F00BA"/>
    <w:rsid w:val="000F13EE"/>
    <w:rsid w:val="000F1A60"/>
    <w:rsid w:val="000F2348"/>
    <w:rsid w:val="000F2CF1"/>
    <w:rsid w:val="000F316A"/>
    <w:rsid w:val="000F3656"/>
    <w:rsid w:val="000F3C74"/>
    <w:rsid w:val="000F47AC"/>
    <w:rsid w:val="000F47F8"/>
    <w:rsid w:val="000F4BB8"/>
    <w:rsid w:val="000F4F5D"/>
    <w:rsid w:val="000F4FA9"/>
    <w:rsid w:val="000F53FB"/>
    <w:rsid w:val="000F5DEF"/>
    <w:rsid w:val="000F6A7A"/>
    <w:rsid w:val="000F7127"/>
    <w:rsid w:val="000F7B54"/>
    <w:rsid w:val="000F7E59"/>
    <w:rsid w:val="00100F8A"/>
    <w:rsid w:val="0010127F"/>
    <w:rsid w:val="0010212C"/>
    <w:rsid w:val="001028D3"/>
    <w:rsid w:val="0010298D"/>
    <w:rsid w:val="0010452E"/>
    <w:rsid w:val="00104A3D"/>
    <w:rsid w:val="00105988"/>
    <w:rsid w:val="00105AE2"/>
    <w:rsid w:val="001060C6"/>
    <w:rsid w:val="001066F9"/>
    <w:rsid w:val="00106835"/>
    <w:rsid w:val="00106B80"/>
    <w:rsid w:val="001079B9"/>
    <w:rsid w:val="00107F1E"/>
    <w:rsid w:val="0011032E"/>
    <w:rsid w:val="0011054A"/>
    <w:rsid w:val="00110564"/>
    <w:rsid w:val="00111038"/>
    <w:rsid w:val="001115E4"/>
    <w:rsid w:val="00111F36"/>
    <w:rsid w:val="0011348B"/>
    <w:rsid w:val="00114957"/>
    <w:rsid w:val="00115982"/>
    <w:rsid w:val="00116C53"/>
    <w:rsid w:val="00117B0C"/>
    <w:rsid w:val="001205BA"/>
    <w:rsid w:val="001207E3"/>
    <w:rsid w:val="00121799"/>
    <w:rsid w:val="001222BC"/>
    <w:rsid w:val="001222FC"/>
    <w:rsid w:val="0012332F"/>
    <w:rsid w:val="00123902"/>
    <w:rsid w:val="00124A51"/>
    <w:rsid w:val="00126190"/>
    <w:rsid w:val="00126246"/>
    <w:rsid w:val="00126621"/>
    <w:rsid w:val="00126B1D"/>
    <w:rsid w:val="001301E9"/>
    <w:rsid w:val="00130D6C"/>
    <w:rsid w:val="00130E8A"/>
    <w:rsid w:val="00131625"/>
    <w:rsid w:val="0013172E"/>
    <w:rsid w:val="00131D82"/>
    <w:rsid w:val="00131DA2"/>
    <w:rsid w:val="00131FB8"/>
    <w:rsid w:val="00132B22"/>
    <w:rsid w:val="00133D36"/>
    <w:rsid w:val="00134216"/>
    <w:rsid w:val="0013521D"/>
    <w:rsid w:val="001358B3"/>
    <w:rsid w:val="0013632C"/>
    <w:rsid w:val="001363E9"/>
    <w:rsid w:val="00137645"/>
    <w:rsid w:val="00140043"/>
    <w:rsid w:val="0014015A"/>
    <w:rsid w:val="00140E99"/>
    <w:rsid w:val="00142171"/>
    <w:rsid w:val="0014254B"/>
    <w:rsid w:val="00143F67"/>
    <w:rsid w:val="0014453A"/>
    <w:rsid w:val="0014453E"/>
    <w:rsid w:val="00144A48"/>
    <w:rsid w:val="00145540"/>
    <w:rsid w:val="001456B0"/>
    <w:rsid w:val="00146B57"/>
    <w:rsid w:val="001477C9"/>
    <w:rsid w:val="00150FD6"/>
    <w:rsid w:val="00151302"/>
    <w:rsid w:val="00153F2C"/>
    <w:rsid w:val="00154665"/>
    <w:rsid w:val="00155250"/>
    <w:rsid w:val="001557BA"/>
    <w:rsid w:val="00155EE0"/>
    <w:rsid w:val="00156926"/>
    <w:rsid w:val="00156F8F"/>
    <w:rsid w:val="00157130"/>
    <w:rsid w:val="001576B1"/>
    <w:rsid w:val="00157798"/>
    <w:rsid w:val="00157989"/>
    <w:rsid w:val="0016035B"/>
    <w:rsid w:val="0016047B"/>
    <w:rsid w:val="001604BC"/>
    <w:rsid w:val="00160A4C"/>
    <w:rsid w:val="0016133B"/>
    <w:rsid w:val="001613C6"/>
    <w:rsid w:val="00161E43"/>
    <w:rsid w:val="00162243"/>
    <w:rsid w:val="00162913"/>
    <w:rsid w:val="00163EFF"/>
    <w:rsid w:val="00163F66"/>
    <w:rsid w:val="00164082"/>
    <w:rsid w:val="00166193"/>
    <w:rsid w:val="001661FB"/>
    <w:rsid w:val="00167168"/>
    <w:rsid w:val="001671A0"/>
    <w:rsid w:val="0016767F"/>
    <w:rsid w:val="00171071"/>
    <w:rsid w:val="00171603"/>
    <w:rsid w:val="00171B46"/>
    <w:rsid w:val="001724C3"/>
    <w:rsid w:val="00173565"/>
    <w:rsid w:val="00173B07"/>
    <w:rsid w:val="001751FA"/>
    <w:rsid w:val="00176ABF"/>
    <w:rsid w:val="00176F4C"/>
    <w:rsid w:val="00180132"/>
    <w:rsid w:val="00180180"/>
    <w:rsid w:val="00180517"/>
    <w:rsid w:val="0018098C"/>
    <w:rsid w:val="00181A38"/>
    <w:rsid w:val="00181BC5"/>
    <w:rsid w:val="00181D05"/>
    <w:rsid w:val="00181D9C"/>
    <w:rsid w:val="00184836"/>
    <w:rsid w:val="00184B0E"/>
    <w:rsid w:val="00185753"/>
    <w:rsid w:val="00186100"/>
    <w:rsid w:val="00186954"/>
    <w:rsid w:val="00186B5D"/>
    <w:rsid w:val="001870B5"/>
    <w:rsid w:val="0018752F"/>
    <w:rsid w:val="00190420"/>
    <w:rsid w:val="001908D8"/>
    <w:rsid w:val="00190AEA"/>
    <w:rsid w:val="0019104C"/>
    <w:rsid w:val="001918B8"/>
    <w:rsid w:val="00192C05"/>
    <w:rsid w:val="001931D0"/>
    <w:rsid w:val="00193394"/>
    <w:rsid w:val="00193838"/>
    <w:rsid w:val="00193F2E"/>
    <w:rsid w:val="00194A8A"/>
    <w:rsid w:val="00194AD8"/>
    <w:rsid w:val="00194EFE"/>
    <w:rsid w:val="00195222"/>
    <w:rsid w:val="0019588E"/>
    <w:rsid w:val="0019593A"/>
    <w:rsid w:val="001970D3"/>
    <w:rsid w:val="001975D8"/>
    <w:rsid w:val="0019769A"/>
    <w:rsid w:val="001A0124"/>
    <w:rsid w:val="001A178E"/>
    <w:rsid w:val="001A224C"/>
    <w:rsid w:val="001A3324"/>
    <w:rsid w:val="001A43FA"/>
    <w:rsid w:val="001A47C5"/>
    <w:rsid w:val="001A59FB"/>
    <w:rsid w:val="001A5E9E"/>
    <w:rsid w:val="001A6354"/>
    <w:rsid w:val="001A6366"/>
    <w:rsid w:val="001A782A"/>
    <w:rsid w:val="001A784C"/>
    <w:rsid w:val="001A7AE8"/>
    <w:rsid w:val="001B0BB5"/>
    <w:rsid w:val="001B204E"/>
    <w:rsid w:val="001B2372"/>
    <w:rsid w:val="001B2390"/>
    <w:rsid w:val="001B3443"/>
    <w:rsid w:val="001B3B00"/>
    <w:rsid w:val="001B4249"/>
    <w:rsid w:val="001B4D20"/>
    <w:rsid w:val="001B5C4F"/>
    <w:rsid w:val="001C0C9B"/>
    <w:rsid w:val="001C12ED"/>
    <w:rsid w:val="001C2A9B"/>
    <w:rsid w:val="001C3C2B"/>
    <w:rsid w:val="001C4299"/>
    <w:rsid w:val="001C4874"/>
    <w:rsid w:val="001C4B8C"/>
    <w:rsid w:val="001C5A1B"/>
    <w:rsid w:val="001C5F94"/>
    <w:rsid w:val="001C6E66"/>
    <w:rsid w:val="001C74FE"/>
    <w:rsid w:val="001D0969"/>
    <w:rsid w:val="001D1100"/>
    <w:rsid w:val="001D1391"/>
    <w:rsid w:val="001D1B2C"/>
    <w:rsid w:val="001D25D7"/>
    <w:rsid w:val="001D3690"/>
    <w:rsid w:val="001D4C12"/>
    <w:rsid w:val="001D50B2"/>
    <w:rsid w:val="001D6C5A"/>
    <w:rsid w:val="001D7607"/>
    <w:rsid w:val="001D760B"/>
    <w:rsid w:val="001D7645"/>
    <w:rsid w:val="001D7946"/>
    <w:rsid w:val="001D7B1C"/>
    <w:rsid w:val="001D7CAA"/>
    <w:rsid w:val="001D7CF9"/>
    <w:rsid w:val="001E06AE"/>
    <w:rsid w:val="001E1E86"/>
    <w:rsid w:val="001E238E"/>
    <w:rsid w:val="001E2483"/>
    <w:rsid w:val="001E2695"/>
    <w:rsid w:val="001E2B1E"/>
    <w:rsid w:val="001E2CFF"/>
    <w:rsid w:val="001E2F24"/>
    <w:rsid w:val="001E30D4"/>
    <w:rsid w:val="001E34DF"/>
    <w:rsid w:val="001E356B"/>
    <w:rsid w:val="001E385F"/>
    <w:rsid w:val="001E4391"/>
    <w:rsid w:val="001E4CA5"/>
    <w:rsid w:val="001E5094"/>
    <w:rsid w:val="001E5161"/>
    <w:rsid w:val="001E52EB"/>
    <w:rsid w:val="001E61D2"/>
    <w:rsid w:val="001E666C"/>
    <w:rsid w:val="001E6D3C"/>
    <w:rsid w:val="001E740C"/>
    <w:rsid w:val="001F1235"/>
    <w:rsid w:val="001F1CB3"/>
    <w:rsid w:val="001F23FE"/>
    <w:rsid w:val="001F29A4"/>
    <w:rsid w:val="001F38B5"/>
    <w:rsid w:val="001F4081"/>
    <w:rsid w:val="001F4D1B"/>
    <w:rsid w:val="001F5E07"/>
    <w:rsid w:val="001F7361"/>
    <w:rsid w:val="001F7AA1"/>
    <w:rsid w:val="002011B0"/>
    <w:rsid w:val="00201AE3"/>
    <w:rsid w:val="00203181"/>
    <w:rsid w:val="00203783"/>
    <w:rsid w:val="0020385F"/>
    <w:rsid w:val="00203B9C"/>
    <w:rsid w:val="00205230"/>
    <w:rsid w:val="0020538A"/>
    <w:rsid w:val="00205AFF"/>
    <w:rsid w:val="0020679E"/>
    <w:rsid w:val="002068A0"/>
    <w:rsid w:val="00207021"/>
    <w:rsid w:val="0020732F"/>
    <w:rsid w:val="00207968"/>
    <w:rsid w:val="00207CEC"/>
    <w:rsid w:val="00207D00"/>
    <w:rsid w:val="002105C1"/>
    <w:rsid w:val="00210ABA"/>
    <w:rsid w:val="00211514"/>
    <w:rsid w:val="0021194B"/>
    <w:rsid w:val="00212B79"/>
    <w:rsid w:val="00213EF5"/>
    <w:rsid w:val="00214657"/>
    <w:rsid w:val="002151C7"/>
    <w:rsid w:val="00215BAC"/>
    <w:rsid w:val="00216BF5"/>
    <w:rsid w:val="00220295"/>
    <w:rsid w:val="0022259B"/>
    <w:rsid w:val="00223B31"/>
    <w:rsid w:val="00223B49"/>
    <w:rsid w:val="00223D5A"/>
    <w:rsid w:val="002241E0"/>
    <w:rsid w:val="00224DD4"/>
    <w:rsid w:val="00226D25"/>
    <w:rsid w:val="002278A0"/>
    <w:rsid w:val="00230209"/>
    <w:rsid w:val="002302DF"/>
    <w:rsid w:val="002309CC"/>
    <w:rsid w:val="0023209F"/>
    <w:rsid w:val="00232427"/>
    <w:rsid w:val="00232A19"/>
    <w:rsid w:val="0023351B"/>
    <w:rsid w:val="00233C01"/>
    <w:rsid w:val="002340BE"/>
    <w:rsid w:val="0023413C"/>
    <w:rsid w:val="002343E7"/>
    <w:rsid w:val="002346F0"/>
    <w:rsid w:val="00234B95"/>
    <w:rsid w:val="00234D08"/>
    <w:rsid w:val="00234EC5"/>
    <w:rsid w:val="0023510D"/>
    <w:rsid w:val="0023629D"/>
    <w:rsid w:val="002371F0"/>
    <w:rsid w:val="00237255"/>
    <w:rsid w:val="00237793"/>
    <w:rsid w:val="0024042D"/>
    <w:rsid w:val="002406B8"/>
    <w:rsid w:val="002409E5"/>
    <w:rsid w:val="00240D95"/>
    <w:rsid w:val="002416A8"/>
    <w:rsid w:val="002417AA"/>
    <w:rsid w:val="00241FD7"/>
    <w:rsid w:val="002424AF"/>
    <w:rsid w:val="00242717"/>
    <w:rsid w:val="002436EF"/>
    <w:rsid w:val="002439DC"/>
    <w:rsid w:val="00243A1E"/>
    <w:rsid w:val="00243FB4"/>
    <w:rsid w:val="002440FC"/>
    <w:rsid w:val="002441D2"/>
    <w:rsid w:val="00244887"/>
    <w:rsid w:val="00244DC8"/>
    <w:rsid w:val="002458BA"/>
    <w:rsid w:val="00245CE9"/>
    <w:rsid w:val="0024615C"/>
    <w:rsid w:val="0024636C"/>
    <w:rsid w:val="00247925"/>
    <w:rsid w:val="002503B8"/>
    <w:rsid w:val="00250B56"/>
    <w:rsid w:val="00251006"/>
    <w:rsid w:val="0025221A"/>
    <w:rsid w:val="002524D5"/>
    <w:rsid w:val="002531F7"/>
    <w:rsid w:val="002533FF"/>
    <w:rsid w:val="0025389F"/>
    <w:rsid w:val="00253B1D"/>
    <w:rsid w:val="00253C38"/>
    <w:rsid w:val="002547B9"/>
    <w:rsid w:val="00254CEC"/>
    <w:rsid w:val="00254DCF"/>
    <w:rsid w:val="0025534B"/>
    <w:rsid w:val="00255BB7"/>
    <w:rsid w:val="00255E48"/>
    <w:rsid w:val="00255EC3"/>
    <w:rsid w:val="002568F0"/>
    <w:rsid w:val="002571F0"/>
    <w:rsid w:val="002572D7"/>
    <w:rsid w:val="00257541"/>
    <w:rsid w:val="002577BA"/>
    <w:rsid w:val="00257A39"/>
    <w:rsid w:val="00257AC4"/>
    <w:rsid w:val="00260D5E"/>
    <w:rsid w:val="00261C6F"/>
    <w:rsid w:val="00261EEF"/>
    <w:rsid w:val="00262A1A"/>
    <w:rsid w:val="00262A87"/>
    <w:rsid w:val="00263639"/>
    <w:rsid w:val="00264D26"/>
    <w:rsid w:val="00266C29"/>
    <w:rsid w:val="00267642"/>
    <w:rsid w:val="0026774E"/>
    <w:rsid w:val="00267AEA"/>
    <w:rsid w:val="002700E6"/>
    <w:rsid w:val="00270E23"/>
    <w:rsid w:val="0027294B"/>
    <w:rsid w:val="0027376B"/>
    <w:rsid w:val="00273EB4"/>
    <w:rsid w:val="00274682"/>
    <w:rsid w:val="00274A09"/>
    <w:rsid w:val="0027511E"/>
    <w:rsid w:val="00275C5A"/>
    <w:rsid w:val="0027626C"/>
    <w:rsid w:val="0027630B"/>
    <w:rsid w:val="002809F5"/>
    <w:rsid w:val="00281014"/>
    <w:rsid w:val="00281500"/>
    <w:rsid w:val="002822A2"/>
    <w:rsid w:val="00283B7E"/>
    <w:rsid w:val="00284039"/>
    <w:rsid w:val="002845B1"/>
    <w:rsid w:val="002847C3"/>
    <w:rsid w:val="00285824"/>
    <w:rsid w:val="0028665D"/>
    <w:rsid w:val="00287E86"/>
    <w:rsid w:val="00287F66"/>
    <w:rsid w:val="00291063"/>
    <w:rsid w:val="002911CE"/>
    <w:rsid w:val="00291727"/>
    <w:rsid w:val="00291DC1"/>
    <w:rsid w:val="0029205C"/>
    <w:rsid w:val="00292597"/>
    <w:rsid w:val="0029350A"/>
    <w:rsid w:val="00294417"/>
    <w:rsid w:val="00294ECF"/>
    <w:rsid w:val="00296965"/>
    <w:rsid w:val="00297DA9"/>
    <w:rsid w:val="00297E43"/>
    <w:rsid w:val="002A018C"/>
    <w:rsid w:val="002A0E94"/>
    <w:rsid w:val="002A14AB"/>
    <w:rsid w:val="002A29F1"/>
    <w:rsid w:val="002A2AB9"/>
    <w:rsid w:val="002A2ADE"/>
    <w:rsid w:val="002A2F50"/>
    <w:rsid w:val="002A330A"/>
    <w:rsid w:val="002A4FE2"/>
    <w:rsid w:val="002A6053"/>
    <w:rsid w:val="002A7D27"/>
    <w:rsid w:val="002B05A1"/>
    <w:rsid w:val="002B09A4"/>
    <w:rsid w:val="002B1A8E"/>
    <w:rsid w:val="002B1C1F"/>
    <w:rsid w:val="002B37A7"/>
    <w:rsid w:val="002B432F"/>
    <w:rsid w:val="002B43E4"/>
    <w:rsid w:val="002B4F4C"/>
    <w:rsid w:val="002B5910"/>
    <w:rsid w:val="002B62B3"/>
    <w:rsid w:val="002B63EC"/>
    <w:rsid w:val="002B6754"/>
    <w:rsid w:val="002B6CCE"/>
    <w:rsid w:val="002B6D3F"/>
    <w:rsid w:val="002B75E5"/>
    <w:rsid w:val="002B7AB2"/>
    <w:rsid w:val="002C0B0A"/>
    <w:rsid w:val="002C0CB6"/>
    <w:rsid w:val="002C1DBF"/>
    <w:rsid w:val="002C2510"/>
    <w:rsid w:val="002C2775"/>
    <w:rsid w:val="002C27C1"/>
    <w:rsid w:val="002C33F8"/>
    <w:rsid w:val="002C376D"/>
    <w:rsid w:val="002C5099"/>
    <w:rsid w:val="002C520B"/>
    <w:rsid w:val="002C5889"/>
    <w:rsid w:val="002C6241"/>
    <w:rsid w:val="002C62C9"/>
    <w:rsid w:val="002C71CE"/>
    <w:rsid w:val="002C770C"/>
    <w:rsid w:val="002C7E56"/>
    <w:rsid w:val="002D07CE"/>
    <w:rsid w:val="002D08F8"/>
    <w:rsid w:val="002D095D"/>
    <w:rsid w:val="002D09AD"/>
    <w:rsid w:val="002D0CB9"/>
    <w:rsid w:val="002D17BD"/>
    <w:rsid w:val="002D1D4D"/>
    <w:rsid w:val="002D20BA"/>
    <w:rsid w:val="002D22CD"/>
    <w:rsid w:val="002D425A"/>
    <w:rsid w:val="002D577C"/>
    <w:rsid w:val="002D76D4"/>
    <w:rsid w:val="002D7B38"/>
    <w:rsid w:val="002E0BE9"/>
    <w:rsid w:val="002E1071"/>
    <w:rsid w:val="002E128B"/>
    <w:rsid w:val="002E15B9"/>
    <w:rsid w:val="002E1756"/>
    <w:rsid w:val="002E2158"/>
    <w:rsid w:val="002E2960"/>
    <w:rsid w:val="002E3962"/>
    <w:rsid w:val="002E4D84"/>
    <w:rsid w:val="002E4EC3"/>
    <w:rsid w:val="002E4F02"/>
    <w:rsid w:val="002E582B"/>
    <w:rsid w:val="002E7722"/>
    <w:rsid w:val="002E7CB4"/>
    <w:rsid w:val="002F0514"/>
    <w:rsid w:val="002F07BA"/>
    <w:rsid w:val="002F0DA9"/>
    <w:rsid w:val="002F1014"/>
    <w:rsid w:val="002F108E"/>
    <w:rsid w:val="002F114B"/>
    <w:rsid w:val="002F1D48"/>
    <w:rsid w:val="002F25D0"/>
    <w:rsid w:val="002F6337"/>
    <w:rsid w:val="002F643C"/>
    <w:rsid w:val="002F6650"/>
    <w:rsid w:val="002F6931"/>
    <w:rsid w:val="002F71C0"/>
    <w:rsid w:val="002F74F1"/>
    <w:rsid w:val="00301017"/>
    <w:rsid w:val="0030155F"/>
    <w:rsid w:val="003025BC"/>
    <w:rsid w:val="003045CC"/>
    <w:rsid w:val="00304DEE"/>
    <w:rsid w:val="0030587B"/>
    <w:rsid w:val="00305C71"/>
    <w:rsid w:val="00305E43"/>
    <w:rsid w:val="003066EE"/>
    <w:rsid w:val="00306D98"/>
    <w:rsid w:val="0030720C"/>
    <w:rsid w:val="003073C3"/>
    <w:rsid w:val="0030786C"/>
    <w:rsid w:val="003100C8"/>
    <w:rsid w:val="0031031A"/>
    <w:rsid w:val="00310981"/>
    <w:rsid w:val="0031232F"/>
    <w:rsid w:val="003124D9"/>
    <w:rsid w:val="00312594"/>
    <w:rsid w:val="0031259F"/>
    <w:rsid w:val="00312B13"/>
    <w:rsid w:val="00314150"/>
    <w:rsid w:val="00315207"/>
    <w:rsid w:val="003152A0"/>
    <w:rsid w:val="00315498"/>
    <w:rsid w:val="003157ED"/>
    <w:rsid w:val="00316474"/>
    <w:rsid w:val="003164FB"/>
    <w:rsid w:val="00317706"/>
    <w:rsid w:val="00317826"/>
    <w:rsid w:val="00317941"/>
    <w:rsid w:val="003209F2"/>
    <w:rsid w:val="00320FCC"/>
    <w:rsid w:val="00322107"/>
    <w:rsid w:val="00322355"/>
    <w:rsid w:val="00322846"/>
    <w:rsid w:val="00322E3F"/>
    <w:rsid w:val="00324598"/>
    <w:rsid w:val="00324781"/>
    <w:rsid w:val="00324E6E"/>
    <w:rsid w:val="00325B97"/>
    <w:rsid w:val="00326DA7"/>
    <w:rsid w:val="003270E4"/>
    <w:rsid w:val="00330C59"/>
    <w:rsid w:val="00330DAA"/>
    <w:rsid w:val="00330F5C"/>
    <w:rsid w:val="003311A4"/>
    <w:rsid w:val="00331612"/>
    <w:rsid w:val="003317B4"/>
    <w:rsid w:val="003323AE"/>
    <w:rsid w:val="003327E1"/>
    <w:rsid w:val="003327E5"/>
    <w:rsid w:val="00332EAD"/>
    <w:rsid w:val="003349F1"/>
    <w:rsid w:val="00335D9D"/>
    <w:rsid w:val="003365D8"/>
    <w:rsid w:val="003366C9"/>
    <w:rsid w:val="00336861"/>
    <w:rsid w:val="00336C6D"/>
    <w:rsid w:val="003371B0"/>
    <w:rsid w:val="003377C5"/>
    <w:rsid w:val="00340DF1"/>
    <w:rsid w:val="0034139A"/>
    <w:rsid w:val="00342909"/>
    <w:rsid w:val="0034329A"/>
    <w:rsid w:val="003445A5"/>
    <w:rsid w:val="0034564B"/>
    <w:rsid w:val="00345B8B"/>
    <w:rsid w:val="00345E9F"/>
    <w:rsid w:val="003468E2"/>
    <w:rsid w:val="003472F5"/>
    <w:rsid w:val="003476A4"/>
    <w:rsid w:val="003479E5"/>
    <w:rsid w:val="00347CEB"/>
    <w:rsid w:val="00347EA4"/>
    <w:rsid w:val="00350154"/>
    <w:rsid w:val="0035140E"/>
    <w:rsid w:val="00351626"/>
    <w:rsid w:val="003517F9"/>
    <w:rsid w:val="003518D5"/>
    <w:rsid w:val="00351BA9"/>
    <w:rsid w:val="003527B6"/>
    <w:rsid w:val="0035306C"/>
    <w:rsid w:val="00354F64"/>
    <w:rsid w:val="0035620E"/>
    <w:rsid w:val="003576BE"/>
    <w:rsid w:val="00360345"/>
    <w:rsid w:val="00360DBD"/>
    <w:rsid w:val="00361922"/>
    <w:rsid w:val="00361A05"/>
    <w:rsid w:val="0036236D"/>
    <w:rsid w:val="003624C4"/>
    <w:rsid w:val="00363B00"/>
    <w:rsid w:val="003654AC"/>
    <w:rsid w:val="003668A8"/>
    <w:rsid w:val="003673B0"/>
    <w:rsid w:val="00370146"/>
    <w:rsid w:val="00370372"/>
    <w:rsid w:val="003708A9"/>
    <w:rsid w:val="003710CF"/>
    <w:rsid w:val="00372F7F"/>
    <w:rsid w:val="0037358A"/>
    <w:rsid w:val="003738E8"/>
    <w:rsid w:val="003750F6"/>
    <w:rsid w:val="00375781"/>
    <w:rsid w:val="003760FC"/>
    <w:rsid w:val="00376FD1"/>
    <w:rsid w:val="00377347"/>
    <w:rsid w:val="00377EE5"/>
    <w:rsid w:val="00380050"/>
    <w:rsid w:val="00381174"/>
    <w:rsid w:val="003822F5"/>
    <w:rsid w:val="00382E09"/>
    <w:rsid w:val="00382E5B"/>
    <w:rsid w:val="00382EAD"/>
    <w:rsid w:val="00383478"/>
    <w:rsid w:val="0038365C"/>
    <w:rsid w:val="0038369B"/>
    <w:rsid w:val="00383B78"/>
    <w:rsid w:val="00384FCA"/>
    <w:rsid w:val="00385209"/>
    <w:rsid w:val="003859D6"/>
    <w:rsid w:val="00385A9D"/>
    <w:rsid w:val="00385AFD"/>
    <w:rsid w:val="003866C9"/>
    <w:rsid w:val="003867AF"/>
    <w:rsid w:val="003872FE"/>
    <w:rsid w:val="00387729"/>
    <w:rsid w:val="003902B1"/>
    <w:rsid w:val="00390681"/>
    <w:rsid w:val="00390AB1"/>
    <w:rsid w:val="0039179C"/>
    <w:rsid w:val="003919F5"/>
    <w:rsid w:val="0039497E"/>
    <w:rsid w:val="003956EC"/>
    <w:rsid w:val="00396896"/>
    <w:rsid w:val="00396FD0"/>
    <w:rsid w:val="003972F4"/>
    <w:rsid w:val="00397971"/>
    <w:rsid w:val="003A052C"/>
    <w:rsid w:val="003A096C"/>
    <w:rsid w:val="003A1A7A"/>
    <w:rsid w:val="003A2392"/>
    <w:rsid w:val="003A2831"/>
    <w:rsid w:val="003A2EA5"/>
    <w:rsid w:val="003A35DE"/>
    <w:rsid w:val="003A3CB6"/>
    <w:rsid w:val="003A3D0C"/>
    <w:rsid w:val="003A3ED1"/>
    <w:rsid w:val="003A44DB"/>
    <w:rsid w:val="003A499C"/>
    <w:rsid w:val="003A5E3C"/>
    <w:rsid w:val="003A6980"/>
    <w:rsid w:val="003A6989"/>
    <w:rsid w:val="003A6BB2"/>
    <w:rsid w:val="003A7384"/>
    <w:rsid w:val="003B0F19"/>
    <w:rsid w:val="003B134C"/>
    <w:rsid w:val="003B1418"/>
    <w:rsid w:val="003B1AE1"/>
    <w:rsid w:val="003B3971"/>
    <w:rsid w:val="003B4916"/>
    <w:rsid w:val="003B4A45"/>
    <w:rsid w:val="003B4C9A"/>
    <w:rsid w:val="003B55D1"/>
    <w:rsid w:val="003B5901"/>
    <w:rsid w:val="003B5B61"/>
    <w:rsid w:val="003B5E11"/>
    <w:rsid w:val="003B607C"/>
    <w:rsid w:val="003B65A7"/>
    <w:rsid w:val="003B669D"/>
    <w:rsid w:val="003B68C4"/>
    <w:rsid w:val="003B68DF"/>
    <w:rsid w:val="003C1654"/>
    <w:rsid w:val="003C31EC"/>
    <w:rsid w:val="003C36A0"/>
    <w:rsid w:val="003C3C0A"/>
    <w:rsid w:val="003C4058"/>
    <w:rsid w:val="003C44AF"/>
    <w:rsid w:val="003C5496"/>
    <w:rsid w:val="003C5542"/>
    <w:rsid w:val="003C6FE2"/>
    <w:rsid w:val="003C7D19"/>
    <w:rsid w:val="003C7D2F"/>
    <w:rsid w:val="003D07D4"/>
    <w:rsid w:val="003D1828"/>
    <w:rsid w:val="003D1DE4"/>
    <w:rsid w:val="003D1E9A"/>
    <w:rsid w:val="003D2422"/>
    <w:rsid w:val="003D2B49"/>
    <w:rsid w:val="003D2C44"/>
    <w:rsid w:val="003D39A1"/>
    <w:rsid w:val="003D3FBF"/>
    <w:rsid w:val="003D43CD"/>
    <w:rsid w:val="003D4A30"/>
    <w:rsid w:val="003D5734"/>
    <w:rsid w:val="003D5D14"/>
    <w:rsid w:val="003D678E"/>
    <w:rsid w:val="003D6976"/>
    <w:rsid w:val="003D7452"/>
    <w:rsid w:val="003D79BB"/>
    <w:rsid w:val="003D7AAB"/>
    <w:rsid w:val="003D7C98"/>
    <w:rsid w:val="003D7D9D"/>
    <w:rsid w:val="003E0543"/>
    <w:rsid w:val="003E0B3F"/>
    <w:rsid w:val="003E1A7D"/>
    <w:rsid w:val="003E20A4"/>
    <w:rsid w:val="003E2B03"/>
    <w:rsid w:val="003E2E6F"/>
    <w:rsid w:val="003E38CC"/>
    <w:rsid w:val="003E44FB"/>
    <w:rsid w:val="003E6738"/>
    <w:rsid w:val="003E6D21"/>
    <w:rsid w:val="003E749E"/>
    <w:rsid w:val="003F1BE1"/>
    <w:rsid w:val="003F2571"/>
    <w:rsid w:val="003F338A"/>
    <w:rsid w:val="003F3FB4"/>
    <w:rsid w:val="003F4156"/>
    <w:rsid w:val="003F417F"/>
    <w:rsid w:val="003F5ADF"/>
    <w:rsid w:val="003F7E23"/>
    <w:rsid w:val="00400B29"/>
    <w:rsid w:val="00400D60"/>
    <w:rsid w:val="00401BCF"/>
    <w:rsid w:val="00401CB7"/>
    <w:rsid w:val="00401FB6"/>
    <w:rsid w:val="00402602"/>
    <w:rsid w:val="00403469"/>
    <w:rsid w:val="00403B60"/>
    <w:rsid w:val="00404213"/>
    <w:rsid w:val="00404AC0"/>
    <w:rsid w:val="00404FAE"/>
    <w:rsid w:val="0040504B"/>
    <w:rsid w:val="004059F4"/>
    <w:rsid w:val="00407FE5"/>
    <w:rsid w:val="004101B0"/>
    <w:rsid w:val="00410326"/>
    <w:rsid w:val="00410708"/>
    <w:rsid w:val="0041076E"/>
    <w:rsid w:val="00410C79"/>
    <w:rsid w:val="00410EC7"/>
    <w:rsid w:val="00411A7F"/>
    <w:rsid w:val="00411B39"/>
    <w:rsid w:val="004127A7"/>
    <w:rsid w:val="00413339"/>
    <w:rsid w:val="00413792"/>
    <w:rsid w:val="00413A1E"/>
    <w:rsid w:val="00414476"/>
    <w:rsid w:val="00414C2E"/>
    <w:rsid w:val="004151CF"/>
    <w:rsid w:val="0041583D"/>
    <w:rsid w:val="00416364"/>
    <w:rsid w:val="0041772E"/>
    <w:rsid w:val="0042047F"/>
    <w:rsid w:val="004206ED"/>
    <w:rsid w:val="00420AA6"/>
    <w:rsid w:val="00420B9F"/>
    <w:rsid w:val="0042192C"/>
    <w:rsid w:val="00422260"/>
    <w:rsid w:val="004225AB"/>
    <w:rsid w:val="0042276F"/>
    <w:rsid w:val="0042413F"/>
    <w:rsid w:val="0042584A"/>
    <w:rsid w:val="0042603B"/>
    <w:rsid w:val="00426344"/>
    <w:rsid w:val="0042707E"/>
    <w:rsid w:val="00431129"/>
    <w:rsid w:val="004319F8"/>
    <w:rsid w:val="00431E55"/>
    <w:rsid w:val="00431F3C"/>
    <w:rsid w:val="00432140"/>
    <w:rsid w:val="004321F6"/>
    <w:rsid w:val="004328AF"/>
    <w:rsid w:val="00433044"/>
    <w:rsid w:val="00433414"/>
    <w:rsid w:val="00433DC0"/>
    <w:rsid w:val="00434088"/>
    <w:rsid w:val="00434323"/>
    <w:rsid w:val="004374AF"/>
    <w:rsid w:val="004375B9"/>
    <w:rsid w:val="004377F1"/>
    <w:rsid w:val="00437844"/>
    <w:rsid w:val="00440139"/>
    <w:rsid w:val="004403AA"/>
    <w:rsid w:val="00440B75"/>
    <w:rsid w:val="004416CF"/>
    <w:rsid w:val="004417E7"/>
    <w:rsid w:val="0044223A"/>
    <w:rsid w:val="004428A4"/>
    <w:rsid w:val="004428D0"/>
    <w:rsid w:val="00444185"/>
    <w:rsid w:val="004443A7"/>
    <w:rsid w:val="0044442C"/>
    <w:rsid w:val="00444DC0"/>
    <w:rsid w:val="00445941"/>
    <w:rsid w:val="00446083"/>
    <w:rsid w:val="0044641E"/>
    <w:rsid w:val="004464CC"/>
    <w:rsid w:val="004464EB"/>
    <w:rsid w:val="00446BB5"/>
    <w:rsid w:val="00447D26"/>
    <w:rsid w:val="00447DFC"/>
    <w:rsid w:val="00451AF9"/>
    <w:rsid w:val="00451BA8"/>
    <w:rsid w:val="00452225"/>
    <w:rsid w:val="00453294"/>
    <w:rsid w:val="004533DA"/>
    <w:rsid w:val="00453411"/>
    <w:rsid w:val="00453B0B"/>
    <w:rsid w:val="004547A6"/>
    <w:rsid w:val="00454C9F"/>
    <w:rsid w:val="0045541E"/>
    <w:rsid w:val="00455D45"/>
    <w:rsid w:val="004576D6"/>
    <w:rsid w:val="00457D2E"/>
    <w:rsid w:val="00460BA1"/>
    <w:rsid w:val="004621FA"/>
    <w:rsid w:val="004626A3"/>
    <w:rsid w:val="004637FA"/>
    <w:rsid w:val="00464595"/>
    <w:rsid w:val="004658B5"/>
    <w:rsid w:val="00466B36"/>
    <w:rsid w:val="00466FB9"/>
    <w:rsid w:val="00467B41"/>
    <w:rsid w:val="00470F1D"/>
    <w:rsid w:val="00471AE7"/>
    <w:rsid w:val="00471C53"/>
    <w:rsid w:val="00471EA5"/>
    <w:rsid w:val="0047246E"/>
    <w:rsid w:val="0047252A"/>
    <w:rsid w:val="00472A79"/>
    <w:rsid w:val="004736BF"/>
    <w:rsid w:val="00473A39"/>
    <w:rsid w:val="00473F19"/>
    <w:rsid w:val="004750AB"/>
    <w:rsid w:val="00475AB0"/>
    <w:rsid w:val="00475E22"/>
    <w:rsid w:val="00480380"/>
    <w:rsid w:val="0048066E"/>
    <w:rsid w:val="0048088E"/>
    <w:rsid w:val="00480F2B"/>
    <w:rsid w:val="00481D31"/>
    <w:rsid w:val="00482720"/>
    <w:rsid w:val="0048352A"/>
    <w:rsid w:val="004835E7"/>
    <w:rsid w:val="004841D4"/>
    <w:rsid w:val="00485116"/>
    <w:rsid w:val="004851A1"/>
    <w:rsid w:val="00485C5F"/>
    <w:rsid w:val="00485F3B"/>
    <w:rsid w:val="004867E2"/>
    <w:rsid w:val="00487E04"/>
    <w:rsid w:val="00490252"/>
    <w:rsid w:val="0049098F"/>
    <w:rsid w:val="00490B17"/>
    <w:rsid w:val="00491B3A"/>
    <w:rsid w:val="00492CFD"/>
    <w:rsid w:val="00493670"/>
    <w:rsid w:val="00494207"/>
    <w:rsid w:val="00494DD5"/>
    <w:rsid w:val="00495353"/>
    <w:rsid w:val="00496034"/>
    <w:rsid w:val="004962D2"/>
    <w:rsid w:val="00497CED"/>
    <w:rsid w:val="004A0DA1"/>
    <w:rsid w:val="004A13D6"/>
    <w:rsid w:val="004A24C6"/>
    <w:rsid w:val="004A33CA"/>
    <w:rsid w:val="004A3EBB"/>
    <w:rsid w:val="004A3EC4"/>
    <w:rsid w:val="004A516B"/>
    <w:rsid w:val="004A52E9"/>
    <w:rsid w:val="004A54CA"/>
    <w:rsid w:val="004A54DB"/>
    <w:rsid w:val="004A5546"/>
    <w:rsid w:val="004A6040"/>
    <w:rsid w:val="004A6597"/>
    <w:rsid w:val="004A76B9"/>
    <w:rsid w:val="004A7848"/>
    <w:rsid w:val="004B1522"/>
    <w:rsid w:val="004B1CB4"/>
    <w:rsid w:val="004B2F18"/>
    <w:rsid w:val="004B33D6"/>
    <w:rsid w:val="004B3DDB"/>
    <w:rsid w:val="004B3ECB"/>
    <w:rsid w:val="004B3F7C"/>
    <w:rsid w:val="004B44FD"/>
    <w:rsid w:val="004B5CFC"/>
    <w:rsid w:val="004B6446"/>
    <w:rsid w:val="004B654E"/>
    <w:rsid w:val="004B6F79"/>
    <w:rsid w:val="004B7113"/>
    <w:rsid w:val="004B774D"/>
    <w:rsid w:val="004C0EC1"/>
    <w:rsid w:val="004C1318"/>
    <w:rsid w:val="004C233F"/>
    <w:rsid w:val="004C25DD"/>
    <w:rsid w:val="004C2770"/>
    <w:rsid w:val="004C399D"/>
    <w:rsid w:val="004C3FFB"/>
    <w:rsid w:val="004C4A91"/>
    <w:rsid w:val="004C4AED"/>
    <w:rsid w:val="004C55B7"/>
    <w:rsid w:val="004C7299"/>
    <w:rsid w:val="004D0A5F"/>
    <w:rsid w:val="004D10AE"/>
    <w:rsid w:val="004D2C2D"/>
    <w:rsid w:val="004D31A0"/>
    <w:rsid w:val="004D388E"/>
    <w:rsid w:val="004D54C9"/>
    <w:rsid w:val="004D69B5"/>
    <w:rsid w:val="004D6A8E"/>
    <w:rsid w:val="004D7227"/>
    <w:rsid w:val="004E0E7F"/>
    <w:rsid w:val="004E0EB8"/>
    <w:rsid w:val="004E18E9"/>
    <w:rsid w:val="004E2ADC"/>
    <w:rsid w:val="004E43B2"/>
    <w:rsid w:val="004E4A45"/>
    <w:rsid w:val="004E5B84"/>
    <w:rsid w:val="004E6F18"/>
    <w:rsid w:val="004F1D02"/>
    <w:rsid w:val="004F1FBD"/>
    <w:rsid w:val="004F2679"/>
    <w:rsid w:val="004F2926"/>
    <w:rsid w:val="004F2F21"/>
    <w:rsid w:val="004F3DE5"/>
    <w:rsid w:val="004F6913"/>
    <w:rsid w:val="004F6B02"/>
    <w:rsid w:val="004F7865"/>
    <w:rsid w:val="004F7EBA"/>
    <w:rsid w:val="00500228"/>
    <w:rsid w:val="00500414"/>
    <w:rsid w:val="00500C68"/>
    <w:rsid w:val="0050174E"/>
    <w:rsid w:val="00501854"/>
    <w:rsid w:val="00501981"/>
    <w:rsid w:val="0050219B"/>
    <w:rsid w:val="00502F78"/>
    <w:rsid w:val="00503F17"/>
    <w:rsid w:val="00506928"/>
    <w:rsid w:val="005077EF"/>
    <w:rsid w:val="00510BC1"/>
    <w:rsid w:val="00511AD5"/>
    <w:rsid w:val="00511DC7"/>
    <w:rsid w:val="00513DF9"/>
    <w:rsid w:val="005142C5"/>
    <w:rsid w:val="0051501B"/>
    <w:rsid w:val="005152B5"/>
    <w:rsid w:val="005154F6"/>
    <w:rsid w:val="0052020C"/>
    <w:rsid w:val="0052123C"/>
    <w:rsid w:val="00521319"/>
    <w:rsid w:val="00522811"/>
    <w:rsid w:val="00522BC8"/>
    <w:rsid w:val="00523C28"/>
    <w:rsid w:val="00524078"/>
    <w:rsid w:val="00524854"/>
    <w:rsid w:val="00525565"/>
    <w:rsid w:val="0052668D"/>
    <w:rsid w:val="005266EE"/>
    <w:rsid w:val="005266F8"/>
    <w:rsid w:val="0052698F"/>
    <w:rsid w:val="00526993"/>
    <w:rsid w:val="00526BD0"/>
    <w:rsid w:val="00526D7F"/>
    <w:rsid w:val="005312C8"/>
    <w:rsid w:val="0053176B"/>
    <w:rsid w:val="005317D2"/>
    <w:rsid w:val="00533EF2"/>
    <w:rsid w:val="00535D3A"/>
    <w:rsid w:val="00535F9D"/>
    <w:rsid w:val="005365C2"/>
    <w:rsid w:val="00536938"/>
    <w:rsid w:val="00536F42"/>
    <w:rsid w:val="00537182"/>
    <w:rsid w:val="0053761E"/>
    <w:rsid w:val="00540037"/>
    <w:rsid w:val="0054077C"/>
    <w:rsid w:val="00540A29"/>
    <w:rsid w:val="005413D7"/>
    <w:rsid w:val="00541EDD"/>
    <w:rsid w:val="00542743"/>
    <w:rsid w:val="00542C2D"/>
    <w:rsid w:val="0054364C"/>
    <w:rsid w:val="00543C18"/>
    <w:rsid w:val="00544133"/>
    <w:rsid w:val="00544200"/>
    <w:rsid w:val="00544D83"/>
    <w:rsid w:val="00545ECA"/>
    <w:rsid w:val="005478BD"/>
    <w:rsid w:val="005479E3"/>
    <w:rsid w:val="00550716"/>
    <w:rsid w:val="00551985"/>
    <w:rsid w:val="005519F1"/>
    <w:rsid w:val="00551B32"/>
    <w:rsid w:val="00551E29"/>
    <w:rsid w:val="005525ED"/>
    <w:rsid w:val="00552BD3"/>
    <w:rsid w:val="00552C83"/>
    <w:rsid w:val="005532A0"/>
    <w:rsid w:val="00555109"/>
    <w:rsid w:val="00556B35"/>
    <w:rsid w:val="0055741A"/>
    <w:rsid w:val="00557AF7"/>
    <w:rsid w:val="00557C08"/>
    <w:rsid w:val="005611B7"/>
    <w:rsid w:val="005618D4"/>
    <w:rsid w:val="005631FF"/>
    <w:rsid w:val="00564E35"/>
    <w:rsid w:val="00565D3C"/>
    <w:rsid w:val="00565DF0"/>
    <w:rsid w:val="00566017"/>
    <w:rsid w:val="0056696F"/>
    <w:rsid w:val="00566D7F"/>
    <w:rsid w:val="005701E3"/>
    <w:rsid w:val="00571274"/>
    <w:rsid w:val="00571A9C"/>
    <w:rsid w:val="00572218"/>
    <w:rsid w:val="00572269"/>
    <w:rsid w:val="0057244A"/>
    <w:rsid w:val="00572663"/>
    <w:rsid w:val="00572F26"/>
    <w:rsid w:val="00573B39"/>
    <w:rsid w:val="005750C5"/>
    <w:rsid w:val="005752DE"/>
    <w:rsid w:val="00575C9B"/>
    <w:rsid w:val="00575D8D"/>
    <w:rsid w:val="00576972"/>
    <w:rsid w:val="005775FC"/>
    <w:rsid w:val="005778CD"/>
    <w:rsid w:val="00577C49"/>
    <w:rsid w:val="005801CF"/>
    <w:rsid w:val="0058069B"/>
    <w:rsid w:val="00580C24"/>
    <w:rsid w:val="00581E6C"/>
    <w:rsid w:val="00583699"/>
    <w:rsid w:val="0058415A"/>
    <w:rsid w:val="00584BF9"/>
    <w:rsid w:val="00585CDD"/>
    <w:rsid w:val="00587058"/>
    <w:rsid w:val="00587F85"/>
    <w:rsid w:val="00590787"/>
    <w:rsid w:val="005917B3"/>
    <w:rsid w:val="00591957"/>
    <w:rsid w:val="005932F6"/>
    <w:rsid w:val="00593B99"/>
    <w:rsid w:val="00594235"/>
    <w:rsid w:val="00594C2A"/>
    <w:rsid w:val="005956C1"/>
    <w:rsid w:val="0059710E"/>
    <w:rsid w:val="00597BF9"/>
    <w:rsid w:val="005A1A59"/>
    <w:rsid w:val="005A2CA8"/>
    <w:rsid w:val="005A309A"/>
    <w:rsid w:val="005A364C"/>
    <w:rsid w:val="005A373D"/>
    <w:rsid w:val="005A42ED"/>
    <w:rsid w:val="005A68C3"/>
    <w:rsid w:val="005A6F39"/>
    <w:rsid w:val="005A704F"/>
    <w:rsid w:val="005A77C1"/>
    <w:rsid w:val="005A78E2"/>
    <w:rsid w:val="005B0470"/>
    <w:rsid w:val="005B0625"/>
    <w:rsid w:val="005B0B58"/>
    <w:rsid w:val="005B1D46"/>
    <w:rsid w:val="005B1D53"/>
    <w:rsid w:val="005B3F02"/>
    <w:rsid w:val="005B4E53"/>
    <w:rsid w:val="005B52EA"/>
    <w:rsid w:val="005B5857"/>
    <w:rsid w:val="005B5E54"/>
    <w:rsid w:val="005B6580"/>
    <w:rsid w:val="005B6583"/>
    <w:rsid w:val="005B70D4"/>
    <w:rsid w:val="005B7C29"/>
    <w:rsid w:val="005C0FF2"/>
    <w:rsid w:val="005C1B83"/>
    <w:rsid w:val="005C252A"/>
    <w:rsid w:val="005C25FF"/>
    <w:rsid w:val="005C2D55"/>
    <w:rsid w:val="005C346B"/>
    <w:rsid w:val="005C40A5"/>
    <w:rsid w:val="005C40CD"/>
    <w:rsid w:val="005C4514"/>
    <w:rsid w:val="005C4B9C"/>
    <w:rsid w:val="005C6526"/>
    <w:rsid w:val="005C70DD"/>
    <w:rsid w:val="005C7419"/>
    <w:rsid w:val="005D044D"/>
    <w:rsid w:val="005D0ABD"/>
    <w:rsid w:val="005D0E6A"/>
    <w:rsid w:val="005D15B2"/>
    <w:rsid w:val="005D18AD"/>
    <w:rsid w:val="005D19A2"/>
    <w:rsid w:val="005D26B4"/>
    <w:rsid w:val="005D66A5"/>
    <w:rsid w:val="005D74CF"/>
    <w:rsid w:val="005D7656"/>
    <w:rsid w:val="005E1D5D"/>
    <w:rsid w:val="005E2B7F"/>
    <w:rsid w:val="005E2D9F"/>
    <w:rsid w:val="005E4D48"/>
    <w:rsid w:val="005E6021"/>
    <w:rsid w:val="005E6CBC"/>
    <w:rsid w:val="005E72FF"/>
    <w:rsid w:val="005E73C0"/>
    <w:rsid w:val="005E7433"/>
    <w:rsid w:val="005E74C0"/>
    <w:rsid w:val="005E798E"/>
    <w:rsid w:val="005F06D6"/>
    <w:rsid w:val="005F0A85"/>
    <w:rsid w:val="005F0CB7"/>
    <w:rsid w:val="005F16B8"/>
    <w:rsid w:val="005F1DB8"/>
    <w:rsid w:val="005F2706"/>
    <w:rsid w:val="005F2D9E"/>
    <w:rsid w:val="005F3249"/>
    <w:rsid w:val="005F3936"/>
    <w:rsid w:val="005F5CFA"/>
    <w:rsid w:val="005F6050"/>
    <w:rsid w:val="005F6236"/>
    <w:rsid w:val="005F6A8F"/>
    <w:rsid w:val="005F6BB7"/>
    <w:rsid w:val="005F6D40"/>
    <w:rsid w:val="005F7588"/>
    <w:rsid w:val="005F7F54"/>
    <w:rsid w:val="00600FED"/>
    <w:rsid w:val="00602191"/>
    <w:rsid w:val="00603763"/>
    <w:rsid w:val="00603DB9"/>
    <w:rsid w:val="00604D8F"/>
    <w:rsid w:val="006052EC"/>
    <w:rsid w:val="00605A42"/>
    <w:rsid w:val="006067B9"/>
    <w:rsid w:val="00606D7F"/>
    <w:rsid w:val="00606FBA"/>
    <w:rsid w:val="006072EE"/>
    <w:rsid w:val="00607669"/>
    <w:rsid w:val="006076F4"/>
    <w:rsid w:val="00607AFD"/>
    <w:rsid w:val="00611977"/>
    <w:rsid w:val="00612F97"/>
    <w:rsid w:val="0061345D"/>
    <w:rsid w:val="00613D43"/>
    <w:rsid w:val="00614077"/>
    <w:rsid w:val="00615134"/>
    <w:rsid w:val="0061549B"/>
    <w:rsid w:val="006158D8"/>
    <w:rsid w:val="00616802"/>
    <w:rsid w:val="00616E18"/>
    <w:rsid w:val="00617E12"/>
    <w:rsid w:val="0062010C"/>
    <w:rsid w:val="006201AF"/>
    <w:rsid w:val="00620C25"/>
    <w:rsid w:val="00621477"/>
    <w:rsid w:val="00621ADA"/>
    <w:rsid w:val="00622782"/>
    <w:rsid w:val="00623F7B"/>
    <w:rsid w:val="00625B23"/>
    <w:rsid w:val="00626B20"/>
    <w:rsid w:val="0063158F"/>
    <w:rsid w:val="00631D6B"/>
    <w:rsid w:val="00632183"/>
    <w:rsid w:val="006330A1"/>
    <w:rsid w:val="00634558"/>
    <w:rsid w:val="00634594"/>
    <w:rsid w:val="0063479F"/>
    <w:rsid w:val="00634CFF"/>
    <w:rsid w:val="006353F0"/>
    <w:rsid w:val="006357B5"/>
    <w:rsid w:val="00636303"/>
    <w:rsid w:val="006364A1"/>
    <w:rsid w:val="0063678E"/>
    <w:rsid w:val="00636DFD"/>
    <w:rsid w:val="006370D7"/>
    <w:rsid w:val="00637A21"/>
    <w:rsid w:val="00637B66"/>
    <w:rsid w:val="00637B96"/>
    <w:rsid w:val="00637BFD"/>
    <w:rsid w:val="00641020"/>
    <w:rsid w:val="00641C4E"/>
    <w:rsid w:val="00641FB3"/>
    <w:rsid w:val="00642D28"/>
    <w:rsid w:val="0064425C"/>
    <w:rsid w:val="0064434C"/>
    <w:rsid w:val="006446AB"/>
    <w:rsid w:val="00645DDD"/>
    <w:rsid w:val="00646018"/>
    <w:rsid w:val="006471CC"/>
    <w:rsid w:val="006472CA"/>
    <w:rsid w:val="006477C0"/>
    <w:rsid w:val="00647A29"/>
    <w:rsid w:val="00647DC9"/>
    <w:rsid w:val="0065079F"/>
    <w:rsid w:val="00651544"/>
    <w:rsid w:val="00651EC5"/>
    <w:rsid w:val="00652A28"/>
    <w:rsid w:val="00653113"/>
    <w:rsid w:val="006534E5"/>
    <w:rsid w:val="0065379F"/>
    <w:rsid w:val="006542BB"/>
    <w:rsid w:val="00654540"/>
    <w:rsid w:val="00654B63"/>
    <w:rsid w:val="00654D8A"/>
    <w:rsid w:val="006559CF"/>
    <w:rsid w:val="00656188"/>
    <w:rsid w:val="0065715A"/>
    <w:rsid w:val="00657A0A"/>
    <w:rsid w:val="00657B78"/>
    <w:rsid w:val="0066028C"/>
    <w:rsid w:val="0066064E"/>
    <w:rsid w:val="006610F1"/>
    <w:rsid w:val="00661C6B"/>
    <w:rsid w:val="006627FF"/>
    <w:rsid w:val="006642B6"/>
    <w:rsid w:val="0066463C"/>
    <w:rsid w:val="00667F91"/>
    <w:rsid w:val="00671004"/>
    <w:rsid w:val="006714BD"/>
    <w:rsid w:val="00672646"/>
    <w:rsid w:val="00672D63"/>
    <w:rsid w:val="006730CD"/>
    <w:rsid w:val="006734C5"/>
    <w:rsid w:val="00673728"/>
    <w:rsid w:val="00674E42"/>
    <w:rsid w:val="00675688"/>
    <w:rsid w:val="006756D5"/>
    <w:rsid w:val="006762AA"/>
    <w:rsid w:val="00680A2A"/>
    <w:rsid w:val="006813F8"/>
    <w:rsid w:val="00682112"/>
    <w:rsid w:val="006829E2"/>
    <w:rsid w:val="00682BA6"/>
    <w:rsid w:val="006841E1"/>
    <w:rsid w:val="00684BF4"/>
    <w:rsid w:val="00684FF6"/>
    <w:rsid w:val="00685F49"/>
    <w:rsid w:val="00686957"/>
    <w:rsid w:val="006872BA"/>
    <w:rsid w:val="006877E0"/>
    <w:rsid w:val="00690795"/>
    <w:rsid w:val="00690950"/>
    <w:rsid w:val="00690E8F"/>
    <w:rsid w:val="00691648"/>
    <w:rsid w:val="006917D7"/>
    <w:rsid w:val="0069245F"/>
    <w:rsid w:val="0069247C"/>
    <w:rsid w:val="006931DA"/>
    <w:rsid w:val="006934D9"/>
    <w:rsid w:val="00693782"/>
    <w:rsid w:val="006937B5"/>
    <w:rsid w:val="0069434C"/>
    <w:rsid w:val="00694F44"/>
    <w:rsid w:val="00695223"/>
    <w:rsid w:val="006960E4"/>
    <w:rsid w:val="00696F51"/>
    <w:rsid w:val="00697447"/>
    <w:rsid w:val="006979A5"/>
    <w:rsid w:val="00697FC6"/>
    <w:rsid w:val="006A0BE8"/>
    <w:rsid w:val="006A1286"/>
    <w:rsid w:val="006A152F"/>
    <w:rsid w:val="006A202A"/>
    <w:rsid w:val="006A329B"/>
    <w:rsid w:val="006A35D8"/>
    <w:rsid w:val="006A49BD"/>
    <w:rsid w:val="006A6397"/>
    <w:rsid w:val="006A69C9"/>
    <w:rsid w:val="006A6A84"/>
    <w:rsid w:val="006A6B99"/>
    <w:rsid w:val="006A716A"/>
    <w:rsid w:val="006A743D"/>
    <w:rsid w:val="006A751E"/>
    <w:rsid w:val="006A75F8"/>
    <w:rsid w:val="006A7DDD"/>
    <w:rsid w:val="006A7E5F"/>
    <w:rsid w:val="006B0697"/>
    <w:rsid w:val="006B06BF"/>
    <w:rsid w:val="006B2079"/>
    <w:rsid w:val="006B23EB"/>
    <w:rsid w:val="006B261B"/>
    <w:rsid w:val="006B2C90"/>
    <w:rsid w:val="006B3489"/>
    <w:rsid w:val="006B35E6"/>
    <w:rsid w:val="006B45E9"/>
    <w:rsid w:val="006B465A"/>
    <w:rsid w:val="006B4DBD"/>
    <w:rsid w:val="006B6DD0"/>
    <w:rsid w:val="006C0399"/>
    <w:rsid w:val="006C10F1"/>
    <w:rsid w:val="006C176F"/>
    <w:rsid w:val="006C1DF7"/>
    <w:rsid w:val="006C2A8E"/>
    <w:rsid w:val="006C31B7"/>
    <w:rsid w:val="006C3255"/>
    <w:rsid w:val="006C3F26"/>
    <w:rsid w:val="006C3F6F"/>
    <w:rsid w:val="006C4267"/>
    <w:rsid w:val="006C4560"/>
    <w:rsid w:val="006C571B"/>
    <w:rsid w:val="006C5E61"/>
    <w:rsid w:val="006C7689"/>
    <w:rsid w:val="006D03AF"/>
    <w:rsid w:val="006D03F8"/>
    <w:rsid w:val="006D0669"/>
    <w:rsid w:val="006D0D17"/>
    <w:rsid w:val="006D3127"/>
    <w:rsid w:val="006D3C7D"/>
    <w:rsid w:val="006D4659"/>
    <w:rsid w:val="006D55C4"/>
    <w:rsid w:val="006D5D5F"/>
    <w:rsid w:val="006D68FB"/>
    <w:rsid w:val="006E0B0A"/>
    <w:rsid w:val="006E1A5F"/>
    <w:rsid w:val="006E1E8A"/>
    <w:rsid w:val="006E27B4"/>
    <w:rsid w:val="006E2868"/>
    <w:rsid w:val="006E40BB"/>
    <w:rsid w:val="006E5330"/>
    <w:rsid w:val="006E59A5"/>
    <w:rsid w:val="006E6197"/>
    <w:rsid w:val="006E7452"/>
    <w:rsid w:val="006F24EE"/>
    <w:rsid w:val="006F2E88"/>
    <w:rsid w:val="006F2EF8"/>
    <w:rsid w:val="006F306C"/>
    <w:rsid w:val="006F3493"/>
    <w:rsid w:val="006F3F47"/>
    <w:rsid w:val="006F3F94"/>
    <w:rsid w:val="006F63A5"/>
    <w:rsid w:val="006F6EAA"/>
    <w:rsid w:val="006F75A5"/>
    <w:rsid w:val="007007EB"/>
    <w:rsid w:val="0070098E"/>
    <w:rsid w:val="0070142B"/>
    <w:rsid w:val="00701C2A"/>
    <w:rsid w:val="00701F69"/>
    <w:rsid w:val="0070276E"/>
    <w:rsid w:val="00702F8F"/>
    <w:rsid w:val="0070372A"/>
    <w:rsid w:val="00703F66"/>
    <w:rsid w:val="00705541"/>
    <w:rsid w:val="00705B62"/>
    <w:rsid w:val="007079FC"/>
    <w:rsid w:val="00710D04"/>
    <w:rsid w:val="00711A36"/>
    <w:rsid w:val="00711AB6"/>
    <w:rsid w:val="007121D4"/>
    <w:rsid w:val="00714C26"/>
    <w:rsid w:val="0071529C"/>
    <w:rsid w:val="00715718"/>
    <w:rsid w:val="00716F6B"/>
    <w:rsid w:val="007170DA"/>
    <w:rsid w:val="007172AD"/>
    <w:rsid w:val="007174F0"/>
    <w:rsid w:val="00720498"/>
    <w:rsid w:val="00720801"/>
    <w:rsid w:val="0072162A"/>
    <w:rsid w:val="00721EBA"/>
    <w:rsid w:val="00722B1B"/>
    <w:rsid w:val="00722BAB"/>
    <w:rsid w:val="007236BB"/>
    <w:rsid w:val="00723857"/>
    <w:rsid w:val="00723A7B"/>
    <w:rsid w:val="00723B30"/>
    <w:rsid w:val="0072416F"/>
    <w:rsid w:val="0072429F"/>
    <w:rsid w:val="0072609F"/>
    <w:rsid w:val="00727756"/>
    <w:rsid w:val="00727BE3"/>
    <w:rsid w:val="00727C94"/>
    <w:rsid w:val="00731173"/>
    <w:rsid w:val="0073146E"/>
    <w:rsid w:val="00731AE7"/>
    <w:rsid w:val="00731B0A"/>
    <w:rsid w:val="00731EAE"/>
    <w:rsid w:val="007321A4"/>
    <w:rsid w:val="00732B92"/>
    <w:rsid w:val="00733073"/>
    <w:rsid w:val="00734B37"/>
    <w:rsid w:val="00735033"/>
    <w:rsid w:val="00735328"/>
    <w:rsid w:val="007363F2"/>
    <w:rsid w:val="0073685B"/>
    <w:rsid w:val="0074028D"/>
    <w:rsid w:val="00740F75"/>
    <w:rsid w:val="00741E53"/>
    <w:rsid w:val="007449BF"/>
    <w:rsid w:val="007455A5"/>
    <w:rsid w:val="0074664A"/>
    <w:rsid w:val="00746B08"/>
    <w:rsid w:val="00746BC0"/>
    <w:rsid w:val="00747307"/>
    <w:rsid w:val="007478E9"/>
    <w:rsid w:val="007479D9"/>
    <w:rsid w:val="007510B4"/>
    <w:rsid w:val="00751FBD"/>
    <w:rsid w:val="00752142"/>
    <w:rsid w:val="007523F9"/>
    <w:rsid w:val="0075357E"/>
    <w:rsid w:val="00753B57"/>
    <w:rsid w:val="00753D17"/>
    <w:rsid w:val="007557D4"/>
    <w:rsid w:val="00755CA2"/>
    <w:rsid w:val="00755D18"/>
    <w:rsid w:val="007572A6"/>
    <w:rsid w:val="007573E8"/>
    <w:rsid w:val="00760C4E"/>
    <w:rsid w:val="00760F9E"/>
    <w:rsid w:val="007627BE"/>
    <w:rsid w:val="00762D05"/>
    <w:rsid w:val="00763206"/>
    <w:rsid w:val="007637CE"/>
    <w:rsid w:val="00763EBF"/>
    <w:rsid w:val="007644DB"/>
    <w:rsid w:val="00764D63"/>
    <w:rsid w:val="00764F03"/>
    <w:rsid w:val="00765B1A"/>
    <w:rsid w:val="00765BA6"/>
    <w:rsid w:val="00767317"/>
    <w:rsid w:val="007700B6"/>
    <w:rsid w:val="007723A5"/>
    <w:rsid w:val="00772ACF"/>
    <w:rsid w:val="00772C7D"/>
    <w:rsid w:val="0077309B"/>
    <w:rsid w:val="00773168"/>
    <w:rsid w:val="00774304"/>
    <w:rsid w:val="00775C29"/>
    <w:rsid w:val="00776A72"/>
    <w:rsid w:val="00777335"/>
    <w:rsid w:val="00777747"/>
    <w:rsid w:val="0078067A"/>
    <w:rsid w:val="00780863"/>
    <w:rsid w:val="00780BCC"/>
    <w:rsid w:val="00781104"/>
    <w:rsid w:val="007813E7"/>
    <w:rsid w:val="00782772"/>
    <w:rsid w:val="00782FB0"/>
    <w:rsid w:val="007843F2"/>
    <w:rsid w:val="00784792"/>
    <w:rsid w:val="00784878"/>
    <w:rsid w:val="00784B92"/>
    <w:rsid w:val="00785A9F"/>
    <w:rsid w:val="0078772A"/>
    <w:rsid w:val="00787B56"/>
    <w:rsid w:val="007900CF"/>
    <w:rsid w:val="00791620"/>
    <w:rsid w:val="00791D23"/>
    <w:rsid w:val="007925DF"/>
    <w:rsid w:val="00793960"/>
    <w:rsid w:val="00793BDB"/>
    <w:rsid w:val="00794AF3"/>
    <w:rsid w:val="00794E95"/>
    <w:rsid w:val="007965B0"/>
    <w:rsid w:val="007965DF"/>
    <w:rsid w:val="00796A01"/>
    <w:rsid w:val="007976CF"/>
    <w:rsid w:val="00797896"/>
    <w:rsid w:val="007A08AA"/>
    <w:rsid w:val="007A0A12"/>
    <w:rsid w:val="007A132D"/>
    <w:rsid w:val="007A1345"/>
    <w:rsid w:val="007A25A2"/>
    <w:rsid w:val="007A2994"/>
    <w:rsid w:val="007A2DDB"/>
    <w:rsid w:val="007A4BE9"/>
    <w:rsid w:val="007A4E8D"/>
    <w:rsid w:val="007A5DD1"/>
    <w:rsid w:val="007A5FD3"/>
    <w:rsid w:val="007A67B4"/>
    <w:rsid w:val="007A70BA"/>
    <w:rsid w:val="007A76C8"/>
    <w:rsid w:val="007B02F2"/>
    <w:rsid w:val="007B0AFA"/>
    <w:rsid w:val="007B0D68"/>
    <w:rsid w:val="007B251D"/>
    <w:rsid w:val="007B3C3B"/>
    <w:rsid w:val="007B4F58"/>
    <w:rsid w:val="007B528D"/>
    <w:rsid w:val="007B63CA"/>
    <w:rsid w:val="007B6526"/>
    <w:rsid w:val="007B652B"/>
    <w:rsid w:val="007B77D1"/>
    <w:rsid w:val="007B7B76"/>
    <w:rsid w:val="007C07C7"/>
    <w:rsid w:val="007C1134"/>
    <w:rsid w:val="007C167C"/>
    <w:rsid w:val="007C1CD9"/>
    <w:rsid w:val="007C21D9"/>
    <w:rsid w:val="007C29C2"/>
    <w:rsid w:val="007C32EF"/>
    <w:rsid w:val="007C361D"/>
    <w:rsid w:val="007C4B84"/>
    <w:rsid w:val="007C5951"/>
    <w:rsid w:val="007C5979"/>
    <w:rsid w:val="007C61F1"/>
    <w:rsid w:val="007C6FD7"/>
    <w:rsid w:val="007C70FF"/>
    <w:rsid w:val="007C7C25"/>
    <w:rsid w:val="007D004F"/>
    <w:rsid w:val="007D0060"/>
    <w:rsid w:val="007D014D"/>
    <w:rsid w:val="007D0B38"/>
    <w:rsid w:val="007D1376"/>
    <w:rsid w:val="007D3233"/>
    <w:rsid w:val="007D3F39"/>
    <w:rsid w:val="007D475D"/>
    <w:rsid w:val="007D50EF"/>
    <w:rsid w:val="007D5406"/>
    <w:rsid w:val="007D5440"/>
    <w:rsid w:val="007D5ECA"/>
    <w:rsid w:val="007D6163"/>
    <w:rsid w:val="007D69EB"/>
    <w:rsid w:val="007E08CC"/>
    <w:rsid w:val="007E128F"/>
    <w:rsid w:val="007E202A"/>
    <w:rsid w:val="007E2140"/>
    <w:rsid w:val="007E29AA"/>
    <w:rsid w:val="007E34BB"/>
    <w:rsid w:val="007E73AF"/>
    <w:rsid w:val="007F0C67"/>
    <w:rsid w:val="007F0C79"/>
    <w:rsid w:val="007F0D2E"/>
    <w:rsid w:val="007F1017"/>
    <w:rsid w:val="007F1040"/>
    <w:rsid w:val="007F23D8"/>
    <w:rsid w:val="007F2E53"/>
    <w:rsid w:val="007F385C"/>
    <w:rsid w:val="007F3FF5"/>
    <w:rsid w:val="007F4A3F"/>
    <w:rsid w:val="007F4A61"/>
    <w:rsid w:val="007F4AFC"/>
    <w:rsid w:val="007F4C32"/>
    <w:rsid w:val="007F5255"/>
    <w:rsid w:val="007F56CC"/>
    <w:rsid w:val="007F61C2"/>
    <w:rsid w:val="007F6EC4"/>
    <w:rsid w:val="007F7274"/>
    <w:rsid w:val="007F7EF5"/>
    <w:rsid w:val="008010C0"/>
    <w:rsid w:val="00801AD4"/>
    <w:rsid w:val="00801BF1"/>
    <w:rsid w:val="00803536"/>
    <w:rsid w:val="00804CC7"/>
    <w:rsid w:val="00804DCB"/>
    <w:rsid w:val="00805142"/>
    <w:rsid w:val="00805281"/>
    <w:rsid w:val="00805ABF"/>
    <w:rsid w:val="00805FCE"/>
    <w:rsid w:val="00807724"/>
    <w:rsid w:val="0080792F"/>
    <w:rsid w:val="00807A8B"/>
    <w:rsid w:val="00811383"/>
    <w:rsid w:val="0081184D"/>
    <w:rsid w:val="00812149"/>
    <w:rsid w:val="008122F5"/>
    <w:rsid w:val="00812CAC"/>
    <w:rsid w:val="00813484"/>
    <w:rsid w:val="00813A22"/>
    <w:rsid w:val="00813AC1"/>
    <w:rsid w:val="00815191"/>
    <w:rsid w:val="00816361"/>
    <w:rsid w:val="008166EF"/>
    <w:rsid w:val="00816B51"/>
    <w:rsid w:val="00816FEF"/>
    <w:rsid w:val="00817BA2"/>
    <w:rsid w:val="00817DB0"/>
    <w:rsid w:val="00817FC9"/>
    <w:rsid w:val="00820A8C"/>
    <w:rsid w:val="008215FB"/>
    <w:rsid w:val="00821859"/>
    <w:rsid w:val="00821DD2"/>
    <w:rsid w:val="00822179"/>
    <w:rsid w:val="008224EE"/>
    <w:rsid w:val="00822B95"/>
    <w:rsid w:val="00822C17"/>
    <w:rsid w:val="00823174"/>
    <w:rsid w:val="008235CB"/>
    <w:rsid w:val="00824248"/>
    <w:rsid w:val="0082424B"/>
    <w:rsid w:val="008247B6"/>
    <w:rsid w:val="00825751"/>
    <w:rsid w:val="008264EB"/>
    <w:rsid w:val="00826EE2"/>
    <w:rsid w:val="00827450"/>
    <w:rsid w:val="008278E7"/>
    <w:rsid w:val="00830B4E"/>
    <w:rsid w:val="0083140F"/>
    <w:rsid w:val="00832015"/>
    <w:rsid w:val="00832E94"/>
    <w:rsid w:val="00832F19"/>
    <w:rsid w:val="0083359D"/>
    <w:rsid w:val="00833B05"/>
    <w:rsid w:val="008362B4"/>
    <w:rsid w:val="00836576"/>
    <w:rsid w:val="00837617"/>
    <w:rsid w:val="00837766"/>
    <w:rsid w:val="00837A62"/>
    <w:rsid w:val="0084019E"/>
    <w:rsid w:val="00840CA2"/>
    <w:rsid w:val="0084179A"/>
    <w:rsid w:val="00842293"/>
    <w:rsid w:val="00842357"/>
    <w:rsid w:val="00842408"/>
    <w:rsid w:val="00842F44"/>
    <w:rsid w:val="00843163"/>
    <w:rsid w:val="0084374F"/>
    <w:rsid w:val="00844A22"/>
    <w:rsid w:val="00844DF5"/>
    <w:rsid w:val="00845A4F"/>
    <w:rsid w:val="00846485"/>
    <w:rsid w:val="00847703"/>
    <w:rsid w:val="00847AE7"/>
    <w:rsid w:val="00847DF5"/>
    <w:rsid w:val="0085293F"/>
    <w:rsid w:val="0085309D"/>
    <w:rsid w:val="00856897"/>
    <w:rsid w:val="00856E9A"/>
    <w:rsid w:val="00857179"/>
    <w:rsid w:val="00857465"/>
    <w:rsid w:val="00857AB6"/>
    <w:rsid w:val="00860598"/>
    <w:rsid w:val="0086075D"/>
    <w:rsid w:val="00861C37"/>
    <w:rsid w:val="00862502"/>
    <w:rsid w:val="00862CC1"/>
    <w:rsid w:val="008636FA"/>
    <w:rsid w:val="0086377A"/>
    <w:rsid w:val="00865709"/>
    <w:rsid w:val="00865F2F"/>
    <w:rsid w:val="008660D4"/>
    <w:rsid w:val="00866242"/>
    <w:rsid w:val="00866F1E"/>
    <w:rsid w:val="008671DA"/>
    <w:rsid w:val="00867E92"/>
    <w:rsid w:val="00871C2A"/>
    <w:rsid w:val="00871D14"/>
    <w:rsid w:val="00871FA9"/>
    <w:rsid w:val="008728E9"/>
    <w:rsid w:val="008734A0"/>
    <w:rsid w:val="00875F67"/>
    <w:rsid w:val="00876BBD"/>
    <w:rsid w:val="00876D9D"/>
    <w:rsid w:val="00881C1B"/>
    <w:rsid w:val="00882874"/>
    <w:rsid w:val="00882E3C"/>
    <w:rsid w:val="00883787"/>
    <w:rsid w:val="00884F00"/>
    <w:rsid w:val="008855E4"/>
    <w:rsid w:val="008862E4"/>
    <w:rsid w:val="00886CD2"/>
    <w:rsid w:val="00890D20"/>
    <w:rsid w:val="00891423"/>
    <w:rsid w:val="0089199E"/>
    <w:rsid w:val="00891E43"/>
    <w:rsid w:val="00891E6F"/>
    <w:rsid w:val="0089275D"/>
    <w:rsid w:val="00892A36"/>
    <w:rsid w:val="00893239"/>
    <w:rsid w:val="00893671"/>
    <w:rsid w:val="008941B7"/>
    <w:rsid w:val="00894489"/>
    <w:rsid w:val="00894FBF"/>
    <w:rsid w:val="008961C4"/>
    <w:rsid w:val="008963A5"/>
    <w:rsid w:val="00896D5D"/>
    <w:rsid w:val="00897D39"/>
    <w:rsid w:val="008A0724"/>
    <w:rsid w:val="008A0EDC"/>
    <w:rsid w:val="008A317F"/>
    <w:rsid w:val="008A3363"/>
    <w:rsid w:val="008A3371"/>
    <w:rsid w:val="008A35B1"/>
    <w:rsid w:val="008A3C3E"/>
    <w:rsid w:val="008A3E8E"/>
    <w:rsid w:val="008A565C"/>
    <w:rsid w:val="008A5DEF"/>
    <w:rsid w:val="008A7614"/>
    <w:rsid w:val="008A7987"/>
    <w:rsid w:val="008A79DE"/>
    <w:rsid w:val="008B0F11"/>
    <w:rsid w:val="008B1757"/>
    <w:rsid w:val="008B28F2"/>
    <w:rsid w:val="008B34A1"/>
    <w:rsid w:val="008B3A12"/>
    <w:rsid w:val="008B5110"/>
    <w:rsid w:val="008B5B44"/>
    <w:rsid w:val="008B5F80"/>
    <w:rsid w:val="008B77BE"/>
    <w:rsid w:val="008B7992"/>
    <w:rsid w:val="008B7A89"/>
    <w:rsid w:val="008B7D7E"/>
    <w:rsid w:val="008C12AD"/>
    <w:rsid w:val="008C19AE"/>
    <w:rsid w:val="008C2940"/>
    <w:rsid w:val="008C3418"/>
    <w:rsid w:val="008C395C"/>
    <w:rsid w:val="008C40C8"/>
    <w:rsid w:val="008C5610"/>
    <w:rsid w:val="008C5739"/>
    <w:rsid w:val="008C7ECB"/>
    <w:rsid w:val="008D0979"/>
    <w:rsid w:val="008D197A"/>
    <w:rsid w:val="008D1C25"/>
    <w:rsid w:val="008D292B"/>
    <w:rsid w:val="008D3225"/>
    <w:rsid w:val="008D32A9"/>
    <w:rsid w:val="008D3644"/>
    <w:rsid w:val="008D3AB6"/>
    <w:rsid w:val="008D3B86"/>
    <w:rsid w:val="008D4755"/>
    <w:rsid w:val="008D4C3D"/>
    <w:rsid w:val="008D4E62"/>
    <w:rsid w:val="008D5504"/>
    <w:rsid w:val="008D58CB"/>
    <w:rsid w:val="008D673D"/>
    <w:rsid w:val="008D743C"/>
    <w:rsid w:val="008E0432"/>
    <w:rsid w:val="008E0D3C"/>
    <w:rsid w:val="008E1B9E"/>
    <w:rsid w:val="008E334F"/>
    <w:rsid w:val="008E3868"/>
    <w:rsid w:val="008E3BAA"/>
    <w:rsid w:val="008E4270"/>
    <w:rsid w:val="008E4D13"/>
    <w:rsid w:val="008E55AB"/>
    <w:rsid w:val="008E6376"/>
    <w:rsid w:val="008E67B0"/>
    <w:rsid w:val="008E778E"/>
    <w:rsid w:val="008E7EA6"/>
    <w:rsid w:val="008F120A"/>
    <w:rsid w:val="008F163B"/>
    <w:rsid w:val="008F1B0A"/>
    <w:rsid w:val="008F240E"/>
    <w:rsid w:val="008F27E0"/>
    <w:rsid w:val="008F338F"/>
    <w:rsid w:val="008F38CF"/>
    <w:rsid w:val="008F48EB"/>
    <w:rsid w:val="008F4BAD"/>
    <w:rsid w:val="008F4F0B"/>
    <w:rsid w:val="008F5B66"/>
    <w:rsid w:val="008F7E09"/>
    <w:rsid w:val="009014CA"/>
    <w:rsid w:val="00903207"/>
    <w:rsid w:val="00903509"/>
    <w:rsid w:val="00903660"/>
    <w:rsid w:val="009036DB"/>
    <w:rsid w:val="00903E37"/>
    <w:rsid w:val="009046C4"/>
    <w:rsid w:val="009059C7"/>
    <w:rsid w:val="00905DF0"/>
    <w:rsid w:val="00906274"/>
    <w:rsid w:val="009062A5"/>
    <w:rsid w:val="00906BD2"/>
    <w:rsid w:val="0091016E"/>
    <w:rsid w:val="0091021E"/>
    <w:rsid w:val="00910C39"/>
    <w:rsid w:val="00910F48"/>
    <w:rsid w:val="00910FA7"/>
    <w:rsid w:val="00911272"/>
    <w:rsid w:val="009117D4"/>
    <w:rsid w:val="00912332"/>
    <w:rsid w:val="009130AB"/>
    <w:rsid w:val="009135D6"/>
    <w:rsid w:val="0091365D"/>
    <w:rsid w:val="00914C77"/>
    <w:rsid w:val="00914DE5"/>
    <w:rsid w:val="00920CF7"/>
    <w:rsid w:val="00921ACB"/>
    <w:rsid w:val="00921D00"/>
    <w:rsid w:val="0092369B"/>
    <w:rsid w:val="00923836"/>
    <w:rsid w:val="00923DD2"/>
    <w:rsid w:val="0092474B"/>
    <w:rsid w:val="00924BC2"/>
    <w:rsid w:val="00925688"/>
    <w:rsid w:val="00926268"/>
    <w:rsid w:val="0092628A"/>
    <w:rsid w:val="009272A9"/>
    <w:rsid w:val="00927D55"/>
    <w:rsid w:val="0093189A"/>
    <w:rsid w:val="00931F2B"/>
    <w:rsid w:val="00934977"/>
    <w:rsid w:val="00934988"/>
    <w:rsid w:val="009366BD"/>
    <w:rsid w:val="00937089"/>
    <w:rsid w:val="00937E07"/>
    <w:rsid w:val="00940464"/>
    <w:rsid w:val="0094172E"/>
    <w:rsid w:val="00941C9B"/>
    <w:rsid w:val="00941F08"/>
    <w:rsid w:val="009422BC"/>
    <w:rsid w:val="009424A4"/>
    <w:rsid w:val="00942DCC"/>
    <w:rsid w:val="009443AC"/>
    <w:rsid w:val="00944A46"/>
    <w:rsid w:val="00944F8A"/>
    <w:rsid w:val="009468C3"/>
    <w:rsid w:val="00950643"/>
    <w:rsid w:val="00950AC4"/>
    <w:rsid w:val="00950CC9"/>
    <w:rsid w:val="009510A2"/>
    <w:rsid w:val="00952ABF"/>
    <w:rsid w:val="00953257"/>
    <w:rsid w:val="0095474C"/>
    <w:rsid w:val="00954916"/>
    <w:rsid w:val="0095519F"/>
    <w:rsid w:val="009553E8"/>
    <w:rsid w:val="00955C51"/>
    <w:rsid w:val="00962CB9"/>
    <w:rsid w:val="00962F38"/>
    <w:rsid w:val="00963784"/>
    <w:rsid w:val="00963DD1"/>
    <w:rsid w:val="00964312"/>
    <w:rsid w:val="0096437B"/>
    <w:rsid w:val="009655C0"/>
    <w:rsid w:val="00965B8A"/>
    <w:rsid w:val="00966384"/>
    <w:rsid w:val="00970188"/>
    <w:rsid w:val="00970193"/>
    <w:rsid w:val="0097071F"/>
    <w:rsid w:val="00970BAF"/>
    <w:rsid w:val="009717AC"/>
    <w:rsid w:val="00971A40"/>
    <w:rsid w:val="00971F87"/>
    <w:rsid w:val="00972364"/>
    <w:rsid w:val="009724AB"/>
    <w:rsid w:val="00972B35"/>
    <w:rsid w:val="00973F0E"/>
    <w:rsid w:val="00974457"/>
    <w:rsid w:val="00974C3E"/>
    <w:rsid w:val="00974E84"/>
    <w:rsid w:val="009751C1"/>
    <w:rsid w:val="00975D94"/>
    <w:rsid w:val="0097600E"/>
    <w:rsid w:val="009805C1"/>
    <w:rsid w:val="00980BBC"/>
    <w:rsid w:val="00980E3A"/>
    <w:rsid w:val="009811F1"/>
    <w:rsid w:val="00981D77"/>
    <w:rsid w:val="00983E2E"/>
    <w:rsid w:val="00983E57"/>
    <w:rsid w:val="00985480"/>
    <w:rsid w:val="00985DE2"/>
    <w:rsid w:val="009863D6"/>
    <w:rsid w:val="0098675D"/>
    <w:rsid w:val="00987556"/>
    <w:rsid w:val="00987F8B"/>
    <w:rsid w:val="00991030"/>
    <w:rsid w:val="009926E0"/>
    <w:rsid w:val="00992927"/>
    <w:rsid w:val="00992A06"/>
    <w:rsid w:val="00994467"/>
    <w:rsid w:val="0099451E"/>
    <w:rsid w:val="00994E8E"/>
    <w:rsid w:val="00995B08"/>
    <w:rsid w:val="00995D73"/>
    <w:rsid w:val="009966D0"/>
    <w:rsid w:val="00996B1A"/>
    <w:rsid w:val="00997EC4"/>
    <w:rsid w:val="009A0CA4"/>
    <w:rsid w:val="009A0D12"/>
    <w:rsid w:val="009A1E90"/>
    <w:rsid w:val="009A2DCC"/>
    <w:rsid w:val="009A5ABC"/>
    <w:rsid w:val="009A740F"/>
    <w:rsid w:val="009A756B"/>
    <w:rsid w:val="009A797C"/>
    <w:rsid w:val="009A7F10"/>
    <w:rsid w:val="009B092F"/>
    <w:rsid w:val="009B0EBE"/>
    <w:rsid w:val="009B1094"/>
    <w:rsid w:val="009B1D61"/>
    <w:rsid w:val="009B2B3C"/>
    <w:rsid w:val="009B3197"/>
    <w:rsid w:val="009B3E26"/>
    <w:rsid w:val="009B45D8"/>
    <w:rsid w:val="009B4B0E"/>
    <w:rsid w:val="009B6531"/>
    <w:rsid w:val="009C0910"/>
    <w:rsid w:val="009C175F"/>
    <w:rsid w:val="009C21E8"/>
    <w:rsid w:val="009C2B6E"/>
    <w:rsid w:val="009C3428"/>
    <w:rsid w:val="009C3706"/>
    <w:rsid w:val="009C3A3A"/>
    <w:rsid w:val="009C3E80"/>
    <w:rsid w:val="009C4C26"/>
    <w:rsid w:val="009C61A8"/>
    <w:rsid w:val="009C6CEA"/>
    <w:rsid w:val="009C7B85"/>
    <w:rsid w:val="009D0254"/>
    <w:rsid w:val="009D1A64"/>
    <w:rsid w:val="009D2D0A"/>
    <w:rsid w:val="009D4803"/>
    <w:rsid w:val="009D5997"/>
    <w:rsid w:val="009D5B91"/>
    <w:rsid w:val="009D5E93"/>
    <w:rsid w:val="009D63E7"/>
    <w:rsid w:val="009D792E"/>
    <w:rsid w:val="009D7AC2"/>
    <w:rsid w:val="009E0DFE"/>
    <w:rsid w:val="009E1061"/>
    <w:rsid w:val="009E1389"/>
    <w:rsid w:val="009E2D4E"/>
    <w:rsid w:val="009E2FA9"/>
    <w:rsid w:val="009E31F6"/>
    <w:rsid w:val="009E3940"/>
    <w:rsid w:val="009E3B34"/>
    <w:rsid w:val="009E4C07"/>
    <w:rsid w:val="009E59AD"/>
    <w:rsid w:val="009E5CE5"/>
    <w:rsid w:val="009F019C"/>
    <w:rsid w:val="009F1778"/>
    <w:rsid w:val="009F1BFE"/>
    <w:rsid w:val="009F1D96"/>
    <w:rsid w:val="009F47DB"/>
    <w:rsid w:val="009F4FB6"/>
    <w:rsid w:val="009F547C"/>
    <w:rsid w:val="009F595B"/>
    <w:rsid w:val="009F6A6E"/>
    <w:rsid w:val="00A005D0"/>
    <w:rsid w:val="00A0094E"/>
    <w:rsid w:val="00A00B61"/>
    <w:rsid w:val="00A00DF3"/>
    <w:rsid w:val="00A01184"/>
    <w:rsid w:val="00A01554"/>
    <w:rsid w:val="00A034DB"/>
    <w:rsid w:val="00A037C2"/>
    <w:rsid w:val="00A03843"/>
    <w:rsid w:val="00A03D43"/>
    <w:rsid w:val="00A04380"/>
    <w:rsid w:val="00A04A97"/>
    <w:rsid w:val="00A05472"/>
    <w:rsid w:val="00A0564A"/>
    <w:rsid w:val="00A0596F"/>
    <w:rsid w:val="00A05C32"/>
    <w:rsid w:val="00A061B8"/>
    <w:rsid w:val="00A0653F"/>
    <w:rsid w:val="00A06F1F"/>
    <w:rsid w:val="00A07D2C"/>
    <w:rsid w:val="00A10EFB"/>
    <w:rsid w:val="00A11CD0"/>
    <w:rsid w:val="00A1362F"/>
    <w:rsid w:val="00A13948"/>
    <w:rsid w:val="00A1555B"/>
    <w:rsid w:val="00A155C5"/>
    <w:rsid w:val="00A16AD8"/>
    <w:rsid w:val="00A1787B"/>
    <w:rsid w:val="00A20568"/>
    <w:rsid w:val="00A209DA"/>
    <w:rsid w:val="00A20F1F"/>
    <w:rsid w:val="00A21193"/>
    <w:rsid w:val="00A21387"/>
    <w:rsid w:val="00A21454"/>
    <w:rsid w:val="00A21C95"/>
    <w:rsid w:val="00A21CF3"/>
    <w:rsid w:val="00A21D86"/>
    <w:rsid w:val="00A230B5"/>
    <w:rsid w:val="00A238BC"/>
    <w:rsid w:val="00A24229"/>
    <w:rsid w:val="00A2468B"/>
    <w:rsid w:val="00A24813"/>
    <w:rsid w:val="00A25060"/>
    <w:rsid w:val="00A2695F"/>
    <w:rsid w:val="00A278B6"/>
    <w:rsid w:val="00A27AEC"/>
    <w:rsid w:val="00A27E0A"/>
    <w:rsid w:val="00A27F47"/>
    <w:rsid w:val="00A320DB"/>
    <w:rsid w:val="00A32AC8"/>
    <w:rsid w:val="00A33204"/>
    <w:rsid w:val="00A339A2"/>
    <w:rsid w:val="00A339F8"/>
    <w:rsid w:val="00A3507F"/>
    <w:rsid w:val="00A35217"/>
    <w:rsid w:val="00A35D16"/>
    <w:rsid w:val="00A36FA1"/>
    <w:rsid w:val="00A3706F"/>
    <w:rsid w:val="00A37BCD"/>
    <w:rsid w:val="00A41689"/>
    <w:rsid w:val="00A417F2"/>
    <w:rsid w:val="00A42592"/>
    <w:rsid w:val="00A43C59"/>
    <w:rsid w:val="00A44205"/>
    <w:rsid w:val="00A44A55"/>
    <w:rsid w:val="00A46809"/>
    <w:rsid w:val="00A4720B"/>
    <w:rsid w:val="00A47F3F"/>
    <w:rsid w:val="00A50ECD"/>
    <w:rsid w:val="00A51578"/>
    <w:rsid w:val="00A518F3"/>
    <w:rsid w:val="00A52369"/>
    <w:rsid w:val="00A52446"/>
    <w:rsid w:val="00A52729"/>
    <w:rsid w:val="00A53675"/>
    <w:rsid w:val="00A55403"/>
    <w:rsid w:val="00A555BB"/>
    <w:rsid w:val="00A55A45"/>
    <w:rsid w:val="00A564D7"/>
    <w:rsid w:val="00A56B6A"/>
    <w:rsid w:val="00A578DC"/>
    <w:rsid w:val="00A60405"/>
    <w:rsid w:val="00A60546"/>
    <w:rsid w:val="00A6059D"/>
    <w:rsid w:val="00A6286A"/>
    <w:rsid w:val="00A640E2"/>
    <w:rsid w:val="00A64D65"/>
    <w:rsid w:val="00A65E1D"/>
    <w:rsid w:val="00A662B3"/>
    <w:rsid w:val="00A66315"/>
    <w:rsid w:val="00A66EB6"/>
    <w:rsid w:val="00A6725B"/>
    <w:rsid w:val="00A67349"/>
    <w:rsid w:val="00A67A21"/>
    <w:rsid w:val="00A70605"/>
    <w:rsid w:val="00A7113F"/>
    <w:rsid w:val="00A7117C"/>
    <w:rsid w:val="00A71252"/>
    <w:rsid w:val="00A73134"/>
    <w:rsid w:val="00A74E00"/>
    <w:rsid w:val="00A76001"/>
    <w:rsid w:val="00A77735"/>
    <w:rsid w:val="00A777B2"/>
    <w:rsid w:val="00A80201"/>
    <w:rsid w:val="00A80734"/>
    <w:rsid w:val="00A8121B"/>
    <w:rsid w:val="00A821D5"/>
    <w:rsid w:val="00A8256B"/>
    <w:rsid w:val="00A825D4"/>
    <w:rsid w:val="00A828F6"/>
    <w:rsid w:val="00A82B73"/>
    <w:rsid w:val="00A83D5F"/>
    <w:rsid w:val="00A8577E"/>
    <w:rsid w:val="00A85CD9"/>
    <w:rsid w:val="00A85D5C"/>
    <w:rsid w:val="00A86E8B"/>
    <w:rsid w:val="00A87164"/>
    <w:rsid w:val="00A8751F"/>
    <w:rsid w:val="00A87905"/>
    <w:rsid w:val="00A90AE3"/>
    <w:rsid w:val="00A91B16"/>
    <w:rsid w:val="00A93072"/>
    <w:rsid w:val="00A935B1"/>
    <w:rsid w:val="00A938BD"/>
    <w:rsid w:val="00A93953"/>
    <w:rsid w:val="00A959D8"/>
    <w:rsid w:val="00A97561"/>
    <w:rsid w:val="00AA0534"/>
    <w:rsid w:val="00AA113D"/>
    <w:rsid w:val="00AA2A04"/>
    <w:rsid w:val="00AA2BD0"/>
    <w:rsid w:val="00AA3E96"/>
    <w:rsid w:val="00AA43C2"/>
    <w:rsid w:val="00AA4D04"/>
    <w:rsid w:val="00AA4FD9"/>
    <w:rsid w:val="00AA5D81"/>
    <w:rsid w:val="00AA6547"/>
    <w:rsid w:val="00AA6BD5"/>
    <w:rsid w:val="00AA6BD8"/>
    <w:rsid w:val="00AA6C7D"/>
    <w:rsid w:val="00AA7A13"/>
    <w:rsid w:val="00AA7B99"/>
    <w:rsid w:val="00AA7FD6"/>
    <w:rsid w:val="00AB042A"/>
    <w:rsid w:val="00AB1721"/>
    <w:rsid w:val="00AB19EF"/>
    <w:rsid w:val="00AB2D34"/>
    <w:rsid w:val="00AB3430"/>
    <w:rsid w:val="00AB37B9"/>
    <w:rsid w:val="00AB3C00"/>
    <w:rsid w:val="00AB42E6"/>
    <w:rsid w:val="00AB4AD1"/>
    <w:rsid w:val="00AB56F3"/>
    <w:rsid w:val="00AB5E07"/>
    <w:rsid w:val="00AB63C7"/>
    <w:rsid w:val="00AB68CE"/>
    <w:rsid w:val="00AB7813"/>
    <w:rsid w:val="00AB7AF1"/>
    <w:rsid w:val="00AB7CFA"/>
    <w:rsid w:val="00AB7DF6"/>
    <w:rsid w:val="00AB7EDE"/>
    <w:rsid w:val="00AC00C7"/>
    <w:rsid w:val="00AC1900"/>
    <w:rsid w:val="00AC1EAB"/>
    <w:rsid w:val="00AC2B8A"/>
    <w:rsid w:val="00AC3BF1"/>
    <w:rsid w:val="00AC4027"/>
    <w:rsid w:val="00AC5A24"/>
    <w:rsid w:val="00AC5B48"/>
    <w:rsid w:val="00AC72AF"/>
    <w:rsid w:val="00AC7E35"/>
    <w:rsid w:val="00AD00A1"/>
    <w:rsid w:val="00AD0A9D"/>
    <w:rsid w:val="00AD1450"/>
    <w:rsid w:val="00AD1D8D"/>
    <w:rsid w:val="00AD36F8"/>
    <w:rsid w:val="00AD42FF"/>
    <w:rsid w:val="00AD4F54"/>
    <w:rsid w:val="00AD5386"/>
    <w:rsid w:val="00AD5987"/>
    <w:rsid w:val="00AD5F15"/>
    <w:rsid w:val="00AD634B"/>
    <w:rsid w:val="00AD6502"/>
    <w:rsid w:val="00AD7FD1"/>
    <w:rsid w:val="00AE014E"/>
    <w:rsid w:val="00AE0695"/>
    <w:rsid w:val="00AE13E6"/>
    <w:rsid w:val="00AE20ED"/>
    <w:rsid w:val="00AE3E7E"/>
    <w:rsid w:val="00AE79A9"/>
    <w:rsid w:val="00AF072F"/>
    <w:rsid w:val="00AF090C"/>
    <w:rsid w:val="00AF0A39"/>
    <w:rsid w:val="00AF1315"/>
    <w:rsid w:val="00AF136C"/>
    <w:rsid w:val="00AF17C6"/>
    <w:rsid w:val="00AF19BF"/>
    <w:rsid w:val="00AF1A1A"/>
    <w:rsid w:val="00AF2066"/>
    <w:rsid w:val="00AF2DC3"/>
    <w:rsid w:val="00AF6BF0"/>
    <w:rsid w:val="00AF728E"/>
    <w:rsid w:val="00AF789F"/>
    <w:rsid w:val="00AF7DC3"/>
    <w:rsid w:val="00B00BB2"/>
    <w:rsid w:val="00B017F4"/>
    <w:rsid w:val="00B0259B"/>
    <w:rsid w:val="00B033E5"/>
    <w:rsid w:val="00B03A63"/>
    <w:rsid w:val="00B03CBB"/>
    <w:rsid w:val="00B05919"/>
    <w:rsid w:val="00B059BD"/>
    <w:rsid w:val="00B07B72"/>
    <w:rsid w:val="00B10EA3"/>
    <w:rsid w:val="00B11B13"/>
    <w:rsid w:val="00B11EA7"/>
    <w:rsid w:val="00B12345"/>
    <w:rsid w:val="00B1270B"/>
    <w:rsid w:val="00B12D0B"/>
    <w:rsid w:val="00B14871"/>
    <w:rsid w:val="00B14BA0"/>
    <w:rsid w:val="00B160DF"/>
    <w:rsid w:val="00B176B1"/>
    <w:rsid w:val="00B17CA4"/>
    <w:rsid w:val="00B201A4"/>
    <w:rsid w:val="00B201D1"/>
    <w:rsid w:val="00B2079D"/>
    <w:rsid w:val="00B207DD"/>
    <w:rsid w:val="00B213A6"/>
    <w:rsid w:val="00B22F28"/>
    <w:rsid w:val="00B235B0"/>
    <w:rsid w:val="00B24DF6"/>
    <w:rsid w:val="00B25AFD"/>
    <w:rsid w:val="00B278E1"/>
    <w:rsid w:val="00B30879"/>
    <w:rsid w:val="00B30D9F"/>
    <w:rsid w:val="00B33C06"/>
    <w:rsid w:val="00B34599"/>
    <w:rsid w:val="00B34884"/>
    <w:rsid w:val="00B34FE2"/>
    <w:rsid w:val="00B35166"/>
    <w:rsid w:val="00B35395"/>
    <w:rsid w:val="00B357D8"/>
    <w:rsid w:val="00B360F4"/>
    <w:rsid w:val="00B36244"/>
    <w:rsid w:val="00B36A00"/>
    <w:rsid w:val="00B37A20"/>
    <w:rsid w:val="00B37BFC"/>
    <w:rsid w:val="00B40358"/>
    <w:rsid w:val="00B40615"/>
    <w:rsid w:val="00B40864"/>
    <w:rsid w:val="00B4123F"/>
    <w:rsid w:val="00B41614"/>
    <w:rsid w:val="00B42851"/>
    <w:rsid w:val="00B42A6F"/>
    <w:rsid w:val="00B42F80"/>
    <w:rsid w:val="00B431C8"/>
    <w:rsid w:val="00B435CB"/>
    <w:rsid w:val="00B45708"/>
    <w:rsid w:val="00B505C8"/>
    <w:rsid w:val="00B50C4B"/>
    <w:rsid w:val="00B50DB8"/>
    <w:rsid w:val="00B50E9F"/>
    <w:rsid w:val="00B52CBB"/>
    <w:rsid w:val="00B531CC"/>
    <w:rsid w:val="00B53654"/>
    <w:rsid w:val="00B53905"/>
    <w:rsid w:val="00B53DE0"/>
    <w:rsid w:val="00B54B5B"/>
    <w:rsid w:val="00B54DC2"/>
    <w:rsid w:val="00B5562E"/>
    <w:rsid w:val="00B55D65"/>
    <w:rsid w:val="00B56C58"/>
    <w:rsid w:val="00B57000"/>
    <w:rsid w:val="00B57EA9"/>
    <w:rsid w:val="00B60939"/>
    <w:rsid w:val="00B60AFD"/>
    <w:rsid w:val="00B61FB0"/>
    <w:rsid w:val="00B62715"/>
    <w:rsid w:val="00B64A7F"/>
    <w:rsid w:val="00B64E74"/>
    <w:rsid w:val="00B65611"/>
    <w:rsid w:val="00B70587"/>
    <w:rsid w:val="00B70E8E"/>
    <w:rsid w:val="00B731E3"/>
    <w:rsid w:val="00B737E3"/>
    <w:rsid w:val="00B753DF"/>
    <w:rsid w:val="00B7595F"/>
    <w:rsid w:val="00B76C92"/>
    <w:rsid w:val="00B778E7"/>
    <w:rsid w:val="00B818A4"/>
    <w:rsid w:val="00B81CA5"/>
    <w:rsid w:val="00B82944"/>
    <w:rsid w:val="00B8304E"/>
    <w:rsid w:val="00B83A84"/>
    <w:rsid w:val="00B83FDC"/>
    <w:rsid w:val="00B84117"/>
    <w:rsid w:val="00B855A1"/>
    <w:rsid w:val="00B85857"/>
    <w:rsid w:val="00B858F0"/>
    <w:rsid w:val="00B85AA2"/>
    <w:rsid w:val="00B8649C"/>
    <w:rsid w:val="00B8695D"/>
    <w:rsid w:val="00B87F0A"/>
    <w:rsid w:val="00B90E1E"/>
    <w:rsid w:val="00B9119C"/>
    <w:rsid w:val="00B918C3"/>
    <w:rsid w:val="00B92D0B"/>
    <w:rsid w:val="00B934B6"/>
    <w:rsid w:val="00B94945"/>
    <w:rsid w:val="00B94DD6"/>
    <w:rsid w:val="00B94F9C"/>
    <w:rsid w:val="00B95582"/>
    <w:rsid w:val="00B96F14"/>
    <w:rsid w:val="00BA28B5"/>
    <w:rsid w:val="00BA2F50"/>
    <w:rsid w:val="00BA322D"/>
    <w:rsid w:val="00BA3705"/>
    <w:rsid w:val="00BA43F8"/>
    <w:rsid w:val="00BA50EA"/>
    <w:rsid w:val="00BA50F5"/>
    <w:rsid w:val="00BA63FA"/>
    <w:rsid w:val="00BA7B82"/>
    <w:rsid w:val="00BB00B3"/>
    <w:rsid w:val="00BB0BDD"/>
    <w:rsid w:val="00BB176C"/>
    <w:rsid w:val="00BB1EA1"/>
    <w:rsid w:val="00BB20E7"/>
    <w:rsid w:val="00BB2A73"/>
    <w:rsid w:val="00BB2F1F"/>
    <w:rsid w:val="00BB3A45"/>
    <w:rsid w:val="00BB4ACC"/>
    <w:rsid w:val="00BB64AC"/>
    <w:rsid w:val="00BB6F8C"/>
    <w:rsid w:val="00BB703E"/>
    <w:rsid w:val="00BB732D"/>
    <w:rsid w:val="00BB7405"/>
    <w:rsid w:val="00BC0643"/>
    <w:rsid w:val="00BC1033"/>
    <w:rsid w:val="00BC1395"/>
    <w:rsid w:val="00BC13AA"/>
    <w:rsid w:val="00BC2305"/>
    <w:rsid w:val="00BC297B"/>
    <w:rsid w:val="00BC317C"/>
    <w:rsid w:val="00BC3631"/>
    <w:rsid w:val="00BC434A"/>
    <w:rsid w:val="00BC4DDA"/>
    <w:rsid w:val="00BC586F"/>
    <w:rsid w:val="00BC591F"/>
    <w:rsid w:val="00BC6832"/>
    <w:rsid w:val="00BC69E4"/>
    <w:rsid w:val="00BC6AA9"/>
    <w:rsid w:val="00BC744F"/>
    <w:rsid w:val="00BC7D6D"/>
    <w:rsid w:val="00BD2108"/>
    <w:rsid w:val="00BD3D4B"/>
    <w:rsid w:val="00BD4453"/>
    <w:rsid w:val="00BD46CE"/>
    <w:rsid w:val="00BD4702"/>
    <w:rsid w:val="00BD4BD5"/>
    <w:rsid w:val="00BD60F5"/>
    <w:rsid w:val="00BD68A3"/>
    <w:rsid w:val="00BD6938"/>
    <w:rsid w:val="00BD6CF3"/>
    <w:rsid w:val="00BD7540"/>
    <w:rsid w:val="00BE0ECA"/>
    <w:rsid w:val="00BE2180"/>
    <w:rsid w:val="00BE21F2"/>
    <w:rsid w:val="00BE2568"/>
    <w:rsid w:val="00BE271C"/>
    <w:rsid w:val="00BE2846"/>
    <w:rsid w:val="00BE4275"/>
    <w:rsid w:val="00BE7F49"/>
    <w:rsid w:val="00BF06AE"/>
    <w:rsid w:val="00BF0F95"/>
    <w:rsid w:val="00BF2180"/>
    <w:rsid w:val="00BF2433"/>
    <w:rsid w:val="00BF24D3"/>
    <w:rsid w:val="00BF2B2A"/>
    <w:rsid w:val="00BF2EAB"/>
    <w:rsid w:val="00BF36C2"/>
    <w:rsid w:val="00BF5DBA"/>
    <w:rsid w:val="00BF61C9"/>
    <w:rsid w:val="00BF6C94"/>
    <w:rsid w:val="00C0016E"/>
    <w:rsid w:val="00C00424"/>
    <w:rsid w:val="00C02106"/>
    <w:rsid w:val="00C02DCC"/>
    <w:rsid w:val="00C0310A"/>
    <w:rsid w:val="00C046E5"/>
    <w:rsid w:val="00C04C24"/>
    <w:rsid w:val="00C05C56"/>
    <w:rsid w:val="00C065D3"/>
    <w:rsid w:val="00C069AE"/>
    <w:rsid w:val="00C07E9A"/>
    <w:rsid w:val="00C1131C"/>
    <w:rsid w:val="00C1179F"/>
    <w:rsid w:val="00C127D5"/>
    <w:rsid w:val="00C12C14"/>
    <w:rsid w:val="00C143DD"/>
    <w:rsid w:val="00C15F04"/>
    <w:rsid w:val="00C15F92"/>
    <w:rsid w:val="00C166DC"/>
    <w:rsid w:val="00C16921"/>
    <w:rsid w:val="00C16CC0"/>
    <w:rsid w:val="00C170FD"/>
    <w:rsid w:val="00C179B3"/>
    <w:rsid w:val="00C17A86"/>
    <w:rsid w:val="00C17E3F"/>
    <w:rsid w:val="00C17FE2"/>
    <w:rsid w:val="00C200AA"/>
    <w:rsid w:val="00C20241"/>
    <w:rsid w:val="00C20401"/>
    <w:rsid w:val="00C214DE"/>
    <w:rsid w:val="00C22489"/>
    <w:rsid w:val="00C22C9C"/>
    <w:rsid w:val="00C237ED"/>
    <w:rsid w:val="00C24632"/>
    <w:rsid w:val="00C25418"/>
    <w:rsid w:val="00C25D9C"/>
    <w:rsid w:val="00C26839"/>
    <w:rsid w:val="00C2778B"/>
    <w:rsid w:val="00C27A41"/>
    <w:rsid w:val="00C31649"/>
    <w:rsid w:val="00C32B89"/>
    <w:rsid w:val="00C32FEF"/>
    <w:rsid w:val="00C3434C"/>
    <w:rsid w:val="00C347D3"/>
    <w:rsid w:val="00C35655"/>
    <w:rsid w:val="00C35A07"/>
    <w:rsid w:val="00C3631B"/>
    <w:rsid w:val="00C3646F"/>
    <w:rsid w:val="00C36762"/>
    <w:rsid w:val="00C37F4A"/>
    <w:rsid w:val="00C40385"/>
    <w:rsid w:val="00C415AE"/>
    <w:rsid w:val="00C41626"/>
    <w:rsid w:val="00C41768"/>
    <w:rsid w:val="00C42AA2"/>
    <w:rsid w:val="00C42FE6"/>
    <w:rsid w:val="00C4365D"/>
    <w:rsid w:val="00C445B2"/>
    <w:rsid w:val="00C448C7"/>
    <w:rsid w:val="00C44B66"/>
    <w:rsid w:val="00C45885"/>
    <w:rsid w:val="00C466A5"/>
    <w:rsid w:val="00C466BB"/>
    <w:rsid w:val="00C46920"/>
    <w:rsid w:val="00C4704B"/>
    <w:rsid w:val="00C475AA"/>
    <w:rsid w:val="00C51303"/>
    <w:rsid w:val="00C52AF4"/>
    <w:rsid w:val="00C52C1B"/>
    <w:rsid w:val="00C53692"/>
    <w:rsid w:val="00C53C98"/>
    <w:rsid w:val="00C53F2B"/>
    <w:rsid w:val="00C541D5"/>
    <w:rsid w:val="00C558C4"/>
    <w:rsid w:val="00C56FCF"/>
    <w:rsid w:val="00C57AFA"/>
    <w:rsid w:val="00C57B6C"/>
    <w:rsid w:val="00C601BF"/>
    <w:rsid w:val="00C607FC"/>
    <w:rsid w:val="00C62343"/>
    <w:rsid w:val="00C62528"/>
    <w:rsid w:val="00C628A6"/>
    <w:rsid w:val="00C63F96"/>
    <w:rsid w:val="00C64338"/>
    <w:rsid w:val="00C64344"/>
    <w:rsid w:val="00C6497F"/>
    <w:rsid w:val="00C64EC1"/>
    <w:rsid w:val="00C65108"/>
    <w:rsid w:val="00C65282"/>
    <w:rsid w:val="00C653F3"/>
    <w:rsid w:val="00C65576"/>
    <w:rsid w:val="00C65694"/>
    <w:rsid w:val="00C66165"/>
    <w:rsid w:val="00C67453"/>
    <w:rsid w:val="00C7060A"/>
    <w:rsid w:val="00C71124"/>
    <w:rsid w:val="00C7151A"/>
    <w:rsid w:val="00C717E3"/>
    <w:rsid w:val="00C71F60"/>
    <w:rsid w:val="00C72241"/>
    <w:rsid w:val="00C7245C"/>
    <w:rsid w:val="00C724FF"/>
    <w:rsid w:val="00C72596"/>
    <w:rsid w:val="00C72CE7"/>
    <w:rsid w:val="00C7307B"/>
    <w:rsid w:val="00C7488E"/>
    <w:rsid w:val="00C74F2D"/>
    <w:rsid w:val="00C750C8"/>
    <w:rsid w:val="00C7560F"/>
    <w:rsid w:val="00C757A0"/>
    <w:rsid w:val="00C7594A"/>
    <w:rsid w:val="00C75E8D"/>
    <w:rsid w:val="00C7607A"/>
    <w:rsid w:val="00C765A0"/>
    <w:rsid w:val="00C76AC7"/>
    <w:rsid w:val="00C76B0D"/>
    <w:rsid w:val="00C76D6A"/>
    <w:rsid w:val="00C77A6B"/>
    <w:rsid w:val="00C802FB"/>
    <w:rsid w:val="00C80A0E"/>
    <w:rsid w:val="00C80F92"/>
    <w:rsid w:val="00C8213F"/>
    <w:rsid w:val="00C84448"/>
    <w:rsid w:val="00C85154"/>
    <w:rsid w:val="00C8611F"/>
    <w:rsid w:val="00C8797A"/>
    <w:rsid w:val="00C900B8"/>
    <w:rsid w:val="00C901D9"/>
    <w:rsid w:val="00C909C2"/>
    <w:rsid w:val="00C90C71"/>
    <w:rsid w:val="00C911FE"/>
    <w:rsid w:val="00C91FD1"/>
    <w:rsid w:val="00C92108"/>
    <w:rsid w:val="00C923C7"/>
    <w:rsid w:val="00C931CF"/>
    <w:rsid w:val="00C938CF"/>
    <w:rsid w:val="00C93E13"/>
    <w:rsid w:val="00C94053"/>
    <w:rsid w:val="00C9624D"/>
    <w:rsid w:val="00C96918"/>
    <w:rsid w:val="00C969DA"/>
    <w:rsid w:val="00C96B0A"/>
    <w:rsid w:val="00C97C7A"/>
    <w:rsid w:val="00CA00BE"/>
    <w:rsid w:val="00CA1370"/>
    <w:rsid w:val="00CA14BE"/>
    <w:rsid w:val="00CA2C77"/>
    <w:rsid w:val="00CA2E23"/>
    <w:rsid w:val="00CA444F"/>
    <w:rsid w:val="00CA5245"/>
    <w:rsid w:val="00CA525D"/>
    <w:rsid w:val="00CA5A9E"/>
    <w:rsid w:val="00CA71F4"/>
    <w:rsid w:val="00CA7576"/>
    <w:rsid w:val="00CA7B09"/>
    <w:rsid w:val="00CA7EE6"/>
    <w:rsid w:val="00CB0651"/>
    <w:rsid w:val="00CB1122"/>
    <w:rsid w:val="00CB12A5"/>
    <w:rsid w:val="00CB1332"/>
    <w:rsid w:val="00CB1C02"/>
    <w:rsid w:val="00CB1CAC"/>
    <w:rsid w:val="00CB21E4"/>
    <w:rsid w:val="00CB2F2A"/>
    <w:rsid w:val="00CB37BA"/>
    <w:rsid w:val="00CB3A36"/>
    <w:rsid w:val="00CB5365"/>
    <w:rsid w:val="00CB547D"/>
    <w:rsid w:val="00CB5B1A"/>
    <w:rsid w:val="00CB5F06"/>
    <w:rsid w:val="00CB6B22"/>
    <w:rsid w:val="00CB77D0"/>
    <w:rsid w:val="00CB782F"/>
    <w:rsid w:val="00CB7B46"/>
    <w:rsid w:val="00CB7F5F"/>
    <w:rsid w:val="00CC0226"/>
    <w:rsid w:val="00CC0429"/>
    <w:rsid w:val="00CC0731"/>
    <w:rsid w:val="00CC0E37"/>
    <w:rsid w:val="00CC1B39"/>
    <w:rsid w:val="00CC2584"/>
    <w:rsid w:val="00CC2BA4"/>
    <w:rsid w:val="00CC3468"/>
    <w:rsid w:val="00CC35EA"/>
    <w:rsid w:val="00CC3848"/>
    <w:rsid w:val="00CD006A"/>
    <w:rsid w:val="00CD3F77"/>
    <w:rsid w:val="00CD42BD"/>
    <w:rsid w:val="00CD5711"/>
    <w:rsid w:val="00CD6ADC"/>
    <w:rsid w:val="00CD7193"/>
    <w:rsid w:val="00CE37A8"/>
    <w:rsid w:val="00CE38C8"/>
    <w:rsid w:val="00CE4980"/>
    <w:rsid w:val="00CE531C"/>
    <w:rsid w:val="00CE5BFC"/>
    <w:rsid w:val="00CE5E02"/>
    <w:rsid w:val="00CE6274"/>
    <w:rsid w:val="00CE77B6"/>
    <w:rsid w:val="00CE7A15"/>
    <w:rsid w:val="00CE7A70"/>
    <w:rsid w:val="00CF002B"/>
    <w:rsid w:val="00CF03A7"/>
    <w:rsid w:val="00CF043E"/>
    <w:rsid w:val="00CF084F"/>
    <w:rsid w:val="00CF2651"/>
    <w:rsid w:val="00CF2B8D"/>
    <w:rsid w:val="00CF37AE"/>
    <w:rsid w:val="00CF456B"/>
    <w:rsid w:val="00CF4705"/>
    <w:rsid w:val="00CF5A22"/>
    <w:rsid w:val="00CF6910"/>
    <w:rsid w:val="00D00532"/>
    <w:rsid w:val="00D0262E"/>
    <w:rsid w:val="00D028B6"/>
    <w:rsid w:val="00D03654"/>
    <w:rsid w:val="00D03747"/>
    <w:rsid w:val="00D038F8"/>
    <w:rsid w:val="00D040DF"/>
    <w:rsid w:val="00D04D38"/>
    <w:rsid w:val="00D05015"/>
    <w:rsid w:val="00D05154"/>
    <w:rsid w:val="00D05E3D"/>
    <w:rsid w:val="00D0604C"/>
    <w:rsid w:val="00D06139"/>
    <w:rsid w:val="00D07B7A"/>
    <w:rsid w:val="00D10AB4"/>
    <w:rsid w:val="00D110BD"/>
    <w:rsid w:val="00D125B2"/>
    <w:rsid w:val="00D12655"/>
    <w:rsid w:val="00D12781"/>
    <w:rsid w:val="00D12B8A"/>
    <w:rsid w:val="00D13675"/>
    <w:rsid w:val="00D13DA6"/>
    <w:rsid w:val="00D13F65"/>
    <w:rsid w:val="00D141E1"/>
    <w:rsid w:val="00D15314"/>
    <w:rsid w:val="00D15454"/>
    <w:rsid w:val="00D15CE5"/>
    <w:rsid w:val="00D16AF5"/>
    <w:rsid w:val="00D16E2A"/>
    <w:rsid w:val="00D1778C"/>
    <w:rsid w:val="00D17D6C"/>
    <w:rsid w:val="00D20C18"/>
    <w:rsid w:val="00D2155B"/>
    <w:rsid w:val="00D21F28"/>
    <w:rsid w:val="00D222A3"/>
    <w:rsid w:val="00D22769"/>
    <w:rsid w:val="00D22EFF"/>
    <w:rsid w:val="00D22F7B"/>
    <w:rsid w:val="00D236AA"/>
    <w:rsid w:val="00D23D11"/>
    <w:rsid w:val="00D241EE"/>
    <w:rsid w:val="00D244B6"/>
    <w:rsid w:val="00D24929"/>
    <w:rsid w:val="00D25E58"/>
    <w:rsid w:val="00D262C2"/>
    <w:rsid w:val="00D265FA"/>
    <w:rsid w:val="00D27158"/>
    <w:rsid w:val="00D2754D"/>
    <w:rsid w:val="00D27B27"/>
    <w:rsid w:val="00D27E29"/>
    <w:rsid w:val="00D311CE"/>
    <w:rsid w:val="00D31A7B"/>
    <w:rsid w:val="00D31D33"/>
    <w:rsid w:val="00D33BE9"/>
    <w:rsid w:val="00D33F93"/>
    <w:rsid w:val="00D356ED"/>
    <w:rsid w:val="00D357FF"/>
    <w:rsid w:val="00D3589D"/>
    <w:rsid w:val="00D3596A"/>
    <w:rsid w:val="00D35A5B"/>
    <w:rsid w:val="00D36C4C"/>
    <w:rsid w:val="00D4096D"/>
    <w:rsid w:val="00D4101C"/>
    <w:rsid w:val="00D424C7"/>
    <w:rsid w:val="00D43B2A"/>
    <w:rsid w:val="00D43D83"/>
    <w:rsid w:val="00D444EA"/>
    <w:rsid w:val="00D44709"/>
    <w:rsid w:val="00D45EB2"/>
    <w:rsid w:val="00D46758"/>
    <w:rsid w:val="00D46B49"/>
    <w:rsid w:val="00D46E8D"/>
    <w:rsid w:val="00D47575"/>
    <w:rsid w:val="00D47F35"/>
    <w:rsid w:val="00D500FA"/>
    <w:rsid w:val="00D505E6"/>
    <w:rsid w:val="00D50F5D"/>
    <w:rsid w:val="00D523BE"/>
    <w:rsid w:val="00D5243B"/>
    <w:rsid w:val="00D524F8"/>
    <w:rsid w:val="00D52681"/>
    <w:rsid w:val="00D533EC"/>
    <w:rsid w:val="00D53708"/>
    <w:rsid w:val="00D55ACB"/>
    <w:rsid w:val="00D5673B"/>
    <w:rsid w:val="00D56A95"/>
    <w:rsid w:val="00D57558"/>
    <w:rsid w:val="00D57931"/>
    <w:rsid w:val="00D60D30"/>
    <w:rsid w:val="00D61B33"/>
    <w:rsid w:val="00D647B5"/>
    <w:rsid w:val="00D64811"/>
    <w:rsid w:val="00D6777E"/>
    <w:rsid w:val="00D67FD5"/>
    <w:rsid w:val="00D70396"/>
    <w:rsid w:val="00D70780"/>
    <w:rsid w:val="00D70F16"/>
    <w:rsid w:val="00D71C0F"/>
    <w:rsid w:val="00D72A91"/>
    <w:rsid w:val="00D72F57"/>
    <w:rsid w:val="00D739A3"/>
    <w:rsid w:val="00D75183"/>
    <w:rsid w:val="00D75EFA"/>
    <w:rsid w:val="00D76A44"/>
    <w:rsid w:val="00D80481"/>
    <w:rsid w:val="00D815EF"/>
    <w:rsid w:val="00D81F26"/>
    <w:rsid w:val="00D82E91"/>
    <w:rsid w:val="00D83590"/>
    <w:rsid w:val="00D83FE5"/>
    <w:rsid w:val="00D84B48"/>
    <w:rsid w:val="00D8581F"/>
    <w:rsid w:val="00D86231"/>
    <w:rsid w:val="00D86534"/>
    <w:rsid w:val="00D865D5"/>
    <w:rsid w:val="00D87393"/>
    <w:rsid w:val="00D90A5E"/>
    <w:rsid w:val="00D9156E"/>
    <w:rsid w:val="00D91870"/>
    <w:rsid w:val="00D91923"/>
    <w:rsid w:val="00D92370"/>
    <w:rsid w:val="00D93753"/>
    <w:rsid w:val="00D965AF"/>
    <w:rsid w:val="00DA2B2B"/>
    <w:rsid w:val="00DA2E6A"/>
    <w:rsid w:val="00DA3167"/>
    <w:rsid w:val="00DA3850"/>
    <w:rsid w:val="00DA44A1"/>
    <w:rsid w:val="00DA4DC3"/>
    <w:rsid w:val="00DA6822"/>
    <w:rsid w:val="00DA6C66"/>
    <w:rsid w:val="00DA7138"/>
    <w:rsid w:val="00DA77A5"/>
    <w:rsid w:val="00DA786A"/>
    <w:rsid w:val="00DA7CC7"/>
    <w:rsid w:val="00DA7F98"/>
    <w:rsid w:val="00DB059B"/>
    <w:rsid w:val="00DB09DB"/>
    <w:rsid w:val="00DB2123"/>
    <w:rsid w:val="00DB35BA"/>
    <w:rsid w:val="00DB3DBF"/>
    <w:rsid w:val="00DB3F46"/>
    <w:rsid w:val="00DB41C5"/>
    <w:rsid w:val="00DB484F"/>
    <w:rsid w:val="00DB4A96"/>
    <w:rsid w:val="00DB5385"/>
    <w:rsid w:val="00DB5FE9"/>
    <w:rsid w:val="00DB7869"/>
    <w:rsid w:val="00DC0325"/>
    <w:rsid w:val="00DC04F6"/>
    <w:rsid w:val="00DC0690"/>
    <w:rsid w:val="00DC1060"/>
    <w:rsid w:val="00DC1D65"/>
    <w:rsid w:val="00DC2797"/>
    <w:rsid w:val="00DC339D"/>
    <w:rsid w:val="00DC343F"/>
    <w:rsid w:val="00DC3920"/>
    <w:rsid w:val="00DC3B96"/>
    <w:rsid w:val="00DC3C57"/>
    <w:rsid w:val="00DC5501"/>
    <w:rsid w:val="00DC591C"/>
    <w:rsid w:val="00DC6C4C"/>
    <w:rsid w:val="00DC6DB6"/>
    <w:rsid w:val="00DC7154"/>
    <w:rsid w:val="00DC7572"/>
    <w:rsid w:val="00DC7E8A"/>
    <w:rsid w:val="00DD0F78"/>
    <w:rsid w:val="00DD19F7"/>
    <w:rsid w:val="00DD273C"/>
    <w:rsid w:val="00DD2F60"/>
    <w:rsid w:val="00DD3462"/>
    <w:rsid w:val="00DD3F28"/>
    <w:rsid w:val="00DD41B5"/>
    <w:rsid w:val="00DD4537"/>
    <w:rsid w:val="00DD4E15"/>
    <w:rsid w:val="00DD4F06"/>
    <w:rsid w:val="00DD7D99"/>
    <w:rsid w:val="00DE00BE"/>
    <w:rsid w:val="00DE06A7"/>
    <w:rsid w:val="00DE0F80"/>
    <w:rsid w:val="00DE2304"/>
    <w:rsid w:val="00DE3138"/>
    <w:rsid w:val="00DE33F8"/>
    <w:rsid w:val="00DE37F8"/>
    <w:rsid w:val="00DE4A27"/>
    <w:rsid w:val="00DE4DC8"/>
    <w:rsid w:val="00DE4DCD"/>
    <w:rsid w:val="00DE4FCB"/>
    <w:rsid w:val="00DE52BB"/>
    <w:rsid w:val="00DE5D07"/>
    <w:rsid w:val="00DE6211"/>
    <w:rsid w:val="00DE6ABE"/>
    <w:rsid w:val="00DE6CF2"/>
    <w:rsid w:val="00DE718C"/>
    <w:rsid w:val="00DE72A7"/>
    <w:rsid w:val="00DE7832"/>
    <w:rsid w:val="00DE7AE6"/>
    <w:rsid w:val="00DF18FC"/>
    <w:rsid w:val="00DF1C6F"/>
    <w:rsid w:val="00DF1C84"/>
    <w:rsid w:val="00DF2198"/>
    <w:rsid w:val="00DF33DF"/>
    <w:rsid w:val="00DF3D0C"/>
    <w:rsid w:val="00DF4844"/>
    <w:rsid w:val="00DF5D2B"/>
    <w:rsid w:val="00E000C4"/>
    <w:rsid w:val="00E00E8E"/>
    <w:rsid w:val="00E00FE5"/>
    <w:rsid w:val="00E01502"/>
    <w:rsid w:val="00E03667"/>
    <w:rsid w:val="00E0398C"/>
    <w:rsid w:val="00E03C01"/>
    <w:rsid w:val="00E0409A"/>
    <w:rsid w:val="00E05630"/>
    <w:rsid w:val="00E05FBA"/>
    <w:rsid w:val="00E06DBB"/>
    <w:rsid w:val="00E0791F"/>
    <w:rsid w:val="00E10149"/>
    <w:rsid w:val="00E10382"/>
    <w:rsid w:val="00E10F8A"/>
    <w:rsid w:val="00E10FA2"/>
    <w:rsid w:val="00E11340"/>
    <w:rsid w:val="00E122A1"/>
    <w:rsid w:val="00E146A6"/>
    <w:rsid w:val="00E16372"/>
    <w:rsid w:val="00E20E4D"/>
    <w:rsid w:val="00E20ED6"/>
    <w:rsid w:val="00E21358"/>
    <w:rsid w:val="00E22198"/>
    <w:rsid w:val="00E2249B"/>
    <w:rsid w:val="00E2279F"/>
    <w:rsid w:val="00E2298B"/>
    <w:rsid w:val="00E22A0D"/>
    <w:rsid w:val="00E23EBE"/>
    <w:rsid w:val="00E242F6"/>
    <w:rsid w:val="00E244F6"/>
    <w:rsid w:val="00E247FD"/>
    <w:rsid w:val="00E26909"/>
    <w:rsid w:val="00E27115"/>
    <w:rsid w:val="00E2771E"/>
    <w:rsid w:val="00E27D84"/>
    <w:rsid w:val="00E3012A"/>
    <w:rsid w:val="00E311EF"/>
    <w:rsid w:val="00E3189C"/>
    <w:rsid w:val="00E32180"/>
    <w:rsid w:val="00E33315"/>
    <w:rsid w:val="00E3354F"/>
    <w:rsid w:val="00E34296"/>
    <w:rsid w:val="00E34948"/>
    <w:rsid w:val="00E358B1"/>
    <w:rsid w:val="00E36B2B"/>
    <w:rsid w:val="00E37569"/>
    <w:rsid w:val="00E401B2"/>
    <w:rsid w:val="00E410E9"/>
    <w:rsid w:val="00E41E30"/>
    <w:rsid w:val="00E42F73"/>
    <w:rsid w:val="00E434D4"/>
    <w:rsid w:val="00E43885"/>
    <w:rsid w:val="00E43D70"/>
    <w:rsid w:val="00E442F4"/>
    <w:rsid w:val="00E454F5"/>
    <w:rsid w:val="00E457EF"/>
    <w:rsid w:val="00E45B44"/>
    <w:rsid w:val="00E45CBA"/>
    <w:rsid w:val="00E466F3"/>
    <w:rsid w:val="00E46CE7"/>
    <w:rsid w:val="00E46FC5"/>
    <w:rsid w:val="00E47B2C"/>
    <w:rsid w:val="00E47FBC"/>
    <w:rsid w:val="00E50616"/>
    <w:rsid w:val="00E506E2"/>
    <w:rsid w:val="00E50D39"/>
    <w:rsid w:val="00E50F83"/>
    <w:rsid w:val="00E5121A"/>
    <w:rsid w:val="00E51560"/>
    <w:rsid w:val="00E523CB"/>
    <w:rsid w:val="00E52658"/>
    <w:rsid w:val="00E53375"/>
    <w:rsid w:val="00E5354D"/>
    <w:rsid w:val="00E53FC8"/>
    <w:rsid w:val="00E54347"/>
    <w:rsid w:val="00E55424"/>
    <w:rsid w:val="00E558E5"/>
    <w:rsid w:val="00E55915"/>
    <w:rsid w:val="00E55BB5"/>
    <w:rsid w:val="00E55E9C"/>
    <w:rsid w:val="00E55F2F"/>
    <w:rsid w:val="00E562BE"/>
    <w:rsid w:val="00E57375"/>
    <w:rsid w:val="00E57EE6"/>
    <w:rsid w:val="00E6025D"/>
    <w:rsid w:val="00E61109"/>
    <w:rsid w:val="00E6171B"/>
    <w:rsid w:val="00E617D1"/>
    <w:rsid w:val="00E62086"/>
    <w:rsid w:val="00E65E79"/>
    <w:rsid w:val="00E66BA2"/>
    <w:rsid w:val="00E66D7D"/>
    <w:rsid w:val="00E67416"/>
    <w:rsid w:val="00E677D3"/>
    <w:rsid w:val="00E70B5D"/>
    <w:rsid w:val="00E7157B"/>
    <w:rsid w:val="00E718B6"/>
    <w:rsid w:val="00E7222F"/>
    <w:rsid w:val="00E723BA"/>
    <w:rsid w:val="00E726F6"/>
    <w:rsid w:val="00E72BD6"/>
    <w:rsid w:val="00E73581"/>
    <w:rsid w:val="00E75993"/>
    <w:rsid w:val="00E761BB"/>
    <w:rsid w:val="00E76398"/>
    <w:rsid w:val="00E7772E"/>
    <w:rsid w:val="00E80A52"/>
    <w:rsid w:val="00E80AE2"/>
    <w:rsid w:val="00E82142"/>
    <w:rsid w:val="00E82A85"/>
    <w:rsid w:val="00E833F7"/>
    <w:rsid w:val="00E83A32"/>
    <w:rsid w:val="00E83BDF"/>
    <w:rsid w:val="00E8457C"/>
    <w:rsid w:val="00E857D2"/>
    <w:rsid w:val="00E86388"/>
    <w:rsid w:val="00E874F6"/>
    <w:rsid w:val="00E87A1D"/>
    <w:rsid w:val="00E906C9"/>
    <w:rsid w:val="00E9094A"/>
    <w:rsid w:val="00E91D35"/>
    <w:rsid w:val="00E91E30"/>
    <w:rsid w:val="00E926A5"/>
    <w:rsid w:val="00E93E4A"/>
    <w:rsid w:val="00E94935"/>
    <w:rsid w:val="00E94B36"/>
    <w:rsid w:val="00E95291"/>
    <w:rsid w:val="00E9711F"/>
    <w:rsid w:val="00EA082C"/>
    <w:rsid w:val="00EA17C3"/>
    <w:rsid w:val="00EA29A6"/>
    <w:rsid w:val="00EA2CAA"/>
    <w:rsid w:val="00EA3864"/>
    <w:rsid w:val="00EA5C9F"/>
    <w:rsid w:val="00EA6484"/>
    <w:rsid w:val="00EA6B9F"/>
    <w:rsid w:val="00EA70EE"/>
    <w:rsid w:val="00EA712C"/>
    <w:rsid w:val="00EA7F1C"/>
    <w:rsid w:val="00EB15B6"/>
    <w:rsid w:val="00EB204A"/>
    <w:rsid w:val="00EB3D06"/>
    <w:rsid w:val="00EB4160"/>
    <w:rsid w:val="00EB4507"/>
    <w:rsid w:val="00EB4916"/>
    <w:rsid w:val="00EB4F4E"/>
    <w:rsid w:val="00EB5F6F"/>
    <w:rsid w:val="00EB6BDE"/>
    <w:rsid w:val="00EB6CE6"/>
    <w:rsid w:val="00EB713F"/>
    <w:rsid w:val="00EB7371"/>
    <w:rsid w:val="00EB7BB0"/>
    <w:rsid w:val="00EB7BDF"/>
    <w:rsid w:val="00EC00C9"/>
    <w:rsid w:val="00EC09ED"/>
    <w:rsid w:val="00EC0DD9"/>
    <w:rsid w:val="00EC1883"/>
    <w:rsid w:val="00EC1C29"/>
    <w:rsid w:val="00EC22C2"/>
    <w:rsid w:val="00EC2462"/>
    <w:rsid w:val="00EC2649"/>
    <w:rsid w:val="00EC31ED"/>
    <w:rsid w:val="00EC3C3F"/>
    <w:rsid w:val="00EC49FA"/>
    <w:rsid w:val="00EC5836"/>
    <w:rsid w:val="00EC688C"/>
    <w:rsid w:val="00EC7BE4"/>
    <w:rsid w:val="00ED15D2"/>
    <w:rsid w:val="00ED247E"/>
    <w:rsid w:val="00ED2824"/>
    <w:rsid w:val="00ED28FA"/>
    <w:rsid w:val="00ED335A"/>
    <w:rsid w:val="00ED3A85"/>
    <w:rsid w:val="00ED4415"/>
    <w:rsid w:val="00ED5392"/>
    <w:rsid w:val="00ED57EA"/>
    <w:rsid w:val="00ED586D"/>
    <w:rsid w:val="00ED5BD4"/>
    <w:rsid w:val="00ED5C61"/>
    <w:rsid w:val="00ED6280"/>
    <w:rsid w:val="00ED6379"/>
    <w:rsid w:val="00ED70F5"/>
    <w:rsid w:val="00ED7B1B"/>
    <w:rsid w:val="00EE07D3"/>
    <w:rsid w:val="00EE1996"/>
    <w:rsid w:val="00EE1C01"/>
    <w:rsid w:val="00EE208B"/>
    <w:rsid w:val="00EE22AF"/>
    <w:rsid w:val="00EE3415"/>
    <w:rsid w:val="00EE58E4"/>
    <w:rsid w:val="00EE5E42"/>
    <w:rsid w:val="00EF0171"/>
    <w:rsid w:val="00EF041C"/>
    <w:rsid w:val="00EF063A"/>
    <w:rsid w:val="00EF09C5"/>
    <w:rsid w:val="00EF0CCD"/>
    <w:rsid w:val="00EF1808"/>
    <w:rsid w:val="00EF1861"/>
    <w:rsid w:val="00EF1B25"/>
    <w:rsid w:val="00EF1DA0"/>
    <w:rsid w:val="00EF2D8E"/>
    <w:rsid w:val="00EF4747"/>
    <w:rsid w:val="00EF4BF8"/>
    <w:rsid w:val="00EF5A11"/>
    <w:rsid w:val="00F0076E"/>
    <w:rsid w:val="00F016CC"/>
    <w:rsid w:val="00F02253"/>
    <w:rsid w:val="00F026C4"/>
    <w:rsid w:val="00F03628"/>
    <w:rsid w:val="00F03B78"/>
    <w:rsid w:val="00F03C2E"/>
    <w:rsid w:val="00F040D1"/>
    <w:rsid w:val="00F04A66"/>
    <w:rsid w:val="00F04B4B"/>
    <w:rsid w:val="00F04B57"/>
    <w:rsid w:val="00F0516C"/>
    <w:rsid w:val="00F05801"/>
    <w:rsid w:val="00F05E76"/>
    <w:rsid w:val="00F06719"/>
    <w:rsid w:val="00F067A2"/>
    <w:rsid w:val="00F06C76"/>
    <w:rsid w:val="00F07B9E"/>
    <w:rsid w:val="00F1116F"/>
    <w:rsid w:val="00F11763"/>
    <w:rsid w:val="00F117CA"/>
    <w:rsid w:val="00F11E61"/>
    <w:rsid w:val="00F1236D"/>
    <w:rsid w:val="00F1263A"/>
    <w:rsid w:val="00F12720"/>
    <w:rsid w:val="00F1331E"/>
    <w:rsid w:val="00F13F69"/>
    <w:rsid w:val="00F14E0A"/>
    <w:rsid w:val="00F1526A"/>
    <w:rsid w:val="00F15B77"/>
    <w:rsid w:val="00F1626B"/>
    <w:rsid w:val="00F177FA"/>
    <w:rsid w:val="00F2027A"/>
    <w:rsid w:val="00F21145"/>
    <w:rsid w:val="00F21BE8"/>
    <w:rsid w:val="00F22925"/>
    <w:rsid w:val="00F22ED8"/>
    <w:rsid w:val="00F23329"/>
    <w:rsid w:val="00F235D9"/>
    <w:rsid w:val="00F24837"/>
    <w:rsid w:val="00F2575F"/>
    <w:rsid w:val="00F26209"/>
    <w:rsid w:val="00F26CA3"/>
    <w:rsid w:val="00F27565"/>
    <w:rsid w:val="00F30B8E"/>
    <w:rsid w:val="00F310D4"/>
    <w:rsid w:val="00F31375"/>
    <w:rsid w:val="00F31D5A"/>
    <w:rsid w:val="00F32276"/>
    <w:rsid w:val="00F33975"/>
    <w:rsid w:val="00F33DE9"/>
    <w:rsid w:val="00F341CF"/>
    <w:rsid w:val="00F343C5"/>
    <w:rsid w:val="00F34CFA"/>
    <w:rsid w:val="00F35011"/>
    <w:rsid w:val="00F35E6D"/>
    <w:rsid w:val="00F3619A"/>
    <w:rsid w:val="00F3779E"/>
    <w:rsid w:val="00F37EDA"/>
    <w:rsid w:val="00F40947"/>
    <w:rsid w:val="00F40AAA"/>
    <w:rsid w:val="00F40BA7"/>
    <w:rsid w:val="00F40D8B"/>
    <w:rsid w:val="00F40F9D"/>
    <w:rsid w:val="00F41ACD"/>
    <w:rsid w:val="00F41EC8"/>
    <w:rsid w:val="00F42C8D"/>
    <w:rsid w:val="00F44C14"/>
    <w:rsid w:val="00F458F1"/>
    <w:rsid w:val="00F45B28"/>
    <w:rsid w:val="00F45E0B"/>
    <w:rsid w:val="00F46C91"/>
    <w:rsid w:val="00F46CB6"/>
    <w:rsid w:val="00F4756D"/>
    <w:rsid w:val="00F47DE8"/>
    <w:rsid w:val="00F506D6"/>
    <w:rsid w:val="00F5193D"/>
    <w:rsid w:val="00F524DB"/>
    <w:rsid w:val="00F52F5E"/>
    <w:rsid w:val="00F537A7"/>
    <w:rsid w:val="00F54005"/>
    <w:rsid w:val="00F542C1"/>
    <w:rsid w:val="00F55E73"/>
    <w:rsid w:val="00F55EDA"/>
    <w:rsid w:val="00F56272"/>
    <w:rsid w:val="00F56735"/>
    <w:rsid w:val="00F56C80"/>
    <w:rsid w:val="00F575A8"/>
    <w:rsid w:val="00F5788E"/>
    <w:rsid w:val="00F60092"/>
    <w:rsid w:val="00F60318"/>
    <w:rsid w:val="00F60DF4"/>
    <w:rsid w:val="00F61C18"/>
    <w:rsid w:val="00F64B29"/>
    <w:rsid w:val="00F65748"/>
    <w:rsid w:val="00F65F4B"/>
    <w:rsid w:val="00F65F92"/>
    <w:rsid w:val="00F67A69"/>
    <w:rsid w:val="00F70109"/>
    <w:rsid w:val="00F70BFF"/>
    <w:rsid w:val="00F70C86"/>
    <w:rsid w:val="00F70C9D"/>
    <w:rsid w:val="00F72FF3"/>
    <w:rsid w:val="00F735AA"/>
    <w:rsid w:val="00F73953"/>
    <w:rsid w:val="00F74CD9"/>
    <w:rsid w:val="00F775F4"/>
    <w:rsid w:val="00F80453"/>
    <w:rsid w:val="00F80A7B"/>
    <w:rsid w:val="00F80E5D"/>
    <w:rsid w:val="00F81E78"/>
    <w:rsid w:val="00F822FF"/>
    <w:rsid w:val="00F82581"/>
    <w:rsid w:val="00F851CE"/>
    <w:rsid w:val="00F86C4C"/>
    <w:rsid w:val="00F87D73"/>
    <w:rsid w:val="00F909C2"/>
    <w:rsid w:val="00F91219"/>
    <w:rsid w:val="00F92316"/>
    <w:rsid w:val="00F92444"/>
    <w:rsid w:val="00F930A4"/>
    <w:rsid w:val="00F93303"/>
    <w:rsid w:val="00F9393E"/>
    <w:rsid w:val="00F944F5"/>
    <w:rsid w:val="00F957B2"/>
    <w:rsid w:val="00F95AEC"/>
    <w:rsid w:val="00F962E2"/>
    <w:rsid w:val="00F96FD0"/>
    <w:rsid w:val="00F97A78"/>
    <w:rsid w:val="00FA0B20"/>
    <w:rsid w:val="00FA1575"/>
    <w:rsid w:val="00FA24E7"/>
    <w:rsid w:val="00FA3814"/>
    <w:rsid w:val="00FA46A8"/>
    <w:rsid w:val="00FA49F3"/>
    <w:rsid w:val="00FA5546"/>
    <w:rsid w:val="00FA555D"/>
    <w:rsid w:val="00FA5EE6"/>
    <w:rsid w:val="00FA7956"/>
    <w:rsid w:val="00FB2228"/>
    <w:rsid w:val="00FB2267"/>
    <w:rsid w:val="00FB22DF"/>
    <w:rsid w:val="00FB23A4"/>
    <w:rsid w:val="00FB2FCB"/>
    <w:rsid w:val="00FB2FFE"/>
    <w:rsid w:val="00FB3196"/>
    <w:rsid w:val="00FB6EE9"/>
    <w:rsid w:val="00FB70E5"/>
    <w:rsid w:val="00FB7C55"/>
    <w:rsid w:val="00FB7E62"/>
    <w:rsid w:val="00FC0F7F"/>
    <w:rsid w:val="00FC0FBB"/>
    <w:rsid w:val="00FC1074"/>
    <w:rsid w:val="00FC1737"/>
    <w:rsid w:val="00FC1884"/>
    <w:rsid w:val="00FC34AD"/>
    <w:rsid w:val="00FC371D"/>
    <w:rsid w:val="00FC5A8E"/>
    <w:rsid w:val="00FC5F0B"/>
    <w:rsid w:val="00FC6420"/>
    <w:rsid w:val="00FC7B9E"/>
    <w:rsid w:val="00FD16A6"/>
    <w:rsid w:val="00FD1B92"/>
    <w:rsid w:val="00FD2100"/>
    <w:rsid w:val="00FD2445"/>
    <w:rsid w:val="00FD2E67"/>
    <w:rsid w:val="00FD436C"/>
    <w:rsid w:val="00FD446D"/>
    <w:rsid w:val="00FD46EA"/>
    <w:rsid w:val="00FD4F2C"/>
    <w:rsid w:val="00FD6394"/>
    <w:rsid w:val="00FD6450"/>
    <w:rsid w:val="00FD788E"/>
    <w:rsid w:val="00FD7D15"/>
    <w:rsid w:val="00FD7D43"/>
    <w:rsid w:val="00FE0E6C"/>
    <w:rsid w:val="00FE11FA"/>
    <w:rsid w:val="00FE1431"/>
    <w:rsid w:val="00FE1CDC"/>
    <w:rsid w:val="00FE1FFC"/>
    <w:rsid w:val="00FE254E"/>
    <w:rsid w:val="00FE30AE"/>
    <w:rsid w:val="00FE353F"/>
    <w:rsid w:val="00FE4BF8"/>
    <w:rsid w:val="00FE4E0C"/>
    <w:rsid w:val="00FE5ADB"/>
    <w:rsid w:val="00FE5DE1"/>
    <w:rsid w:val="00FE70C3"/>
    <w:rsid w:val="00FF0AD9"/>
    <w:rsid w:val="00FF163A"/>
    <w:rsid w:val="00FF1B9D"/>
    <w:rsid w:val="00FF1F78"/>
    <w:rsid w:val="00FF1FB5"/>
    <w:rsid w:val="00FF2AD9"/>
    <w:rsid w:val="00FF307F"/>
    <w:rsid w:val="00FF359F"/>
    <w:rsid w:val="00FF3DCF"/>
    <w:rsid w:val="00FF44BF"/>
    <w:rsid w:val="00FF492C"/>
    <w:rsid w:val="00FF4A21"/>
    <w:rsid w:val="00FF50B9"/>
    <w:rsid w:val="00FF5AA3"/>
    <w:rsid w:val="00FF5AD8"/>
    <w:rsid w:val="00FF60CC"/>
    <w:rsid w:val="00FF6C61"/>
    <w:rsid w:val="00FF753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870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921"/>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Figure caption,Bayer Caption,IB Caption,Medical Caption,- H17,Tabellen-Titel,Caption Char2 Char,Caption Char Char Char2,Caption Char1 Char Char Char1,Caption Char2 Char Char Char1 Char1,Caption Char Char1 Char Char Char1 Char1,c,Caption Char2,12"/>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Figure caption Char,Bayer Caption Char,IB Caption Char,Medical Caption Char,- H17 Char,Tabellen-Titel Char,Caption Char2 Char Char,Caption Char Char Char2 Char,Caption Char1 Char Char Char1 Char,Caption Char2 Char Char Char1 Char1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List,ES Paragraph,PBAC ES Paragraph,PBAC normal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List Char,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MSD 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FootnoteText">
    <w:name w:val="footnote text"/>
    <w:basedOn w:val="Normal"/>
    <w:link w:val="FootnoteTextChar"/>
    <w:unhideWhenUsed/>
    <w:rsid w:val="008E334F"/>
    <w:rPr>
      <w:sz w:val="20"/>
      <w:szCs w:val="20"/>
    </w:rPr>
  </w:style>
  <w:style w:type="character" w:customStyle="1" w:styleId="FootnoteTextChar">
    <w:name w:val="Footnote Text Char"/>
    <w:basedOn w:val="DefaultParagraphFont"/>
    <w:link w:val="FootnoteText"/>
    <w:rsid w:val="008E334F"/>
    <w:rPr>
      <w:rFonts w:ascii="Calibri" w:hAnsi="Calibri" w:cs="Arial"/>
    </w:rPr>
  </w:style>
  <w:style w:type="character" w:styleId="FootnoteReference">
    <w:name w:val="footnote reference"/>
    <w:basedOn w:val="DefaultParagraphFont"/>
    <w:unhideWhenUsed/>
    <w:rsid w:val="008E334F"/>
    <w:rPr>
      <w:vertAlign w:val="superscript"/>
    </w:rPr>
  </w:style>
  <w:style w:type="paragraph" w:styleId="EndnoteText">
    <w:name w:val="endnote text"/>
    <w:basedOn w:val="Normal"/>
    <w:link w:val="EndnoteTextChar"/>
    <w:semiHidden/>
    <w:unhideWhenUsed/>
    <w:rsid w:val="008E334F"/>
    <w:rPr>
      <w:sz w:val="20"/>
      <w:szCs w:val="20"/>
    </w:rPr>
  </w:style>
  <w:style w:type="character" w:customStyle="1" w:styleId="EndnoteTextChar">
    <w:name w:val="Endnote Text Char"/>
    <w:basedOn w:val="DefaultParagraphFont"/>
    <w:link w:val="EndnoteText"/>
    <w:semiHidden/>
    <w:rsid w:val="008E334F"/>
    <w:rPr>
      <w:rFonts w:ascii="Calibri" w:hAnsi="Calibri" w:cs="Arial"/>
    </w:rPr>
  </w:style>
  <w:style w:type="character" w:styleId="EndnoteReference">
    <w:name w:val="endnote reference"/>
    <w:basedOn w:val="DefaultParagraphFont"/>
    <w:semiHidden/>
    <w:unhideWhenUsed/>
    <w:rsid w:val="008E334F"/>
    <w:rPr>
      <w:vertAlign w:val="superscript"/>
    </w:rPr>
  </w:style>
  <w:style w:type="table" w:styleId="LightShading-Accent3">
    <w:name w:val="Light Shading Accent 3"/>
    <w:basedOn w:val="TableNormal"/>
    <w:uiPriority w:val="60"/>
    <w:rsid w:val="00180517"/>
    <w:rPr>
      <w:rFonts w:asciiTheme="majorHAnsi" w:eastAsiaTheme="majorEastAsia" w:hAnsiTheme="majorHAnsi" w:cstheme="maj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heme="majorBid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heme="majorBidi"/>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heme="majorBidi"/>
        <w:b/>
        <w:bCs/>
      </w:rPr>
    </w:tblStylePr>
    <w:tblStylePr w:type="lastCol">
      <w:rPr>
        <w:rFonts w:cstheme="majorBidi"/>
        <w:b/>
        <w:bCs/>
      </w:rPr>
    </w:tblStylePr>
    <w:tblStylePr w:type="band1Vert">
      <w:rPr>
        <w:rFonts w:cstheme="majorBidi"/>
      </w:rPr>
      <w:tblPr/>
      <w:tcPr>
        <w:tcBorders>
          <w:left w:val="nil"/>
          <w:right w:val="nil"/>
          <w:insideH w:val="nil"/>
          <w:insideV w:val="nil"/>
        </w:tcBorders>
        <w:shd w:val="clear" w:color="auto" w:fill="E6EED5" w:themeFill="accent3" w:themeFillTint="3F"/>
      </w:tcPr>
    </w:tblStylePr>
    <w:tblStylePr w:type="band1Horz">
      <w:rPr>
        <w:rFonts w:cstheme="majorBidi"/>
      </w:rPr>
      <w:tblPr/>
      <w:tcPr>
        <w:tcBorders>
          <w:left w:val="nil"/>
          <w:right w:val="nil"/>
          <w:insideH w:val="nil"/>
          <w:insideV w:val="nil"/>
        </w:tcBorders>
        <w:shd w:val="clear" w:color="auto" w:fill="E6EED5" w:themeFill="accent3" w:themeFillTint="3F"/>
      </w:tcPr>
    </w:tblStylePr>
  </w:style>
  <w:style w:type="paragraph" w:customStyle="1" w:styleId="TableTextCA">
    <w:name w:val="Table Text CA"/>
    <w:basedOn w:val="Normal"/>
    <w:qFormat/>
    <w:rsid w:val="00180517"/>
    <w:pPr>
      <w:spacing w:before="40" w:after="40"/>
      <w:jc w:val="center"/>
    </w:pPr>
    <w:rPr>
      <w:rFonts w:ascii="Arial Narrow" w:eastAsiaTheme="minorHAnsi" w:hAnsi="Arial Narrow" w:cstheme="minorBidi"/>
      <w:sz w:val="20"/>
      <w:szCs w:val="22"/>
      <w:lang w:eastAsia="en-US"/>
    </w:rPr>
  </w:style>
  <w:style w:type="paragraph" w:customStyle="1" w:styleId="LetteredList">
    <w:name w:val="Lettered List"/>
    <w:basedOn w:val="Normal"/>
    <w:uiPriority w:val="3"/>
    <w:qFormat/>
    <w:rsid w:val="007C1134"/>
    <w:pPr>
      <w:numPr>
        <w:numId w:val="6"/>
      </w:numPr>
      <w:spacing w:after="240"/>
      <w:ind w:left="357" w:hanging="357"/>
      <w:contextualSpacing/>
    </w:pPr>
    <w:rPr>
      <w:rFonts w:ascii="Candara" w:eastAsiaTheme="majorEastAsia" w:hAnsi="Candara" w:cstheme="majorBidi"/>
      <w:szCs w:val="22"/>
      <w:lang w:eastAsia="en-US"/>
    </w:rPr>
  </w:style>
  <w:style w:type="paragraph" w:customStyle="1" w:styleId="TableBullet">
    <w:name w:val="Table Bullet"/>
    <w:basedOn w:val="Normal"/>
    <w:uiPriority w:val="99"/>
    <w:qFormat/>
    <w:rsid w:val="00813AC1"/>
    <w:pPr>
      <w:numPr>
        <w:numId w:val="7"/>
      </w:numPr>
      <w:spacing w:before="40" w:after="40"/>
      <w:ind w:left="357" w:hanging="357"/>
    </w:pPr>
    <w:rPr>
      <w:rFonts w:ascii="Arial Narrow" w:eastAsiaTheme="minorHAnsi" w:hAnsi="Arial Narrow" w:cstheme="minorBidi"/>
      <w:sz w:val="20"/>
      <w:szCs w:val="22"/>
      <w:lang w:eastAsia="en-US"/>
    </w:rPr>
  </w:style>
  <w:style w:type="paragraph" w:customStyle="1" w:styleId="Tablebulletwithnospace">
    <w:name w:val="Table bullet with no space"/>
    <w:basedOn w:val="TableBullet"/>
    <w:uiPriority w:val="99"/>
    <w:qFormat/>
    <w:rsid w:val="00813AC1"/>
    <w:pPr>
      <w:numPr>
        <w:numId w:val="0"/>
      </w:numPr>
      <w:spacing w:before="60" w:after="120"/>
      <w:ind w:left="284" w:hanging="227"/>
      <w:contextualSpacing/>
      <w:jc w:val="left"/>
    </w:pPr>
    <w:rPr>
      <w:rFonts w:ascii="Calibri" w:hAnsi="Calibri"/>
      <w:szCs w:val="20"/>
    </w:rPr>
  </w:style>
  <w:style w:type="character" w:customStyle="1" w:styleId="Heading1Char">
    <w:name w:val="Heading 1 Char"/>
    <w:basedOn w:val="DefaultParagraphFont"/>
    <w:link w:val="Heading1"/>
    <w:uiPriority w:val="1"/>
    <w:rsid w:val="00E761BB"/>
    <w:rPr>
      <w:rFonts w:ascii="Calibri" w:hAnsi="Calibri" w:cs="Arial"/>
      <w:b/>
      <w:caps/>
      <w:sz w:val="32"/>
      <w:szCs w:val="24"/>
    </w:rPr>
  </w:style>
  <w:style w:type="character" w:customStyle="1" w:styleId="Heading3Char">
    <w:name w:val="Heading 3 Char"/>
    <w:basedOn w:val="DefaultParagraphFont"/>
    <w:link w:val="Heading3"/>
    <w:rsid w:val="00E761BB"/>
    <w:rPr>
      <w:rFonts w:ascii="Calibri" w:hAnsi="Calibri" w:cs="Arial"/>
      <w:sz w:val="24"/>
      <w:szCs w:val="24"/>
      <w:u w:val="single"/>
    </w:rPr>
  </w:style>
  <w:style w:type="character" w:customStyle="1" w:styleId="Heading4Char">
    <w:name w:val="Heading 4 Char"/>
    <w:basedOn w:val="DefaultParagraphFont"/>
    <w:link w:val="Heading4"/>
    <w:rsid w:val="00E761BB"/>
    <w:rPr>
      <w:rFonts w:ascii="Calibri" w:hAnsi="Calibri" w:cs="Arial"/>
      <w:b/>
      <w:bCs/>
      <w:i/>
      <w:sz w:val="26"/>
      <w:szCs w:val="28"/>
    </w:rPr>
  </w:style>
  <w:style w:type="character" w:customStyle="1" w:styleId="Heading5Char">
    <w:name w:val="Heading 5 Char"/>
    <w:basedOn w:val="DefaultParagraphFont"/>
    <w:link w:val="Heading5"/>
    <w:rsid w:val="00E761BB"/>
    <w:rPr>
      <w:rFonts w:ascii="Calibri" w:hAnsi="Calibri" w:cs="Arial"/>
      <w:b/>
      <w:bCs/>
      <w:iCs/>
      <w:sz w:val="26"/>
      <w:szCs w:val="26"/>
    </w:rPr>
  </w:style>
  <w:style w:type="character" w:customStyle="1" w:styleId="Heading6Char">
    <w:name w:val="Heading 6 Char"/>
    <w:basedOn w:val="DefaultParagraphFont"/>
    <w:link w:val="Heading6"/>
    <w:rsid w:val="00E761BB"/>
    <w:rPr>
      <w:rFonts w:ascii="Calibri" w:hAnsi="Calibri" w:cs="Arial"/>
      <w:b/>
      <w:bCs/>
      <w:i/>
      <w:sz w:val="24"/>
      <w:szCs w:val="24"/>
    </w:rPr>
  </w:style>
  <w:style w:type="paragraph" w:customStyle="1" w:styleId="TableNotes">
    <w:name w:val="Table Notes"/>
    <w:basedOn w:val="Normal"/>
    <w:link w:val="TableNotesChar"/>
    <w:uiPriority w:val="6"/>
    <w:qFormat/>
    <w:rsid w:val="00E761BB"/>
    <w:pPr>
      <w:spacing w:after="40"/>
    </w:pPr>
    <w:rPr>
      <w:rFonts w:ascii="Arial Narrow" w:eastAsiaTheme="majorEastAsia" w:hAnsi="Arial Narrow" w:cstheme="majorBidi"/>
      <w:sz w:val="16"/>
      <w:szCs w:val="22"/>
      <w:lang w:eastAsia="en-US"/>
    </w:rPr>
  </w:style>
  <w:style w:type="character" w:customStyle="1" w:styleId="TableNotesChar">
    <w:name w:val="Table Notes Char"/>
    <w:basedOn w:val="DefaultParagraphFont"/>
    <w:link w:val="TableNotes"/>
    <w:uiPriority w:val="6"/>
    <w:locked/>
    <w:rsid w:val="00E761BB"/>
    <w:rPr>
      <w:rFonts w:ascii="Arial Narrow" w:eastAsiaTheme="majorEastAsia" w:hAnsi="Arial Narrow" w:cstheme="majorBidi"/>
      <w:sz w:val="16"/>
      <w:szCs w:val="22"/>
      <w:lang w:eastAsia="en-US"/>
    </w:rPr>
  </w:style>
  <w:style w:type="paragraph" w:customStyle="1" w:styleId="NumberedList">
    <w:name w:val="Numbered List"/>
    <w:basedOn w:val="Normal"/>
    <w:uiPriority w:val="3"/>
    <w:rsid w:val="00434323"/>
    <w:pPr>
      <w:numPr>
        <w:numId w:val="9"/>
      </w:numPr>
      <w:spacing w:after="240"/>
      <w:ind w:left="357" w:hanging="357"/>
      <w:contextualSpacing/>
    </w:pPr>
    <w:rPr>
      <w:rFonts w:ascii="Candara" w:eastAsiaTheme="majorEastAsia" w:hAnsi="Candara" w:cstheme="majorBidi"/>
      <w:szCs w:val="22"/>
      <w:lang w:eastAsia="en-US"/>
    </w:rPr>
  </w:style>
  <w:style w:type="character" w:customStyle="1" w:styleId="Underlined">
    <w:name w:val="Underlined"/>
    <w:basedOn w:val="DefaultParagraphFont"/>
    <w:uiPriority w:val="1"/>
    <w:qFormat/>
    <w:rsid w:val="0058415A"/>
    <w:rPr>
      <w:rFonts w:ascii="Candara" w:hAnsi="Candara" w:cs="Times New Roman"/>
      <w:sz w:val="24"/>
      <w:u w:val="single"/>
    </w:rPr>
  </w:style>
  <w:style w:type="table" w:customStyle="1" w:styleId="Submissionstandard">
    <w:name w:val="Submission standard"/>
    <w:basedOn w:val="TableNormal"/>
    <w:uiPriority w:val="99"/>
    <w:qFormat/>
    <w:rsid w:val="0058415A"/>
    <w:rPr>
      <w:rFonts w:ascii="Arial Narrow" w:eastAsiaTheme="majorEastAsia" w:hAnsi="Arial Narrow" w:cstheme="maj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Verdana" w:hAnsi="Verdana" w:cstheme="majorBidi"/>
        <w:b/>
        <w:sz w:val="20"/>
      </w:rPr>
      <w:tblPr/>
      <w:tcPr>
        <w:shd w:val="clear" w:color="auto" w:fill="BFBFBF" w:themeFill="background1" w:themeFillShade="BF"/>
      </w:tcPr>
    </w:tblStylePr>
  </w:style>
  <w:style w:type="table" w:customStyle="1" w:styleId="Submissionstandard1">
    <w:name w:val="Submission standard1"/>
    <w:basedOn w:val="TableNormal"/>
    <w:uiPriority w:val="99"/>
    <w:qFormat/>
    <w:rsid w:val="0058415A"/>
    <w:rPr>
      <w:rFonts w:ascii="Arial Narrow" w:eastAsiaTheme="majorEastAsia" w:hAnsi="Arial Narrow" w:cstheme="maj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MingLiU-ExtB" w:hAnsi="MingLiU-ExtB" w:cstheme="majorBidi"/>
        <w:b/>
        <w:sz w:val="20"/>
      </w:rPr>
      <w:tblPr/>
      <w:tcPr>
        <w:shd w:val="clear" w:color="auto" w:fill="BFBFBF" w:themeFill="background1" w:themeFillShade="BF"/>
      </w:tcPr>
    </w:tblStylePr>
  </w:style>
  <w:style w:type="table" w:customStyle="1" w:styleId="AZTable">
    <w:name w:val="AZ Table"/>
    <w:basedOn w:val="TableNormal"/>
    <w:uiPriority w:val="99"/>
    <w:rsid w:val="005841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table" w:customStyle="1" w:styleId="Summarybox1">
    <w:name w:val="Summary box1"/>
    <w:basedOn w:val="TableNormal"/>
    <w:next w:val="TableGrid"/>
    <w:uiPriority w:val="39"/>
    <w:rsid w:val="0058415A"/>
    <w:rPr>
      <w:rFonts w:ascii="Arial Narrow" w:eastAsiaTheme="majorEastAsia" w:hAnsi="Arial Narrow" w:cstheme="majorBidi"/>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8415A"/>
    <w:pPr>
      <w:autoSpaceDE w:val="0"/>
      <w:autoSpaceDN w:val="0"/>
      <w:adjustRightInd w:val="0"/>
    </w:pPr>
    <w:rPr>
      <w:rFonts w:ascii="Calibri" w:hAnsi="Calibri" w:cs="Calibri"/>
      <w:color w:val="000000"/>
      <w:sz w:val="24"/>
      <w:szCs w:val="24"/>
    </w:rPr>
  </w:style>
  <w:style w:type="paragraph" w:customStyle="1" w:styleId="TableHeading0">
    <w:name w:val="Table Heading"/>
    <w:basedOn w:val="Normal"/>
    <w:qFormat/>
    <w:rsid w:val="00F12720"/>
    <w:pPr>
      <w:spacing w:after="60"/>
    </w:pPr>
    <w:rPr>
      <w:rFonts w:ascii="Arial Narrow" w:eastAsiaTheme="minorHAnsi" w:hAnsi="Arial Narrow" w:cstheme="minorBidi"/>
      <w:b/>
      <w:sz w:val="20"/>
      <w:szCs w:val="22"/>
      <w:lang w:eastAsia="en-US"/>
    </w:rPr>
  </w:style>
  <w:style w:type="table" w:styleId="MediumGrid3-Accent5">
    <w:name w:val="Medium Grid 3 Accent 5"/>
    <w:basedOn w:val="TableNormal"/>
    <w:uiPriority w:val="69"/>
    <w:rsid w:val="00F12720"/>
    <w:rPr>
      <w:rFonts w:asciiTheme="majorHAnsi" w:eastAsiaTheme="majorEastAsia" w:hAnsiTheme="majorHAnsi" w:cstheme="maj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heme="majorBidi"/>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heme="majorBidi"/>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heme="majorBidi"/>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heme="majorBidi"/>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heme="majorBidi"/>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heme="majorBidi"/>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Emphasis">
    <w:name w:val="Emphasis"/>
    <w:basedOn w:val="DefaultParagraphFont"/>
    <w:uiPriority w:val="20"/>
    <w:qFormat/>
    <w:rsid w:val="0072429F"/>
    <w:rPr>
      <w:i/>
      <w:iCs/>
    </w:rPr>
  </w:style>
  <w:style w:type="paragraph" w:customStyle="1" w:styleId="EndNoteBibliographyTitle">
    <w:name w:val="EndNote Bibliography Title"/>
    <w:basedOn w:val="Normal"/>
    <w:link w:val="EndNoteBibliographyTitleChar"/>
    <w:rsid w:val="0047252A"/>
    <w:pPr>
      <w:jc w:val="center"/>
    </w:pPr>
    <w:rPr>
      <w:rFonts w:cs="Calibri"/>
      <w:noProof/>
    </w:rPr>
  </w:style>
  <w:style w:type="character" w:customStyle="1" w:styleId="EndNoteBibliographyTitleChar">
    <w:name w:val="EndNote Bibliography Title Char"/>
    <w:basedOn w:val="DefaultParagraphFont"/>
    <w:link w:val="EndNoteBibliographyTitle"/>
    <w:rsid w:val="0047252A"/>
    <w:rPr>
      <w:rFonts w:ascii="Calibri" w:hAnsi="Calibri" w:cs="Calibri"/>
      <w:noProof/>
      <w:sz w:val="24"/>
      <w:szCs w:val="24"/>
    </w:rPr>
  </w:style>
  <w:style w:type="paragraph" w:customStyle="1" w:styleId="EndNoteBibliography">
    <w:name w:val="EndNote Bibliography"/>
    <w:basedOn w:val="Normal"/>
    <w:link w:val="EndNoteBibliographyChar"/>
    <w:rsid w:val="0047252A"/>
    <w:rPr>
      <w:rFonts w:cs="Calibri"/>
      <w:noProof/>
    </w:rPr>
  </w:style>
  <w:style w:type="character" w:customStyle="1" w:styleId="EndNoteBibliographyChar">
    <w:name w:val="EndNote Bibliography Char"/>
    <w:basedOn w:val="DefaultParagraphFont"/>
    <w:link w:val="EndNoteBibliography"/>
    <w:rsid w:val="0047252A"/>
    <w:rPr>
      <w:rFonts w:ascii="Calibri" w:hAnsi="Calibri" w:cs="Calibri"/>
      <w:noProof/>
      <w:sz w:val="24"/>
      <w:szCs w:val="24"/>
    </w:rPr>
  </w:style>
  <w:style w:type="character" w:customStyle="1" w:styleId="Normalfont">
    <w:name w:val="Normal font"/>
    <w:basedOn w:val="DefaultParagraphFont"/>
    <w:uiPriority w:val="1"/>
    <w:qFormat/>
    <w:rsid w:val="00DE33F8"/>
    <w:rPr>
      <w:rFonts w:ascii="Candara" w:hAnsi="Candar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1953">
      <w:bodyDiv w:val="1"/>
      <w:marLeft w:val="0"/>
      <w:marRight w:val="0"/>
      <w:marTop w:val="0"/>
      <w:marBottom w:val="0"/>
      <w:divBdr>
        <w:top w:val="none" w:sz="0" w:space="0" w:color="auto"/>
        <w:left w:val="none" w:sz="0" w:space="0" w:color="auto"/>
        <w:bottom w:val="none" w:sz="0" w:space="0" w:color="auto"/>
        <w:right w:val="none" w:sz="0" w:space="0" w:color="auto"/>
      </w:divBdr>
      <w:divsChild>
        <w:div w:id="397217776">
          <w:marLeft w:val="446"/>
          <w:marRight w:val="0"/>
          <w:marTop w:val="0"/>
          <w:marBottom w:val="0"/>
          <w:divBdr>
            <w:top w:val="none" w:sz="0" w:space="0" w:color="auto"/>
            <w:left w:val="none" w:sz="0" w:space="0" w:color="auto"/>
            <w:bottom w:val="none" w:sz="0" w:space="0" w:color="auto"/>
            <w:right w:val="none" w:sz="0" w:space="0" w:color="auto"/>
          </w:divBdr>
        </w:div>
      </w:divsChild>
    </w:div>
    <w:div w:id="87502209">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4934369">
      <w:bodyDiv w:val="1"/>
      <w:marLeft w:val="0"/>
      <w:marRight w:val="0"/>
      <w:marTop w:val="0"/>
      <w:marBottom w:val="0"/>
      <w:divBdr>
        <w:top w:val="none" w:sz="0" w:space="0" w:color="auto"/>
        <w:left w:val="none" w:sz="0" w:space="0" w:color="auto"/>
        <w:bottom w:val="none" w:sz="0" w:space="0" w:color="auto"/>
        <w:right w:val="none" w:sz="0" w:space="0" w:color="auto"/>
      </w:divBdr>
    </w:div>
    <w:div w:id="201064977">
      <w:bodyDiv w:val="1"/>
      <w:marLeft w:val="0"/>
      <w:marRight w:val="0"/>
      <w:marTop w:val="0"/>
      <w:marBottom w:val="0"/>
      <w:divBdr>
        <w:top w:val="none" w:sz="0" w:space="0" w:color="auto"/>
        <w:left w:val="none" w:sz="0" w:space="0" w:color="auto"/>
        <w:bottom w:val="none" w:sz="0" w:space="0" w:color="auto"/>
        <w:right w:val="none" w:sz="0" w:space="0" w:color="auto"/>
      </w:divBdr>
    </w:div>
    <w:div w:id="209414646">
      <w:bodyDiv w:val="1"/>
      <w:marLeft w:val="0"/>
      <w:marRight w:val="0"/>
      <w:marTop w:val="0"/>
      <w:marBottom w:val="0"/>
      <w:divBdr>
        <w:top w:val="none" w:sz="0" w:space="0" w:color="auto"/>
        <w:left w:val="none" w:sz="0" w:space="0" w:color="auto"/>
        <w:bottom w:val="none" w:sz="0" w:space="0" w:color="auto"/>
        <w:right w:val="none" w:sz="0" w:space="0" w:color="auto"/>
      </w:divBdr>
      <w:divsChild>
        <w:div w:id="862128345">
          <w:marLeft w:val="360"/>
          <w:marRight w:val="0"/>
          <w:marTop w:val="200"/>
          <w:marBottom w:val="0"/>
          <w:divBdr>
            <w:top w:val="none" w:sz="0" w:space="0" w:color="auto"/>
            <w:left w:val="none" w:sz="0" w:space="0" w:color="auto"/>
            <w:bottom w:val="none" w:sz="0" w:space="0" w:color="auto"/>
            <w:right w:val="none" w:sz="0" w:space="0" w:color="auto"/>
          </w:divBdr>
        </w:div>
        <w:div w:id="1524439756">
          <w:marLeft w:val="1080"/>
          <w:marRight w:val="0"/>
          <w:marTop w:val="100"/>
          <w:marBottom w:val="0"/>
          <w:divBdr>
            <w:top w:val="none" w:sz="0" w:space="0" w:color="auto"/>
            <w:left w:val="none" w:sz="0" w:space="0" w:color="auto"/>
            <w:bottom w:val="none" w:sz="0" w:space="0" w:color="auto"/>
            <w:right w:val="none" w:sz="0" w:space="0" w:color="auto"/>
          </w:divBdr>
        </w:div>
      </w:divsChild>
    </w:div>
    <w:div w:id="216168031">
      <w:bodyDiv w:val="1"/>
      <w:marLeft w:val="0"/>
      <w:marRight w:val="0"/>
      <w:marTop w:val="0"/>
      <w:marBottom w:val="0"/>
      <w:divBdr>
        <w:top w:val="none" w:sz="0" w:space="0" w:color="auto"/>
        <w:left w:val="none" w:sz="0" w:space="0" w:color="auto"/>
        <w:bottom w:val="none" w:sz="0" w:space="0" w:color="auto"/>
        <w:right w:val="none" w:sz="0" w:space="0" w:color="auto"/>
      </w:divBdr>
    </w:div>
    <w:div w:id="22630108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66362521">
      <w:bodyDiv w:val="1"/>
      <w:marLeft w:val="0"/>
      <w:marRight w:val="0"/>
      <w:marTop w:val="0"/>
      <w:marBottom w:val="0"/>
      <w:divBdr>
        <w:top w:val="none" w:sz="0" w:space="0" w:color="auto"/>
        <w:left w:val="none" w:sz="0" w:space="0" w:color="auto"/>
        <w:bottom w:val="none" w:sz="0" w:space="0" w:color="auto"/>
        <w:right w:val="none" w:sz="0" w:space="0" w:color="auto"/>
      </w:divBdr>
    </w:div>
    <w:div w:id="473177944">
      <w:bodyDiv w:val="1"/>
      <w:marLeft w:val="0"/>
      <w:marRight w:val="0"/>
      <w:marTop w:val="0"/>
      <w:marBottom w:val="0"/>
      <w:divBdr>
        <w:top w:val="none" w:sz="0" w:space="0" w:color="auto"/>
        <w:left w:val="none" w:sz="0" w:space="0" w:color="auto"/>
        <w:bottom w:val="none" w:sz="0" w:space="0" w:color="auto"/>
        <w:right w:val="none" w:sz="0" w:space="0" w:color="auto"/>
      </w:divBdr>
    </w:div>
    <w:div w:id="508567091">
      <w:bodyDiv w:val="1"/>
      <w:marLeft w:val="0"/>
      <w:marRight w:val="0"/>
      <w:marTop w:val="0"/>
      <w:marBottom w:val="0"/>
      <w:divBdr>
        <w:top w:val="none" w:sz="0" w:space="0" w:color="auto"/>
        <w:left w:val="none" w:sz="0" w:space="0" w:color="auto"/>
        <w:bottom w:val="none" w:sz="0" w:space="0" w:color="auto"/>
        <w:right w:val="none" w:sz="0" w:space="0" w:color="auto"/>
      </w:divBdr>
      <w:divsChild>
        <w:div w:id="1269048961">
          <w:marLeft w:val="360"/>
          <w:marRight w:val="0"/>
          <w:marTop w:val="200"/>
          <w:marBottom w:val="0"/>
          <w:divBdr>
            <w:top w:val="none" w:sz="0" w:space="0" w:color="auto"/>
            <w:left w:val="none" w:sz="0" w:space="0" w:color="auto"/>
            <w:bottom w:val="none" w:sz="0" w:space="0" w:color="auto"/>
            <w:right w:val="none" w:sz="0" w:space="0" w:color="auto"/>
          </w:divBdr>
        </w:div>
        <w:div w:id="74910424">
          <w:marLeft w:val="1080"/>
          <w:marRight w:val="0"/>
          <w:marTop w:val="100"/>
          <w:marBottom w:val="0"/>
          <w:divBdr>
            <w:top w:val="none" w:sz="0" w:space="0" w:color="auto"/>
            <w:left w:val="none" w:sz="0" w:space="0" w:color="auto"/>
            <w:bottom w:val="none" w:sz="0" w:space="0" w:color="auto"/>
            <w:right w:val="none" w:sz="0" w:space="0" w:color="auto"/>
          </w:divBdr>
        </w:div>
      </w:divsChild>
    </w:div>
    <w:div w:id="522982282">
      <w:bodyDiv w:val="1"/>
      <w:marLeft w:val="0"/>
      <w:marRight w:val="0"/>
      <w:marTop w:val="0"/>
      <w:marBottom w:val="0"/>
      <w:divBdr>
        <w:top w:val="none" w:sz="0" w:space="0" w:color="auto"/>
        <w:left w:val="none" w:sz="0" w:space="0" w:color="auto"/>
        <w:bottom w:val="none" w:sz="0" w:space="0" w:color="auto"/>
        <w:right w:val="none" w:sz="0" w:space="0" w:color="auto"/>
      </w:divBdr>
      <w:divsChild>
        <w:div w:id="1500920612">
          <w:marLeft w:val="360"/>
          <w:marRight w:val="0"/>
          <w:marTop w:val="200"/>
          <w:marBottom w:val="0"/>
          <w:divBdr>
            <w:top w:val="none" w:sz="0" w:space="0" w:color="auto"/>
            <w:left w:val="none" w:sz="0" w:space="0" w:color="auto"/>
            <w:bottom w:val="none" w:sz="0" w:space="0" w:color="auto"/>
            <w:right w:val="none" w:sz="0" w:space="0" w:color="auto"/>
          </w:divBdr>
        </w:div>
        <w:div w:id="1890192587">
          <w:marLeft w:val="1080"/>
          <w:marRight w:val="0"/>
          <w:marTop w:val="100"/>
          <w:marBottom w:val="0"/>
          <w:divBdr>
            <w:top w:val="none" w:sz="0" w:space="0" w:color="auto"/>
            <w:left w:val="none" w:sz="0" w:space="0" w:color="auto"/>
            <w:bottom w:val="none" w:sz="0" w:space="0" w:color="auto"/>
            <w:right w:val="none" w:sz="0" w:space="0" w:color="auto"/>
          </w:divBdr>
        </w:div>
        <w:div w:id="1632856883">
          <w:marLeft w:val="360"/>
          <w:marRight w:val="0"/>
          <w:marTop w:val="200"/>
          <w:marBottom w:val="0"/>
          <w:divBdr>
            <w:top w:val="none" w:sz="0" w:space="0" w:color="auto"/>
            <w:left w:val="none" w:sz="0" w:space="0" w:color="auto"/>
            <w:bottom w:val="none" w:sz="0" w:space="0" w:color="auto"/>
            <w:right w:val="none" w:sz="0" w:space="0" w:color="auto"/>
          </w:divBdr>
        </w:div>
      </w:divsChild>
    </w:div>
    <w:div w:id="577599183">
      <w:bodyDiv w:val="1"/>
      <w:marLeft w:val="0"/>
      <w:marRight w:val="0"/>
      <w:marTop w:val="0"/>
      <w:marBottom w:val="0"/>
      <w:divBdr>
        <w:top w:val="none" w:sz="0" w:space="0" w:color="auto"/>
        <w:left w:val="none" w:sz="0" w:space="0" w:color="auto"/>
        <w:bottom w:val="none" w:sz="0" w:space="0" w:color="auto"/>
        <w:right w:val="none" w:sz="0" w:space="0" w:color="auto"/>
      </w:divBdr>
    </w:div>
    <w:div w:id="672609349">
      <w:bodyDiv w:val="1"/>
      <w:marLeft w:val="0"/>
      <w:marRight w:val="0"/>
      <w:marTop w:val="0"/>
      <w:marBottom w:val="0"/>
      <w:divBdr>
        <w:top w:val="none" w:sz="0" w:space="0" w:color="auto"/>
        <w:left w:val="none" w:sz="0" w:space="0" w:color="auto"/>
        <w:bottom w:val="none" w:sz="0" w:space="0" w:color="auto"/>
        <w:right w:val="none" w:sz="0" w:space="0" w:color="auto"/>
      </w:divBdr>
    </w:div>
    <w:div w:id="684018054">
      <w:bodyDiv w:val="1"/>
      <w:marLeft w:val="0"/>
      <w:marRight w:val="0"/>
      <w:marTop w:val="0"/>
      <w:marBottom w:val="0"/>
      <w:divBdr>
        <w:top w:val="none" w:sz="0" w:space="0" w:color="auto"/>
        <w:left w:val="none" w:sz="0" w:space="0" w:color="auto"/>
        <w:bottom w:val="none" w:sz="0" w:space="0" w:color="auto"/>
        <w:right w:val="none" w:sz="0" w:space="0" w:color="auto"/>
      </w:divBdr>
    </w:div>
    <w:div w:id="740375596">
      <w:bodyDiv w:val="1"/>
      <w:marLeft w:val="0"/>
      <w:marRight w:val="0"/>
      <w:marTop w:val="0"/>
      <w:marBottom w:val="0"/>
      <w:divBdr>
        <w:top w:val="none" w:sz="0" w:space="0" w:color="auto"/>
        <w:left w:val="none" w:sz="0" w:space="0" w:color="auto"/>
        <w:bottom w:val="none" w:sz="0" w:space="0" w:color="auto"/>
        <w:right w:val="none" w:sz="0" w:space="0" w:color="auto"/>
      </w:divBdr>
    </w:div>
    <w:div w:id="781417125">
      <w:bodyDiv w:val="1"/>
      <w:marLeft w:val="0"/>
      <w:marRight w:val="0"/>
      <w:marTop w:val="0"/>
      <w:marBottom w:val="0"/>
      <w:divBdr>
        <w:top w:val="none" w:sz="0" w:space="0" w:color="auto"/>
        <w:left w:val="none" w:sz="0" w:space="0" w:color="auto"/>
        <w:bottom w:val="none" w:sz="0" w:space="0" w:color="auto"/>
        <w:right w:val="none" w:sz="0" w:space="0" w:color="auto"/>
      </w:divBdr>
      <w:divsChild>
        <w:div w:id="1766654393">
          <w:marLeft w:val="0"/>
          <w:marRight w:val="0"/>
          <w:marTop w:val="0"/>
          <w:marBottom w:val="0"/>
          <w:divBdr>
            <w:top w:val="none" w:sz="0" w:space="0" w:color="auto"/>
            <w:left w:val="none" w:sz="0" w:space="0" w:color="auto"/>
            <w:bottom w:val="none" w:sz="0" w:space="0" w:color="auto"/>
            <w:right w:val="none" w:sz="0" w:space="0" w:color="auto"/>
          </w:divBdr>
        </w:div>
      </w:divsChild>
    </w:div>
    <w:div w:id="790436422">
      <w:bodyDiv w:val="1"/>
      <w:marLeft w:val="0"/>
      <w:marRight w:val="0"/>
      <w:marTop w:val="0"/>
      <w:marBottom w:val="0"/>
      <w:divBdr>
        <w:top w:val="none" w:sz="0" w:space="0" w:color="auto"/>
        <w:left w:val="none" w:sz="0" w:space="0" w:color="auto"/>
        <w:bottom w:val="none" w:sz="0" w:space="0" w:color="auto"/>
        <w:right w:val="none" w:sz="0" w:space="0" w:color="auto"/>
      </w:divBdr>
    </w:div>
    <w:div w:id="897863569">
      <w:bodyDiv w:val="1"/>
      <w:marLeft w:val="0"/>
      <w:marRight w:val="0"/>
      <w:marTop w:val="0"/>
      <w:marBottom w:val="0"/>
      <w:divBdr>
        <w:top w:val="none" w:sz="0" w:space="0" w:color="auto"/>
        <w:left w:val="none" w:sz="0" w:space="0" w:color="auto"/>
        <w:bottom w:val="none" w:sz="0" w:space="0" w:color="auto"/>
        <w:right w:val="none" w:sz="0" w:space="0" w:color="auto"/>
      </w:divBdr>
    </w:div>
    <w:div w:id="908466871">
      <w:bodyDiv w:val="1"/>
      <w:marLeft w:val="0"/>
      <w:marRight w:val="0"/>
      <w:marTop w:val="0"/>
      <w:marBottom w:val="0"/>
      <w:divBdr>
        <w:top w:val="none" w:sz="0" w:space="0" w:color="auto"/>
        <w:left w:val="none" w:sz="0" w:space="0" w:color="auto"/>
        <w:bottom w:val="none" w:sz="0" w:space="0" w:color="auto"/>
        <w:right w:val="none" w:sz="0" w:space="0" w:color="auto"/>
      </w:divBdr>
      <w:divsChild>
        <w:div w:id="1463964986">
          <w:marLeft w:val="446"/>
          <w:marRight w:val="0"/>
          <w:marTop w:val="0"/>
          <w:marBottom w:val="0"/>
          <w:divBdr>
            <w:top w:val="none" w:sz="0" w:space="0" w:color="auto"/>
            <w:left w:val="none" w:sz="0" w:space="0" w:color="auto"/>
            <w:bottom w:val="none" w:sz="0" w:space="0" w:color="auto"/>
            <w:right w:val="none" w:sz="0" w:space="0" w:color="auto"/>
          </w:divBdr>
        </w:div>
      </w:divsChild>
    </w:div>
    <w:div w:id="980502035">
      <w:bodyDiv w:val="1"/>
      <w:marLeft w:val="0"/>
      <w:marRight w:val="0"/>
      <w:marTop w:val="0"/>
      <w:marBottom w:val="0"/>
      <w:divBdr>
        <w:top w:val="none" w:sz="0" w:space="0" w:color="auto"/>
        <w:left w:val="none" w:sz="0" w:space="0" w:color="auto"/>
        <w:bottom w:val="none" w:sz="0" w:space="0" w:color="auto"/>
        <w:right w:val="none" w:sz="0" w:space="0" w:color="auto"/>
      </w:divBdr>
    </w:div>
    <w:div w:id="997851232">
      <w:bodyDiv w:val="1"/>
      <w:marLeft w:val="0"/>
      <w:marRight w:val="0"/>
      <w:marTop w:val="0"/>
      <w:marBottom w:val="0"/>
      <w:divBdr>
        <w:top w:val="none" w:sz="0" w:space="0" w:color="auto"/>
        <w:left w:val="none" w:sz="0" w:space="0" w:color="auto"/>
        <w:bottom w:val="none" w:sz="0" w:space="0" w:color="auto"/>
        <w:right w:val="none" w:sz="0" w:space="0" w:color="auto"/>
      </w:divBdr>
    </w:div>
    <w:div w:id="1026716549">
      <w:bodyDiv w:val="1"/>
      <w:marLeft w:val="0"/>
      <w:marRight w:val="0"/>
      <w:marTop w:val="0"/>
      <w:marBottom w:val="0"/>
      <w:divBdr>
        <w:top w:val="none" w:sz="0" w:space="0" w:color="auto"/>
        <w:left w:val="none" w:sz="0" w:space="0" w:color="auto"/>
        <w:bottom w:val="none" w:sz="0" w:space="0" w:color="auto"/>
        <w:right w:val="none" w:sz="0" w:space="0" w:color="auto"/>
      </w:divBdr>
    </w:div>
    <w:div w:id="1029337167">
      <w:bodyDiv w:val="1"/>
      <w:marLeft w:val="0"/>
      <w:marRight w:val="0"/>
      <w:marTop w:val="0"/>
      <w:marBottom w:val="0"/>
      <w:divBdr>
        <w:top w:val="none" w:sz="0" w:space="0" w:color="auto"/>
        <w:left w:val="none" w:sz="0" w:space="0" w:color="auto"/>
        <w:bottom w:val="none" w:sz="0" w:space="0" w:color="auto"/>
        <w:right w:val="none" w:sz="0" w:space="0" w:color="auto"/>
      </w:divBdr>
      <w:divsChild>
        <w:div w:id="2117628061">
          <w:marLeft w:val="547"/>
          <w:marRight w:val="0"/>
          <w:marTop w:val="96"/>
          <w:marBottom w:val="0"/>
          <w:divBdr>
            <w:top w:val="none" w:sz="0" w:space="0" w:color="auto"/>
            <w:left w:val="none" w:sz="0" w:space="0" w:color="auto"/>
            <w:bottom w:val="none" w:sz="0" w:space="0" w:color="auto"/>
            <w:right w:val="none" w:sz="0" w:space="0" w:color="auto"/>
          </w:divBdr>
        </w:div>
        <w:div w:id="525218957">
          <w:marLeft w:val="1166"/>
          <w:marRight w:val="0"/>
          <w:marTop w:val="86"/>
          <w:marBottom w:val="0"/>
          <w:divBdr>
            <w:top w:val="none" w:sz="0" w:space="0" w:color="auto"/>
            <w:left w:val="none" w:sz="0" w:space="0" w:color="auto"/>
            <w:bottom w:val="none" w:sz="0" w:space="0" w:color="auto"/>
            <w:right w:val="none" w:sz="0" w:space="0" w:color="auto"/>
          </w:divBdr>
        </w:div>
        <w:div w:id="16470012">
          <w:marLeft w:val="1166"/>
          <w:marRight w:val="0"/>
          <w:marTop w:val="86"/>
          <w:marBottom w:val="0"/>
          <w:divBdr>
            <w:top w:val="none" w:sz="0" w:space="0" w:color="auto"/>
            <w:left w:val="none" w:sz="0" w:space="0" w:color="auto"/>
            <w:bottom w:val="none" w:sz="0" w:space="0" w:color="auto"/>
            <w:right w:val="none" w:sz="0" w:space="0" w:color="auto"/>
          </w:divBdr>
        </w:div>
        <w:div w:id="684327665">
          <w:marLeft w:val="547"/>
          <w:marRight w:val="0"/>
          <w:marTop w:val="96"/>
          <w:marBottom w:val="0"/>
          <w:divBdr>
            <w:top w:val="none" w:sz="0" w:space="0" w:color="auto"/>
            <w:left w:val="none" w:sz="0" w:space="0" w:color="auto"/>
            <w:bottom w:val="none" w:sz="0" w:space="0" w:color="auto"/>
            <w:right w:val="none" w:sz="0" w:space="0" w:color="auto"/>
          </w:divBdr>
        </w:div>
        <w:div w:id="398871608">
          <w:marLeft w:val="1166"/>
          <w:marRight w:val="0"/>
          <w:marTop w:val="86"/>
          <w:marBottom w:val="0"/>
          <w:divBdr>
            <w:top w:val="none" w:sz="0" w:space="0" w:color="auto"/>
            <w:left w:val="none" w:sz="0" w:space="0" w:color="auto"/>
            <w:bottom w:val="none" w:sz="0" w:space="0" w:color="auto"/>
            <w:right w:val="none" w:sz="0" w:space="0" w:color="auto"/>
          </w:divBdr>
        </w:div>
        <w:div w:id="1403213905">
          <w:marLeft w:val="547"/>
          <w:marRight w:val="0"/>
          <w:marTop w:val="96"/>
          <w:marBottom w:val="0"/>
          <w:divBdr>
            <w:top w:val="none" w:sz="0" w:space="0" w:color="auto"/>
            <w:left w:val="none" w:sz="0" w:space="0" w:color="auto"/>
            <w:bottom w:val="none" w:sz="0" w:space="0" w:color="auto"/>
            <w:right w:val="none" w:sz="0" w:space="0" w:color="auto"/>
          </w:divBdr>
        </w:div>
        <w:div w:id="1112286158">
          <w:marLeft w:val="1166"/>
          <w:marRight w:val="0"/>
          <w:marTop w:val="86"/>
          <w:marBottom w:val="0"/>
          <w:divBdr>
            <w:top w:val="none" w:sz="0" w:space="0" w:color="auto"/>
            <w:left w:val="none" w:sz="0" w:space="0" w:color="auto"/>
            <w:bottom w:val="none" w:sz="0" w:space="0" w:color="auto"/>
            <w:right w:val="none" w:sz="0" w:space="0" w:color="auto"/>
          </w:divBdr>
        </w:div>
        <w:div w:id="431780107">
          <w:marLeft w:val="1166"/>
          <w:marRight w:val="0"/>
          <w:marTop w:val="86"/>
          <w:marBottom w:val="0"/>
          <w:divBdr>
            <w:top w:val="none" w:sz="0" w:space="0" w:color="auto"/>
            <w:left w:val="none" w:sz="0" w:space="0" w:color="auto"/>
            <w:bottom w:val="none" w:sz="0" w:space="0" w:color="auto"/>
            <w:right w:val="none" w:sz="0" w:space="0" w:color="auto"/>
          </w:divBdr>
        </w:div>
        <w:div w:id="1564482333">
          <w:marLeft w:val="1166"/>
          <w:marRight w:val="0"/>
          <w:marTop w:val="86"/>
          <w:marBottom w:val="0"/>
          <w:divBdr>
            <w:top w:val="none" w:sz="0" w:space="0" w:color="auto"/>
            <w:left w:val="none" w:sz="0" w:space="0" w:color="auto"/>
            <w:bottom w:val="none" w:sz="0" w:space="0" w:color="auto"/>
            <w:right w:val="none" w:sz="0" w:space="0" w:color="auto"/>
          </w:divBdr>
        </w:div>
        <w:div w:id="1370178912">
          <w:marLeft w:val="1166"/>
          <w:marRight w:val="0"/>
          <w:marTop w:val="86"/>
          <w:marBottom w:val="0"/>
          <w:divBdr>
            <w:top w:val="none" w:sz="0" w:space="0" w:color="auto"/>
            <w:left w:val="none" w:sz="0" w:space="0" w:color="auto"/>
            <w:bottom w:val="none" w:sz="0" w:space="0" w:color="auto"/>
            <w:right w:val="none" w:sz="0" w:space="0" w:color="auto"/>
          </w:divBdr>
        </w:div>
        <w:div w:id="1344673291">
          <w:marLeft w:val="1166"/>
          <w:marRight w:val="0"/>
          <w:marTop w:val="86"/>
          <w:marBottom w:val="0"/>
          <w:divBdr>
            <w:top w:val="none" w:sz="0" w:space="0" w:color="auto"/>
            <w:left w:val="none" w:sz="0" w:space="0" w:color="auto"/>
            <w:bottom w:val="none" w:sz="0" w:space="0" w:color="auto"/>
            <w:right w:val="none" w:sz="0" w:space="0" w:color="auto"/>
          </w:divBdr>
        </w:div>
        <w:div w:id="467624674">
          <w:marLeft w:val="1800"/>
          <w:marRight w:val="0"/>
          <w:marTop w:val="72"/>
          <w:marBottom w:val="0"/>
          <w:divBdr>
            <w:top w:val="none" w:sz="0" w:space="0" w:color="auto"/>
            <w:left w:val="none" w:sz="0" w:space="0" w:color="auto"/>
            <w:bottom w:val="none" w:sz="0" w:space="0" w:color="auto"/>
            <w:right w:val="none" w:sz="0" w:space="0" w:color="auto"/>
          </w:divBdr>
        </w:div>
        <w:div w:id="1917930359">
          <w:marLeft w:val="1800"/>
          <w:marRight w:val="0"/>
          <w:marTop w:val="72"/>
          <w:marBottom w:val="0"/>
          <w:divBdr>
            <w:top w:val="none" w:sz="0" w:space="0" w:color="auto"/>
            <w:left w:val="none" w:sz="0" w:space="0" w:color="auto"/>
            <w:bottom w:val="none" w:sz="0" w:space="0" w:color="auto"/>
            <w:right w:val="none" w:sz="0" w:space="0" w:color="auto"/>
          </w:divBdr>
        </w:div>
        <w:div w:id="358749294">
          <w:marLeft w:val="1800"/>
          <w:marRight w:val="0"/>
          <w:marTop w:val="72"/>
          <w:marBottom w:val="0"/>
          <w:divBdr>
            <w:top w:val="none" w:sz="0" w:space="0" w:color="auto"/>
            <w:left w:val="none" w:sz="0" w:space="0" w:color="auto"/>
            <w:bottom w:val="none" w:sz="0" w:space="0" w:color="auto"/>
            <w:right w:val="none" w:sz="0" w:space="0" w:color="auto"/>
          </w:divBdr>
        </w:div>
        <w:div w:id="1075080666">
          <w:marLeft w:val="1800"/>
          <w:marRight w:val="0"/>
          <w:marTop w:val="72"/>
          <w:marBottom w:val="0"/>
          <w:divBdr>
            <w:top w:val="none" w:sz="0" w:space="0" w:color="auto"/>
            <w:left w:val="none" w:sz="0" w:space="0" w:color="auto"/>
            <w:bottom w:val="none" w:sz="0" w:space="0" w:color="auto"/>
            <w:right w:val="none" w:sz="0" w:space="0" w:color="auto"/>
          </w:divBdr>
        </w:div>
        <w:div w:id="951596467">
          <w:marLeft w:val="1800"/>
          <w:marRight w:val="0"/>
          <w:marTop w:val="72"/>
          <w:marBottom w:val="0"/>
          <w:divBdr>
            <w:top w:val="none" w:sz="0" w:space="0" w:color="auto"/>
            <w:left w:val="none" w:sz="0" w:space="0" w:color="auto"/>
            <w:bottom w:val="none" w:sz="0" w:space="0" w:color="auto"/>
            <w:right w:val="none" w:sz="0" w:space="0" w:color="auto"/>
          </w:divBdr>
        </w:div>
      </w:divsChild>
    </w:div>
    <w:div w:id="1065879534">
      <w:bodyDiv w:val="1"/>
      <w:marLeft w:val="0"/>
      <w:marRight w:val="0"/>
      <w:marTop w:val="0"/>
      <w:marBottom w:val="0"/>
      <w:divBdr>
        <w:top w:val="none" w:sz="0" w:space="0" w:color="auto"/>
        <w:left w:val="none" w:sz="0" w:space="0" w:color="auto"/>
        <w:bottom w:val="none" w:sz="0" w:space="0" w:color="auto"/>
        <w:right w:val="none" w:sz="0" w:space="0" w:color="auto"/>
      </w:divBdr>
    </w:div>
    <w:div w:id="113325571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6688">
      <w:bodyDiv w:val="1"/>
      <w:marLeft w:val="0"/>
      <w:marRight w:val="0"/>
      <w:marTop w:val="0"/>
      <w:marBottom w:val="0"/>
      <w:divBdr>
        <w:top w:val="none" w:sz="0" w:space="0" w:color="auto"/>
        <w:left w:val="none" w:sz="0" w:space="0" w:color="auto"/>
        <w:bottom w:val="none" w:sz="0" w:space="0" w:color="auto"/>
        <w:right w:val="none" w:sz="0" w:space="0" w:color="auto"/>
      </w:divBdr>
    </w:div>
    <w:div w:id="1181166847">
      <w:bodyDiv w:val="1"/>
      <w:marLeft w:val="0"/>
      <w:marRight w:val="0"/>
      <w:marTop w:val="0"/>
      <w:marBottom w:val="0"/>
      <w:divBdr>
        <w:top w:val="none" w:sz="0" w:space="0" w:color="auto"/>
        <w:left w:val="none" w:sz="0" w:space="0" w:color="auto"/>
        <w:bottom w:val="none" w:sz="0" w:space="0" w:color="auto"/>
        <w:right w:val="none" w:sz="0" w:space="0" w:color="auto"/>
      </w:divBdr>
    </w:div>
    <w:div w:id="1306348825">
      <w:bodyDiv w:val="1"/>
      <w:marLeft w:val="0"/>
      <w:marRight w:val="0"/>
      <w:marTop w:val="0"/>
      <w:marBottom w:val="0"/>
      <w:divBdr>
        <w:top w:val="none" w:sz="0" w:space="0" w:color="auto"/>
        <w:left w:val="none" w:sz="0" w:space="0" w:color="auto"/>
        <w:bottom w:val="none" w:sz="0" w:space="0" w:color="auto"/>
        <w:right w:val="none" w:sz="0" w:space="0" w:color="auto"/>
      </w:divBdr>
    </w:div>
    <w:div w:id="1401781866">
      <w:bodyDiv w:val="1"/>
      <w:marLeft w:val="0"/>
      <w:marRight w:val="0"/>
      <w:marTop w:val="0"/>
      <w:marBottom w:val="0"/>
      <w:divBdr>
        <w:top w:val="none" w:sz="0" w:space="0" w:color="auto"/>
        <w:left w:val="none" w:sz="0" w:space="0" w:color="auto"/>
        <w:bottom w:val="none" w:sz="0" w:space="0" w:color="auto"/>
        <w:right w:val="none" w:sz="0" w:space="0" w:color="auto"/>
      </w:divBdr>
    </w:div>
    <w:div w:id="1432552278">
      <w:bodyDiv w:val="1"/>
      <w:marLeft w:val="0"/>
      <w:marRight w:val="0"/>
      <w:marTop w:val="0"/>
      <w:marBottom w:val="0"/>
      <w:divBdr>
        <w:top w:val="none" w:sz="0" w:space="0" w:color="auto"/>
        <w:left w:val="none" w:sz="0" w:space="0" w:color="auto"/>
        <w:bottom w:val="none" w:sz="0" w:space="0" w:color="auto"/>
        <w:right w:val="none" w:sz="0" w:space="0" w:color="auto"/>
      </w:divBdr>
    </w:div>
    <w:div w:id="1539778677">
      <w:bodyDiv w:val="1"/>
      <w:marLeft w:val="0"/>
      <w:marRight w:val="0"/>
      <w:marTop w:val="0"/>
      <w:marBottom w:val="0"/>
      <w:divBdr>
        <w:top w:val="none" w:sz="0" w:space="0" w:color="auto"/>
        <w:left w:val="none" w:sz="0" w:space="0" w:color="auto"/>
        <w:bottom w:val="none" w:sz="0" w:space="0" w:color="auto"/>
        <w:right w:val="none" w:sz="0" w:space="0" w:color="auto"/>
      </w:divBdr>
      <w:divsChild>
        <w:div w:id="925656220">
          <w:marLeft w:val="547"/>
          <w:marRight w:val="0"/>
          <w:marTop w:val="96"/>
          <w:marBottom w:val="0"/>
          <w:divBdr>
            <w:top w:val="none" w:sz="0" w:space="0" w:color="auto"/>
            <w:left w:val="none" w:sz="0" w:space="0" w:color="auto"/>
            <w:bottom w:val="none" w:sz="0" w:space="0" w:color="auto"/>
            <w:right w:val="none" w:sz="0" w:space="0" w:color="auto"/>
          </w:divBdr>
        </w:div>
        <w:div w:id="1689796035">
          <w:marLeft w:val="547"/>
          <w:marRight w:val="0"/>
          <w:marTop w:val="96"/>
          <w:marBottom w:val="0"/>
          <w:divBdr>
            <w:top w:val="none" w:sz="0" w:space="0" w:color="auto"/>
            <w:left w:val="none" w:sz="0" w:space="0" w:color="auto"/>
            <w:bottom w:val="none" w:sz="0" w:space="0" w:color="auto"/>
            <w:right w:val="none" w:sz="0" w:space="0" w:color="auto"/>
          </w:divBdr>
        </w:div>
        <w:div w:id="2135782643">
          <w:marLeft w:val="1166"/>
          <w:marRight w:val="0"/>
          <w:marTop w:val="86"/>
          <w:marBottom w:val="0"/>
          <w:divBdr>
            <w:top w:val="none" w:sz="0" w:space="0" w:color="auto"/>
            <w:left w:val="none" w:sz="0" w:space="0" w:color="auto"/>
            <w:bottom w:val="none" w:sz="0" w:space="0" w:color="auto"/>
            <w:right w:val="none" w:sz="0" w:space="0" w:color="auto"/>
          </w:divBdr>
        </w:div>
        <w:div w:id="1522821706">
          <w:marLeft w:val="1166"/>
          <w:marRight w:val="0"/>
          <w:marTop w:val="86"/>
          <w:marBottom w:val="0"/>
          <w:divBdr>
            <w:top w:val="none" w:sz="0" w:space="0" w:color="auto"/>
            <w:left w:val="none" w:sz="0" w:space="0" w:color="auto"/>
            <w:bottom w:val="none" w:sz="0" w:space="0" w:color="auto"/>
            <w:right w:val="none" w:sz="0" w:space="0" w:color="auto"/>
          </w:divBdr>
        </w:div>
        <w:div w:id="379018512">
          <w:marLeft w:val="547"/>
          <w:marRight w:val="0"/>
          <w:marTop w:val="96"/>
          <w:marBottom w:val="0"/>
          <w:divBdr>
            <w:top w:val="none" w:sz="0" w:space="0" w:color="auto"/>
            <w:left w:val="none" w:sz="0" w:space="0" w:color="auto"/>
            <w:bottom w:val="none" w:sz="0" w:space="0" w:color="auto"/>
            <w:right w:val="none" w:sz="0" w:space="0" w:color="auto"/>
          </w:divBdr>
        </w:div>
        <w:div w:id="760758586">
          <w:marLeft w:val="1166"/>
          <w:marRight w:val="0"/>
          <w:marTop w:val="86"/>
          <w:marBottom w:val="0"/>
          <w:divBdr>
            <w:top w:val="none" w:sz="0" w:space="0" w:color="auto"/>
            <w:left w:val="none" w:sz="0" w:space="0" w:color="auto"/>
            <w:bottom w:val="none" w:sz="0" w:space="0" w:color="auto"/>
            <w:right w:val="none" w:sz="0" w:space="0" w:color="auto"/>
          </w:divBdr>
        </w:div>
        <w:div w:id="52776435">
          <w:marLeft w:val="1800"/>
          <w:marRight w:val="0"/>
          <w:marTop w:val="72"/>
          <w:marBottom w:val="0"/>
          <w:divBdr>
            <w:top w:val="none" w:sz="0" w:space="0" w:color="auto"/>
            <w:left w:val="none" w:sz="0" w:space="0" w:color="auto"/>
            <w:bottom w:val="none" w:sz="0" w:space="0" w:color="auto"/>
            <w:right w:val="none" w:sz="0" w:space="0" w:color="auto"/>
          </w:divBdr>
        </w:div>
        <w:div w:id="1716156207">
          <w:marLeft w:val="1166"/>
          <w:marRight w:val="0"/>
          <w:marTop w:val="86"/>
          <w:marBottom w:val="0"/>
          <w:divBdr>
            <w:top w:val="none" w:sz="0" w:space="0" w:color="auto"/>
            <w:left w:val="none" w:sz="0" w:space="0" w:color="auto"/>
            <w:bottom w:val="none" w:sz="0" w:space="0" w:color="auto"/>
            <w:right w:val="none" w:sz="0" w:space="0" w:color="auto"/>
          </w:divBdr>
        </w:div>
        <w:div w:id="1857186052">
          <w:marLeft w:val="1800"/>
          <w:marRight w:val="0"/>
          <w:marTop w:val="72"/>
          <w:marBottom w:val="0"/>
          <w:divBdr>
            <w:top w:val="none" w:sz="0" w:space="0" w:color="auto"/>
            <w:left w:val="none" w:sz="0" w:space="0" w:color="auto"/>
            <w:bottom w:val="none" w:sz="0" w:space="0" w:color="auto"/>
            <w:right w:val="none" w:sz="0" w:space="0" w:color="auto"/>
          </w:divBdr>
        </w:div>
        <w:div w:id="1367021472">
          <w:marLeft w:val="1166"/>
          <w:marRight w:val="0"/>
          <w:marTop w:val="86"/>
          <w:marBottom w:val="0"/>
          <w:divBdr>
            <w:top w:val="none" w:sz="0" w:space="0" w:color="auto"/>
            <w:left w:val="none" w:sz="0" w:space="0" w:color="auto"/>
            <w:bottom w:val="none" w:sz="0" w:space="0" w:color="auto"/>
            <w:right w:val="none" w:sz="0" w:space="0" w:color="auto"/>
          </w:divBdr>
        </w:div>
      </w:divsChild>
    </w:div>
    <w:div w:id="1624313659">
      <w:bodyDiv w:val="1"/>
      <w:marLeft w:val="0"/>
      <w:marRight w:val="0"/>
      <w:marTop w:val="0"/>
      <w:marBottom w:val="0"/>
      <w:divBdr>
        <w:top w:val="none" w:sz="0" w:space="0" w:color="auto"/>
        <w:left w:val="none" w:sz="0" w:space="0" w:color="auto"/>
        <w:bottom w:val="none" w:sz="0" w:space="0" w:color="auto"/>
        <w:right w:val="none" w:sz="0" w:space="0" w:color="auto"/>
      </w:divBdr>
    </w:div>
    <w:div w:id="1731490367">
      <w:bodyDiv w:val="1"/>
      <w:marLeft w:val="0"/>
      <w:marRight w:val="0"/>
      <w:marTop w:val="0"/>
      <w:marBottom w:val="0"/>
      <w:divBdr>
        <w:top w:val="none" w:sz="0" w:space="0" w:color="auto"/>
        <w:left w:val="none" w:sz="0" w:space="0" w:color="auto"/>
        <w:bottom w:val="none" w:sz="0" w:space="0" w:color="auto"/>
        <w:right w:val="none" w:sz="0" w:space="0" w:color="auto"/>
      </w:divBdr>
    </w:div>
    <w:div w:id="1759011204">
      <w:bodyDiv w:val="1"/>
      <w:marLeft w:val="0"/>
      <w:marRight w:val="0"/>
      <w:marTop w:val="0"/>
      <w:marBottom w:val="0"/>
      <w:divBdr>
        <w:top w:val="none" w:sz="0" w:space="0" w:color="auto"/>
        <w:left w:val="none" w:sz="0" w:space="0" w:color="auto"/>
        <w:bottom w:val="none" w:sz="0" w:space="0" w:color="auto"/>
        <w:right w:val="none" w:sz="0" w:space="0" w:color="auto"/>
      </w:divBdr>
    </w:div>
    <w:div w:id="1777671776">
      <w:bodyDiv w:val="1"/>
      <w:marLeft w:val="0"/>
      <w:marRight w:val="0"/>
      <w:marTop w:val="0"/>
      <w:marBottom w:val="0"/>
      <w:divBdr>
        <w:top w:val="none" w:sz="0" w:space="0" w:color="auto"/>
        <w:left w:val="none" w:sz="0" w:space="0" w:color="auto"/>
        <w:bottom w:val="none" w:sz="0" w:space="0" w:color="auto"/>
        <w:right w:val="none" w:sz="0" w:space="0" w:color="auto"/>
      </w:divBdr>
      <w:divsChild>
        <w:div w:id="689137022">
          <w:marLeft w:val="360"/>
          <w:marRight w:val="0"/>
          <w:marTop w:val="200"/>
          <w:marBottom w:val="0"/>
          <w:divBdr>
            <w:top w:val="none" w:sz="0" w:space="0" w:color="auto"/>
            <w:left w:val="none" w:sz="0" w:space="0" w:color="auto"/>
            <w:bottom w:val="none" w:sz="0" w:space="0" w:color="auto"/>
            <w:right w:val="none" w:sz="0" w:space="0" w:color="auto"/>
          </w:divBdr>
        </w:div>
        <w:div w:id="595093073">
          <w:marLeft w:val="1080"/>
          <w:marRight w:val="0"/>
          <w:marTop w:val="100"/>
          <w:marBottom w:val="0"/>
          <w:divBdr>
            <w:top w:val="none" w:sz="0" w:space="0" w:color="auto"/>
            <w:left w:val="none" w:sz="0" w:space="0" w:color="auto"/>
            <w:bottom w:val="none" w:sz="0" w:space="0" w:color="auto"/>
            <w:right w:val="none" w:sz="0" w:space="0" w:color="auto"/>
          </w:divBdr>
        </w:div>
      </w:divsChild>
    </w:div>
    <w:div w:id="1823304065">
      <w:bodyDiv w:val="1"/>
      <w:marLeft w:val="0"/>
      <w:marRight w:val="0"/>
      <w:marTop w:val="0"/>
      <w:marBottom w:val="0"/>
      <w:divBdr>
        <w:top w:val="none" w:sz="0" w:space="0" w:color="auto"/>
        <w:left w:val="none" w:sz="0" w:space="0" w:color="auto"/>
        <w:bottom w:val="none" w:sz="0" w:space="0" w:color="auto"/>
        <w:right w:val="none" w:sz="0" w:space="0" w:color="auto"/>
      </w:divBdr>
    </w:div>
    <w:div w:id="1857035300">
      <w:bodyDiv w:val="1"/>
      <w:marLeft w:val="0"/>
      <w:marRight w:val="0"/>
      <w:marTop w:val="0"/>
      <w:marBottom w:val="0"/>
      <w:divBdr>
        <w:top w:val="none" w:sz="0" w:space="0" w:color="auto"/>
        <w:left w:val="none" w:sz="0" w:space="0" w:color="auto"/>
        <w:bottom w:val="none" w:sz="0" w:space="0" w:color="auto"/>
        <w:right w:val="none" w:sz="0" w:space="0" w:color="auto"/>
      </w:divBdr>
    </w:div>
    <w:div w:id="1867325932">
      <w:bodyDiv w:val="1"/>
      <w:marLeft w:val="0"/>
      <w:marRight w:val="0"/>
      <w:marTop w:val="0"/>
      <w:marBottom w:val="0"/>
      <w:divBdr>
        <w:top w:val="none" w:sz="0" w:space="0" w:color="auto"/>
        <w:left w:val="none" w:sz="0" w:space="0" w:color="auto"/>
        <w:bottom w:val="none" w:sz="0" w:space="0" w:color="auto"/>
        <w:right w:val="none" w:sz="0" w:space="0" w:color="auto"/>
      </w:divBdr>
    </w:div>
    <w:div w:id="1873640577">
      <w:bodyDiv w:val="1"/>
      <w:marLeft w:val="0"/>
      <w:marRight w:val="0"/>
      <w:marTop w:val="0"/>
      <w:marBottom w:val="0"/>
      <w:divBdr>
        <w:top w:val="none" w:sz="0" w:space="0" w:color="auto"/>
        <w:left w:val="none" w:sz="0" w:space="0" w:color="auto"/>
        <w:bottom w:val="none" w:sz="0" w:space="0" w:color="auto"/>
        <w:right w:val="none" w:sz="0" w:space="0" w:color="auto"/>
      </w:divBdr>
    </w:div>
    <w:div w:id="187861524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93440135">
      <w:bodyDiv w:val="1"/>
      <w:marLeft w:val="0"/>
      <w:marRight w:val="0"/>
      <w:marTop w:val="0"/>
      <w:marBottom w:val="0"/>
      <w:divBdr>
        <w:top w:val="none" w:sz="0" w:space="0" w:color="auto"/>
        <w:left w:val="none" w:sz="0" w:space="0" w:color="auto"/>
        <w:bottom w:val="none" w:sz="0" w:space="0" w:color="auto"/>
        <w:right w:val="none" w:sz="0" w:space="0" w:color="auto"/>
      </w:divBdr>
    </w:div>
    <w:div w:id="2076706336">
      <w:bodyDiv w:val="1"/>
      <w:marLeft w:val="0"/>
      <w:marRight w:val="0"/>
      <w:marTop w:val="0"/>
      <w:marBottom w:val="0"/>
      <w:divBdr>
        <w:top w:val="none" w:sz="0" w:space="0" w:color="auto"/>
        <w:left w:val="none" w:sz="0" w:space="0" w:color="auto"/>
        <w:bottom w:val="none" w:sz="0" w:space="0" w:color="auto"/>
        <w:right w:val="none" w:sz="0" w:space="0" w:color="auto"/>
      </w:divBdr>
      <w:divsChild>
        <w:div w:id="93724820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DA70D-504B-4A61-8E90-7C94948B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18364</Words>
  <Characters>101751</Characters>
  <Application>Microsoft Office Word</Application>
  <DocSecurity>0</DocSecurity>
  <Lines>847</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2021-11-01T10:10:00Z</dcterms:created>
  <dcterms:modified xsi:type="dcterms:W3CDTF">2021-11-26T01:33:00Z</dcterms:modified>
</cp:coreProperties>
</file>