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A04" w:rsidRDefault="00B64A70" w:rsidP="0005342E">
      <w:pPr>
        <w:pStyle w:val="2-SectionHeading"/>
        <w:numPr>
          <w:ilvl w:val="0"/>
          <w:numId w:val="0"/>
        </w:numPr>
        <w:rPr>
          <w:rFonts w:ascii="Calibri" w:eastAsia="Calibri" w:hAnsi="Calibri" w:cs="Times New Roman"/>
          <w:snapToGrid/>
          <w:sz w:val="36"/>
          <w:szCs w:val="36"/>
          <w:lang w:eastAsia="en-US"/>
        </w:rPr>
      </w:pPr>
      <w:r w:rsidRPr="00AB2C83">
        <w:rPr>
          <w:rFonts w:eastAsia="Calibri"/>
          <w:sz w:val="36"/>
          <w:szCs w:val="36"/>
        </w:rPr>
        <w:t>6</w:t>
      </w:r>
      <w:r w:rsidR="00FF5A04" w:rsidRPr="00AB2C83">
        <w:rPr>
          <w:rFonts w:eastAsia="Calibri"/>
          <w:sz w:val="36"/>
          <w:szCs w:val="36"/>
        </w:rPr>
        <w:t>.23</w:t>
      </w:r>
      <w:r w:rsidR="00FF5A04" w:rsidRPr="00AB2C83">
        <w:rPr>
          <w:rFonts w:eastAsia="Calibri"/>
          <w:sz w:val="36"/>
          <w:szCs w:val="36"/>
        </w:rPr>
        <w:tab/>
      </w:r>
      <w:r w:rsidR="00FF5A04" w:rsidRPr="00AB2C83">
        <w:rPr>
          <w:rFonts w:ascii="Calibri" w:eastAsia="Calibri" w:hAnsi="Calibri" w:cs="Times New Roman"/>
          <w:snapToGrid/>
          <w:sz w:val="36"/>
          <w:szCs w:val="36"/>
          <w:lang w:eastAsia="en-US"/>
        </w:rPr>
        <w:t>PALBOCICLIB,</w:t>
      </w:r>
      <w:r w:rsidR="00FF5A04" w:rsidRPr="00AB2C83">
        <w:rPr>
          <w:rFonts w:ascii="Calibri" w:eastAsia="Calibri" w:hAnsi="Calibri" w:cs="Times New Roman"/>
          <w:snapToGrid/>
          <w:sz w:val="36"/>
          <w:szCs w:val="36"/>
          <w:lang w:eastAsia="en-US"/>
        </w:rPr>
        <w:br/>
      </w:r>
      <w:r w:rsidR="00E467D9" w:rsidRPr="00AB2C83">
        <w:rPr>
          <w:rFonts w:ascii="Calibri" w:eastAsia="Calibri" w:hAnsi="Calibri" w:cs="Times New Roman"/>
          <w:snapToGrid/>
          <w:sz w:val="36"/>
          <w:szCs w:val="36"/>
          <w:lang w:eastAsia="en-US"/>
        </w:rPr>
        <w:t xml:space="preserve">         </w:t>
      </w:r>
      <w:r w:rsidR="00FF5A04" w:rsidRPr="00AB2C83">
        <w:rPr>
          <w:rFonts w:ascii="Calibri" w:eastAsia="Calibri" w:hAnsi="Calibri" w:cs="Times New Roman"/>
          <w:snapToGrid/>
          <w:sz w:val="36"/>
          <w:szCs w:val="36"/>
          <w:lang w:eastAsia="en-US"/>
        </w:rPr>
        <w:t>Tablet 75 mg</w:t>
      </w:r>
      <w:r w:rsidR="00FF5A04" w:rsidRPr="00AB2C83">
        <w:rPr>
          <w:rFonts w:ascii="Calibri" w:eastAsia="Calibri" w:hAnsi="Calibri" w:cs="Times New Roman"/>
          <w:snapToGrid/>
          <w:sz w:val="36"/>
          <w:szCs w:val="36"/>
          <w:lang w:eastAsia="en-US"/>
        </w:rPr>
        <w:br/>
      </w:r>
      <w:r w:rsidR="00E467D9" w:rsidRPr="00AB2C83">
        <w:rPr>
          <w:rFonts w:ascii="Calibri" w:eastAsia="Calibri" w:hAnsi="Calibri" w:cs="Times New Roman"/>
          <w:snapToGrid/>
          <w:sz w:val="36"/>
          <w:szCs w:val="36"/>
          <w:lang w:eastAsia="en-US"/>
        </w:rPr>
        <w:t xml:space="preserve">         </w:t>
      </w:r>
      <w:r w:rsidR="00FF5A04" w:rsidRPr="00AB2C83">
        <w:rPr>
          <w:rFonts w:ascii="Calibri" w:eastAsia="Calibri" w:hAnsi="Calibri" w:cs="Times New Roman"/>
          <w:snapToGrid/>
          <w:sz w:val="36"/>
          <w:szCs w:val="36"/>
          <w:lang w:eastAsia="en-US"/>
        </w:rPr>
        <w:t>Tablet 100 mg</w:t>
      </w:r>
      <w:r w:rsidR="00FF5A04" w:rsidRPr="00AB2C83">
        <w:rPr>
          <w:rFonts w:ascii="Calibri" w:eastAsia="Calibri" w:hAnsi="Calibri" w:cs="Times New Roman"/>
          <w:snapToGrid/>
          <w:sz w:val="36"/>
          <w:szCs w:val="36"/>
          <w:lang w:eastAsia="en-US"/>
        </w:rPr>
        <w:br/>
      </w:r>
      <w:r w:rsidR="00E467D9" w:rsidRPr="00AB2C83">
        <w:rPr>
          <w:rFonts w:ascii="Calibri" w:eastAsia="Calibri" w:hAnsi="Calibri" w:cs="Times New Roman"/>
          <w:snapToGrid/>
          <w:sz w:val="36"/>
          <w:szCs w:val="36"/>
          <w:lang w:eastAsia="en-US"/>
        </w:rPr>
        <w:t xml:space="preserve">         </w:t>
      </w:r>
      <w:r w:rsidR="00FF5A04" w:rsidRPr="00AB2C83">
        <w:rPr>
          <w:rFonts w:ascii="Calibri" w:eastAsia="Calibri" w:hAnsi="Calibri" w:cs="Times New Roman"/>
          <w:snapToGrid/>
          <w:sz w:val="36"/>
          <w:szCs w:val="36"/>
          <w:lang w:eastAsia="en-US"/>
        </w:rPr>
        <w:t>Tablet 125 mg,</w:t>
      </w:r>
      <w:r w:rsidR="00FF5A04" w:rsidRPr="00AB2C83">
        <w:rPr>
          <w:rFonts w:ascii="Calibri" w:eastAsia="Calibri" w:hAnsi="Calibri" w:cs="Times New Roman"/>
          <w:snapToGrid/>
          <w:sz w:val="36"/>
          <w:szCs w:val="36"/>
          <w:lang w:eastAsia="en-US"/>
        </w:rPr>
        <w:br/>
      </w:r>
      <w:r w:rsidR="00E467D9" w:rsidRPr="00AB2C83">
        <w:rPr>
          <w:rFonts w:ascii="Calibri" w:eastAsia="Calibri" w:hAnsi="Calibri" w:cs="Times New Roman"/>
          <w:snapToGrid/>
          <w:sz w:val="36"/>
          <w:szCs w:val="36"/>
          <w:lang w:eastAsia="en-US"/>
        </w:rPr>
        <w:t xml:space="preserve">         </w:t>
      </w:r>
      <w:r w:rsidR="00FF5A04" w:rsidRPr="00AB2C83">
        <w:rPr>
          <w:rFonts w:ascii="Calibri" w:eastAsia="Calibri" w:hAnsi="Calibri" w:cs="Times New Roman"/>
          <w:snapToGrid/>
          <w:sz w:val="36"/>
          <w:szCs w:val="36"/>
          <w:lang w:eastAsia="en-US"/>
        </w:rPr>
        <w:t>Ibrance</w:t>
      </w:r>
      <w:r w:rsidR="009B1EAF" w:rsidRPr="00AB2C83">
        <w:rPr>
          <w:rFonts w:ascii="Calibri" w:eastAsia="Calibri" w:hAnsi="Calibri" w:cs="Times New Roman"/>
          <w:snapToGrid/>
          <w:sz w:val="36"/>
          <w:szCs w:val="36"/>
          <w:lang w:eastAsia="en-US"/>
        </w:rPr>
        <w:t>®</w:t>
      </w:r>
      <w:r w:rsidR="00FF5A04" w:rsidRPr="00AB2C83">
        <w:rPr>
          <w:rFonts w:ascii="Calibri" w:eastAsia="Calibri" w:hAnsi="Calibri" w:cs="Times New Roman"/>
          <w:snapToGrid/>
          <w:sz w:val="36"/>
          <w:szCs w:val="36"/>
          <w:lang w:eastAsia="en-US"/>
        </w:rPr>
        <w:t>,</w:t>
      </w:r>
      <w:r w:rsidR="00FF5A04" w:rsidRPr="00AB2C83">
        <w:rPr>
          <w:rFonts w:ascii="Calibri" w:eastAsia="Calibri" w:hAnsi="Calibri" w:cs="Times New Roman"/>
          <w:snapToGrid/>
          <w:sz w:val="36"/>
          <w:szCs w:val="36"/>
          <w:lang w:eastAsia="en-US"/>
        </w:rPr>
        <w:br/>
      </w:r>
      <w:r w:rsidR="00E467D9" w:rsidRPr="00AB2C83">
        <w:rPr>
          <w:rFonts w:ascii="Calibri" w:eastAsia="Calibri" w:hAnsi="Calibri" w:cs="Times New Roman"/>
          <w:snapToGrid/>
          <w:sz w:val="36"/>
          <w:szCs w:val="36"/>
          <w:lang w:eastAsia="en-US"/>
        </w:rPr>
        <w:t xml:space="preserve">         </w:t>
      </w:r>
      <w:r w:rsidR="00FF5A04" w:rsidRPr="00AB2C83">
        <w:rPr>
          <w:rFonts w:ascii="Calibri" w:eastAsia="Calibri" w:hAnsi="Calibri" w:cs="Times New Roman"/>
          <w:snapToGrid/>
          <w:sz w:val="36"/>
          <w:szCs w:val="36"/>
          <w:lang w:eastAsia="en-US"/>
        </w:rPr>
        <w:t>Pfizer Australia Pty Ltd</w:t>
      </w:r>
    </w:p>
    <w:p w:rsidR="007E490F" w:rsidRPr="00AB2C83" w:rsidRDefault="007E490F" w:rsidP="001D280E">
      <w:pPr>
        <w:pStyle w:val="2-SectionHeading"/>
        <w:numPr>
          <w:ilvl w:val="0"/>
          <w:numId w:val="3"/>
        </w:numPr>
      </w:pPr>
      <w:r w:rsidRPr="00AB2C83">
        <w:t xml:space="preserve">Purpose of Application </w:t>
      </w:r>
    </w:p>
    <w:p w:rsidR="007E490F" w:rsidRPr="00AB2C83" w:rsidRDefault="006C6C10" w:rsidP="00DE77FB">
      <w:pPr>
        <w:pStyle w:val="3Bodytext"/>
        <w:jc w:val="both"/>
        <w:rPr>
          <w:rFonts w:cstheme="minorHAnsi"/>
          <w:szCs w:val="24"/>
        </w:rPr>
      </w:pPr>
      <w:r w:rsidRPr="00AB2C83">
        <w:rPr>
          <w:rFonts w:cstheme="minorHAnsi"/>
          <w:szCs w:val="24"/>
        </w:rPr>
        <w:t xml:space="preserve">The Category </w:t>
      </w:r>
      <w:r w:rsidR="00774AC7" w:rsidRPr="00AB2C83">
        <w:rPr>
          <w:rFonts w:cstheme="minorHAnsi"/>
          <w:szCs w:val="24"/>
        </w:rPr>
        <w:t>4</w:t>
      </w:r>
      <w:r w:rsidRPr="00AB2C83">
        <w:rPr>
          <w:rFonts w:cstheme="minorHAnsi"/>
          <w:szCs w:val="24"/>
        </w:rPr>
        <w:t xml:space="preserve"> submission </w:t>
      </w:r>
      <w:r w:rsidR="0023466E" w:rsidRPr="00AB2C83">
        <w:rPr>
          <w:rFonts w:cstheme="minorHAnsi"/>
          <w:szCs w:val="24"/>
        </w:rPr>
        <w:t>sought</w:t>
      </w:r>
      <w:r w:rsidRPr="00AB2C83">
        <w:rPr>
          <w:rFonts w:cstheme="minorHAnsi"/>
          <w:szCs w:val="24"/>
        </w:rPr>
        <w:t xml:space="preserve"> to</w:t>
      </w:r>
      <w:r w:rsidR="007E490F" w:rsidRPr="00AB2C83">
        <w:rPr>
          <w:rFonts w:cstheme="minorHAnsi"/>
          <w:szCs w:val="24"/>
        </w:rPr>
        <w:t xml:space="preserve"> </w:t>
      </w:r>
      <w:r w:rsidR="00774AC7" w:rsidRPr="00AB2C83">
        <w:rPr>
          <w:rFonts w:cstheme="minorHAnsi"/>
          <w:szCs w:val="24"/>
        </w:rPr>
        <w:t>list palbociclib</w:t>
      </w:r>
      <w:r w:rsidR="00770675" w:rsidRPr="00AB2C83">
        <w:rPr>
          <w:rFonts w:cstheme="minorHAnsi"/>
          <w:szCs w:val="24"/>
        </w:rPr>
        <w:t xml:space="preserve"> </w:t>
      </w:r>
      <w:r w:rsidR="00770675" w:rsidRPr="00AB2C83">
        <w:rPr>
          <w:rFonts w:cstheme="minorHAnsi"/>
        </w:rPr>
        <w:t>75 mg, 100 mg and 125</w:t>
      </w:r>
      <w:r w:rsidR="00FD5F03" w:rsidRPr="00AB2C83">
        <w:rPr>
          <w:rFonts w:cstheme="minorHAnsi"/>
        </w:rPr>
        <w:t> </w:t>
      </w:r>
      <w:r w:rsidR="00770675" w:rsidRPr="00AB2C83">
        <w:rPr>
          <w:rFonts w:cstheme="minorHAnsi"/>
        </w:rPr>
        <w:t>mg</w:t>
      </w:r>
      <w:r w:rsidR="00774AC7" w:rsidRPr="00AB2C83">
        <w:rPr>
          <w:rFonts w:cstheme="minorHAnsi"/>
          <w:szCs w:val="24"/>
        </w:rPr>
        <w:t xml:space="preserve"> tablets under the same </w:t>
      </w:r>
      <w:r w:rsidR="008C3451" w:rsidRPr="00AB2C83">
        <w:rPr>
          <w:rFonts w:cstheme="minorHAnsi"/>
          <w:szCs w:val="24"/>
        </w:rPr>
        <w:t xml:space="preserve">circumstances </w:t>
      </w:r>
      <w:r w:rsidR="00774AC7" w:rsidRPr="00AB2C83">
        <w:rPr>
          <w:rFonts w:cstheme="minorHAnsi"/>
          <w:szCs w:val="24"/>
        </w:rPr>
        <w:t xml:space="preserve">as the already listed </w:t>
      </w:r>
      <w:r w:rsidR="00770675" w:rsidRPr="00AB2C83">
        <w:rPr>
          <w:rFonts w:cstheme="minorHAnsi"/>
          <w:szCs w:val="24"/>
        </w:rPr>
        <w:t xml:space="preserve">palbociclib </w:t>
      </w:r>
      <w:r w:rsidR="00774AC7" w:rsidRPr="00AB2C83">
        <w:rPr>
          <w:rFonts w:cstheme="minorHAnsi"/>
          <w:szCs w:val="24"/>
        </w:rPr>
        <w:t>capsules.</w:t>
      </w:r>
    </w:p>
    <w:p w:rsidR="007E490F" w:rsidRPr="00AB2C83" w:rsidRDefault="007E490F" w:rsidP="001D280E">
      <w:pPr>
        <w:pStyle w:val="2-SectionHeading"/>
        <w:numPr>
          <w:ilvl w:val="0"/>
          <w:numId w:val="3"/>
        </w:numPr>
      </w:pPr>
      <w:r w:rsidRPr="00AB2C83">
        <w:t xml:space="preserve">Background </w:t>
      </w:r>
    </w:p>
    <w:p w:rsidR="007E490F" w:rsidRPr="00AB2C83" w:rsidRDefault="007E490F" w:rsidP="007E490F">
      <w:pPr>
        <w:pStyle w:val="4-SubsectionHeading"/>
      </w:pPr>
      <w:r w:rsidRPr="00AB2C83">
        <w:t>Registration status</w:t>
      </w:r>
    </w:p>
    <w:p w:rsidR="00344819" w:rsidRPr="00AB2C83" w:rsidRDefault="00B50D4D" w:rsidP="00DE77FB">
      <w:pPr>
        <w:pStyle w:val="3Bodytext"/>
        <w:jc w:val="both"/>
      </w:pPr>
      <w:r w:rsidRPr="00AB2C83">
        <w:t>Palbociclib</w:t>
      </w:r>
      <w:r w:rsidR="00364A29" w:rsidRPr="00AB2C83">
        <w:t xml:space="preserve"> 75 mg, 100 mg and 125 mg capsules</w:t>
      </w:r>
      <w:r w:rsidRPr="00AB2C83">
        <w:t xml:space="preserve"> </w:t>
      </w:r>
      <w:r w:rsidR="00364A29" w:rsidRPr="00AB2C83">
        <w:t>were</w:t>
      </w:r>
      <w:r w:rsidRPr="00AB2C83">
        <w:t xml:space="preserve"> TGA registered on 3 May 2017</w:t>
      </w:r>
      <w:r w:rsidR="001B6BD3" w:rsidRPr="00AB2C83">
        <w:t>. Palbociclib 75 mg, 100 mg and 125</w:t>
      </w:r>
      <w:r w:rsidR="001745B0">
        <w:t> </w:t>
      </w:r>
      <w:r w:rsidR="001B6BD3" w:rsidRPr="00AB2C83">
        <w:t>mg tablets w</w:t>
      </w:r>
      <w:r w:rsidR="00344819" w:rsidRPr="00AB2C83">
        <w:t xml:space="preserve">ere </w:t>
      </w:r>
      <w:r w:rsidR="001B6BD3" w:rsidRPr="00AB2C83">
        <w:t>TGA</w:t>
      </w:r>
      <w:r w:rsidR="00344819" w:rsidRPr="00AB2C83">
        <w:t xml:space="preserve"> registered</w:t>
      </w:r>
      <w:r w:rsidR="001B6BD3" w:rsidRPr="00AB2C83">
        <w:t xml:space="preserve"> on </w:t>
      </w:r>
      <w:r w:rsidR="00344819" w:rsidRPr="00AB2C83">
        <w:t>3</w:t>
      </w:r>
      <w:r w:rsidR="00D04602" w:rsidRPr="00AB2C83">
        <w:t> </w:t>
      </w:r>
      <w:r w:rsidR="00344819" w:rsidRPr="00AB2C83">
        <w:t>June 2020</w:t>
      </w:r>
      <w:r w:rsidR="00FE7D3D" w:rsidRPr="00AB2C83">
        <w:t xml:space="preserve">. </w:t>
      </w:r>
    </w:p>
    <w:p w:rsidR="00B50D4D" w:rsidRPr="00AB2C83" w:rsidRDefault="00FD5F03" w:rsidP="00DE77FB">
      <w:pPr>
        <w:pStyle w:val="3Bodytext"/>
        <w:jc w:val="both"/>
      </w:pPr>
      <w:r w:rsidRPr="00AB2C83">
        <w:t>P</w:t>
      </w:r>
      <w:r w:rsidR="00344819" w:rsidRPr="00AB2C83">
        <w:t>albociclib</w:t>
      </w:r>
      <w:r w:rsidR="00101B97" w:rsidRPr="00AB2C83">
        <w:t xml:space="preserve"> </w:t>
      </w:r>
      <w:r w:rsidRPr="00AB2C83">
        <w:t>is approved by the TGA</w:t>
      </w:r>
      <w:r w:rsidR="00101B97" w:rsidRPr="00AB2C83">
        <w:t xml:space="preserve"> for </w:t>
      </w:r>
      <w:r w:rsidR="00B50D4D" w:rsidRPr="00AB2C83">
        <w:t xml:space="preserve">the treatment of hormone receptor (HR)-positive, human epidermal growth factor receptor 2 (HER2)-negative advanced or metastatic breast cancer in combination with: </w:t>
      </w:r>
    </w:p>
    <w:p w:rsidR="00B50D4D" w:rsidRPr="00AB2C83" w:rsidRDefault="00B50D4D" w:rsidP="00DE77FB">
      <w:pPr>
        <w:pStyle w:val="3Bodytext"/>
        <w:numPr>
          <w:ilvl w:val="0"/>
          <w:numId w:val="0"/>
        </w:numPr>
        <w:ind w:left="720"/>
        <w:jc w:val="both"/>
      </w:pPr>
      <w:r w:rsidRPr="00AB2C83">
        <w:t xml:space="preserve">• an aromatase inhibitor as initial endocrine-based therapy </w:t>
      </w:r>
    </w:p>
    <w:p w:rsidR="008C3451" w:rsidRPr="00AB2C83" w:rsidRDefault="00B50D4D" w:rsidP="00DE77FB">
      <w:pPr>
        <w:pStyle w:val="3Bodytext"/>
        <w:numPr>
          <w:ilvl w:val="0"/>
          <w:numId w:val="0"/>
        </w:numPr>
        <w:ind w:left="720"/>
        <w:jc w:val="both"/>
        <w:rPr>
          <w:sz w:val="28"/>
          <w:szCs w:val="28"/>
        </w:rPr>
      </w:pPr>
      <w:r w:rsidRPr="00AB2C83">
        <w:t xml:space="preserve">• fulvestrant in patients who have received prior therapy. </w:t>
      </w:r>
    </w:p>
    <w:p w:rsidR="007E490F" w:rsidRPr="00AB2C83" w:rsidRDefault="00B50D4D" w:rsidP="00DE77FB">
      <w:pPr>
        <w:pStyle w:val="3Bodytext"/>
        <w:jc w:val="both"/>
        <w:rPr>
          <w:color w:val="000000" w:themeColor="text1"/>
        </w:rPr>
      </w:pPr>
      <w:bookmarkStart w:id="0" w:name="_Hlk77334122"/>
      <w:r w:rsidRPr="00AB2C83">
        <w:t xml:space="preserve">Palbociclib </w:t>
      </w:r>
      <w:r w:rsidR="008C3451" w:rsidRPr="00AB2C83">
        <w:t xml:space="preserve">capsules </w:t>
      </w:r>
      <w:r w:rsidR="008C3451" w:rsidRPr="00AB2C83">
        <w:rPr>
          <w:color w:val="000000" w:themeColor="text1"/>
        </w:rPr>
        <w:t>are</w:t>
      </w:r>
      <w:r w:rsidR="007E490F" w:rsidRPr="00AB2C83">
        <w:rPr>
          <w:color w:val="000000" w:themeColor="text1"/>
        </w:rPr>
        <w:t xml:space="preserve"> currently listed on the PBS as an </w:t>
      </w:r>
      <w:r w:rsidR="007E490F" w:rsidRPr="00AB2C83">
        <w:t xml:space="preserve">Authority Required </w:t>
      </w:r>
      <w:r w:rsidR="007E490F" w:rsidRPr="00AB2C83">
        <w:rPr>
          <w:color w:val="000000" w:themeColor="text1"/>
        </w:rPr>
        <w:t xml:space="preserve">listing for </w:t>
      </w:r>
      <w:r w:rsidRPr="00AB2C83">
        <w:t>initial and continuing treatment of locally advanced or metastatic breast cancer</w:t>
      </w:r>
      <w:bookmarkEnd w:id="0"/>
      <w:r w:rsidR="000B74CF" w:rsidRPr="00AB2C83">
        <w:t xml:space="preserve">. </w:t>
      </w:r>
    </w:p>
    <w:p w:rsidR="009E14C7" w:rsidRDefault="00817EF6" w:rsidP="00817EF6">
      <w:pPr>
        <w:pStyle w:val="3-BodyText"/>
        <w:numPr>
          <w:ilvl w:val="0"/>
          <w:numId w:val="0"/>
        </w:numPr>
        <w:ind w:left="720"/>
        <w:rPr>
          <w:i/>
        </w:rPr>
      </w:pPr>
      <w:r w:rsidRPr="00AB2C83">
        <w:rPr>
          <w:i/>
        </w:rPr>
        <w:t>For more detail on PBAC’s view, see section 5 PBAC outcome.</w:t>
      </w:r>
    </w:p>
    <w:p w:rsidR="009E14C7" w:rsidRDefault="009E14C7">
      <w:pPr>
        <w:jc w:val="left"/>
        <w:rPr>
          <w:rFonts w:asciiTheme="minorHAnsi" w:eastAsiaTheme="minorHAnsi" w:hAnsiTheme="minorHAnsi" w:cstheme="minorBidi"/>
          <w:i/>
          <w:szCs w:val="22"/>
        </w:rPr>
      </w:pPr>
      <w:r>
        <w:rPr>
          <w:i/>
        </w:rPr>
        <w:br w:type="page"/>
      </w:r>
    </w:p>
    <w:p w:rsidR="00964A9F" w:rsidRPr="00AB2C83" w:rsidRDefault="00964A9F" w:rsidP="00964A9F">
      <w:pPr>
        <w:pStyle w:val="2-SectionHeading"/>
      </w:pPr>
      <w:r w:rsidRPr="00AB2C83">
        <w:t xml:space="preserve">Requested listing </w:t>
      </w:r>
    </w:p>
    <w:p w:rsidR="00964A9F" w:rsidRPr="00AB2C83" w:rsidRDefault="003948F2" w:rsidP="00E9059F">
      <w:pPr>
        <w:pStyle w:val="3Bodytext"/>
        <w:jc w:val="both"/>
      </w:pPr>
      <w:r w:rsidRPr="00AB2C83">
        <w:t xml:space="preserve">The submission requested listing </w:t>
      </w:r>
      <w:r w:rsidRPr="00AB2C83">
        <w:rPr>
          <w:bCs/>
        </w:rPr>
        <w:t xml:space="preserve">palbociclib tablets under the same circumstances </w:t>
      </w:r>
      <w:r w:rsidR="000D5F65" w:rsidRPr="00AB2C83">
        <w:rPr>
          <w:bCs/>
        </w:rPr>
        <w:t>as</w:t>
      </w:r>
      <w:r w:rsidRPr="00AB2C83">
        <w:rPr>
          <w:bCs/>
        </w:rPr>
        <w:t xml:space="preserve"> the PBS-listed palbociclib </w:t>
      </w:r>
      <w:r w:rsidR="008D40D1">
        <w:rPr>
          <w:bCs/>
        </w:rPr>
        <w:t>capsules</w:t>
      </w:r>
      <w:r w:rsidRPr="00AB2C83">
        <w:rPr>
          <w:bCs/>
        </w:rPr>
        <w:t>.</w:t>
      </w:r>
    </w:p>
    <w:p w:rsidR="00C205FC" w:rsidRPr="00AB2C83" w:rsidRDefault="00C205FC" w:rsidP="00C12FD1">
      <w:pPr>
        <w:pStyle w:val="3Bodytext"/>
        <w:jc w:val="both"/>
      </w:pPr>
      <w:r w:rsidRPr="00AB2C83">
        <w:t xml:space="preserve">The </w:t>
      </w:r>
      <w:r w:rsidR="00FE7D3D" w:rsidRPr="00AB2C83">
        <w:t xml:space="preserve">applicant </w:t>
      </w:r>
      <w:r w:rsidR="008E61D6" w:rsidRPr="00AB2C83">
        <w:t xml:space="preserve">gave notification that it </w:t>
      </w:r>
      <w:r w:rsidRPr="00AB2C83">
        <w:t>intend</w:t>
      </w:r>
      <w:r w:rsidR="000D5F65" w:rsidRPr="00AB2C83">
        <w:t>s</w:t>
      </w:r>
      <w:r w:rsidRPr="00AB2C83">
        <w:t xml:space="preserve"> to discontinue the capsule formulation shortly after the tablets are PBS-listed</w:t>
      </w:r>
      <w:r w:rsidR="00FE7D3D" w:rsidRPr="00AB2C83">
        <w:t>.</w:t>
      </w:r>
      <w:r w:rsidR="008E61D6" w:rsidRPr="00AB2C83">
        <w:t xml:space="preserve"> The </w:t>
      </w:r>
      <w:r w:rsidR="00AB2C83">
        <w:t xml:space="preserve">sponsor did not provide </w:t>
      </w:r>
      <w:r w:rsidR="008E61D6" w:rsidRPr="00AB2C83">
        <w:t>exact timing of the discontinuation</w:t>
      </w:r>
      <w:r w:rsidR="00AB2C83">
        <w:t xml:space="preserve">. </w:t>
      </w:r>
    </w:p>
    <w:p w:rsidR="00A073AD" w:rsidRPr="00AB2C83" w:rsidRDefault="00A073AD" w:rsidP="00C12FD1">
      <w:pPr>
        <w:pStyle w:val="3Bodytext"/>
        <w:jc w:val="both"/>
      </w:pPr>
      <w:r w:rsidRPr="00AB2C83">
        <w:t xml:space="preserve">The PBAC </w:t>
      </w:r>
      <w:r w:rsidR="008E61D6" w:rsidRPr="00AB2C83">
        <w:t>was</w:t>
      </w:r>
      <w:r w:rsidRPr="00AB2C83">
        <w:t xml:space="preserve"> asked to consider whether palbociclib 75 mg, 100 mg, 125 mg tablets and 75 mg, 100 mg, 125 mg capsules should be considered equivalent for the purposes of </w:t>
      </w:r>
      <w:r w:rsidR="00AB2C83" w:rsidRPr="00AB2C83">
        <w:t>substitution</w:t>
      </w:r>
      <w:r w:rsidR="008E61D6" w:rsidRPr="00AB2C83">
        <w:t>. Any such advice would be relevant in the event that there is</w:t>
      </w:r>
      <w:r w:rsidRPr="00AB2C83">
        <w:t xml:space="preserve"> </w:t>
      </w:r>
      <w:r w:rsidR="00ED786C" w:rsidRPr="00AB2C83">
        <w:t xml:space="preserve">a </w:t>
      </w:r>
      <w:r w:rsidRPr="00AB2C83">
        <w:t>period where both capsules and tablets are listed on the PBS</w:t>
      </w:r>
      <w:r w:rsidR="00FE7D3D" w:rsidRPr="00AB2C83">
        <w:t xml:space="preserve">. </w:t>
      </w:r>
    </w:p>
    <w:p w:rsidR="00817EF6" w:rsidRPr="00AB2C83" w:rsidRDefault="00817EF6" w:rsidP="00817EF6">
      <w:pPr>
        <w:pStyle w:val="3Bodytext"/>
        <w:numPr>
          <w:ilvl w:val="0"/>
          <w:numId w:val="0"/>
        </w:numPr>
        <w:ind w:left="720"/>
        <w:rPr>
          <w:i/>
        </w:rPr>
      </w:pPr>
      <w:r w:rsidRPr="00AB2C83">
        <w:rPr>
          <w:i/>
        </w:rPr>
        <w:lastRenderedPageBreak/>
        <w:t>For more detail on PBAC’s view, see section 5 PBAC outcome.</w:t>
      </w:r>
    </w:p>
    <w:p w:rsidR="00C27C1C" w:rsidRPr="00AB2C83" w:rsidRDefault="00C27C1C" w:rsidP="00817EF6">
      <w:pPr>
        <w:pStyle w:val="2-SectionHeading"/>
      </w:pPr>
      <w:r w:rsidRPr="00AB2C83">
        <w:t>Consideration of the evidence</w:t>
      </w:r>
    </w:p>
    <w:p w:rsidR="00817EF6" w:rsidRPr="00AB2C83" w:rsidRDefault="00817EF6" w:rsidP="00C27C1C">
      <w:pPr>
        <w:pStyle w:val="4-SubsectionHeading"/>
        <w:keepNext w:val="0"/>
        <w:rPr>
          <w:lang w:eastAsia="en-US"/>
        </w:rPr>
      </w:pPr>
      <w:r w:rsidRPr="00AB2C83">
        <w:rPr>
          <w:lang w:eastAsia="en-US"/>
        </w:rPr>
        <w:t>Sponsor Hearing</w:t>
      </w:r>
    </w:p>
    <w:p w:rsidR="00817EF6" w:rsidRPr="00AB2C83" w:rsidRDefault="00E20160" w:rsidP="00817EF6">
      <w:pPr>
        <w:pStyle w:val="3Bodytext"/>
        <w:rPr>
          <w:lang w:eastAsia="en-US"/>
        </w:rPr>
      </w:pPr>
      <w:r w:rsidRPr="00AB2C83">
        <w:rPr>
          <w:lang w:eastAsia="en-US"/>
        </w:rPr>
        <w:t>There was no hearing for this item.</w:t>
      </w:r>
    </w:p>
    <w:p w:rsidR="00817EF6" w:rsidRPr="00AB2C83" w:rsidRDefault="00817EF6" w:rsidP="00C27C1C">
      <w:pPr>
        <w:pStyle w:val="4-SubsectionHeading"/>
        <w:keepNext w:val="0"/>
        <w:rPr>
          <w:lang w:eastAsia="en-US"/>
        </w:rPr>
      </w:pPr>
      <w:r w:rsidRPr="00AB2C83">
        <w:rPr>
          <w:lang w:eastAsia="en-US"/>
        </w:rPr>
        <w:t>Consumer Comments</w:t>
      </w:r>
    </w:p>
    <w:p w:rsidR="00817EF6" w:rsidRPr="00AB2C83" w:rsidRDefault="00592CB8" w:rsidP="00C12FD1">
      <w:pPr>
        <w:pStyle w:val="3Bodytext"/>
        <w:jc w:val="both"/>
        <w:rPr>
          <w:lang w:eastAsia="en-US"/>
        </w:rPr>
      </w:pPr>
      <w:r w:rsidRPr="00AB2C83">
        <w:rPr>
          <w:lang w:eastAsia="en-US"/>
        </w:rPr>
        <w:t xml:space="preserve">The PBAC </w:t>
      </w:r>
      <w:r w:rsidR="00F227D2" w:rsidRPr="00AB2C83">
        <w:rPr>
          <w:lang w:eastAsia="en-US"/>
        </w:rPr>
        <w:t xml:space="preserve">noted and </w:t>
      </w:r>
      <w:r w:rsidRPr="00AB2C83">
        <w:rPr>
          <w:lang w:eastAsia="en-US"/>
        </w:rPr>
        <w:t xml:space="preserve">welcomed the </w:t>
      </w:r>
      <w:r w:rsidR="00F227D2" w:rsidRPr="00AB2C83">
        <w:rPr>
          <w:lang w:eastAsia="en-US"/>
        </w:rPr>
        <w:t>input</w:t>
      </w:r>
      <w:r w:rsidRPr="00AB2C83">
        <w:rPr>
          <w:lang w:eastAsia="en-US"/>
        </w:rPr>
        <w:t xml:space="preserve"> from Rare Cancers Australia</w:t>
      </w:r>
      <w:r w:rsidR="00F227D2" w:rsidRPr="00AB2C83">
        <w:rPr>
          <w:lang w:eastAsia="en-US"/>
        </w:rPr>
        <w:t>. Rare Cancers Australia provided comments</w:t>
      </w:r>
      <w:r w:rsidRPr="00AB2C83">
        <w:rPr>
          <w:lang w:eastAsia="en-US"/>
        </w:rPr>
        <w:t xml:space="preserve"> supporting the listing of </w:t>
      </w:r>
      <w:r w:rsidR="006B5143" w:rsidRPr="00AB2C83">
        <w:rPr>
          <w:lang w:eastAsia="en-US"/>
        </w:rPr>
        <w:t xml:space="preserve">75 mg, 100 mg and 125 mg </w:t>
      </w:r>
      <w:r w:rsidRPr="00AB2C83">
        <w:rPr>
          <w:lang w:eastAsia="en-US"/>
        </w:rPr>
        <w:t xml:space="preserve">palbociclib </w:t>
      </w:r>
      <w:r w:rsidR="006B5143" w:rsidRPr="00AB2C83">
        <w:rPr>
          <w:lang w:eastAsia="en-US"/>
        </w:rPr>
        <w:t>tablets</w:t>
      </w:r>
      <w:r w:rsidR="003139C9">
        <w:rPr>
          <w:lang w:eastAsia="en-US"/>
        </w:rPr>
        <w:t xml:space="preserve">, describing the benefits of treatment including improving quality of life. </w:t>
      </w:r>
      <w:r w:rsidR="006B5143" w:rsidRPr="00AB2C83">
        <w:rPr>
          <w:lang w:eastAsia="en-US"/>
        </w:rPr>
        <w:t xml:space="preserve"> </w:t>
      </w:r>
    </w:p>
    <w:p w:rsidR="00C27C1C" w:rsidRPr="00AB2C83" w:rsidRDefault="00C27C1C" w:rsidP="00C27C1C">
      <w:pPr>
        <w:pStyle w:val="4-SubsectionHeading"/>
        <w:keepNext w:val="0"/>
        <w:rPr>
          <w:lang w:eastAsia="en-US"/>
        </w:rPr>
      </w:pPr>
      <w:r w:rsidRPr="00AB2C83">
        <w:rPr>
          <w:lang w:eastAsia="en-US"/>
        </w:rPr>
        <w:t xml:space="preserve">Clinical </w:t>
      </w:r>
      <w:r w:rsidR="0085259B" w:rsidRPr="00AB2C83">
        <w:rPr>
          <w:lang w:eastAsia="en-US"/>
        </w:rPr>
        <w:t>studies</w:t>
      </w:r>
      <w:r w:rsidRPr="00AB2C83">
        <w:rPr>
          <w:lang w:eastAsia="en-US"/>
        </w:rPr>
        <w:t xml:space="preserve"> </w:t>
      </w:r>
    </w:p>
    <w:p w:rsidR="00C87FA1" w:rsidRPr="00AB2C83" w:rsidRDefault="00784F19" w:rsidP="00DA2060">
      <w:pPr>
        <w:pStyle w:val="3Bodytext"/>
        <w:jc w:val="both"/>
      </w:pPr>
      <w:r w:rsidRPr="00AB2C83">
        <w:rPr>
          <w:rFonts w:eastAsiaTheme="minorEastAsia" w:cstheme="minorHAnsi"/>
          <w:szCs w:val="24"/>
        </w:rPr>
        <w:t>This submission</w:t>
      </w:r>
      <w:r w:rsidR="005A514C" w:rsidRPr="00AB2C83">
        <w:rPr>
          <w:rFonts w:eastAsiaTheme="minorEastAsia" w:cstheme="minorHAnsi"/>
          <w:szCs w:val="24"/>
        </w:rPr>
        <w:t xml:space="preserve"> presented</w:t>
      </w:r>
      <w:r w:rsidRPr="00AB2C83">
        <w:rPr>
          <w:rFonts w:eastAsiaTheme="minorEastAsia" w:cstheme="minorHAnsi"/>
          <w:szCs w:val="24"/>
        </w:rPr>
        <w:t xml:space="preserve"> four biopharmaceutic studies in healthy volunteers to support development of the proposed tablets, assessing relative bioavailability (A5481042), bioequivalence and food effect (A5481081) and the effect of concomitant use of gastric acid reducing agents (A5481041 and A5481091)</w:t>
      </w:r>
      <w:r w:rsidR="00214E38" w:rsidRPr="00AB2C83">
        <w:rPr>
          <w:rFonts w:eastAsiaTheme="minorEastAsia" w:cstheme="minorHAnsi"/>
          <w:szCs w:val="24"/>
        </w:rPr>
        <w:t xml:space="preserve"> </w:t>
      </w:r>
      <w:r w:rsidRPr="00AB2C83">
        <w:t>(TGA Delegate’s overview).</w:t>
      </w:r>
      <w:r w:rsidR="00214E38" w:rsidRPr="00AB2C83">
        <w:t xml:space="preserve"> These studies are summarised in Table 1.</w:t>
      </w:r>
    </w:p>
    <w:p w:rsidR="00C87FA1" w:rsidRPr="00AB2C83" w:rsidRDefault="00C87FA1">
      <w:pPr>
        <w:jc w:val="left"/>
        <w:rPr>
          <w:rFonts w:asciiTheme="minorHAnsi" w:eastAsiaTheme="minorHAnsi" w:hAnsiTheme="minorHAnsi" w:cstheme="minorBidi"/>
          <w:szCs w:val="22"/>
        </w:rPr>
      </w:pPr>
      <w:r w:rsidRPr="00AB2C83">
        <w:br w:type="page"/>
      </w:r>
    </w:p>
    <w:p w:rsidR="00A739FC" w:rsidRPr="00AB2C83" w:rsidRDefault="00A739FC" w:rsidP="004724BB">
      <w:pPr>
        <w:pStyle w:val="Tabletitles"/>
        <w:rPr>
          <w:bCs/>
        </w:rPr>
      </w:pPr>
      <w:bookmarkStart w:id="1" w:name="_Ref64288226"/>
      <w:r w:rsidRPr="00AB2C83">
        <w:t xml:space="preserve">Table </w:t>
      </w:r>
      <w:bookmarkEnd w:id="1"/>
      <w:r w:rsidR="00206C20" w:rsidRPr="00AB2C83">
        <w:t>1</w:t>
      </w:r>
      <w:r w:rsidR="004724BB" w:rsidRPr="00AB2C83">
        <w:t>:</w:t>
      </w:r>
      <w:r w:rsidR="00214E38" w:rsidRPr="00AB2C83">
        <w:t xml:space="preserve"> </w:t>
      </w:r>
      <w:r w:rsidRPr="00AB2C83">
        <w:t>Clinical</w:t>
      </w:r>
      <w:r w:rsidR="00214E38" w:rsidRPr="00AB2C83">
        <w:t xml:space="preserve"> </w:t>
      </w:r>
      <w:r w:rsidRPr="00AB2C83">
        <w:t>Studies to Support the Development and Submission of the Tablet Formulation</w:t>
      </w:r>
    </w:p>
    <w:tbl>
      <w:tblPr>
        <w:tblStyle w:val="TableGrid"/>
        <w:tblW w:w="9776" w:type="dxa"/>
        <w:tblLook w:val="04A0" w:firstRow="1" w:lastRow="0" w:firstColumn="1" w:lastColumn="0" w:noHBand="0" w:noVBand="1"/>
        <w:tblCaption w:val="Table 1: Clinical Studies to Support the Development and Submission of the Tablet Formulation"/>
      </w:tblPr>
      <w:tblGrid>
        <w:gridCol w:w="2405"/>
        <w:gridCol w:w="7371"/>
      </w:tblGrid>
      <w:tr w:rsidR="00A739FC" w:rsidRPr="00AB2C83" w:rsidTr="00C35F78">
        <w:trPr>
          <w:trHeight w:val="258"/>
          <w:tblHeader/>
        </w:trPr>
        <w:tc>
          <w:tcPr>
            <w:tcW w:w="2405" w:type="dxa"/>
          </w:tcPr>
          <w:p w:rsidR="00A739FC" w:rsidRPr="00AB2C83" w:rsidRDefault="00A739FC" w:rsidP="00206C20">
            <w:pPr>
              <w:pStyle w:val="TableText0"/>
              <w:rPr>
                <w:rFonts w:eastAsia="TimesNewRoman"/>
              </w:rPr>
            </w:pPr>
            <w:r w:rsidRPr="00AB2C83">
              <w:rPr>
                <w:rFonts w:eastAsia="TimesNewRoman"/>
              </w:rPr>
              <w:t xml:space="preserve">Study number </w:t>
            </w:r>
          </w:p>
        </w:tc>
        <w:tc>
          <w:tcPr>
            <w:tcW w:w="7371" w:type="dxa"/>
          </w:tcPr>
          <w:p w:rsidR="00A739FC" w:rsidRPr="00AB2C83" w:rsidRDefault="00A739FC" w:rsidP="00206C20">
            <w:pPr>
              <w:pStyle w:val="TableText0"/>
              <w:rPr>
                <w:rFonts w:eastAsia="TimesNewRoman"/>
              </w:rPr>
            </w:pPr>
            <w:r w:rsidRPr="00AB2C83">
              <w:rPr>
                <w:rFonts w:eastAsia="TimesNewRoman"/>
              </w:rPr>
              <w:t>Study overview</w:t>
            </w:r>
          </w:p>
        </w:tc>
      </w:tr>
      <w:tr w:rsidR="00A739FC" w:rsidRPr="00AB2C83" w:rsidTr="004D770E">
        <w:tc>
          <w:tcPr>
            <w:tcW w:w="2405" w:type="dxa"/>
          </w:tcPr>
          <w:p w:rsidR="00A739FC" w:rsidRPr="00AB2C83" w:rsidRDefault="00A739FC" w:rsidP="00206C20">
            <w:pPr>
              <w:pStyle w:val="TableText0"/>
            </w:pPr>
            <w:r w:rsidRPr="00AB2C83">
              <w:rPr>
                <w:rFonts w:eastAsia="TimesNewRoman"/>
              </w:rPr>
              <w:t>A5481041</w:t>
            </w:r>
          </w:p>
        </w:tc>
        <w:tc>
          <w:tcPr>
            <w:tcW w:w="7371" w:type="dxa"/>
          </w:tcPr>
          <w:p w:rsidR="00A739FC" w:rsidRPr="00AB2C83" w:rsidRDefault="00A739FC" w:rsidP="00206C20">
            <w:pPr>
              <w:pStyle w:val="TableText0"/>
            </w:pPr>
            <w:r w:rsidRPr="00AB2C83">
              <w:rPr>
                <w:rFonts w:eastAsia="TimesNewRoman"/>
              </w:rPr>
              <w:t>Pilot Study to test the effect of concomitant administration of a PPI on the PK of 6 new experimental formulations of palbociclib (5 tablet formulations and 1 oral solution) when administered under fasting conditions</w:t>
            </w:r>
          </w:p>
        </w:tc>
      </w:tr>
      <w:tr w:rsidR="00A739FC" w:rsidRPr="00AB2C83" w:rsidTr="004D770E">
        <w:trPr>
          <w:trHeight w:val="411"/>
        </w:trPr>
        <w:tc>
          <w:tcPr>
            <w:tcW w:w="2405" w:type="dxa"/>
          </w:tcPr>
          <w:p w:rsidR="00A739FC" w:rsidRPr="00AB2C83" w:rsidRDefault="00A739FC" w:rsidP="00206C20">
            <w:pPr>
              <w:pStyle w:val="TableText0"/>
              <w:rPr>
                <w:rFonts w:eastAsia="TimesNewRoman"/>
              </w:rPr>
            </w:pPr>
            <w:r w:rsidRPr="00AB2C83">
              <w:rPr>
                <w:rFonts w:eastAsia="TimesNewRoman"/>
              </w:rPr>
              <w:t>A5481042</w:t>
            </w:r>
          </w:p>
        </w:tc>
        <w:tc>
          <w:tcPr>
            <w:tcW w:w="7371" w:type="dxa"/>
          </w:tcPr>
          <w:p w:rsidR="00A739FC" w:rsidRPr="00AB2C83" w:rsidRDefault="00A739FC" w:rsidP="00206C20">
            <w:pPr>
              <w:pStyle w:val="TableText0"/>
              <w:rPr>
                <w:rFonts w:eastAsia="TimesNewRoman"/>
              </w:rPr>
            </w:pPr>
            <w:r w:rsidRPr="00AB2C83">
              <w:rPr>
                <w:rFonts w:eastAsia="TimesNewRoman"/>
                <w:bCs w:val="0"/>
              </w:rPr>
              <w:t>Investigation to obtain data supporting the quality specifications for the</w:t>
            </w:r>
            <w:r w:rsidR="00AB2C83">
              <w:rPr>
                <w:rFonts w:eastAsia="TimesNewRoman"/>
              </w:rPr>
              <w:t xml:space="preserve"> </w:t>
            </w:r>
            <w:r w:rsidRPr="00AB2C83">
              <w:rPr>
                <w:rFonts w:eastAsia="TimesNewRoman"/>
              </w:rPr>
              <w:t>proposed commercial tablet (investigation of BA between the proposed</w:t>
            </w:r>
            <w:r w:rsidR="00AB2C83">
              <w:rPr>
                <w:rFonts w:eastAsia="TimesNewRoman"/>
              </w:rPr>
              <w:t xml:space="preserve"> </w:t>
            </w:r>
            <w:r w:rsidRPr="00AB2C83">
              <w:rPr>
                <w:rFonts w:eastAsia="TimesNewRoman"/>
              </w:rPr>
              <w:t>commercial tablet and 3 other aberrant tablet formulations).</w:t>
            </w:r>
          </w:p>
        </w:tc>
      </w:tr>
      <w:tr w:rsidR="00A739FC" w:rsidRPr="00AB2C83" w:rsidTr="004D770E">
        <w:tc>
          <w:tcPr>
            <w:tcW w:w="2405" w:type="dxa"/>
          </w:tcPr>
          <w:p w:rsidR="00A739FC" w:rsidRPr="00AB2C83" w:rsidRDefault="00A739FC" w:rsidP="00206C20">
            <w:pPr>
              <w:pStyle w:val="TableText0"/>
              <w:rPr>
                <w:rFonts w:eastAsia="TimesNewRoman"/>
              </w:rPr>
            </w:pPr>
            <w:bookmarkStart w:id="2" w:name="_Hlk63759531"/>
            <w:r w:rsidRPr="00AB2C83">
              <w:rPr>
                <w:rFonts w:eastAsia="TimesNewRoman"/>
              </w:rPr>
              <w:t>A5481081</w:t>
            </w:r>
            <w:bookmarkEnd w:id="2"/>
          </w:p>
        </w:tc>
        <w:tc>
          <w:tcPr>
            <w:tcW w:w="7371" w:type="dxa"/>
          </w:tcPr>
          <w:p w:rsidR="00A739FC" w:rsidRPr="00AB2C83" w:rsidRDefault="00A739FC" w:rsidP="00206C20">
            <w:pPr>
              <w:pStyle w:val="TableText0"/>
              <w:rPr>
                <w:rFonts w:eastAsia="TimesNewRoman"/>
              </w:rPr>
            </w:pPr>
            <w:r w:rsidRPr="00AB2C83">
              <w:rPr>
                <w:rFonts w:eastAsia="TimesNewRoman"/>
                <w:bCs w:val="0"/>
              </w:rPr>
              <w:t>Investigation of BE/BA between the commercial capsules and the proposed</w:t>
            </w:r>
            <w:r w:rsidR="00AB2C83">
              <w:rPr>
                <w:rFonts w:eastAsia="TimesNewRoman"/>
              </w:rPr>
              <w:t xml:space="preserve"> </w:t>
            </w:r>
            <w:r w:rsidRPr="00AB2C83">
              <w:rPr>
                <w:rFonts w:eastAsia="TimesNewRoman"/>
              </w:rPr>
              <w:t>commercial tablet (including effect of food on the proposed commercial tablet)</w:t>
            </w:r>
          </w:p>
        </w:tc>
      </w:tr>
      <w:tr w:rsidR="00A739FC" w:rsidRPr="00AB2C83" w:rsidTr="004D770E">
        <w:tc>
          <w:tcPr>
            <w:tcW w:w="2405" w:type="dxa"/>
          </w:tcPr>
          <w:p w:rsidR="00A739FC" w:rsidRPr="00AB2C83" w:rsidRDefault="00A739FC" w:rsidP="00206C20">
            <w:pPr>
              <w:pStyle w:val="TableText0"/>
              <w:rPr>
                <w:rFonts w:eastAsia="TimesNewRoman"/>
              </w:rPr>
            </w:pPr>
            <w:r w:rsidRPr="00AB2C83">
              <w:rPr>
                <w:rFonts w:eastAsia="TimesNewRoman"/>
              </w:rPr>
              <w:t>A5481091</w:t>
            </w:r>
          </w:p>
        </w:tc>
        <w:tc>
          <w:tcPr>
            <w:tcW w:w="7371" w:type="dxa"/>
          </w:tcPr>
          <w:p w:rsidR="00A739FC" w:rsidRPr="00AB2C83" w:rsidRDefault="00A739FC" w:rsidP="00206C20">
            <w:pPr>
              <w:pStyle w:val="TableText0"/>
              <w:rPr>
                <w:rFonts w:eastAsia="TimesNewRoman"/>
              </w:rPr>
            </w:pPr>
            <w:r w:rsidRPr="00AB2C83">
              <w:rPr>
                <w:rFonts w:eastAsia="TimesNewRoman"/>
              </w:rPr>
              <w:t>A drug interaction study to test the effect of concomitant administration of a PPI on the PK of the proposed commercial tablet when administered under fasting conditions</w:t>
            </w:r>
          </w:p>
        </w:tc>
      </w:tr>
    </w:tbl>
    <w:p w:rsidR="00C27C1C" w:rsidRPr="00AB2C83" w:rsidRDefault="00206C20" w:rsidP="00A27EE0">
      <w:pPr>
        <w:pStyle w:val="TableFooter"/>
        <w:rPr>
          <w:rFonts w:eastAsiaTheme="minorHAnsi"/>
        </w:rPr>
      </w:pPr>
      <w:r w:rsidRPr="00AB2C83">
        <w:rPr>
          <w:rFonts w:eastAsiaTheme="minorHAnsi"/>
        </w:rPr>
        <w:t>Source: Table 3 of the submission, p5 of the submission.</w:t>
      </w:r>
    </w:p>
    <w:p w:rsidR="00DA2060" w:rsidRPr="00AB2C83" w:rsidRDefault="00DA2060" w:rsidP="00A27EE0">
      <w:pPr>
        <w:pStyle w:val="TableFooter"/>
        <w:rPr>
          <w:rFonts w:eastAsiaTheme="minorHAnsi"/>
        </w:rPr>
      </w:pPr>
    </w:p>
    <w:p w:rsidR="00DA2060" w:rsidRPr="00AB2C83" w:rsidRDefault="00DA2060" w:rsidP="006E54B4">
      <w:pPr>
        <w:pStyle w:val="3Bodytext"/>
        <w:jc w:val="both"/>
      </w:pPr>
      <w:r w:rsidRPr="00AB2C83">
        <w:t xml:space="preserve">The submission indicated that a ‘biowaiver’ was provided by the TGA to not conduct studies on the 75 mg and 100 mg strength tablets based on the following points: </w:t>
      </w:r>
    </w:p>
    <w:p w:rsidR="00DA2060" w:rsidRPr="00AB2C83" w:rsidRDefault="00DA2060" w:rsidP="006E54B4">
      <w:pPr>
        <w:pStyle w:val="MainBodyText"/>
        <w:numPr>
          <w:ilvl w:val="0"/>
          <w:numId w:val="15"/>
        </w:numPr>
        <w:spacing w:after="0"/>
        <w:rPr>
          <w:rFonts w:asciiTheme="minorHAnsi" w:hAnsiTheme="minorHAnsi" w:cstheme="minorHAnsi"/>
          <w:sz w:val="24"/>
          <w:szCs w:val="24"/>
        </w:rPr>
      </w:pPr>
      <w:r w:rsidRPr="00AB2C83">
        <w:rPr>
          <w:rFonts w:asciiTheme="minorHAnsi" w:hAnsiTheme="minorHAnsi" w:cstheme="minorHAnsi"/>
          <w:sz w:val="24"/>
          <w:szCs w:val="24"/>
        </w:rPr>
        <w:t>All strengths are manufactured by the same manufacturing process</w:t>
      </w:r>
    </w:p>
    <w:p w:rsidR="00DA2060" w:rsidRPr="00AB2C83" w:rsidRDefault="00DA2060" w:rsidP="006E54B4">
      <w:pPr>
        <w:pStyle w:val="MainBodyText"/>
        <w:numPr>
          <w:ilvl w:val="0"/>
          <w:numId w:val="15"/>
        </w:numPr>
        <w:spacing w:after="0"/>
        <w:rPr>
          <w:rFonts w:asciiTheme="minorHAnsi" w:hAnsiTheme="minorHAnsi" w:cstheme="minorHAnsi"/>
          <w:sz w:val="24"/>
          <w:szCs w:val="24"/>
        </w:rPr>
      </w:pPr>
      <w:r w:rsidRPr="00AB2C83">
        <w:rPr>
          <w:rFonts w:asciiTheme="minorHAnsi" w:hAnsiTheme="minorHAnsi" w:cstheme="minorHAnsi"/>
          <w:sz w:val="24"/>
          <w:szCs w:val="24"/>
        </w:rPr>
        <w:t xml:space="preserve">A common blend is used for all strengths and the formulations </w:t>
      </w:r>
      <w:r w:rsidR="00C87FA1" w:rsidRPr="00AB2C83">
        <w:rPr>
          <w:rFonts w:asciiTheme="minorHAnsi" w:hAnsiTheme="minorHAnsi" w:cstheme="minorHAnsi"/>
          <w:sz w:val="24"/>
          <w:szCs w:val="24"/>
        </w:rPr>
        <w:t>are quantitatively proportional</w:t>
      </w:r>
    </w:p>
    <w:p w:rsidR="00DA2060" w:rsidRPr="00AB2C83" w:rsidRDefault="00DA2060" w:rsidP="006E54B4">
      <w:pPr>
        <w:pStyle w:val="MainBodyText"/>
        <w:numPr>
          <w:ilvl w:val="0"/>
          <w:numId w:val="15"/>
        </w:numPr>
        <w:spacing w:after="120"/>
        <w:rPr>
          <w:rFonts w:asciiTheme="minorHAnsi" w:hAnsiTheme="minorHAnsi" w:cstheme="minorHAnsi"/>
          <w:sz w:val="24"/>
          <w:szCs w:val="24"/>
        </w:rPr>
      </w:pPr>
      <w:r w:rsidRPr="00AB2C83">
        <w:rPr>
          <w:rFonts w:asciiTheme="minorHAnsi" w:hAnsiTheme="minorHAnsi" w:cstheme="minorHAnsi"/>
          <w:sz w:val="24"/>
          <w:szCs w:val="24"/>
        </w:rPr>
        <w:t>At pH 1.2 and pH 4.5 all strengths have similar dissolution profiles (&gt; 85% dissolution in 15 minutes). At pH 6.8, all strengths are similar (&gt;f2 similarity).</w:t>
      </w:r>
    </w:p>
    <w:p w:rsidR="004D770E" w:rsidRPr="00AB2C83" w:rsidRDefault="004D770E" w:rsidP="0013467C">
      <w:pPr>
        <w:pStyle w:val="3Bodytext"/>
      </w:pPr>
      <w:r w:rsidRPr="00AB2C83">
        <w:t>The sponsor did not provide a</w:t>
      </w:r>
      <w:r w:rsidR="00E60FCD" w:rsidRPr="00AB2C83">
        <w:t xml:space="preserve"> bioequivalence statement from the TGA.</w:t>
      </w:r>
      <w:r w:rsidR="006B5143" w:rsidRPr="00AB2C83">
        <w:t xml:space="preserve"> The PBAC noted</w:t>
      </w:r>
      <w:r w:rsidR="008D40D1">
        <w:t xml:space="preserve"> from</w:t>
      </w:r>
      <w:r w:rsidR="006B5143" w:rsidRPr="00AB2C83">
        <w:t xml:space="preserve"> </w:t>
      </w:r>
      <w:r w:rsidRPr="00AB2C83">
        <w:t xml:space="preserve">the Pre-PBAC response that the TGA </w:t>
      </w:r>
      <w:r w:rsidR="008D40D1">
        <w:t xml:space="preserve">Evaluation Report </w:t>
      </w:r>
      <w:r w:rsidRPr="00AB2C83">
        <w:t>conclu</w:t>
      </w:r>
      <w:r w:rsidR="008D40D1">
        <w:t>ded</w:t>
      </w:r>
      <w:r w:rsidRPr="00AB2C83">
        <w:t xml:space="preserve"> that the capsules and tablets were bioequivalent. </w:t>
      </w:r>
    </w:p>
    <w:p w:rsidR="007801F0" w:rsidRPr="00AB2C83" w:rsidRDefault="007801F0" w:rsidP="00A27EE0">
      <w:pPr>
        <w:pStyle w:val="4-SubsectionHeading"/>
        <w:keepNext w:val="0"/>
        <w:rPr>
          <w:lang w:eastAsia="en-US"/>
        </w:rPr>
      </w:pPr>
      <w:r w:rsidRPr="00AB2C83">
        <w:rPr>
          <w:lang w:eastAsia="en-US"/>
        </w:rPr>
        <w:t xml:space="preserve">Clinical claim </w:t>
      </w:r>
    </w:p>
    <w:p w:rsidR="00A27EE0" w:rsidRPr="00AB2C83" w:rsidRDefault="00A27EE0" w:rsidP="00D17DD4">
      <w:pPr>
        <w:pStyle w:val="3Bodytext"/>
        <w:jc w:val="both"/>
      </w:pPr>
      <w:r w:rsidRPr="00AB2C83">
        <w:t xml:space="preserve">The </w:t>
      </w:r>
      <w:r w:rsidR="006E54B4" w:rsidRPr="00AB2C83">
        <w:t xml:space="preserve">submission stated </w:t>
      </w:r>
      <w:r w:rsidRPr="00AB2C83">
        <w:t>there is no anticipated change in the efficacy or safety of palbociclib treatment with use of the proposed tablet.</w:t>
      </w:r>
    </w:p>
    <w:p w:rsidR="00A27EE0" w:rsidRPr="00AB2C83" w:rsidRDefault="006E54B4" w:rsidP="001D280E">
      <w:pPr>
        <w:pStyle w:val="3Bodytext"/>
        <w:jc w:val="both"/>
      </w:pPr>
      <w:r w:rsidRPr="00AB2C83">
        <w:t>The submission claimed that p</w:t>
      </w:r>
      <w:r w:rsidR="00A27EE0" w:rsidRPr="00AB2C83">
        <w:t>atients are expected to benefit from the greater convenience provided by the proposed tablet formulation with the removal of the necessity for administration with food.</w:t>
      </w:r>
    </w:p>
    <w:p w:rsidR="00C6276E" w:rsidRPr="00AB2C83" w:rsidRDefault="006E54B4" w:rsidP="00D17DD4">
      <w:pPr>
        <w:pStyle w:val="3Bodytext"/>
        <w:jc w:val="both"/>
      </w:pPr>
      <w:r w:rsidRPr="00AB2C83">
        <w:t>The submission mentioned that t</w:t>
      </w:r>
      <w:r w:rsidR="00C6276E" w:rsidRPr="00AB2C83">
        <w:t xml:space="preserve">here are no products of animal origin or lactose in the commercial tablet formulation (the capsule </w:t>
      </w:r>
      <w:r w:rsidR="00AB2C83">
        <w:t xml:space="preserve">is </w:t>
      </w:r>
      <w:r w:rsidR="00C6276E" w:rsidRPr="00AB2C83">
        <w:t>formulated with gelatin), thus providing increased options to patients who have tolerability issues and/or dietary preferences.</w:t>
      </w:r>
    </w:p>
    <w:p w:rsidR="00C6276E" w:rsidRPr="00AB2C83" w:rsidRDefault="00D17DD4" w:rsidP="00D17DD4">
      <w:pPr>
        <w:pStyle w:val="3Bodytext"/>
        <w:jc w:val="both"/>
      </w:pPr>
      <w:r w:rsidRPr="00AB2C83">
        <w:t>The submission stated that the possibility of medication administration errors between palbociclib capsules (PBS-listed formulation) and palbociclib tablets (proposed formulation) is considered to be low</w:t>
      </w:r>
      <w:r w:rsidR="00AB1362" w:rsidRPr="00AB2C83">
        <w:t xml:space="preserve">. </w:t>
      </w:r>
      <w:r w:rsidR="0072757F" w:rsidRPr="00AB2C83">
        <w:t>This is</w:t>
      </w:r>
      <w:r w:rsidRPr="00AB2C83">
        <w:t xml:space="preserve"> because the tablets and capsules could be administered interchangeably since both formulations are bioequivalent when administe</w:t>
      </w:r>
      <w:r w:rsidR="006E54B4" w:rsidRPr="00AB2C83">
        <w:t>red according to recommendations</w:t>
      </w:r>
      <w:r w:rsidRPr="00AB2C83">
        <w:t>.</w:t>
      </w:r>
    </w:p>
    <w:p w:rsidR="00C27C1C" w:rsidRPr="00AB2C83" w:rsidRDefault="00C2744E" w:rsidP="00C27C1C">
      <w:pPr>
        <w:pStyle w:val="4-SubsectionHeading"/>
        <w:rPr>
          <w:lang w:eastAsia="en-US"/>
        </w:rPr>
      </w:pPr>
      <w:r w:rsidRPr="00AB2C83">
        <w:rPr>
          <w:lang w:eastAsia="en-US"/>
        </w:rPr>
        <w:t>Pricing considerations</w:t>
      </w:r>
      <w:r w:rsidR="00C27C1C" w:rsidRPr="00AB2C83">
        <w:rPr>
          <w:lang w:eastAsia="en-US"/>
        </w:rPr>
        <w:t xml:space="preserve"> </w:t>
      </w:r>
    </w:p>
    <w:p w:rsidR="00C27C1C" w:rsidRPr="00AB2C83" w:rsidRDefault="00051F78" w:rsidP="00AF70A3">
      <w:pPr>
        <w:pStyle w:val="3Bodytext"/>
        <w:jc w:val="both"/>
        <w:rPr>
          <w:rFonts w:cstheme="minorHAnsi"/>
          <w:szCs w:val="24"/>
        </w:rPr>
      </w:pPr>
      <w:r w:rsidRPr="00AB2C83">
        <w:rPr>
          <w:rFonts w:cstheme="minorHAnsi"/>
          <w:szCs w:val="24"/>
        </w:rPr>
        <w:t xml:space="preserve">While not a matter for PBAC, the listing of a new bioequivalent form of palbociclib would trigger a 25% statutory price reduction (SPR) under s99ACB of the </w:t>
      </w:r>
      <w:r w:rsidRPr="00AB2C83">
        <w:rPr>
          <w:rFonts w:cstheme="minorHAnsi"/>
          <w:i/>
          <w:szCs w:val="24"/>
        </w:rPr>
        <w:t>National Health Act 1953</w:t>
      </w:r>
      <w:r w:rsidR="00DD2F0F" w:rsidRPr="00AB2C83">
        <w:rPr>
          <w:rFonts w:cstheme="minorHAnsi"/>
          <w:i/>
          <w:szCs w:val="24"/>
        </w:rPr>
        <w:t xml:space="preserve"> (the Act)</w:t>
      </w:r>
      <w:r w:rsidRPr="00AB2C83">
        <w:rPr>
          <w:rFonts w:cstheme="minorHAnsi"/>
          <w:szCs w:val="24"/>
        </w:rPr>
        <w:t>. The drug palbociclib will move into the F2 formulary and be subject to price disclosure</w:t>
      </w:r>
      <w:r w:rsidR="00FE7D3D" w:rsidRPr="00AB2C83">
        <w:rPr>
          <w:rFonts w:cstheme="minorHAnsi"/>
          <w:szCs w:val="24"/>
        </w:rPr>
        <w:t xml:space="preserve">. </w:t>
      </w:r>
      <w:r w:rsidRPr="00AB2C83">
        <w:rPr>
          <w:rFonts w:cstheme="minorHAnsi"/>
          <w:szCs w:val="24"/>
        </w:rPr>
        <w:t>T</w:t>
      </w:r>
      <w:r w:rsidR="00780A2E" w:rsidRPr="00AB2C83">
        <w:rPr>
          <w:rFonts w:cstheme="minorHAnsi"/>
          <w:szCs w:val="24"/>
        </w:rPr>
        <w:t xml:space="preserve">he sponsor has made a separate application to the Department requesting palbociclib tablets be considered a ‘new presentation’ of an existing brand of palbociclib and not trigger a statutory price reduction, </w:t>
      </w:r>
      <w:r w:rsidR="00975078" w:rsidRPr="00AB2C83">
        <w:rPr>
          <w:rFonts w:cstheme="minorHAnsi"/>
          <w:szCs w:val="24"/>
        </w:rPr>
        <w:t>under s</w:t>
      </w:r>
      <w:r w:rsidR="00780A2E" w:rsidRPr="00AB2C83">
        <w:rPr>
          <w:rFonts w:cstheme="minorHAnsi"/>
          <w:szCs w:val="24"/>
        </w:rPr>
        <w:t xml:space="preserve">99ACB(3A) of the </w:t>
      </w:r>
      <w:r w:rsidR="00DD2F0F" w:rsidRPr="00AB2C83">
        <w:rPr>
          <w:rFonts w:cstheme="minorHAnsi"/>
          <w:szCs w:val="24"/>
        </w:rPr>
        <w:t>Act</w:t>
      </w:r>
      <w:r w:rsidR="00780A2E" w:rsidRPr="00AB2C83">
        <w:rPr>
          <w:rFonts w:cstheme="minorHAnsi"/>
          <w:szCs w:val="24"/>
        </w:rPr>
        <w:t>.</w:t>
      </w:r>
    </w:p>
    <w:p w:rsidR="0013557F" w:rsidRPr="00AB2C83" w:rsidRDefault="00780A2E" w:rsidP="00AF70A3">
      <w:pPr>
        <w:pStyle w:val="3Bodytext"/>
        <w:jc w:val="both"/>
        <w:rPr>
          <w:rFonts w:cstheme="minorHAnsi"/>
          <w:szCs w:val="24"/>
        </w:rPr>
      </w:pPr>
      <w:r w:rsidRPr="00AB2C83">
        <w:rPr>
          <w:rFonts w:cstheme="minorHAnsi"/>
          <w:szCs w:val="24"/>
        </w:rPr>
        <w:t>The proposed daily dose of the palbociclib tablet is the same as the current approved capsule formulation. As such, the prices requested for the palbociclib tablet are consistent with the prices of the palbociclib capsule</w:t>
      </w:r>
      <w:r w:rsidR="00F1335E" w:rsidRPr="00AB2C83">
        <w:rPr>
          <w:rFonts w:cstheme="minorHAnsi"/>
          <w:szCs w:val="24"/>
        </w:rPr>
        <w:t xml:space="preserve"> at </w:t>
      </w:r>
      <w:r w:rsidR="00C037DF" w:rsidRPr="00AB2C83">
        <w:rPr>
          <w:rFonts w:cstheme="minorHAnsi"/>
          <w:szCs w:val="24"/>
        </w:rPr>
        <w:t>Approved Ex-Manufacture Price (</w:t>
      </w:r>
      <w:r w:rsidR="00F1335E" w:rsidRPr="00AB2C83">
        <w:rPr>
          <w:rFonts w:cstheme="minorHAnsi"/>
          <w:szCs w:val="24"/>
        </w:rPr>
        <w:t>AEMP</w:t>
      </w:r>
      <w:r w:rsidR="00C037DF" w:rsidRPr="00AB2C83">
        <w:rPr>
          <w:rFonts w:cstheme="minorHAnsi"/>
          <w:szCs w:val="24"/>
        </w:rPr>
        <w:t>)</w:t>
      </w:r>
      <w:r w:rsidR="00DE77FB" w:rsidRPr="00AB2C83">
        <w:rPr>
          <w:rFonts w:cstheme="minorHAnsi"/>
          <w:szCs w:val="24"/>
        </w:rPr>
        <w:t xml:space="preserve"> (Table 2)</w:t>
      </w:r>
      <w:r w:rsidR="00F1335E" w:rsidRPr="00AB2C83">
        <w:rPr>
          <w:rFonts w:cstheme="minorHAnsi"/>
          <w:szCs w:val="24"/>
        </w:rPr>
        <w:t xml:space="preserve">. </w:t>
      </w:r>
    </w:p>
    <w:p w:rsidR="0013557F" w:rsidRPr="00AB2C83" w:rsidRDefault="0013557F" w:rsidP="00DE77FB">
      <w:pPr>
        <w:pStyle w:val="Tabletitles"/>
      </w:pPr>
      <w:bookmarkStart w:id="3" w:name="_Ref16693526"/>
      <w:bookmarkStart w:id="4" w:name="_Toc415234326"/>
      <w:bookmarkStart w:id="5" w:name="_Toc16691871"/>
      <w:bookmarkStart w:id="6" w:name="_Toc16850102"/>
      <w:bookmarkStart w:id="7" w:name="_Toc38290730"/>
      <w:bookmarkStart w:id="8" w:name="_Toc64287724"/>
      <w:r w:rsidRPr="00AB2C83">
        <w:t>Table 2</w:t>
      </w:r>
      <w:bookmarkEnd w:id="3"/>
      <w:r w:rsidRPr="00AB2C83">
        <w:t>: Requested price for Ibrance (palbociclib)</w:t>
      </w:r>
      <w:bookmarkEnd w:id="4"/>
      <w:bookmarkEnd w:id="5"/>
      <w:bookmarkEnd w:id="6"/>
      <w:bookmarkEnd w:id="7"/>
      <w:bookmarkEnd w:id="8"/>
      <w:r w:rsidRPr="00AB2C83">
        <w:t xml:space="preserve"> tablets.</w:t>
      </w:r>
    </w:p>
    <w:tbl>
      <w:tblPr>
        <w:tblStyle w:val="TableGrid"/>
        <w:tblW w:w="9072" w:type="dxa"/>
        <w:tblInd w:w="-5" w:type="dxa"/>
        <w:tblLook w:val="04A0" w:firstRow="1" w:lastRow="0" w:firstColumn="1" w:lastColumn="0" w:noHBand="0" w:noVBand="1"/>
        <w:tblCaption w:val="Table 2: Requested price for Ibrance (palbociclib) tablets."/>
      </w:tblPr>
      <w:tblGrid>
        <w:gridCol w:w="1221"/>
        <w:gridCol w:w="1926"/>
        <w:gridCol w:w="1925"/>
        <w:gridCol w:w="1926"/>
        <w:gridCol w:w="2074"/>
      </w:tblGrid>
      <w:tr w:rsidR="0013557F" w:rsidRPr="00AB2C83" w:rsidTr="00C35F78">
        <w:trPr>
          <w:tblHeader/>
        </w:trPr>
        <w:tc>
          <w:tcPr>
            <w:tcW w:w="1221" w:type="dxa"/>
            <w:shd w:val="clear" w:color="auto" w:fill="FFFFFF" w:themeFill="background1"/>
          </w:tcPr>
          <w:p w:rsidR="0013557F" w:rsidRPr="00AB2C83" w:rsidRDefault="0013557F" w:rsidP="004D770E">
            <w:pPr>
              <w:pStyle w:val="TableText0"/>
              <w:keepLines/>
              <w:jc w:val="center"/>
              <w:rPr>
                <w:rStyle w:val="SmallBold"/>
                <w:rFonts w:ascii="Arial" w:hAnsi="Arial"/>
                <w:b w:val="0"/>
                <w:sz w:val="18"/>
              </w:rPr>
            </w:pPr>
          </w:p>
        </w:tc>
        <w:tc>
          <w:tcPr>
            <w:tcW w:w="1926" w:type="dxa"/>
          </w:tcPr>
          <w:p w:rsidR="0013557F" w:rsidRPr="00AB2C83" w:rsidRDefault="0013557F" w:rsidP="004D770E">
            <w:pPr>
              <w:pStyle w:val="TableText0"/>
              <w:keepLines/>
              <w:jc w:val="center"/>
              <w:rPr>
                <w:rStyle w:val="SmallBold"/>
                <w:rFonts w:ascii="Arial" w:hAnsi="Arial"/>
                <w:sz w:val="18"/>
              </w:rPr>
            </w:pPr>
            <w:r w:rsidRPr="00AB2C83">
              <w:rPr>
                <w:rStyle w:val="SmallBold"/>
                <w:rFonts w:ascii="Arial" w:hAnsi="Arial"/>
                <w:sz w:val="18"/>
              </w:rPr>
              <w:t>Palbociclib tablets</w:t>
            </w:r>
          </w:p>
          <w:p w:rsidR="0013557F" w:rsidRPr="00AB2C83" w:rsidRDefault="0013557F" w:rsidP="004D770E">
            <w:pPr>
              <w:pStyle w:val="TableText0"/>
              <w:keepLines/>
              <w:jc w:val="center"/>
              <w:rPr>
                <w:rStyle w:val="SmallBold"/>
                <w:rFonts w:ascii="Arial" w:hAnsi="Arial"/>
                <w:sz w:val="18"/>
              </w:rPr>
            </w:pPr>
            <w:r w:rsidRPr="00AB2C83">
              <w:rPr>
                <w:rStyle w:val="SmallBold"/>
                <w:rFonts w:ascii="Arial" w:hAnsi="Arial"/>
                <w:sz w:val="18"/>
              </w:rPr>
              <w:t>AEMP</w:t>
            </w:r>
          </w:p>
        </w:tc>
        <w:tc>
          <w:tcPr>
            <w:tcW w:w="1925" w:type="dxa"/>
          </w:tcPr>
          <w:p w:rsidR="0013557F" w:rsidRPr="00AB2C83" w:rsidRDefault="0013557F" w:rsidP="004D770E">
            <w:pPr>
              <w:pStyle w:val="TableText0"/>
              <w:keepLines/>
              <w:jc w:val="center"/>
              <w:rPr>
                <w:rStyle w:val="SmallBold"/>
                <w:rFonts w:ascii="Arial" w:hAnsi="Arial"/>
                <w:sz w:val="18"/>
              </w:rPr>
            </w:pPr>
            <w:r w:rsidRPr="00AB2C83">
              <w:rPr>
                <w:rStyle w:val="SmallBold"/>
                <w:rFonts w:ascii="Arial" w:hAnsi="Arial"/>
                <w:sz w:val="18"/>
              </w:rPr>
              <w:t>Palbociclib tablets</w:t>
            </w:r>
          </w:p>
          <w:p w:rsidR="0013557F" w:rsidRPr="00AB2C83" w:rsidRDefault="0013557F" w:rsidP="004D770E">
            <w:pPr>
              <w:pStyle w:val="TableText0"/>
              <w:keepLines/>
              <w:jc w:val="center"/>
              <w:rPr>
                <w:rStyle w:val="SmallBold"/>
                <w:rFonts w:ascii="Arial" w:hAnsi="Arial"/>
                <w:sz w:val="18"/>
              </w:rPr>
            </w:pPr>
            <w:r w:rsidRPr="00AB2C83">
              <w:rPr>
                <w:rStyle w:val="SmallBold"/>
                <w:rFonts w:ascii="Arial" w:hAnsi="Arial"/>
                <w:sz w:val="18"/>
              </w:rPr>
              <w:t>Effective AEMP*</w:t>
            </w:r>
          </w:p>
        </w:tc>
        <w:tc>
          <w:tcPr>
            <w:tcW w:w="1926" w:type="dxa"/>
          </w:tcPr>
          <w:p w:rsidR="0013557F" w:rsidRPr="00AB2C83" w:rsidRDefault="0013557F" w:rsidP="004D770E">
            <w:pPr>
              <w:pStyle w:val="TableText0"/>
              <w:keepLines/>
              <w:jc w:val="center"/>
              <w:rPr>
                <w:rStyle w:val="SmallBold"/>
                <w:rFonts w:ascii="Arial" w:hAnsi="Arial"/>
                <w:sz w:val="18"/>
              </w:rPr>
            </w:pPr>
            <w:r w:rsidRPr="00AB2C83">
              <w:rPr>
                <w:rStyle w:val="SmallBold"/>
                <w:rFonts w:ascii="Arial" w:hAnsi="Arial"/>
                <w:sz w:val="18"/>
              </w:rPr>
              <w:t>Palbociclib capsules</w:t>
            </w:r>
          </w:p>
          <w:p w:rsidR="0013557F" w:rsidRPr="00AB2C83" w:rsidRDefault="0013557F" w:rsidP="004D770E">
            <w:pPr>
              <w:pStyle w:val="TableText0"/>
              <w:keepLines/>
              <w:jc w:val="center"/>
              <w:rPr>
                <w:rStyle w:val="SmallBold"/>
                <w:rFonts w:ascii="Arial" w:hAnsi="Arial"/>
                <w:b w:val="0"/>
                <w:sz w:val="18"/>
              </w:rPr>
            </w:pPr>
            <w:r w:rsidRPr="00AB2C83">
              <w:rPr>
                <w:rStyle w:val="SmallBold"/>
                <w:rFonts w:ascii="Arial" w:hAnsi="Arial"/>
                <w:sz w:val="18"/>
              </w:rPr>
              <w:t>AEMP</w:t>
            </w:r>
          </w:p>
        </w:tc>
        <w:tc>
          <w:tcPr>
            <w:tcW w:w="2074" w:type="dxa"/>
          </w:tcPr>
          <w:p w:rsidR="0013557F" w:rsidRPr="00AB2C83" w:rsidRDefault="0013557F" w:rsidP="004D770E">
            <w:pPr>
              <w:pStyle w:val="TableText0"/>
              <w:keepLines/>
              <w:jc w:val="center"/>
              <w:rPr>
                <w:rStyle w:val="SmallBold"/>
                <w:rFonts w:ascii="Arial" w:hAnsi="Arial"/>
                <w:sz w:val="18"/>
              </w:rPr>
            </w:pPr>
            <w:r w:rsidRPr="00AB2C83">
              <w:rPr>
                <w:rStyle w:val="SmallBold"/>
                <w:rFonts w:ascii="Arial" w:hAnsi="Arial"/>
                <w:sz w:val="18"/>
              </w:rPr>
              <w:t>Palbociclib capsules</w:t>
            </w:r>
          </w:p>
          <w:p w:rsidR="0013557F" w:rsidRPr="00AB2C83" w:rsidRDefault="0013557F" w:rsidP="004D770E">
            <w:pPr>
              <w:pStyle w:val="TableText0"/>
              <w:keepLines/>
              <w:jc w:val="center"/>
              <w:rPr>
                <w:rStyle w:val="SmallBold"/>
                <w:rFonts w:ascii="Arial" w:hAnsi="Arial"/>
                <w:b w:val="0"/>
                <w:sz w:val="18"/>
              </w:rPr>
            </w:pPr>
            <w:r w:rsidRPr="00AB2C83">
              <w:rPr>
                <w:rStyle w:val="SmallBold"/>
                <w:rFonts w:ascii="Arial" w:hAnsi="Arial"/>
                <w:sz w:val="18"/>
              </w:rPr>
              <w:t>Effective AEMP*</w:t>
            </w:r>
          </w:p>
        </w:tc>
      </w:tr>
      <w:tr w:rsidR="00C73E89" w:rsidRPr="00AB2C83" w:rsidTr="00C73E89">
        <w:trPr>
          <w:trHeight w:val="198"/>
        </w:trPr>
        <w:tc>
          <w:tcPr>
            <w:tcW w:w="1221" w:type="dxa"/>
            <w:shd w:val="clear" w:color="auto" w:fill="FFFFFF" w:themeFill="background1"/>
          </w:tcPr>
          <w:p w:rsidR="00C73E89" w:rsidRPr="00514E33" w:rsidRDefault="00C73E89" w:rsidP="00C73E89">
            <w:pPr>
              <w:pStyle w:val="TableText0"/>
              <w:keepLines/>
              <w:jc w:val="center"/>
              <w:rPr>
                <w:rStyle w:val="SmallBold"/>
                <w:rFonts w:ascii="Arial" w:hAnsi="Arial"/>
                <w:b w:val="0"/>
                <w:sz w:val="18"/>
              </w:rPr>
            </w:pPr>
            <w:r w:rsidRPr="00AB2C83">
              <w:rPr>
                <w:rStyle w:val="SmallBold"/>
                <w:rFonts w:ascii="Arial" w:hAnsi="Arial"/>
                <w:b w:val="0"/>
                <w:sz w:val="18"/>
              </w:rPr>
              <w:t>75 mg, 21</w:t>
            </w:r>
          </w:p>
        </w:tc>
        <w:tc>
          <w:tcPr>
            <w:tcW w:w="1926" w:type="dxa"/>
            <w:shd w:val="clear" w:color="auto" w:fill="auto"/>
          </w:tcPr>
          <w:p w:rsidR="00C73E89" w:rsidRPr="00AB2C83" w:rsidRDefault="00C73E89" w:rsidP="00C73E89">
            <w:pPr>
              <w:pStyle w:val="TableText0"/>
              <w:keepLines/>
              <w:jc w:val="center"/>
              <w:rPr>
                <w:rStyle w:val="SmallBold"/>
                <w:rFonts w:ascii="Arial" w:hAnsi="Arial"/>
                <w:b w:val="0"/>
                <w:sz w:val="18"/>
              </w:rPr>
            </w:pPr>
            <w:r w:rsidRPr="00AB2C83">
              <w:rPr>
                <w:rStyle w:val="SmallBold"/>
                <w:rFonts w:ascii="Arial" w:hAnsi="Arial"/>
                <w:b w:val="0"/>
                <w:sz w:val="18"/>
              </w:rPr>
              <w:t>$4,087.85</w:t>
            </w:r>
          </w:p>
        </w:tc>
        <w:tc>
          <w:tcPr>
            <w:tcW w:w="1925" w:type="dxa"/>
            <w:shd w:val="clear" w:color="auto" w:fill="auto"/>
          </w:tcPr>
          <w:p w:rsidR="00C73E89" w:rsidRPr="00AB2C83" w:rsidRDefault="00C73E89" w:rsidP="00C73E89">
            <w:pPr>
              <w:pStyle w:val="TableText0"/>
              <w:keepLines/>
              <w:jc w:val="center"/>
              <w:rPr>
                <w:rStyle w:val="SmallBold"/>
                <w:rFonts w:ascii="Arial" w:hAnsi="Arial"/>
                <w:b w:val="0"/>
                <w:sz w:val="18"/>
              </w:rPr>
            </w:pPr>
            <w:r w:rsidRPr="00613753">
              <w:rPr>
                <w:rStyle w:val="SmallBold"/>
                <w:rFonts w:ascii="Arial" w:hAnsi="Arial"/>
                <w:b w:val="0"/>
                <w:sz w:val="18"/>
              </w:rPr>
              <w:t>$</w:t>
            </w:r>
            <w:r w:rsidR="000E7CAC">
              <w:rPr>
                <w:rStyle w:val="SmallBold"/>
                <w:rFonts w:ascii="Arial" w:hAnsi="Arial"/>
                <w:b w:val="0"/>
                <w:noProof/>
                <w:color w:val="000000"/>
                <w:sz w:val="18"/>
                <w:highlight w:val="black"/>
              </w:rPr>
              <w:t>'''''''''''''''''''''''</w:t>
            </w:r>
          </w:p>
        </w:tc>
        <w:tc>
          <w:tcPr>
            <w:tcW w:w="1926" w:type="dxa"/>
            <w:shd w:val="clear" w:color="auto" w:fill="auto"/>
          </w:tcPr>
          <w:p w:rsidR="00C73E89" w:rsidRPr="00AB2C83" w:rsidRDefault="00C73E89" w:rsidP="00C73E89">
            <w:pPr>
              <w:pStyle w:val="TableText0"/>
              <w:keepLines/>
              <w:jc w:val="center"/>
              <w:rPr>
                <w:rStyle w:val="SmallBold"/>
                <w:rFonts w:ascii="Arial" w:hAnsi="Arial"/>
                <w:b w:val="0"/>
                <w:sz w:val="18"/>
              </w:rPr>
            </w:pPr>
            <w:r w:rsidRPr="00AB2C83">
              <w:rPr>
                <w:rStyle w:val="SmallBold"/>
                <w:rFonts w:ascii="Arial" w:hAnsi="Arial"/>
                <w:b w:val="0"/>
                <w:sz w:val="18"/>
              </w:rPr>
              <w:t>$4,087.85</w:t>
            </w:r>
          </w:p>
        </w:tc>
        <w:tc>
          <w:tcPr>
            <w:tcW w:w="2074" w:type="dxa"/>
            <w:shd w:val="clear" w:color="auto" w:fill="auto"/>
          </w:tcPr>
          <w:p w:rsidR="00C73E89" w:rsidRPr="00AB2C83" w:rsidRDefault="00C73E89" w:rsidP="00C73E89">
            <w:pPr>
              <w:pStyle w:val="TableText0"/>
              <w:keepLines/>
              <w:jc w:val="center"/>
              <w:rPr>
                <w:rStyle w:val="SmallBold"/>
                <w:rFonts w:ascii="Arial" w:hAnsi="Arial"/>
                <w:b w:val="0"/>
                <w:sz w:val="18"/>
              </w:rPr>
            </w:pPr>
            <w:r w:rsidRPr="00613753">
              <w:rPr>
                <w:rStyle w:val="SmallBold"/>
                <w:rFonts w:ascii="Arial" w:hAnsi="Arial"/>
                <w:b w:val="0"/>
                <w:sz w:val="18"/>
              </w:rPr>
              <w:t>$</w:t>
            </w:r>
            <w:r w:rsidR="000E7CAC">
              <w:rPr>
                <w:rStyle w:val="SmallBold"/>
                <w:rFonts w:ascii="Arial" w:hAnsi="Arial"/>
                <w:b w:val="0"/>
                <w:noProof/>
                <w:color w:val="000000"/>
                <w:sz w:val="18"/>
                <w:highlight w:val="black"/>
              </w:rPr>
              <w:t>'''''''''''''''''''</w:t>
            </w:r>
          </w:p>
        </w:tc>
      </w:tr>
      <w:tr w:rsidR="00C73E89" w:rsidRPr="00AB2C83" w:rsidTr="00C73E89">
        <w:tc>
          <w:tcPr>
            <w:tcW w:w="1221" w:type="dxa"/>
            <w:shd w:val="clear" w:color="auto" w:fill="FFFFFF" w:themeFill="background1"/>
          </w:tcPr>
          <w:p w:rsidR="00C73E89" w:rsidRPr="00514E33" w:rsidRDefault="00C73E89" w:rsidP="00C73E89">
            <w:pPr>
              <w:pStyle w:val="TableText0"/>
              <w:keepLines/>
              <w:jc w:val="center"/>
              <w:rPr>
                <w:rStyle w:val="SmallBold"/>
                <w:rFonts w:ascii="Arial" w:hAnsi="Arial"/>
                <w:b w:val="0"/>
                <w:sz w:val="18"/>
              </w:rPr>
            </w:pPr>
            <w:r w:rsidRPr="00AB2C83">
              <w:rPr>
                <w:rStyle w:val="SmallBold"/>
                <w:rFonts w:ascii="Arial" w:hAnsi="Arial"/>
                <w:b w:val="0"/>
                <w:sz w:val="18"/>
              </w:rPr>
              <w:t>100 mg, 21</w:t>
            </w:r>
          </w:p>
        </w:tc>
        <w:tc>
          <w:tcPr>
            <w:tcW w:w="1926" w:type="dxa"/>
            <w:shd w:val="clear" w:color="auto" w:fill="auto"/>
          </w:tcPr>
          <w:p w:rsidR="00C73E89" w:rsidRPr="00AB2C83" w:rsidRDefault="00C73E89" w:rsidP="00C73E89">
            <w:pPr>
              <w:pStyle w:val="TableText0"/>
              <w:keepLines/>
              <w:jc w:val="center"/>
              <w:rPr>
                <w:rStyle w:val="SmallBold"/>
                <w:rFonts w:ascii="Arial" w:hAnsi="Arial"/>
                <w:b w:val="0"/>
                <w:sz w:val="18"/>
              </w:rPr>
            </w:pPr>
            <w:r w:rsidRPr="0013467C">
              <w:rPr>
                <w:color w:val="000000"/>
                <w:szCs w:val="20"/>
                <w:lang w:eastAsia="zh-CN"/>
              </w:rPr>
              <w:t>$4,087.85</w:t>
            </w:r>
          </w:p>
        </w:tc>
        <w:tc>
          <w:tcPr>
            <w:tcW w:w="1925" w:type="dxa"/>
            <w:shd w:val="clear" w:color="auto" w:fill="auto"/>
          </w:tcPr>
          <w:p w:rsidR="00C73E89" w:rsidRPr="00AB2C83" w:rsidRDefault="00C73E89" w:rsidP="00C73E89">
            <w:pPr>
              <w:pStyle w:val="TableText0"/>
              <w:keepLines/>
              <w:jc w:val="center"/>
              <w:rPr>
                <w:rStyle w:val="SmallBold"/>
                <w:rFonts w:ascii="Arial" w:hAnsi="Arial"/>
                <w:b w:val="0"/>
                <w:sz w:val="18"/>
              </w:rPr>
            </w:pPr>
            <w:r w:rsidRPr="00613753">
              <w:rPr>
                <w:color w:val="000000"/>
                <w:szCs w:val="20"/>
              </w:rPr>
              <w:t>$</w:t>
            </w:r>
            <w:r w:rsidR="000E7CAC">
              <w:rPr>
                <w:noProof/>
                <w:color w:val="000000"/>
                <w:szCs w:val="20"/>
                <w:highlight w:val="black"/>
              </w:rPr>
              <w:t>'''''''''''''''''''</w:t>
            </w:r>
          </w:p>
        </w:tc>
        <w:tc>
          <w:tcPr>
            <w:tcW w:w="1926" w:type="dxa"/>
            <w:shd w:val="clear" w:color="auto" w:fill="auto"/>
          </w:tcPr>
          <w:p w:rsidR="00C73E89" w:rsidRPr="00AB2C83" w:rsidRDefault="00C73E89" w:rsidP="00C73E89">
            <w:pPr>
              <w:pStyle w:val="TableText0"/>
              <w:keepLines/>
              <w:jc w:val="center"/>
              <w:rPr>
                <w:rStyle w:val="SmallBold"/>
                <w:rFonts w:ascii="Arial" w:hAnsi="Arial"/>
                <w:b w:val="0"/>
                <w:sz w:val="18"/>
              </w:rPr>
            </w:pPr>
            <w:r w:rsidRPr="0013467C">
              <w:rPr>
                <w:color w:val="000000"/>
                <w:szCs w:val="20"/>
                <w:lang w:eastAsia="zh-CN"/>
              </w:rPr>
              <w:t>$4,087.85</w:t>
            </w:r>
          </w:p>
        </w:tc>
        <w:tc>
          <w:tcPr>
            <w:tcW w:w="2074" w:type="dxa"/>
            <w:shd w:val="clear" w:color="auto" w:fill="auto"/>
          </w:tcPr>
          <w:p w:rsidR="00C73E89" w:rsidRPr="00AB2C83" w:rsidRDefault="00C73E89" w:rsidP="00C73E89">
            <w:pPr>
              <w:pStyle w:val="TableText0"/>
              <w:keepLines/>
              <w:jc w:val="center"/>
              <w:rPr>
                <w:rStyle w:val="SmallBold"/>
                <w:rFonts w:ascii="Arial" w:hAnsi="Arial"/>
                <w:b w:val="0"/>
                <w:sz w:val="18"/>
              </w:rPr>
            </w:pPr>
            <w:r w:rsidRPr="00613753">
              <w:rPr>
                <w:color w:val="000000"/>
                <w:szCs w:val="20"/>
              </w:rPr>
              <w:t>$</w:t>
            </w:r>
            <w:r w:rsidR="000E7CAC">
              <w:rPr>
                <w:noProof/>
                <w:color w:val="000000"/>
                <w:szCs w:val="20"/>
                <w:highlight w:val="black"/>
              </w:rPr>
              <w:t>''''''''''''''''''''</w:t>
            </w:r>
          </w:p>
        </w:tc>
      </w:tr>
      <w:tr w:rsidR="00C73E89" w:rsidRPr="00AB2C83" w:rsidTr="00C73E89">
        <w:tc>
          <w:tcPr>
            <w:tcW w:w="1221" w:type="dxa"/>
            <w:shd w:val="clear" w:color="auto" w:fill="FFFFFF" w:themeFill="background1"/>
          </w:tcPr>
          <w:p w:rsidR="00C73E89" w:rsidRPr="00514E33" w:rsidRDefault="00C73E89" w:rsidP="00C73E89">
            <w:pPr>
              <w:pStyle w:val="TableText0"/>
              <w:keepLines/>
              <w:jc w:val="center"/>
              <w:rPr>
                <w:rStyle w:val="SmallBold"/>
                <w:rFonts w:ascii="Arial" w:hAnsi="Arial"/>
                <w:b w:val="0"/>
                <w:sz w:val="18"/>
              </w:rPr>
            </w:pPr>
            <w:r w:rsidRPr="00AB2C83">
              <w:rPr>
                <w:rStyle w:val="SmallBold"/>
                <w:rFonts w:ascii="Arial" w:hAnsi="Arial"/>
                <w:b w:val="0"/>
                <w:sz w:val="18"/>
              </w:rPr>
              <w:t>125 mg, 21</w:t>
            </w:r>
          </w:p>
        </w:tc>
        <w:tc>
          <w:tcPr>
            <w:tcW w:w="1926" w:type="dxa"/>
            <w:shd w:val="clear" w:color="auto" w:fill="auto"/>
          </w:tcPr>
          <w:p w:rsidR="00C73E89" w:rsidRPr="00AB2C83" w:rsidRDefault="00C73E89" w:rsidP="00C73E89">
            <w:pPr>
              <w:pStyle w:val="TableText0"/>
              <w:keepLines/>
              <w:jc w:val="center"/>
              <w:rPr>
                <w:rStyle w:val="SmallBold"/>
                <w:rFonts w:ascii="Arial" w:hAnsi="Arial"/>
                <w:b w:val="0"/>
                <w:sz w:val="18"/>
              </w:rPr>
            </w:pPr>
            <w:r w:rsidRPr="0013467C">
              <w:rPr>
                <w:color w:val="000000"/>
                <w:szCs w:val="20"/>
                <w:lang w:eastAsia="zh-CN"/>
              </w:rPr>
              <w:t>$4,087.85</w:t>
            </w:r>
          </w:p>
        </w:tc>
        <w:tc>
          <w:tcPr>
            <w:tcW w:w="1925" w:type="dxa"/>
            <w:shd w:val="clear" w:color="auto" w:fill="auto"/>
          </w:tcPr>
          <w:p w:rsidR="00C73E89" w:rsidRPr="00AB2C83" w:rsidRDefault="00C73E89" w:rsidP="00C73E89">
            <w:pPr>
              <w:pStyle w:val="TableText0"/>
              <w:keepLines/>
              <w:jc w:val="center"/>
              <w:rPr>
                <w:rStyle w:val="SmallBold"/>
                <w:rFonts w:ascii="Arial" w:hAnsi="Arial"/>
                <w:b w:val="0"/>
                <w:sz w:val="18"/>
              </w:rPr>
            </w:pPr>
            <w:r w:rsidRPr="00613753">
              <w:rPr>
                <w:color w:val="000000"/>
                <w:szCs w:val="20"/>
              </w:rPr>
              <w:t>$</w:t>
            </w:r>
            <w:r w:rsidR="000E7CAC">
              <w:rPr>
                <w:noProof/>
                <w:color w:val="000000"/>
                <w:szCs w:val="20"/>
                <w:highlight w:val="black"/>
              </w:rPr>
              <w:t>'''''''''''''''''''''</w:t>
            </w:r>
          </w:p>
        </w:tc>
        <w:tc>
          <w:tcPr>
            <w:tcW w:w="1926" w:type="dxa"/>
            <w:shd w:val="clear" w:color="auto" w:fill="auto"/>
          </w:tcPr>
          <w:p w:rsidR="00C73E89" w:rsidRPr="00AB2C83" w:rsidRDefault="00C73E89" w:rsidP="00C73E89">
            <w:pPr>
              <w:pStyle w:val="TableText0"/>
              <w:keepLines/>
              <w:jc w:val="center"/>
              <w:rPr>
                <w:rStyle w:val="SmallBold"/>
                <w:rFonts w:ascii="Arial" w:hAnsi="Arial"/>
                <w:b w:val="0"/>
                <w:sz w:val="18"/>
              </w:rPr>
            </w:pPr>
            <w:r w:rsidRPr="0013467C">
              <w:rPr>
                <w:color w:val="000000"/>
                <w:szCs w:val="20"/>
                <w:lang w:eastAsia="zh-CN"/>
              </w:rPr>
              <w:t>$4,087.85</w:t>
            </w:r>
          </w:p>
        </w:tc>
        <w:tc>
          <w:tcPr>
            <w:tcW w:w="2074" w:type="dxa"/>
            <w:shd w:val="clear" w:color="auto" w:fill="auto"/>
          </w:tcPr>
          <w:p w:rsidR="00C73E89" w:rsidRPr="00AB2C83" w:rsidRDefault="00C73E89" w:rsidP="00C73E89">
            <w:pPr>
              <w:pStyle w:val="TableText0"/>
              <w:keepLines/>
              <w:jc w:val="center"/>
              <w:rPr>
                <w:rStyle w:val="SmallBold"/>
                <w:rFonts w:ascii="Arial" w:hAnsi="Arial"/>
                <w:b w:val="0"/>
                <w:sz w:val="18"/>
              </w:rPr>
            </w:pPr>
            <w:r w:rsidRPr="00613753">
              <w:rPr>
                <w:color w:val="000000"/>
                <w:szCs w:val="20"/>
              </w:rPr>
              <w:t>$</w:t>
            </w:r>
            <w:r w:rsidR="000E7CAC">
              <w:rPr>
                <w:noProof/>
                <w:color w:val="000000"/>
                <w:szCs w:val="20"/>
                <w:highlight w:val="black"/>
              </w:rPr>
              <w:t>''''''''''''''''''''''</w:t>
            </w:r>
          </w:p>
        </w:tc>
      </w:tr>
    </w:tbl>
    <w:p w:rsidR="0013557F" w:rsidRPr="00AB2C83" w:rsidRDefault="00DE77FB" w:rsidP="00F72A5F">
      <w:pPr>
        <w:pStyle w:val="TextUnderTable"/>
        <w:spacing w:before="0" w:after="0"/>
        <w:rPr>
          <w:rFonts w:ascii="Arial Narrow" w:hAnsi="Arial Narrow"/>
          <w:i w:val="0"/>
          <w:sz w:val="18"/>
          <w:szCs w:val="18"/>
        </w:rPr>
      </w:pPr>
      <w:r w:rsidRPr="00AB2C83">
        <w:rPr>
          <w:rFonts w:ascii="Arial Narrow" w:hAnsi="Arial Narrow"/>
          <w:i w:val="0"/>
          <w:sz w:val="18"/>
          <w:szCs w:val="18"/>
        </w:rPr>
        <w:t>*</w:t>
      </w:r>
      <w:r w:rsidR="0013557F" w:rsidRPr="00AB2C83">
        <w:rPr>
          <w:rFonts w:ascii="Arial Narrow" w:hAnsi="Arial Narrow"/>
          <w:i w:val="0"/>
          <w:sz w:val="18"/>
          <w:szCs w:val="18"/>
        </w:rPr>
        <w:t>Effective AEMP: Commercial in Confidence</w:t>
      </w:r>
    </w:p>
    <w:p w:rsidR="00EB7AC7" w:rsidRPr="00EB7AC7" w:rsidRDefault="0013557F" w:rsidP="00F72A5F">
      <w:pPr>
        <w:pStyle w:val="3Bodytext"/>
        <w:spacing w:after="0"/>
        <w:rPr>
          <w:i/>
          <w:iCs/>
        </w:rPr>
      </w:pPr>
      <w:r w:rsidRPr="00AB2C83">
        <w:rPr>
          <w:rFonts w:ascii="Arial Narrow" w:hAnsi="Arial Narrow"/>
          <w:sz w:val="18"/>
          <w:szCs w:val="18"/>
        </w:rPr>
        <w:t>Source: Table 2 of the submission of the submission.</w:t>
      </w:r>
    </w:p>
    <w:p w:rsidR="00817EF6" w:rsidRPr="00F72A5F" w:rsidRDefault="00817EF6" w:rsidP="00EB7AC7">
      <w:pPr>
        <w:pStyle w:val="3Bodytext"/>
        <w:numPr>
          <w:ilvl w:val="0"/>
          <w:numId w:val="0"/>
        </w:numPr>
        <w:spacing w:after="0"/>
        <w:ind w:left="720"/>
        <w:rPr>
          <w:i/>
          <w:iCs/>
        </w:rPr>
      </w:pPr>
      <w:r w:rsidRPr="00A65007">
        <w:rPr>
          <w:i/>
        </w:rPr>
        <w:t>For more detail on PBAC’s view, see section 5 PBAC outcome</w:t>
      </w:r>
      <w:r w:rsidRPr="00F72A5F">
        <w:rPr>
          <w:i/>
          <w:iCs/>
        </w:rPr>
        <w:t>.</w:t>
      </w:r>
    </w:p>
    <w:p w:rsidR="00817EF6" w:rsidRPr="00AB2C83" w:rsidRDefault="00817EF6" w:rsidP="00817EF6">
      <w:pPr>
        <w:pStyle w:val="2-SectionHeading"/>
        <w:rPr>
          <w:rFonts w:eastAsiaTheme="minorHAnsi"/>
        </w:rPr>
      </w:pPr>
      <w:r w:rsidRPr="00AB2C83">
        <w:t>PBAC Outcome</w:t>
      </w:r>
    </w:p>
    <w:p w:rsidR="00817EF6" w:rsidRPr="00AB2C83" w:rsidRDefault="00993E46" w:rsidP="00993E46">
      <w:pPr>
        <w:pStyle w:val="3Bodytext"/>
      </w:pPr>
      <w:bookmarkStart w:id="9" w:name="_Hlk78441276"/>
      <w:r w:rsidRPr="0013467C">
        <w:rPr>
          <w:rFonts w:cs="Arial"/>
          <w:bCs/>
          <w:snapToGrid w:val="0"/>
        </w:rPr>
        <w:t xml:space="preserve">The PBAC recommended listing </w:t>
      </w:r>
      <w:r w:rsidR="00B942DA" w:rsidRPr="00AB2C83">
        <w:rPr>
          <w:rFonts w:cstheme="minorHAnsi"/>
          <w:szCs w:val="24"/>
        </w:rPr>
        <w:t>palbociclib</w:t>
      </w:r>
      <w:r w:rsidRPr="00AB2C83">
        <w:rPr>
          <w:rFonts w:cstheme="minorHAnsi"/>
          <w:szCs w:val="24"/>
        </w:rPr>
        <w:t xml:space="preserve"> 75 mg, 100 mg and 125 mg tablets</w:t>
      </w:r>
      <w:r w:rsidR="00BF64F5" w:rsidRPr="00AB2C83">
        <w:rPr>
          <w:rFonts w:cstheme="minorHAnsi"/>
          <w:szCs w:val="24"/>
        </w:rPr>
        <w:t xml:space="preserve"> as General Schedule Authority Required benefits with</w:t>
      </w:r>
      <w:r w:rsidRPr="00AB2C83">
        <w:rPr>
          <w:rFonts w:cstheme="minorHAnsi"/>
          <w:szCs w:val="24"/>
        </w:rPr>
        <w:t xml:space="preserve"> the same </w:t>
      </w:r>
      <w:r w:rsidR="00BF64F5" w:rsidRPr="00AB2C83">
        <w:rPr>
          <w:rFonts w:cstheme="minorHAnsi"/>
          <w:szCs w:val="24"/>
        </w:rPr>
        <w:t xml:space="preserve">circumstances of use </w:t>
      </w:r>
      <w:r w:rsidRPr="00AB2C83">
        <w:rPr>
          <w:rFonts w:cstheme="minorHAnsi"/>
          <w:szCs w:val="24"/>
        </w:rPr>
        <w:t>as</w:t>
      </w:r>
      <w:r w:rsidR="00AB2C83">
        <w:rPr>
          <w:rFonts w:cstheme="minorHAnsi"/>
          <w:szCs w:val="24"/>
        </w:rPr>
        <w:t xml:space="preserve"> </w:t>
      </w:r>
      <w:r w:rsidRPr="00AB2C83">
        <w:rPr>
          <w:rFonts w:cstheme="minorHAnsi"/>
          <w:szCs w:val="24"/>
        </w:rPr>
        <w:t>palbociclib capsules.</w:t>
      </w:r>
    </w:p>
    <w:bookmarkEnd w:id="9"/>
    <w:p w:rsidR="005B53C0" w:rsidRPr="00AB2C83" w:rsidRDefault="005B53C0" w:rsidP="005B53C0">
      <w:pPr>
        <w:pStyle w:val="3Bodytext"/>
        <w:rPr>
          <w:snapToGrid w:val="0"/>
        </w:rPr>
      </w:pPr>
      <w:r w:rsidRPr="00AB2C83">
        <w:rPr>
          <w:snapToGrid w:val="0"/>
        </w:rPr>
        <w:t>The PBAC considered the proposed price of pa</w:t>
      </w:r>
      <w:r w:rsidR="0005342E" w:rsidRPr="00AB2C83">
        <w:rPr>
          <w:snapToGrid w:val="0"/>
        </w:rPr>
        <w:t>l</w:t>
      </w:r>
      <w:r w:rsidRPr="00AB2C83">
        <w:rPr>
          <w:snapToGrid w:val="0"/>
        </w:rPr>
        <w:t>bociclib tablets, which was the same as the capsules, was appropriate.</w:t>
      </w:r>
      <w:r w:rsidRPr="00AB2C83">
        <w:rPr>
          <w:rFonts w:cstheme="minorHAnsi"/>
          <w:szCs w:val="24"/>
        </w:rPr>
        <w:t xml:space="preserve"> The PBAC considered that the</w:t>
      </w:r>
      <w:r w:rsidR="00AB2C83">
        <w:rPr>
          <w:rFonts w:cstheme="minorHAnsi"/>
          <w:szCs w:val="24"/>
        </w:rPr>
        <w:t xml:space="preserve"> </w:t>
      </w:r>
      <w:r w:rsidR="00BF64F5" w:rsidRPr="00AB2C83">
        <w:rPr>
          <w:rFonts w:cstheme="minorHAnsi"/>
          <w:szCs w:val="24"/>
        </w:rPr>
        <w:t>palbociclib</w:t>
      </w:r>
      <w:r w:rsidRPr="00AB2C83">
        <w:rPr>
          <w:rFonts w:cstheme="minorHAnsi"/>
          <w:szCs w:val="24"/>
        </w:rPr>
        <w:t xml:space="preserve"> tablets and </w:t>
      </w:r>
      <w:r w:rsidR="00BF64F5" w:rsidRPr="00AB2C83">
        <w:rPr>
          <w:rFonts w:cstheme="minorHAnsi"/>
          <w:szCs w:val="24"/>
        </w:rPr>
        <w:t xml:space="preserve">palbociclib </w:t>
      </w:r>
      <w:r w:rsidRPr="00AB2C83">
        <w:rPr>
          <w:rFonts w:cstheme="minorHAnsi"/>
          <w:szCs w:val="24"/>
        </w:rPr>
        <w:t xml:space="preserve">capsules </w:t>
      </w:r>
      <w:r w:rsidR="00BF64F5" w:rsidRPr="00AB2C83">
        <w:rPr>
          <w:rFonts w:cstheme="minorHAnsi"/>
          <w:szCs w:val="24"/>
        </w:rPr>
        <w:t xml:space="preserve">(for the equivalent strengths) </w:t>
      </w:r>
      <w:r w:rsidRPr="00AB2C83">
        <w:rPr>
          <w:rFonts w:cstheme="minorHAnsi"/>
          <w:szCs w:val="24"/>
        </w:rPr>
        <w:t xml:space="preserve">were bioequivalent and equi-effective on a milligram for milligram basis. </w:t>
      </w:r>
    </w:p>
    <w:p w:rsidR="005B53C0" w:rsidRPr="00AB2C83" w:rsidRDefault="005B53C0" w:rsidP="005B53C0">
      <w:pPr>
        <w:pStyle w:val="3Bodytext"/>
        <w:jc w:val="both"/>
        <w:rPr>
          <w:snapToGrid w:val="0"/>
        </w:rPr>
      </w:pPr>
      <w:r w:rsidRPr="00AB2C83">
        <w:rPr>
          <w:snapToGrid w:val="0"/>
        </w:rPr>
        <w:t xml:space="preserve">The PBAC noted that the sponsor </w:t>
      </w:r>
      <w:r w:rsidRPr="00AB2C83">
        <w:rPr>
          <w:rFonts w:cstheme="minorHAnsi"/>
          <w:szCs w:val="24"/>
        </w:rPr>
        <w:t xml:space="preserve">intends to discontinue the capsules and supply </w:t>
      </w:r>
      <w:r w:rsidR="00BF64F5" w:rsidRPr="00AB2C83">
        <w:rPr>
          <w:rFonts w:cstheme="minorHAnsi"/>
          <w:szCs w:val="24"/>
        </w:rPr>
        <w:t xml:space="preserve">the </w:t>
      </w:r>
      <w:r w:rsidRPr="00AB2C83">
        <w:rPr>
          <w:rFonts w:cstheme="minorHAnsi"/>
          <w:szCs w:val="24"/>
        </w:rPr>
        <w:t>tablets</w:t>
      </w:r>
      <w:r w:rsidR="00BF64F5" w:rsidRPr="00AB2C83">
        <w:rPr>
          <w:rFonts w:cstheme="minorHAnsi"/>
          <w:szCs w:val="24"/>
        </w:rPr>
        <w:t xml:space="preserve"> in place of the capsules</w:t>
      </w:r>
      <w:r w:rsidRPr="00AB2C83">
        <w:rPr>
          <w:rFonts w:cstheme="minorHAnsi"/>
          <w:szCs w:val="24"/>
        </w:rPr>
        <w:t>.</w:t>
      </w:r>
      <w:r w:rsidRPr="00AB2C83">
        <w:rPr>
          <w:snapToGrid w:val="0"/>
        </w:rPr>
        <w:t xml:space="preserve"> </w:t>
      </w:r>
      <w:r w:rsidR="00BF64F5" w:rsidRPr="00AB2C83">
        <w:rPr>
          <w:rFonts w:cstheme="minorHAnsi"/>
          <w:szCs w:val="24"/>
        </w:rPr>
        <w:t>T</w:t>
      </w:r>
      <w:r w:rsidRPr="00AB2C83">
        <w:rPr>
          <w:rFonts w:cstheme="minorHAnsi"/>
          <w:szCs w:val="24"/>
        </w:rPr>
        <w:t>herefore</w:t>
      </w:r>
      <w:r w:rsidR="0013467C">
        <w:rPr>
          <w:rFonts w:cstheme="minorHAnsi"/>
          <w:szCs w:val="24"/>
        </w:rPr>
        <w:t>,</w:t>
      </w:r>
      <w:r w:rsidRPr="00AB2C83">
        <w:rPr>
          <w:rFonts w:cstheme="minorHAnsi"/>
          <w:szCs w:val="24"/>
        </w:rPr>
        <w:t xml:space="preserve"> </w:t>
      </w:r>
      <w:r w:rsidR="00BF64F5" w:rsidRPr="00AB2C83">
        <w:rPr>
          <w:rFonts w:cstheme="minorHAnsi"/>
          <w:szCs w:val="24"/>
        </w:rPr>
        <w:t xml:space="preserve">PBS </w:t>
      </w:r>
      <w:r w:rsidR="00AB2C83" w:rsidRPr="00AB2C83">
        <w:rPr>
          <w:rFonts w:cstheme="minorHAnsi"/>
          <w:szCs w:val="24"/>
        </w:rPr>
        <w:t>utilisation of</w:t>
      </w:r>
      <w:r w:rsidRPr="00AB2C83">
        <w:rPr>
          <w:rFonts w:cstheme="minorHAnsi"/>
          <w:szCs w:val="24"/>
        </w:rPr>
        <w:t xml:space="preserve"> palbociclib</w:t>
      </w:r>
      <w:r w:rsidR="00BF64F5" w:rsidRPr="00AB2C83">
        <w:rPr>
          <w:rFonts w:cstheme="minorHAnsi"/>
          <w:szCs w:val="24"/>
        </w:rPr>
        <w:t xml:space="preserve"> is not expected to change as a direct result of listing the tablets and PBS expenditure is not expected to change given no change in price</w:t>
      </w:r>
      <w:r w:rsidRPr="00AB2C83">
        <w:rPr>
          <w:rFonts w:cstheme="minorHAnsi"/>
          <w:szCs w:val="24"/>
        </w:rPr>
        <w:t>.</w:t>
      </w:r>
    </w:p>
    <w:p w:rsidR="005B53C0" w:rsidRPr="00AB2C83" w:rsidRDefault="005B53C0" w:rsidP="005B53C0">
      <w:pPr>
        <w:pStyle w:val="3Bodytext"/>
        <w:rPr>
          <w:snapToGrid w:val="0"/>
        </w:rPr>
      </w:pPr>
      <w:r w:rsidRPr="00AB2C83">
        <w:rPr>
          <w:snapToGrid w:val="0"/>
        </w:rPr>
        <w:t>The PBAC advised, under Section 101(4AACD) of the Act, that</w:t>
      </w:r>
      <w:r w:rsidR="00AB2C83">
        <w:rPr>
          <w:rFonts w:cstheme="minorHAnsi"/>
          <w:szCs w:val="24"/>
        </w:rPr>
        <w:t xml:space="preserve"> </w:t>
      </w:r>
      <w:r w:rsidR="00C5739E" w:rsidRPr="00AB2C83">
        <w:rPr>
          <w:rFonts w:cstheme="minorHAnsi"/>
          <w:szCs w:val="24"/>
        </w:rPr>
        <w:t>palbociclib</w:t>
      </w:r>
      <w:r w:rsidRPr="00AB2C83">
        <w:rPr>
          <w:rFonts w:cstheme="minorHAnsi"/>
        </w:rPr>
        <w:t xml:space="preserve"> </w:t>
      </w:r>
      <w:r w:rsidR="000C4C51">
        <w:rPr>
          <w:rFonts w:cstheme="minorHAnsi"/>
        </w:rPr>
        <w:t xml:space="preserve">(Ibrance®) </w:t>
      </w:r>
      <w:r w:rsidRPr="00AB2C83">
        <w:rPr>
          <w:rFonts w:cstheme="minorHAnsi"/>
        </w:rPr>
        <w:t xml:space="preserve">tablets and </w:t>
      </w:r>
      <w:r w:rsidR="00C5739E" w:rsidRPr="00AB2C83">
        <w:rPr>
          <w:rFonts w:cstheme="minorHAnsi"/>
          <w:szCs w:val="24"/>
        </w:rPr>
        <w:t xml:space="preserve">the corresponding strengths of </w:t>
      </w:r>
      <w:r w:rsidR="000C4C51">
        <w:rPr>
          <w:rFonts w:cstheme="minorHAnsi"/>
          <w:szCs w:val="24"/>
        </w:rPr>
        <w:t>Palbociclib (Ibrance®)</w:t>
      </w:r>
      <w:r w:rsidR="00C5739E" w:rsidRPr="00AB2C83">
        <w:rPr>
          <w:rFonts w:cstheme="minorHAnsi"/>
          <w:szCs w:val="24"/>
        </w:rPr>
        <w:t xml:space="preserve"> </w:t>
      </w:r>
      <w:r w:rsidRPr="00AB2C83">
        <w:rPr>
          <w:rFonts w:cstheme="minorHAnsi"/>
        </w:rPr>
        <w:t>capsules</w:t>
      </w:r>
      <w:r w:rsidRPr="00AB2C83">
        <w:rPr>
          <w:snapToGrid w:val="0"/>
        </w:rPr>
        <w:t xml:space="preserve"> should be considered equivalent for the purposes of substitution (i.e. ‘a’ flagged in the Schedule). </w:t>
      </w:r>
    </w:p>
    <w:p w:rsidR="00B942DA" w:rsidRPr="00AB2C83" w:rsidRDefault="00B942DA" w:rsidP="00B942DA">
      <w:pPr>
        <w:pStyle w:val="3Bodytext"/>
        <w:jc w:val="both"/>
        <w:rPr>
          <w:b/>
          <w:bCs/>
        </w:rPr>
      </w:pPr>
      <w:r w:rsidRPr="00AB2C83">
        <w:t xml:space="preserve">The PBAC advised that, because </w:t>
      </w:r>
      <w:r w:rsidR="00C5739E" w:rsidRPr="00AB2C83">
        <w:rPr>
          <w:rFonts w:cstheme="minorHAnsi"/>
          <w:szCs w:val="24"/>
        </w:rPr>
        <w:t xml:space="preserve">palbociclib </w:t>
      </w:r>
      <w:r w:rsidRPr="00AB2C83">
        <w:rPr>
          <w:rFonts w:cstheme="minorHAnsi"/>
          <w:szCs w:val="24"/>
        </w:rPr>
        <w:t>tablets are</w:t>
      </w:r>
      <w:r w:rsidRPr="00AB2C83">
        <w:t xml:space="preserve"> not expected to provide a substantial</w:t>
      </w:r>
      <w:r w:rsidRPr="00AB2C83">
        <w:rPr>
          <w:bCs/>
        </w:rPr>
        <w:t xml:space="preserve"> and clinically relevant improvement in efficacy, or reduction of toxicity, over </w:t>
      </w:r>
      <w:r w:rsidR="00C5739E" w:rsidRPr="00AB2C83">
        <w:rPr>
          <w:rFonts w:cstheme="minorHAnsi"/>
          <w:szCs w:val="24"/>
        </w:rPr>
        <w:t xml:space="preserve">palbociclib </w:t>
      </w:r>
      <w:r w:rsidRPr="00AB2C83">
        <w:rPr>
          <w:rFonts w:cstheme="minorHAnsi"/>
          <w:szCs w:val="24"/>
        </w:rPr>
        <w:t>capsules</w:t>
      </w:r>
      <w:r w:rsidRPr="00AB2C83">
        <w:rPr>
          <w:bCs/>
        </w:rPr>
        <w:t xml:space="preserve">, or not expected to address a high and urgent unmet clinical need given the presence of an alternative therapy, the criteria prescribed by the </w:t>
      </w:r>
      <w:r w:rsidRPr="00AB2C83">
        <w:rPr>
          <w:bCs/>
          <w:i/>
        </w:rPr>
        <w:t>National Health (Pharmaceuticals and Vaccines – Cost Recovery) Regulations 2009</w:t>
      </w:r>
      <w:r w:rsidRPr="00AB2C83">
        <w:rPr>
          <w:bCs/>
        </w:rPr>
        <w:t xml:space="preserve"> for Pricing Pathway A were not met.</w:t>
      </w:r>
    </w:p>
    <w:p w:rsidR="00B942DA" w:rsidRPr="00AB2C83" w:rsidRDefault="00B942DA" w:rsidP="00B942DA">
      <w:pPr>
        <w:pStyle w:val="3Bodytext"/>
        <w:jc w:val="both"/>
        <w:rPr>
          <w:rFonts w:cs="Arial"/>
          <w:bCs/>
          <w:i/>
          <w:snapToGrid w:val="0"/>
        </w:rPr>
      </w:pPr>
      <w:r w:rsidRPr="00AB2C83">
        <w:rPr>
          <w:rFonts w:cs="Arial"/>
          <w:bCs/>
          <w:snapToGrid w:val="0"/>
        </w:rPr>
        <w:t xml:space="preserve">The PBAC noted that this submission is not eligible for an Independent Review because it received a positive recommendation. </w:t>
      </w:r>
    </w:p>
    <w:p w:rsidR="00E20160" w:rsidRPr="000C4C51" w:rsidRDefault="00E20160" w:rsidP="00EB7AC7">
      <w:pPr>
        <w:spacing w:before="240"/>
        <w:rPr>
          <w:rFonts w:asciiTheme="minorHAnsi" w:hAnsiTheme="minorHAnsi" w:cs="Arial"/>
          <w:b/>
          <w:bCs/>
          <w:snapToGrid w:val="0"/>
        </w:rPr>
      </w:pPr>
      <w:r w:rsidRPr="000C4C51">
        <w:rPr>
          <w:rFonts w:asciiTheme="minorHAnsi" w:hAnsiTheme="minorHAnsi" w:cs="Arial"/>
          <w:b/>
          <w:bCs/>
          <w:snapToGrid w:val="0"/>
        </w:rPr>
        <w:t>Outcome:</w:t>
      </w:r>
    </w:p>
    <w:p w:rsidR="00E20160" w:rsidRPr="000C4C51" w:rsidRDefault="00E20160" w:rsidP="00EB7AC7">
      <w:pPr>
        <w:spacing w:after="240"/>
        <w:rPr>
          <w:rFonts w:asciiTheme="minorHAnsi" w:hAnsiTheme="minorHAnsi" w:cs="Arial"/>
          <w:bCs/>
          <w:snapToGrid w:val="0"/>
        </w:rPr>
      </w:pPr>
      <w:r w:rsidRPr="000C4C51">
        <w:rPr>
          <w:rFonts w:asciiTheme="minorHAnsi" w:hAnsiTheme="minorHAnsi" w:cs="Arial"/>
          <w:bCs/>
          <w:snapToGrid w:val="0"/>
        </w:rPr>
        <w:t>Recommended</w:t>
      </w:r>
    </w:p>
    <w:p w:rsidR="00E20160" w:rsidRPr="000C4C51" w:rsidRDefault="00E20160" w:rsidP="00F72A5F">
      <w:pPr>
        <w:widowControl w:val="0"/>
        <w:numPr>
          <w:ilvl w:val="0"/>
          <w:numId w:val="3"/>
        </w:numPr>
        <w:spacing w:after="120"/>
        <w:rPr>
          <w:rFonts w:asciiTheme="minorHAnsi" w:hAnsiTheme="minorHAnsi" w:cs="Arial"/>
          <w:b/>
          <w:bCs/>
          <w:i/>
          <w:snapToGrid w:val="0"/>
          <w:sz w:val="32"/>
        </w:rPr>
      </w:pPr>
      <w:r w:rsidRPr="000C4C51">
        <w:rPr>
          <w:rFonts w:asciiTheme="minorHAnsi" w:hAnsiTheme="minorHAnsi" w:cs="Arial"/>
          <w:b/>
          <w:bCs/>
          <w:snapToGrid w:val="0"/>
          <w:sz w:val="32"/>
        </w:rPr>
        <w:t>Recommended listing</w:t>
      </w:r>
    </w:p>
    <w:p w:rsidR="004D770E" w:rsidRPr="000C4C51" w:rsidRDefault="001E30F9" w:rsidP="004D770E">
      <w:pPr>
        <w:pStyle w:val="3Bodytext"/>
        <w:rPr>
          <w:snapToGrid w:val="0"/>
        </w:rPr>
      </w:pPr>
      <w:r w:rsidRPr="00AB2C83">
        <w:rPr>
          <w:snapToGrid w:val="0"/>
          <w:lang w:eastAsia="en-US"/>
        </w:rPr>
        <w:t>Add three new medicinal product packs (75 mg, 21, 100 mg, 21, and 125 mg, 21 tablets) as</w:t>
      </w:r>
      <w:r w:rsidR="00C5739E" w:rsidRPr="00AB2C83">
        <w:rPr>
          <w:snapToGrid w:val="0"/>
          <w:lang w:eastAsia="en-US"/>
        </w:rPr>
        <w:t xml:space="preserve"> shown below</w:t>
      </w:r>
      <w:r w:rsidRPr="00AB2C83">
        <w:rPr>
          <w:snapToGrid w:val="0"/>
          <w:lang w:eastAsia="en-US"/>
        </w:rPr>
        <w:t>:</w:t>
      </w:r>
    </w:p>
    <w:p w:rsidR="00C5739E" w:rsidRPr="000C4C51" w:rsidRDefault="00C5739E" w:rsidP="004D770E">
      <w:pPr>
        <w:pStyle w:val="3Bodytext"/>
        <w:rPr>
          <w:snapToGrid w:val="0"/>
        </w:rPr>
      </w:pPr>
      <w:r w:rsidRPr="00AB2C83">
        <w:rPr>
          <w:snapToGrid w:val="0"/>
          <w:lang w:eastAsia="en-US"/>
        </w:rPr>
        <w:t>Add equivalence indicators (a-flag) only in the event that both forms are PBS-listed simultaneously, as shown below:</w:t>
      </w:r>
    </w:p>
    <w:p w:rsidR="00F72A5F" w:rsidRDefault="00C5739E" w:rsidP="00F72A5F">
      <w:pPr>
        <w:pStyle w:val="3Bodytext"/>
        <w:rPr>
          <w:snapToGrid w:val="0"/>
        </w:rPr>
      </w:pPr>
      <w:r w:rsidRPr="00AB2C83">
        <w:rPr>
          <w:snapToGrid w:val="0"/>
          <w:lang w:eastAsia="en-US"/>
        </w:rPr>
        <w:t>Add an equivalence NOTE (New AA1) only if condition 6.2 above is met; remove any such NOTE should only 1 form remain listed on the PBS.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
        <w:gridCol w:w="992"/>
        <w:gridCol w:w="1275"/>
        <w:gridCol w:w="425"/>
        <w:gridCol w:w="1275"/>
        <w:gridCol w:w="1275"/>
        <w:gridCol w:w="1134"/>
        <w:gridCol w:w="992"/>
        <w:gridCol w:w="1562"/>
      </w:tblGrid>
      <w:tr w:rsidR="00893157" w:rsidRPr="00AB2C83" w:rsidTr="004D770E">
        <w:trPr>
          <w:cantSplit/>
          <w:trHeight w:val="471"/>
        </w:trPr>
        <w:tc>
          <w:tcPr>
            <w:tcW w:w="2971" w:type="dxa"/>
            <w:gridSpan w:val="4"/>
          </w:tcPr>
          <w:p w:rsidR="00893157" w:rsidRPr="00AB2C83" w:rsidRDefault="00893157" w:rsidP="004D770E">
            <w:pPr>
              <w:keepNext/>
              <w:ind w:left="-57"/>
              <w:rPr>
                <w:rFonts w:ascii="Arial Narrow" w:hAnsi="Arial Narrow" w:cs="Arial"/>
                <w:b/>
                <w:bCs/>
                <w:sz w:val="18"/>
                <w:szCs w:val="18"/>
              </w:rPr>
            </w:pPr>
            <w:r w:rsidRPr="00AB2C83">
              <w:rPr>
                <w:rFonts w:ascii="Arial Narrow" w:hAnsi="Arial Narrow" w:cs="Arial"/>
                <w:b/>
                <w:bCs/>
                <w:sz w:val="18"/>
                <w:szCs w:val="18"/>
              </w:rPr>
              <w:t>MEDICINAL PRODUCT</w:t>
            </w:r>
          </w:p>
          <w:p w:rsidR="00893157" w:rsidRPr="00AB2C83" w:rsidRDefault="00893157" w:rsidP="004D770E">
            <w:pPr>
              <w:keepNext/>
              <w:ind w:left="-57"/>
              <w:rPr>
                <w:rFonts w:ascii="Arial Narrow" w:hAnsi="Arial Narrow" w:cs="Arial"/>
                <w:b/>
                <w:sz w:val="18"/>
                <w:szCs w:val="18"/>
              </w:rPr>
            </w:pPr>
            <w:r w:rsidRPr="00AB2C83">
              <w:rPr>
                <w:rFonts w:ascii="Arial Narrow" w:hAnsi="Arial Narrow" w:cs="Arial"/>
                <w:b/>
                <w:bCs/>
                <w:sz w:val="18"/>
                <w:szCs w:val="18"/>
              </w:rPr>
              <w:t>medicinal product pack</w:t>
            </w:r>
          </w:p>
        </w:tc>
        <w:tc>
          <w:tcPr>
            <w:tcW w:w="1275" w:type="dxa"/>
          </w:tcPr>
          <w:p w:rsidR="00893157" w:rsidRPr="00AB2C83" w:rsidRDefault="00893157" w:rsidP="004D770E">
            <w:pPr>
              <w:keepNext/>
              <w:ind w:left="-108"/>
              <w:jc w:val="center"/>
              <w:rPr>
                <w:rFonts w:ascii="Arial Narrow" w:hAnsi="Arial Narrow" w:cs="Arial"/>
                <w:b/>
                <w:sz w:val="18"/>
                <w:szCs w:val="18"/>
              </w:rPr>
            </w:pPr>
            <w:r w:rsidRPr="00AB2C83">
              <w:rPr>
                <w:rFonts w:ascii="Arial Narrow" w:hAnsi="Arial Narrow" w:cs="Arial"/>
                <w:b/>
                <w:sz w:val="18"/>
                <w:szCs w:val="18"/>
              </w:rPr>
              <w:t>PBS item code</w:t>
            </w:r>
          </w:p>
        </w:tc>
        <w:tc>
          <w:tcPr>
            <w:tcW w:w="1275" w:type="dxa"/>
          </w:tcPr>
          <w:p w:rsidR="00893157" w:rsidRPr="00AB2C83" w:rsidRDefault="00893157" w:rsidP="004D770E">
            <w:pPr>
              <w:keepNext/>
              <w:ind w:left="-108"/>
              <w:jc w:val="center"/>
              <w:rPr>
                <w:rFonts w:ascii="Arial Narrow" w:hAnsi="Arial Narrow" w:cs="Arial"/>
                <w:b/>
                <w:sz w:val="18"/>
                <w:szCs w:val="18"/>
              </w:rPr>
            </w:pPr>
            <w:r w:rsidRPr="00AB2C83">
              <w:rPr>
                <w:rFonts w:ascii="Arial Narrow" w:hAnsi="Arial Narrow" w:cs="Arial"/>
                <w:b/>
                <w:sz w:val="18"/>
                <w:szCs w:val="18"/>
              </w:rPr>
              <w:t>Max. qty packs</w:t>
            </w:r>
          </w:p>
        </w:tc>
        <w:tc>
          <w:tcPr>
            <w:tcW w:w="1134" w:type="dxa"/>
          </w:tcPr>
          <w:p w:rsidR="00893157" w:rsidRPr="00AB2C83" w:rsidRDefault="00893157" w:rsidP="004D770E">
            <w:pPr>
              <w:keepNext/>
              <w:ind w:left="-108"/>
              <w:jc w:val="center"/>
              <w:rPr>
                <w:rFonts w:ascii="Arial Narrow" w:hAnsi="Arial Narrow" w:cs="Arial"/>
                <w:b/>
                <w:sz w:val="18"/>
                <w:szCs w:val="18"/>
              </w:rPr>
            </w:pPr>
            <w:r w:rsidRPr="00AB2C83">
              <w:rPr>
                <w:rFonts w:ascii="Arial Narrow" w:hAnsi="Arial Narrow" w:cs="Arial"/>
                <w:b/>
                <w:sz w:val="18"/>
                <w:szCs w:val="18"/>
              </w:rPr>
              <w:t>Max. qty units</w:t>
            </w:r>
          </w:p>
        </w:tc>
        <w:tc>
          <w:tcPr>
            <w:tcW w:w="992" w:type="dxa"/>
          </w:tcPr>
          <w:p w:rsidR="00893157" w:rsidRPr="00AB2C83" w:rsidRDefault="00893157" w:rsidP="004D770E">
            <w:pPr>
              <w:keepNext/>
              <w:ind w:left="-108"/>
              <w:jc w:val="center"/>
              <w:rPr>
                <w:rFonts w:ascii="Arial Narrow" w:hAnsi="Arial Narrow" w:cs="Arial"/>
                <w:b/>
                <w:sz w:val="18"/>
                <w:szCs w:val="18"/>
              </w:rPr>
            </w:pPr>
            <w:r w:rsidRPr="00AB2C83">
              <w:rPr>
                <w:rFonts w:ascii="Arial Narrow" w:hAnsi="Arial Narrow" w:cs="Arial"/>
                <w:b/>
                <w:sz w:val="18"/>
                <w:szCs w:val="18"/>
              </w:rPr>
              <w:t>№.</w:t>
            </w:r>
            <w:r w:rsidR="009C67C8">
              <w:rPr>
                <w:rFonts w:ascii="Arial Narrow" w:hAnsi="Arial Narrow" w:cs="Arial"/>
                <w:b/>
                <w:sz w:val="18"/>
                <w:szCs w:val="18"/>
              </w:rPr>
              <w:t xml:space="preserve"> </w:t>
            </w:r>
            <w:r w:rsidRPr="00AB2C83">
              <w:rPr>
                <w:rFonts w:ascii="Arial Narrow" w:hAnsi="Arial Narrow" w:cs="Arial"/>
                <w:b/>
                <w:sz w:val="18"/>
                <w:szCs w:val="18"/>
              </w:rPr>
              <w:t>of Rpts</w:t>
            </w:r>
          </w:p>
        </w:tc>
        <w:tc>
          <w:tcPr>
            <w:tcW w:w="1562" w:type="dxa"/>
          </w:tcPr>
          <w:p w:rsidR="00893157" w:rsidRPr="000C4C51" w:rsidRDefault="00893157" w:rsidP="004D770E">
            <w:pPr>
              <w:keepNext/>
              <w:rPr>
                <w:rFonts w:ascii="Arial Narrow" w:hAnsi="Arial Narrow" w:cs="Arial"/>
                <w:b/>
                <w:sz w:val="18"/>
                <w:szCs w:val="18"/>
              </w:rPr>
            </w:pPr>
            <w:r w:rsidRPr="00AB2C83">
              <w:rPr>
                <w:rFonts w:ascii="Arial Narrow" w:hAnsi="Arial Narrow" w:cs="Arial"/>
                <w:b/>
                <w:sz w:val="18"/>
                <w:szCs w:val="18"/>
              </w:rPr>
              <w:t>Available brands</w:t>
            </w:r>
          </w:p>
        </w:tc>
      </w:tr>
      <w:tr w:rsidR="00893157" w:rsidRPr="00AB2C83" w:rsidTr="004D770E">
        <w:trPr>
          <w:cantSplit/>
          <w:trHeight w:val="224"/>
        </w:trPr>
        <w:tc>
          <w:tcPr>
            <w:tcW w:w="9209" w:type="dxa"/>
            <w:gridSpan w:val="9"/>
          </w:tcPr>
          <w:p w:rsidR="00893157" w:rsidRPr="00AB2C83" w:rsidRDefault="00893157" w:rsidP="004D770E">
            <w:pPr>
              <w:keepNext/>
              <w:ind w:left="-57"/>
              <w:rPr>
                <w:rFonts w:ascii="Arial Narrow" w:hAnsi="Arial Narrow" w:cs="Arial"/>
                <w:sz w:val="18"/>
                <w:szCs w:val="18"/>
              </w:rPr>
            </w:pPr>
            <w:r w:rsidRPr="00AB2C83">
              <w:rPr>
                <w:rFonts w:ascii="Arial Narrow" w:hAnsi="Arial Narrow" w:cs="Arial"/>
                <w:sz w:val="18"/>
                <w:szCs w:val="18"/>
              </w:rPr>
              <w:t xml:space="preserve">PALBOCICLIB  </w:t>
            </w:r>
          </w:p>
        </w:tc>
      </w:tr>
      <w:tr w:rsidR="00893157" w:rsidRPr="00AB2C83" w:rsidTr="004D770E">
        <w:trPr>
          <w:cantSplit/>
          <w:trHeight w:val="353"/>
        </w:trPr>
        <w:tc>
          <w:tcPr>
            <w:tcW w:w="2971" w:type="dxa"/>
            <w:gridSpan w:val="4"/>
          </w:tcPr>
          <w:p w:rsidR="00893157" w:rsidRPr="00AB2C83" w:rsidRDefault="00893157" w:rsidP="004D770E">
            <w:pPr>
              <w:keepNext/>
              <w:ind w:left="-57"/>
              <w:rPr>
                <w:rFonts w:ascii="Arial Narrow" w:hAnsi="Arial Narrow" w:cs="Arial"/>
                <w:i/>
                <w:sz w:val="18"/>
                <w:szCs w:val="18"/>
              </w:rPr>
            </w:pPr>
            <w:r w:rsidRPr="00AB2C83">
              <w:rPr>
                <w:rFonts w:ascii="Arial Narrow" w:hAnsi="Arial Narrow" w:cs="Arial"/>
                <w:i/>
                <w:sz w:val="18"/>
                <w:szCs w:val="18"/>
              </w:rPr>
              <w:t xml:space="preserve">palbociclib 75 mg tablet, 21 </w:t>
            </w:r>
          </w:p>
        </w:tc>
        <w:tc>
          <w:tcPr>
            <w:tcW w:w="1275" w:type="dxa"/>
          </w:tcPr>
          <w:p w:rsidR="00893157" w:rsidRPr="00AB2C83" w:rsidRDefault="00893157" w:rsidP="004D770E">
            <w:pPr>
              <w:keepNext/>
              <w:jc w:val="center"/>
              <w:rPr>
                <w:rFonts w:ascii="Arial Narrow" w:hAnsi="Arial Narrow" w:cs="Arial"/>
                <w:i/>
                <w:sz w:val="18"/>
                <w:szCs w:val="18"/>
              </w:rPr>
            </w:pPr>
            <w:r w:rsidRPr="00AB2C83">
              <w:rPr>
                <w:rFonts w:ascii="Arial Narrow" w:hAnsi="Arial Narrow" w:cs="Arial"/>
                <w:i/>
                <w:sz w:val="18"/>
                <w:szCs w:val="18"/>
              </w:rPr>
              <w:t>New</w:t>
            </w:r>
          </w:p>
        </w:tc>
        <w:tc>
          <w:tcPr>
            <w:tcW w:w="1275" w:type="dxa"/>
          </w:tcPr>
          <w:p w:rsidR="00893157" w:rsidRPr="00AB2C83" w:rsidRDefault="00893157" w:rsidP="004D770E">
            <w:pPr>
              <w:keepNext/>
              <w:jc w:val="center"/>
              <w:rPr>
                <w:rFonts w:ascii="Arial Narrow" w:hAnsi="Arial Narrow" w:cs="Arial"/>
                <w:i/>
                <w:sz w:val="18"/>
                <w:szCs w:val="18"/>
              </w:rPr>
            </w:pPr>
            <w:r w:rsidRPr="00AB2C83">
              <w:rPr>
                <w:rFonts w:ascii="Arial Narrow" w:hAnsi="Arial Narrow" w:cs="Arial"/>
                <w:i/>
                <w:sz w:val="18"/>
                <w:szCs w:val="18"/>
              </w:rPr>
              <w:t>1</w:t>
            </w:r>
          </w:p>
        </w:tc>
        <w:tc>
          <w:tcPr>
            <w:tcW w:w="1134" w:type="dxa"/>
          </w:tcPr>
          <w:p w:rsidR="00893157" w:rsidRPr="00AB2C83" w:rsidRDefault="00893157" w:rsidP="004D770E">
            <w:pPr>
              <w:keepNext/>
              <w:jc w:val="center"/>
              <w:rPr>
                <w:rFonts w:ascii="Arial Narrow" w:hAnsi="Arial Narrow" w:cs="Arial"/>
                <w:i/>
                <w:sz w:val="18"/>
                <w:szCs w:val="18"/>
              </w:rPr>
            </w:pPr>
            <w:r w:rsidRPr="00AB2C83">
              <w:rPr>
                <w:rFonts w:ascii="Arial Narrow" w:hAnsi="Arial Narrow" w:cs="Arial"/>
                <w:i/>
                <w:sz w:val="18"/>
                <w:szCs w:val="18"/>
              </w:rPr>
              <w:t>21</w:t>
            </w:r>
          </w:p>
        </w:tc>
        <w:tc>
          <w:tcPr>
            <w:tcW w:w="992" w:type="dxa"/>
          </w:tcPr>
          <w:p w:rsidR="00893157" w:rsidRPr="00AB2C83" w:rsidRDefault="00893157" w:rsidP="004D770E">
            <w:pPr>
              <w:keepNext/>
              <w:jc w:val="center"/>
              <w:rPr>
                <w:rFonts w:ascii="Arial Narrow" w:hAnsi="Arial Narrow" w:cs="Arial"/>
                <w:i/>
                <w:sz w:val="18"/>
                <w:szCs w:val="18"/>
              </w:rPr>
            </w:pPr>
            <w:r w:rsidRPr="00AB2C83">
              <w:rPr>
                <w:rFonts w:ascii="Arial Narrow" w:hAnsi="Arial Narrow" w:cs="Arial"/>
                <w:i/>
                <w:sz w:val="18"/>
                <w:szCs w:val="18"/>
              </w:rPr>
              <w:t>5</w:t>
            </w:r>
          </w:p>
        </w:tc>
        <w:tc>
          <w:tcPr>
            <w:tcW w:w="1562" w:type="dxa"/>
          </w:tcPr>
          <w:p w:rsidR="00893157" w:rsidRPr="00AB2C83" w:rsidRDefault="00893157" w:rsidP="004D770E">
            <w:pPr>
              <w:keepNext/>
              <w:rPr>
                <w:rFonts w:ascii="Arial Narrow" w:hAnsi="Arial Narrow" w:cs="Arial"/>
                <w:i/>
                <w:sz w:val="18"/>
                <w:szCs w:val="18"/>
              </w:rPr>
            </w:pPr>
            <w:r w:rsidRPr="00AB2C83">
              <w:rPr>
                <w:rFonts w:ascii="Arial Narrow" w:hAnsi="Arial Narrow" w:cs="Arial"/>
                <w:i/>
                <w:sz w:val="18"/>
                <w:szCs w:val="18"/>
                <w:vertAlign w:val="superscript"/>
              </w:rPr>
              <w:t xml:space="preserve">a </w:t>
            </w:r>
            <w:r w:rsidRPr="00AB2C83">
              <w:rPr>
                <w:rFonts w:ascii="Arial Narrow" w:hAnsi="Arial Narrow" w:cs="Arial"/>
                <w:i/>
                <w:sz w:val="18"/>
                <w:szCs w:val="18"/>
              </w:rPr>
              <w:t>Ibrance</w:t>
            </w:r>
          </w:p>
        </w:tc>
      </w:tr>
      <w:tr w:rsidR="00893157" w:rsidRPr="00AB2C83" w:rsidTr="004D770E">
        <w:trPr>
          <w:cantSplit/>
          <w:trHeight w:val="347"/>
        </w:trPr>
        <w:tc>
          <w:tcPr>
            <w:tcW w:w="2971" w:type="dxa"/>
            <w:gridSpan w:val="4"/>
          </w:tcPr>
          <w:p w:rsidR="00893157" w:rsidRPr="00AB2C83" w:rsidRDefault="00893157" w:rsidP="004D770E">
            <w:pPr>
              <w:keepNext/>
              <w:ind w:left="-57"/>
              <w:rPr>
                <w:rFonts w:ascii="Arial Narrow" w:hAnsi="Arial Narrow" w:cs="Arial"/>
                <w:i/>
                <w:sz w:val="18"/>
                <w:szCs w:val="18"/>
              </w:rPr>
            </w:pPr>
            <w:r w:rsidRPr="00AB2C83">
              <w:rPr>
                <w:rFonts w:ascii="Arial Narrow" w:hAnsi="Arial Narrow" w:cs="Arial"/>
                <w:i/>
                <w:sz w:val="18"/>
                <w:szCs w:val="18"/>
              </w:rPr>
              <w:t>palbociclib 100 mg tablet, 21</w:t>
            </w:r>
          </w:p>
        </w:tc>
        <w:tc>
          <w:tcPr>
            <w:tcW w:w="1275" w:type="dxa"/>
          </w:tcPr>
          <w:p w:rsidR="00893157" w:rsidRPr="00AB2C83" w:rsidRDefault="00893157" w:rsidP="004D770E">
            <w:pPr>
              <w:keepNext/>
              <w:jc w:val="center"/>
              <w:rPr>
                <w:rFonts w:ascii="Arial Narrow" w:hAnsi="Arial Narrow" w:cs="Arial"/>
                <w:i/>
                <w:sz w:val="18"/>
                <w:szCs w:val="18"/>
              </w:rPr>
            </w:pPr>
            <w:r w:rsidRPr="00AB2C83">
              <w:rPr>
                <w:rFonts w:ascii="Arial Narrow" w:hAnsi="Arial Narrow" w:cs="Arial"/>
                <w:i/>
                <w:sz w:val="18"/>
                <w:szCs w:val="18"/>
              </w:rPr>
              <w:t>New</w:t>
            </w:r>
          </w:p>
        </w:tc>
        <w:tc>
          <w:tcPr>
            <w:tcW w:w="1275" w:type="dxa"/>
          </w:tcPr>
          <w:p w:rsidR="00893157" w:rsidRPr="00AB2C83" w:rsidRDefault="00893157" w:rsidP="004D770E">
            <w:pPr>
              <w:keepNext/>
              <w:jc w:val="center"/>
              <w:rPr>
                <w:rFonts w:ascii="Arial Narrow" w:hAnsi="Arial Narrow" w:cs="Arial"/>
                <w:i/>
                <w:sz w:val="18"/>
                <w:szCs w:val="18"/>
              </w:rPr>
            </w:pPr>
            <w:r w:rsidRPr="00AB2C83">
              <w:rPr>
                <w:rFonts w:ascii="Arial Narrow" w:hAnsi="Arial Narrow" w:cs="Arial"/>
                <w:i/>
                <w:sz w:val="18"/>
                <w:szCs w:val="18"/>
              </w:rPr>
              <w:t>1</w:t>
            </w:r>
          </w:p>
        </w:tc>
        <w:tc>
          <w:tcPr>
            <w:tcW w:w="1134" w:type="dxa"/>
          </w:tcPr>
          <w:p w:rsidR="00893157" w:rsidRPr="00AB2C83" w:rsidRDefault="00893157" w:rsidP="004D770E">
            <w:pPr>
              <w:keepNext/>
              <w:jc w:val="center"/>
              <w:rPr>
                <w:rFonts w:ascii="Arial Narrow" w:hAnsi="Arial Narrow" w:cs="Arial"/>
                <w:i/>
                <w:sz w:val="18"/>
                <w:szCs w:val="18"/>
              </w:rPr>
            </w:pPr>
            <w:r w:rsidRPr="00AB2C83">
              <w:rPr>
                <w:rFonts w:ascii="Arial Narrow" w:hAnsi="Arial Narrow" w:cs="Arial"/>
                <w:i/>
                <w:sz w:val="18"/>
                <w:szCs w:val="18"/>
              </w:rPr>
              <w:t>21</w:t>
            </w:r>
          </w:p>
        </w:tc>
        <w:tc>
          <w:tcPr>
            <w:tcW w:w="992" w:type="dxa"/>
          </w:tcPr>
          <w:p w:rsidR="00893157" w:rsidRPr="00AB2C83" w:rsidRDefault="00893157" w:rsidP="004D770E">
            <w:pPr>
              <w:keepNext/>
              <w:jc w:val="center"/>
              <w:rPr>
                <w:rFonts w:ascii="Arial Narrow" w:hAnsi="Arial Narrow" w:cs="Arial"/>
                <w:i/>
                <w:sz w:val="18"/>
                <w:szCs w:val="18"/>
              </w:rPr>
            </w:pPr>
            <w:r w:rsidRPr="00AB2C83">
              <w:rPr>
                <w:rFonts w:ascii="Arial Narrow" w:hAnsi="Arial Narrow" w:cs="Arial"/>
                <w:i/>
                <w:sz w:val="18"/>
                <w:szCs w:val="18"/>
              </w:rPr>
              <w:t>5</w:t>
            </w:r>
          </w:p>
        </w:tc>
        <w:tc>
          <w:tcPr>
            <w:tcW w:w="1562" w:type="dxa"/>
          </w:tcPr>
          <w:p w:rsidR="00893157" w:rsidRPr="00AB2C83" w:rsidRDefault="00893157" w:rsidP="004D770E">
            <w:pPr>
              <w:keepNext/>
              <w:rPr>
                <w:rFonts w:ascii="Arial Narrow" w:hAnsi="Arial Narrow" w:cs="Arial"/>
                <w:i/>
                <w:sz w:val="18"/>
                <w:szCs w:val="18"/>
              </w:rPr>
            </w:pPr>
            <w:r w:rsidRPr="00AB2C83">
              <w:rPr>
                <w:rFonts w:ascii="Arial Narrow" w:hAnsi="Arial Narrow" w:cs="Arial"/>
                <w:i/>
                <w:sz w:val="18"/>
                <w:szCs w:val="18"/>
                <w:vertAlign w:val="superscript"/>
              </w:rPr>
              <w:t xml:space="preserve">a </w:t>
            </w:r>
            <w:r w:rsidRPr="00AB2C83">
              <w:rPr>
                <w:rFonts w:ascii="Arial Narrow" w:hAnsi="Arial Narrow" w:cs="Arial"/>
                <w:i/>
                <w:sz w:val="18"/>
                <w:szCs w:val="18"/>
              </w:rPr>
              <w:t>Ibrance</w:t>
            </w:r>
          </w:p>
        </w:tc>
      </w:tr>
      <w:tr w:rsidR="00893157" w:rsidRPr="00AB2C83" w:rsidTr="004D770E">
        <w:trPr>
          <w:cantSplit/>
          <w:trHeight w:val="327"/>
        </w:trPr>
        <w:tc>
          <w:tcPr>
            <w:tcW w:w="2971" w:type="dxa"/>
            <w:gridSpan w:val="4"/>
          </w:tcPr>
          <w:p w:rsidR="00893157" w:rsidRPr="00AB2C83" w:rsidRDefault="00893157" w:rsidP="004D770E">
            <w:pPr>
              <w:keepNext/>
              <w:ind w:left="-57"/>
              <w:rPr>
                <w:rFonts w:ascii="Arial Narrow" w:hAnsi="Arial Narrow" w:cs="Arial"/>
                <w:i/>
                <w:sz w:val="18"/>
                <w:szCs w:val="18"/>
              </w:rPr>
            </w:pPr>
            <w:r w:rsidRPr="00AB2C83">
              <w:rPr>
                <w:rFonts w:ascii="Arial Narrow" w:hAnsi="Arial Narrow" w:cs="Arial"/>
                <w:i/>
                <w:sz w:val="18"/>
                <w:szCs w:val="18"/>
              </w:rPr>
              <w:t>palbociclib 125 mg tablet, 21</w:t>
            </w:r>
          </w:p>
        </w:tc>
        <w:tc>
          <w:tcPr>
            <w:tcW w:w="1275" w:type="dxa"/>
          </w:tcPr>
          <w:p w:rsidR="00893157" w:rsidRPr="00AB2C83" w:rsidRDefault="00893157" w:rsidP="004D770E">
            <w:pPr>
              <w:keepNext/>
              <w:jc w:val="center"/>
              <w:rPr>
                <w:rFonts w:ascii="Arial Narrow" w:hAnsi="Arial Narrow" w:cs="Arial"/>
                <w:i/>
                <w:sz w:val="18"/>
                <w:szCs w:val="18"/>
              </w:rPr>
            </w:pPr>
            <w:r w:rsidRPr="00AB2C83">
              <w:rPr>
                <w:rFonts w:ascii="Arial Narrow" w:hAnsi="Arial Narrow" w:cs="Arial"/>
                <w:i/>
                <w:sz w:val="18"/>
                <w:szCs w:val="18"/>
              </w:rPr>
              <w:t>New</w:t>
            </w:r>
          </w:p>
        </w:tc>
        <w:tc>
          <w:tcPr>
            <w:tcW w:w="1275" w:type="dxa"/>
          </w:tcPr>
          <w:p w:rsidR="00893157" w:rsidRPr="00AB2C83" w:rsidRDefault="00893157" w:rsidP="004D770E">
            <w:pPr>
              <w:keepNext/>
              <w:jc w:val="center"/>
              <w:rPr>
                <w:rFonts w:ascii="Arial Narrow" w:hAnsi="Arial Narrow" w:cs="Arial"/>
                <w:i/>
                <w:sz w:val="18"/>
                <w:szCs w:val="18"/>
              </w:rPr>
            </w:pPr>
            <w:r w:rsidRPr="00AB2C83">
              <w:rPr>
                <w:rFonts w:ascii="Arial Narrow" w:hAnsi="Arial Narrow" w:cs="Arial"/>
                <w:i/>
                <w:sz w:val="18"/>
                <w:szCs w:val="18"/>
              </w:rPr>
              <w:t>1</w:t>
            </w:r>
          </w:p>
        </w:tc>
        <w:tc>
          <w:tcPr>
            <w:tcW w:w="1134" w:type="dxa"/>
          </w:tcPr>
          <w:p w:rsidR="00893157" w:rsidRPr="00AB2C83" w:rsidRDefault="00893157" w:rsidP="004D770E">
            <w:pPr>
              <w:keepNext/>
              <w:jc w:val="center"/>
              <w:rPr>
                <w:rFonts w:ascii="Arial Narrow" w:hAnsi="Arial Narrow" w:cs="Arial"/>
                <w:i/>
                <w:sz w:val="18"/>
                <w:szCs w:val="18"/>
              </w:rPr>
            </w:pPr>
            <w:r w:rsidRPr="00AB2C83">
              <w:rPr>
                <w:rFonts w:ascii="Arial Narrow" w:hAnsi="Arial Narrow" w:cs="Arial"/>
                <w:i/>
                <w:sz w:val="18"/>
                <w:szCs w:val="18"/>
              </w:rPr>
              <w:t>21</w:t>
            </w:r>
          </w:p>
        </w:tc>
        <w:tc>
          <w:tcPr>
            <w:tcW w:w="992" w:type="dxa"/>
          </w:tcPr>
          <w:p w:rsidR="00893157" w:rsidRPr="00AB2C83" w:rsidRDefault="00893157" w:rsidP="004D770E">
            <w:pPr>
              <w:keepNext/>
              <w:jc w:val="center"/>
              <w:rPr>
                <w:rFonts w:ascii="Arial Narrow" w:hAnsi="Arial Narrow" w:cs="Arial"/>
                <w:i/>
                <w:sz w:val="18"/>
                <w:szCs w:val="18"/>
              </w:rPr>
            </w:pPr>
            <w:r w:rsidRPr="00AB2C83">
              <w:rPr>
                <w:rFonts w:ascii="Arial Narrow" w:hAnsi="Arial Narrow" w:cs="Arial"/>
                <w:i/>
                <w:sz w:val="18"/>
                <w:szCs w:val="18"/>
              </w:rPr>
              <w:t>5</w:t>
            </w:r>
          </w:p>
        </w:tc>
        <w:tc>
          <w:tcPr>
            <w:tcW w:w="1562" w:type="dxa"/>
          </w:tcPr>
          <w:p w:rsidR="00893157" w:rsidRPr="00AB2C83" w:rsidRDefault="00893157" w:rsidP="004D770E">
            <w:pPr>
              <w:keepNext/>
              <w:rPr>
                <w:rFonts w:ascii="Arial Narrow" w:hAnsi="Arial Narrow" w:cs="Arial"/>
                <w:i/>
                <w:sz w:val="18"/>
                <w:szCs w:val="18"/>
              </w:rPr>
            </w:pPr>
            <w:r w:rsidRPr="00AB2C83">
              <w:rPr>
                <w:rFonts w:ascii="Arial Narrow" w:hAnsi="Arial Narrow" w:cs="Arial"/>
                <w:i/>
                <w:sz w:val="18"/>
                <w:szCs w:val="18"/>
                <w:vertAlign w:val="superscript"/>
              </w:rPr>
              <w:t xml:space="preserve">a </w:t>
            </w:r>
            <w:r w:rsidRPr="00AB2C83">
              <w:rPr>
                <w:rFonts w:ascii="Arial Narrow" w:hAnsi="Arial Narrow" w:cs="Arial"/>
                <w:i/>
                <w:sz w:val="18"/>
                <w:szCs w:val="18"/>
              </w:rPr>
              <w:t>Ibrance</w:t>
            </w:r>
          </w:p>
        </w:tc>
      </w:tr>
      <w:tr w:rsidR="00893157" w:rsidRPr="00AB2C83" w:rsidTr="004D770E">
        <w:trPr>
          <w:cantSplit/>
          <w:trHeight w:val="327"/>
        </w:trPr>
        <w:tc>
          <w:tcPr>
            <w:tcW w:w="2546" w:type="dxa"/>
            <w:gridSpan w:val="3"/>
          </w:tcPr>
          <w:p w:rsidR="00893157" w:rsidRPr="00AB2C83" w:rsidRDefault="00893157" w:rsidP="004D770E">
            <w:pPr>
              <w:keepNext/>
              <w:ind w:left="-57"/>
              <w:rPr>
                <w:rFonts w:ascii="Arial Narrow" w:hAnsi="Arial Narrow" w:cs="Arial"/>
                <w:sz w:val="18"/>
                <w:szCs w:val="18"/>
              </w:rPr>
            </w:pPr>
            <w:r w:rsidRPr="00AB2C83">
              <w:rPr>
                <w:rFonts w:ascii="Arial Narrow" w:hAnsi="Arial Narrow" w:cs="Arial"/>
                <w:sz w:val="18"/>
                <w:szCs w:val="18"/>
              </w:rPr>
              <w:t xml:space="preserve">palbociclib 75 mg capsule, 21 </w:t>
            </w:r>
          </w:p>
        </w:tc>
        <w:tc>
          <w:tcPr>
            <w:tcW w:w="425" w:type="dxa"/>
            <w:vMerge w:val="restart"/>
            <w:textDirection w:val="btLr"/>
          </w:tcPr>
          <w:p w:rsidR="00893157" w:rsidRPr="00AB2C83" w:rsidRDefault="00893157" w:rsidP="004D770E">
            <w:pPr>
              <w:keepNext/>
              <w:ind w:left="-57" w:right="113"/>
              <w:jc w:val="center"/>
              <w:rPr>
                <w:rFonts w:ascii="Arial Narrow" w:hAnsi="Arial Narrow" w:cs="Arial"/>
                <w:i/>
                <w:sz w:val="18"/>
                <w:szCs w:val="18"/>
              </w:rPr>
            </w:pPr>
            <w:r w:rsidRPr="00AB2C83">
              <w:rPr>
                <w:rFonts w:ascii="Arial Narrow" w:hAnsi="Arial Narrow" w:cs="Arial"/>
                <w:sz w:val="18"/>
                <w:szCs w:val="18"/>
              </w:rPr>
              <w:t xml:space="preserve">  </w:t>
            </w:r>
            <w:r w:rsidRPr="00AB2C83">
              <w:rPr>
                <w:rFonts w:ascii="Arial Narrow" w:hAnsi="Arial Narrow" w:cs="Arial"/>
                <w:i/>
                <w:sz w:val="18"/>
                <w:szCs w:val="18"/>
              </w:rPr>
              <w:t>Supply Only</w:t>
            </w:r>
          </w:p>
        </w:tc>
        <w:tc>
          <w:tcPr>
            <w:tcW w:w="1275" w:type="dxa"/>
          </w:tcPr>
          <w:p w:rsidR="00893157" w:rsidRPr="00AB2C83" w:rsidRDefault="00893157" w:rsidP="004D770E">
            <w:pPr>
              <w:keepNext/>
              <w:jc w:val="center"/>
              <w:rPr>
                <w:rFonts w:ascii="Arial Narrow" w:hAnsi="Arial Narrow" w:cs="Arial"/>
                <w:sz w:val="18"/>
                <w:szCs w:val="18"/>
              </w:rPr>
            </w:pPr>
            <w:r w:rsidRPr="00AB2C83">
              <w:rPr>
                <w:rFonts w:ascii="Arial Narrow" w:hAnsi="Arial Narrow" w:cs="Arial"/>
                <w:sz w:val="18"/>
                <w:szCs w:val="18"/>
              </w:rPr>
              <w:t xml:space="preserve"> 11699R</w:t>
            </w:r>
          </w:p>
        </w:tc>
        <w:tc>
          <w:tcPr>
            <w:tcW w:w="1275" w:type="dxa"/>
          </w:tcPr>
          <w:p w:rsidR="00893157" w:rsidRPr="00AB2C83" w:rsidRDefault="00893157" w:rsidP="004D770E">
            <w:pPr>
              <w:keepNext/>
              <w:jc w:val="center"/>
              <w:rPr>
                <w:rFonts w:ascii="Arial Narrow" w:hAnsi="Arial Narrow" w:cs="Arial"/>
                <w:sz w:val="18"/>
                <w:szCs w:val="18"/>
              </w:rPr>
            </w:pPr>
            <w:r w:rsidRPr="00AB2C83">
              <w:rPr>
                <w:rFonts w:ascii="Arial Narrow" w:hAnsi="Arial Narrow" w:cs="Arial"/>
                <w:sz w:val="18"/>
                <w:szCs w:val="18"/>
              </w:rPr>
              <w:t>1</w:t>
            </w:r>
          </w:p>
        </w:tc>
        <w:tc>
          <w:tcPr>
            <w:tcW w:w="1134" w:type="dxa"/>
          </w:tcPr>
          <w:p w:rsidR="00893157" w:rsidRPr="00AB2C83" w:rsidRDefault="00893157" w:rsidP="004D770E">
            <w:pPr>
              <w:keepNext/>
              <w:jc w:val="center"/>
              <w:rPr>
                <w:rFonts w:ascii="Arial Narrow" w:hAnsi="Arial Narrow" w:cs="Arial"/>
                <w:sz w:val="18"/>
                <w:szCs w:val="18"/>
              </w:rPr>
            </w:pPr>
            <w:r w:rsidRPr="00AB2C83">
              <w:rPr>
                <w:rFonts w:ascii="Arial Narrow" w:hAnsi="Arial Narrow" w:cs="Arial"/>
                <w:sz w:val="18"/>
                <w:szCs w:val="18"/>
              </w:rPr>
              <w:t>21</w:t>
            </w:r>
          </w:p>
        </w:tc>
        <w:tc>
          <w:tcPr>
            <w:tcW w:w="992" w:type="dxa"/>
          </w:tcPr>
          <w:p w:rsidR="00893157" w:rsidRPr="00AB2C83" w:rsidRDefault="00893157" w:rsidP="004D770E">
            <w:pPr>
              <w:keepNext/>
              <w:jc w:val="center"/>
              <w:rPr>
                <w:rFonts w:ascii="Arial Narrow" w:hAnsi="Arial Narrow" w:cs="Arial"/>
                <w:sz w:val="18"/>
                <w:szCs w:val="18"/>
              </w:rPr>
            </w:pPr>
            <w:r w:rsidRPr="00AB2C83">
              <w:rPr>
                <w:rFonts w:ascii="Arial Narrow" w:hAnsi="Arial Narrow" w:cs="Arial"/>
                <w:sz w:val="18"/>
                <w:szCs w:val="18"/>
              </w:rPr>
              <w:t>5</w:t>
            </w:r>
          </w:p>
        </w:tc>
        <w:tc>
          <w:tcPr>
            <w:tcW w:w="1562" w:type="dxa"/>
          </w:tcPr>
          <w:p w:rsidR="00893157" w:rsidRPr="00AB2C83" w:rsidRDefault="00893157" w:rsidP="004D770E">
            <w:pPr>
              <w:keepNext/>
              <w:rPr>
                <w:rFonts w:ascii="Arial Narrow" w:hAnsi="Arial Narrow" w:cs="Arial"/>
                <w:sz w:val="18"/>
                <w:szCs w:val="18"/>
              </w:rPr>
            </w:pPr>
            <w:r w:rsidRPr="00AB2C83">
              <w:rPr>
                <w:rFonts w:ascii="Arial Narrow" w:hAnsi="Arial Narrow" w:cs="Arial"/>
                <w:i/>
                <w:sz w:val="18"/>
                <w:szCs w:val="18"/>
                <w:vertAlign w:val="superscript"/>
              </w:rPr>
              <w:t>a</w:t>
            </w:r>
            <w:r w:rsidRPr="00AB2C83">
              <w:rPr>
                <w:rFonts w:ascii="Arial Narrow" w:hAnsi="Arial Narrow" w:cs="Arial"/>
                <w:sz w:val="18"/>
                <w:szCs w:val="18"/>
                <w:vertAlign w:val="superscript"/>
              </w:rPr>
              <w:t xml:space="preserve"> </w:t>
            </w:r>
            <w:r w:rsidRPr="00AB2C83">
              <w:rPr>
                <w:rFonts w:ascii="Arial Narrow" w:hAnsi="Arial Narrow" w:cs="Arial"/>
                <w:sz w:val="18"/>
                <w:szCs w:val="18"/>
              </w:rPr>
              <w:t>Ibrance</w:t>
            </w:r>
          </w:p>
        </w:tc>
      </w:tr>
      <w:tr w:rsidR="00893157" w:rsidRPr="00AB2C83" w:rsidTr="004D770E">
        <w:trPr>
          <w:cantSplit/>
          <w:trHeight w:val="327"/>
        </w:trPr>
        <w:tc>
          <w:tcPr>
            <w:tcW w:w="2546" w:type="dxa"/>
            <w:gridSpan w:val="3"/>
          </w:tcPr>
          <w:p w:rsidR="00893157" w:rsidRPr="00AB2C83" w:rsidRDefault="00893157" w:rsidP="004D770E">
            <w:pPr>
              <w:keepNext/>
              <w:ind w:left="-57"/>
              <w:rPr>
                <w:rFonts w:ascii="Arial Narrow" w:hAnsi="Arial Narrow" w:cs="Arial"/>
                <w:sz w:val="18"/>
                <w:szCs w:val="18"/>
              </w:rPr>
            </w:pPr>
            <w:r w:rsidRPr="00AB2C83">
              <w:rPr>
                <w:rFonts w:ascii="Arial Narrow" w:hAnsi="Arial Narrow" w:cs="Arial"/>
                <w:sz w:val="18"/>
                <w:szCs w:val="18"/>
              </w:rPr>
              <w:t>palbociclib 100 mg capsule, 21</w:t>
            </w:r>
          </w:p>
        </w:tc>
        <w:tc>
          <w:tcPr>
            <w:tcW w:w="425" w:type="dxa"/>
            <w:vMerge/>
          </w:tcPr>
          <w:p w:rsidR="00893157" w:rsidRPr="00AB2C83" w:rsidRDefault="00893157" w:rsidP="004D770E">
            <w:pPr>
              <w:keepNext/>
              <w:ind w:left="-57"/>
              <w:rPr>
                <w:rFonts w:ascii="Arial Narrow" w:hAnsi="Arial Narrow" w:cs="Arial"/>
                <w:sz w:val="18"/>
                <w:szCs w:val="18"/>
              </w:rPr>
            </w:pPr>
          </w:p>
        </w:tc>
        <w:tc>
          <w:tcPr>
            <w:tcW w:w="1275" w:type="dxa"/>
          </w:tcPr>
          <w:p w:rsidR="00893157" w:rsidRPr="00AB2C83" w:rsidRDefault="00893157" w:rsidP="004D770E">
            <w:pPr>
              <w:keepNext/>
              <w:jc w:val="center"/>
              <w:rPr>
                <w:rFonts w:ascii="Arial Narrow" w:hAnsi="Arial Narrow" w:cs="Arial"/>
                <w:sz w:val="18"/>
                <w:szCs w:val="18"/>
              </w:rPr>
            </w:pPr>
            <w:r w:rsidRPr="00AB2C83">
              <w:rPr>
                <w:rFonts w:ascii="Arial Narrow" w:hAnsi="Arial Narrow" w:cs="Arial"/>
                <w:sz w:val="18"/>
                <w:szCs w:val="18"/>
              </w:rPr>
              <w:t>11700T</w:t>
            </w:r>
          </w:p>
        </w:tc>
        <w:tc>
          <w:tcPr>
            <w:tcW w:w="1275" w:type="dxa"/>
          </w:tcPr>
          <w:p w:rsidR="00893157" w:rsidRPr="00AB2C83" w:rsidRDefault="00893157" w:rsidP="004D770E">
            <w:pPr>
              <w:keepNext/>
              <w:jc w:val="center"/>
              <w:rPr>
                <w:rFonts w:ascii="Arial Narrow" w:hAnsi="Arial Narrow" w:cs="Arial"/>
                <w:sz w:val="18"/>
                <w:szCs w:val="18"/>
              </w:rPr>
            </w:pPr>
            <w:r w:rsidRPr="00AB2C83">
              <w:rPr>
                <w:rFonts w:ascii="Arial Narrow" w:hAnsi="Arial Narrow" w:cs="Arial"/>
                <w:sz w:val="18"/>
                <w:szCs w:val="18"/>
              </w:rPr>
              <w:t>1</w:t>
            </w:r>
          </w:p>
        </w:tc>
        <w:tc>
          <w:tcPr>
            <w:tcW w:w="1134" w:type="dxa"/>
          </w:tcPr>
          <w:p w:rsidR="00893157" w:rsidRPr="00AB2C83" w:rsidRDefault="00893157" w:rsidP="004D770E">
            <w:pPr>
              <w:keepNext/>
              <w:jc w:val="center"/>
              <w:rPr>
                <w:rFonts w:ascii="Arial Narrow" w:hAnsi="Arial Narrow" w:cs="Arial"/>
                <w:sz w:val="18"/>
                <w:szCs w:val="18"/>
              </w:rPr>
            </w:pPr>
            <w:r w:rsidRPr="00AB2C83">
              <w:rPr>
                <w:rFonts w:ascii="Arial Narrow" w:hAnsi="Arial Narrow" w:cs="Arial"/>
                <w:sz w:val="18"/>
                <w:szCs w:val="18"/>
              </w:rPr>
              <w:t>21</w:t>
            </w:r>
          </w:p>
        </w:tc>
        <w:tc>
          <w:tcPr>
            <w:tcW w:w="992" w:type="dxa"/>
          </w:tcPr>
          <w:p w:rsidR="00893157" w:rsidRPr="00AB2C83" w:rsidRDefault="00893157" w:rsidP="004D770E">
            <w:pPr>
              <w:keepNext/>
              <w:jc w:val="center"/>
              <w:rPr>
                <w:rFonts w:ascii="Arial Narrow" w:hAnsi="Arial Narrow" w:cs="Arial"/>
                <w:sz w:val="18"/>
                <w:szCs w:val="18"/>
              </w:rPr>
            </w:pPr>
            <w:r w:rsidRPr="00AB2C83">
              <w:rPr>
                <w:rFonts w:ascii="Arial Narrow" w:hAnsi="Arial Narrow" w:cs="Arial"/>
                <w:sz w:val="18"/>
                <w:szCs w:val="18"/>
              </w:rPr>
              <w:t>5</w:t>
            </w:r>
          </w:p>
        </w:tc>
        <w:tc>
          <w:tcPr>
            <w:tcW w:w="1562" w:type="dxa"/>
          </w:tcPr>
          <w:p w:rsidR="00893157" w:rsidRPr="00AB2C83" w:rsidRDefault="00893157" w:rsidP="004D770E">
            <w:pPr>
              <w:keepNext/>
              <w:rPr>
                <w:rFonts w:ascii="Arial Narrow" w:hAnsi="Arial Narrow" w:cs="Arial"/>
                <w:sz w:val="18"/>
                <w:szCs w:val="18"/>
              </w:rPr>
            </w:pPr>
            <w:r w:rsidRPr="00AB2C83">
              <w:rPr>
                <w:rFonts w:ascii="Arial Narrow" w:hAnsi="Arial Narrow" w:cs="Arial"/>
                <w:i/>
                <w:sz w:val="18"/>
                <w:szCs w:val="18"/>
                <w:vertAlign w:val="superscript"/>
              </w:rPr>
              <w:t>a</w:t>
            </w:r>
            <w:r w:rsidRPr="00AB2C83">
              <w:rPr>
                <w:rFonts w:ascii="Arial Narrow" w:hAnsi="Arial Narrow" w:cs="Arial"/>
                <w:sz w:val="18"/>
                <w:szCs w:val="18"/>
                <w:vertAlign w:val="superscript"/>
              </w:rPr>
              <w:t xml:space="preserve"> </w:t>
            </w:r>
            <w:r w:rsidRPr="00AB2C83">
              <w:rPr>
                <w:rFonts w:ascii="Arial Narrow" w:hAnsi="Arial Narrow" w:cs="Arial"/>
                <w:sz w:val="18"/>
                <w:szCs w:val="18"/>
              </w:rPr>
              <w:t>Ibrance</w:t>
            </w:r>
          </w:p>
        </w:tc>
      </w:tr>
      <w:tr w:rsidR="00893157" w:rsidRPr="00AB2C83" w:rsidTr="004D770E">
        <w:trPr>
          <w:cantSplit/>
          <w:trHeight w:val="327"/>
        </w:trPr>
        <w:tc>
          <w:tcPr>
            <w:tcW w:w="2546" w:type="dxa"/>
            <w:gridSpan w:val="3"/>
          </w:tcPr>
          <w:p w:rsidR="00893157" w:rsidRPr="00AB2C83" w:rsidRDefault="00893157" w:rsidP="004D770E">
            <w:pPr>
              <w:keepNext/>
              <w:ind w:left="-57"/>
              <w:rPr>
                <w:rFonts w:ascii="Arial Narrow" w:hAnsi="Arial Narrow" w:cs="Arial"/>
                <w:sz w:val="18"/>
                <w:szCs w:val="18"/>
              </w:rPr>
            </w:pPr>
            <w:r w:rsidRPr="00AB2C83">
              <w:rPr>
                <w:rFonts w:ascii="Arial Narrow" w:hAnsi="Arial Narrow" w:cs="Arial"/>
                <w:sz w:val="18"/>
                <w:szCs w:val="18"/>
              </w:rPr>
              <w:t>palbociclib 125 mg capsule, 21</w:t>
            </w:r>
          </w:p>
        </w:tc>
        <w:tc>
          <w:tcPr>
            <w:tcW w:w="425" w:type="dxa"/>
            <w:vMerge/>
          </w:tcPr>
          <w:p w:rsidR="00893157" w:rsidRPr="00AB2C83" w:rsidRDefault="00893157" w:rsidP="004D770E">
            <w:pPr>
              <w:keepNext/>
              <w:ind w:left="-57"/>
              <w:rPr>
                <w:rFonts w:ascii="Arial Narrow" w:hAnsi="Arial Narrow" w:cs="Arial"/>
                <w:sz w:val="18"/>
                <w:szCs w:val="18"/>
              </w:rPr>
            </w:pPr>
          </w:p>
        </w:tc>
        <w:tc>
          <w:tcPr>
            <w:tcW w:w="1275" w:type="dxa"/>
          </w:tcPr>
          <w:p w:rsidR="00893157" w:rsidRPr="00AB2C83" w:rsidRDefault="00893157" w:rsidP="004D770E">
            <w:pPr>
              <w:keepNext/>
              <w:jc w:val="center"/>
              <w:rPr>
                <w:rFonts w:ascii="Arial Narrow" w:hAnsi="Arial Narrow" w:cs="Arial"/>
                <w:sz w:val="18"/>
                <w:szCs w:val="18"/>
              </w:rPr>
            </w:pPr>
            <w:r w:rsidRPr="00AB2C83">
              <w:rPr>
                <w:rFonts w:ascii="Arial Narrow" w:hAnsi="Arial Narrow" w:cs="Arial"/>
                <w:sz w:val="18"/>
                <w:szCs w:val="18"/>
              </w:rPr>
              <w:t>11698Q</w:t>
            </w:r>
          </w:p>
        </w:tc>
        <w:tc>
          <w:tcPr>
            <w:tcW w:w="1275" w:type="dxa"/>
          </w:tcPr>
          <w:p w:rsidR="00893157" w:rsidRPr="00AB2C83" w:rsidRDefault="00893157" w:rsidP="004D770E">
            <w:pPr>
              <w:keepNext/>
              <w:jc w:val="center"/>
              <w:rPr>
                <w:rFonts w:ascii="Arial Narrow" w:hAnsi="Arial Narrow" w:cs="Arial"/>
                <w:sz w:val="18"/>
                <w:szCs w:val="18"/>
              </w:rPr>
            </w:pPr>
            <w:r w:rsidRPr="00AB2C83">
              <w:rPr>
                <w:rFonts w:ascii="Arial Narrow" w:hAnsi="Arial Narrow" w:cs="Arial"/>
                <w:sz w:val="18"/>
                <w:szCs w:val="18"/>
              </w:rPr>
              <w:t>1</w:t>
            </w:r>
          </w:p>
        </w:tc>
        <w:tc>
          <w:tcPr>
            <w:tcW w:w="1134" w:type="dxa"/>
          </w:tcPr>
          <w:p w:rsidR="00893157" w:rsidRPr="00AB2C83" w:rsidRDefault="00893157" w:rsidP="004D770E">
            <w:pPr>
              <w:keepNext/>
              <w:jc w:val="center"/>
              <w:rPr>
                <w:rFonts w:ascii="Arial Narrow" w:hAnsi="Arial Narrow" w:cs="Arial"/>
                <w:sz w:val="18"/>
                <w:szCs w:val="18"/>
              </w:rPr>
            </w:pPr>
            <w:r w:rsidRPr="00AB2C83">
              <w:rPr>
                <w:rFonts w:ascii="Arial Narrow" w:hAnsi="Arial Narrow" w:cs="Arial"/>
                <w:sz w:val="18"/>
                <w:szCs w:val="18"/>
              </w:rPr>
              <w:t>21</w:t>
            </w:r>
          </w:p>
        </w:tc>
        <w:tc>
          <w:tcPr>
            <w:tcW w:w="992" w:type="dxa"/>
          </w:tcPr>
          <w:p w:rsidR="00893157" w:rsidRPr="00AB2C83" w:rsidRDefault="00893157" w:rsidP="004D770E">
            <w:pPr>
              <w:keepNext/>
              <w:jc w:val="center"/>
              <w:rPr>
                <w:rFonts w:ascii="Arial Narrow" w:hAnsi="Arial Narrow" w:cs="Arial"/>
                <w:sz w:val="18"/>
                <w:szCs w:val="18"/>
              </w:rPr>
            </w:pPr>
            <w:r w:rsidRPr="00AB2C83">
              <w:rPr>
                <w:rFonts w:ascii="Arial Narrow" w:hAnsi="Arial Narrow" w:cs="Arial"/>
                <w:sz w:val="18"/>
                <w:szCs w:val="18"/>
              </w:rPr>
              <w:t>5</w:t>
            </w:r>
          </w:p>
        </w:tc>
        <w:tc>
          <w:tcPr>
            <w:tcW w:w="1562" w:type="dxa"/>
          </w:tcPr>
          <w:p w:rsidR="00893157" w:rsidRPr="00AB2C83" w:rsidRDefault="00893157" w:rsidP="004D770E">
            <w:pPr>
              <w:keepNext/>
              <w:rPr>
                <w:rFonts w:ascii="Arial Narrow" w:hAnsi="Arial Narrow" w:cs="Arial"/>
                <w:sz w:val="18"/>
                <w:szCs w:val="18"/>
              </w:rPr>
            </w:pPr>
            <w:r w:rsidRPr="00AB2C83">
              <w:rPr>
                <w:rFonts w:ascii="Arial Narrow" w:hAnsi="Arial Narrow" w:cs="Arial"/>
                <w:i/>
                <w:sz w:val="18"/>
                <w:szCs w:val="18"/>
                <w:vertAlign w:val="superscript"/>
              </w:rPr>
              <w:t>a</w:t>
            </w:r>
            <w:r w:rsidRPr="00AB2C83">
              <w:rPr>
                <w:rFonts w:ascii="Arial Narrow" w:hAnsi="Arial Narrow" w:cs="Arial"/>
                <w:sz w:val="18"/>
                <w:szCs w:val="18"/>
                <w:vertAlign w:val="superscript"/>
              </w:rPr>
              <w:t xml:space="preserve"> </w:t>
            </w:r>
            <w:r w:rsidRPr="00AB2C83">
              <w:rPr>
                <w:rFonts w:ascii="Arial Narrow" w:hAnsi="Arial Narrow" w:cs="Arial"/>
                <w:sz w:val="18"/>
                <w:szCs w:val="18"/>
              </w:rPr>
              <w:t>Ibrance</w:t>
            </w:r>
          </w:p>
        </w:tc>
      </w:tr>
      <w:tr w:rsidR="00893157" w:rsidRPr="00AB2C83" w:rsidTr="004D770E">
        <w:tblPrEx>
          <w:tblCellMar>
            <w:top w:w="15" w:type="dxa"/>
            <w:left w:w="15" w:type="dxa"/>
            <w:bottom w:w="15" w:type="dxa"/>
            <w:right w:w="15" w:type="dxa"/>
          </w:tblCellMar>
          <w:tblLook w:val="04A0" w:firstRow="1" w:lastRow="0" w:firstColumn="1" w:lastColumn="0" w:noHBand="0" w:noVBand="1"/>
        </w:tblPrEx>
        <w:tc>
          <w:tcPr>
            <w:tcW w:w="9209" w:type="dxa"/>
            <w:gridSpan w:val="9"/>
            <w:tcBorders>
              <w:top w:val="single" w:sz="4" w:space="0" w:color="auto"/>
              <w:left w:val="single" w:sz="4" w:space="0" w:color="auto"/>
              <w:right w:val="single" w:sz="4" w:space="0" w:color="auto"/>
            </w:tcBorders>
          </w:tcPr>
          <w:p w:rsidR="00893157" w:rsidRPr="00AB2C83" w:rsidRDefault="00893157" w:rsidP="004D770E">
            <w:pPr>
              <w:rPr>
                <w:rFonts w:ascii="Arial Narrow" w:hAnsi="Arial Narrow" w:cs="Arial"/>
                <w:b/>
                <w:sz w:val="18"/>
                <w:szCs w:val="18"/>
              </w:rPr>
            </w:pPr>
          </w:p>
        </w:tc>
      </w:tr>
      <w:tr w:rsidR="00893157" w:rsidRPr="00AB2C83" w:rsidTr="004D770E">
        <w:tblPrEx>
          <w:tblCellMar>
            <w:top w:w="15" w:type="dxa"/>
            <w:left w:w="15" w:type="dxa"/>
            <w:bottom w:w="15" w:type="dxa"/>
            <w:right w:w="15" w:type="dxa"/>
          </w:tblCellMar>
          <w:tblLook w:val="04A0" w:firstRow="1" w:lastRow="0" w:firstColumn="1" w:lastColumn="0" w:noHBand="0" w:noVBand="1"/>
        </w:tblPrEx>
        <w:tc>
          <w:tcPr>
            <w:tcW w:w="9209" w:type="dxa"/>
            <w:gridSpan w:val="9"/>
            <w:tcBorders>
              <w:top w:val="single" w:sz="4" w:space="0" w:color="auto"/>
              <w:left w:val="single" w:sz="4" w:space="0" w:color="auto"/>
              <w:right w:val="single" w:sz="4" w:space="0" w:color="auto"/>
            </w:tcBorders>
          </w:tcPr>
          <w:p w:rsidR="00893157" w:rsidRPr="00AB2C83" w:rsidRDefault="00893157" w:rsidP="004D770E">
            <w:pPr>
              <w:ind w:left="57"/>
              <w:rPr>
                <w:rFonts w:ascii="Arial Narrow" w:hAnsi="Arial Narrow" w:cs="Arial"/>
                <w:b/>
                <w:sz w:val="18"/>
                <w:szCs w:val="18"/>
              </w:rPr>
            </w:pPr>
            <w:r w:rsidRPr="00AB2C83">
              <w:rPr>
                <w:rFonts w:ascii="Arial Narrow" w:hAnsi="Arial Narrow"/>
                <w:b/>
                <w:sz w:val="18"/>
                <w:szCs w:val="18"/>
              </w:rPr>
              <w:t xml:space="preserve">Restriction Summary: 10030 / Treatment of Concept: 10015 </w:t>
            </w:r>
            <w:r w:rsidRPr="00AB2C83">
              <w:rPr>
                <w:rFonts w:ascii="Arial Narrow" w:hAnsi="Arial Narrow"/>
                <w:i/>
                <w:sz w:val="18"/>
                <w:szCs w:val="18"/>
              </w:rPr>
              <w:t xml:space="preserve">(as at 1 </w:t>
            </w:r>
            <w:r w:rsidR="003B1E09" w:rsidRPr="00AB2C83">
              <w:rPr>
                <w:rFonts w:ascii="Arial Narrow" w:hAnsi="Arial Narrow"/>
                <w:i/>
                <w:sz w:val="18"/>
                <w:szCs w:val="18"/>
              </w:rPr>
              <w:t>July</w:t>
            </w:r>
            <w:r w:rsidRPr="00AB2C83">
              <w:rPr>
                <w:rFonts w:ascii="Arial Narrow" w:hAnsi="Arial Narrow"/>
                <w:i/>
                <w:sz w:val="18"/>
                <w:szCs w:val="18"/>
              </w:rPr>
              <w:t xml:space="preserve"> 2021)</w:t>
            </w:r>
          </w:p>
        </w:tc>
      </w:tr>
      <w:tr w:rsidR="00893157" w:rsidRPr="00AB2C83" w:rsidTr="00B70B68">
        <w:tblPrEx>
          <w:tblCellMar>
            <w:top w:w="15" w:type="dxa"/>
            <w:left w:w="15" w:type="dxa"/>
            <w:bottom w:w="15" w:type="dxa"/>
            <w:right w:w="15" w:type="dxa"/>
          </w:tblCellMar>
          <w:tblLook w:val="04A0" w:firstRow="1" w:lastRow="0" w:firstColumn="1" w:lastColumn="0" w:noHBand="0" w:noVBand="1"/>
        </w:tblPrEx>
        <w:tc>
          <w:tcPr>
            <w:tcW w:w="1271" w:type="dxa"/>
            <w:gridSpan w:val="2"/>
            <w:vMerge w:val="restart"/>
            <w:tcBorders>
              <w:top w:val="single" w:sz="4" w:space="0" w:color="auto"/>
              <w:left w:val="single" w:sz="4" w:space="0" w:color="auto"/>
              <w:right w:val="single" w:sz="4" w:space="0" w:color="auto"/>
            </w:tcBorders>
          </w:tcPr>
          <w:p w:rsidR="00893157" w:rsidRPr="00AB2C83" w:rsidRDefault="00893157" w:rsidP="004D770E">
            <w:pPr>
              <w:jc w:val="center"/>
              <w:rPr>
                <w:rFonts w:ascii="Arial Narrow" w:hAnsi="Arial Narrow" w:cs="Arial"/>
                <w:sz w:val="18"/>
                <w:szCs w:val="18"/>
              </w:rPr>
            </w:pPr>
          </w:p>
        </w:tc>
        <w:tc>
          <w:tcPr>
            <w:tcW w:w="7938" w:type="dxa"/>
            <w:gridSpan w:val="7"/>
            <w:tcBorders>
              <w:top w:val="single" w:sz="4" w:space="0" w:color="auto"/>
              <w:left w:val="single" w:sz="4" w:space="0" w:color="auto"/>
              <w:bottom w:val="single" w:sz="4" w:space="0" w:color="auto"/>
              <w:right w:val="single" w:sz="4" w:space="0" w:color="auto"/>
            </w:tcBorders>
          </w:tcPr>
          <w:p w:rsidR="00893157" w:rsidRPr="00AB2C83" w:rsidRDefault="00893157" w:rsidP="004D770E">
            <w:pPr>
              <w:rPr>
                <w:rFonts w:ascii="Arial Narrow" w:hAnsi="Arial Narrow" w:cs="Arial"/>
                <w:sz w:val="18"/>
                <w:szCs w:val="18"/>
              </w:rPr>
            </w:pPr>
            <w:r w:rsidRPr="00AB2C83">
              <w:rPr>
                <w:rFonts w:ascii="Arial Narrow" w:hAnsi="Arial Narrow" w:cs="Arial"/>
                <w:b/>
                <w:sz w:val="18"/>
                <w:szCs w:val="18"/>
              </w:rPr>
              <w:t xml:space="preserve">Category / Program:   </w:t>
            </w:r>
            <w:r w:rsidRPr="00AB2C83">
              <w:rPr>
                <w:rFonts w:ascii="Arial Narrow" w:hAnsi="Arial Narrow" w:cs="Arial"/>
                <w:sz w:val="18"/>
                <w:szCs w:val="18"/>
              </w:rPr>
              <w:t xml:space="preserve">GENERAL – General Schedule (Code GE) </w:t>
            </w:r>
          </w:p>
        </w:tc>
      </w:tr>
      <w:tr w:rsidR="00893157" w:rsidRPr="00AB2C83" w:rsidTr="00B70B68">
        <w:tblPrEx>
          <w:tblCellMar>
            <w:top w:w="15" w:type="dxa"/>
            <w:left w:w="15" w:type="dxa"/>
            <w:bottom w:w="15" w:type="dxa"/>
            <w:right w:w="15" w:type="dxa"/>
          </w:tblCellMar>
          <w:tblLook w:val="04A0" w:firstRow="1" w:lastRow="0" w:firstColumn="1" w:lastColumn="0" w:noHBand="0" w:noVBand="1"/>
        </w:tblPrEx>
        <w:trPr>
          <w:trHeight w:val="240"/>
        </w:trPr>
        <w:tc>
          <w:tcPr>
            <w:tcW w:w="1271" w:type="dxa"/>
            <w:gridSpan w:val="2"/>
            <w:vMerge/>
            <w:tcBorders>
              <w:left w:val="single" w:sz="4" w:space="0" w:color="auto"/>
              <w:right w:val="single" w:sz="4" w:space="0" w:color="auto"/>
            </w:tcBorders>
          </w:tcPr>
          <w:p w:rsidR="00893157" w:rsidRPr="00AB2C83" w:rsidRDefault="00893157" w:rsidP="004D770E">
            <w:pPr>
              <w:rPr>
                <w:rFonts w:ascii="Arial Narrow" w:hAnsi="Arial Narrow" w:cs="Arial"/>
                <w:sz w:val="18"/>
                <w:szCs w:val="18"/>
              </w:rPr>
            </w:pPr>
          </w:p>
        </w:tc>
        <w:tc>
          <w:tcPr>
            <w:tcW w:w="7938" w:type="dxa"/>
            <w:gridSpan w:val="7"/>
            <w:tcBorders>
              <w:top w:val="single" w:sz="4" w:space="0" w:color="auto"/>
              <w:left w:val="single" w:sz="4" w:space="0" w:color="auto"/>
              <w:bottom w:val="single" w:sz="4" w:space="0" w:color="auto"/>
              <w:right w:val="single" w:sz="4" w:space="0" w:color="auto"/>
            </w:tcBorders>
          </w:tcPr>
          <w:p w:rsidR="00893157" w:rsidRPr="00AB2C83" w:rsidRDefault="00893157" w:rsidP="004D770E">
            <w:pPr>
              <w:rPr>
                <w:rFonts w:ascii="Arial Narrow" w:hAnsi="Arial Narrow" w:cs="Arial"/>
                <w:b/>
                <w:sz w:val="18"/>
                <w:szCs w:val="18"/>
              </w:rPr>
            </w:pPr>
            <w:r w:rsidRPr="00AB2C83">
              <w:rPr>
                <w:rFonts w:ascii="Arial Narrow" w:hAnsi="Arial Narrow" w:cs="Arial"/>
                <w:b/>
                <w:sz w:val="18"/>
                <w:szCs w:val="18"/>
              </w:rPr>
              <w:t xml:space="preserve">Prescriber type:   </w:t>
            </w:r>
            <w:r w:rsidRPr="000C4C51">
              <w:rPr>
                <w:rFonts w:ascii="Arial Narrow" w:hAnsi="Arial Narrow" w:cs="Arial"/>
                <w:sz w:val="18"/>
                <w:szCs w:val="18"/>
              </w:rPr>
              <w:fldChar w:fldCharType="begin">
                <w:ffData>
                  <w:name w:val=""/>
                  <w:enabled/>
                  <w:calcOnExit w:val="0"/>
                  <w:checkBox>
                    <w:sizeAuto/>
                    <w:default w:val="1"/>
                  </w:checkBox>
                </w:ffData>
              </w:fldChar>
            </w:r>
            <w:r w:rsidRPr="00AB2C83">
              <w:rPr>
                <w:rFonts w:ascii="Arial Narrow" w:hAnsi="Arial Narrow" w:cs="Arial"/>
                <w:sz w:val="18"/>
                <w:szCs w:val="18"/>
              </w:rPr>
              <w:instrText xml:space="preserve"> FORMCHECKBOX </w:instrText>
            </w:r>
            <w:r w:rsidR="00C35F78">
              <w:rPr>
                <w:rFonts w:ascii="Arial Narrow" w:hAnsi="Arial Narrow" w:cs="Arial"/>
                <w:sz w:val="18"/>
                <w:szCs w:val="18"/>
              </w:rPr>
            </w:r>
            <w:r w:rsidR="00C35F78">
              <w:rPr>
                <w:rFonts w:ascii="Arial Narrow" w:hAnsi="Arial Narrow" w:cs="Arial"/>
                <w:sz w:val="18"/>
                <w:szCs w:val="18"/>
              </w:rPr>
              <w:fldChar w:fldCharType="separate"/>
            </w:r>
            <w:r w:rsidRPr="000C4C51">
              <w:rPr>
                <w:rFonts w:ascii="Arial Narrow" w:hAnsi="Arial Narrow" w:cs="Arial"/>
                <w:sz w:val="18"/>
                <w:szCs w:val="18"/>
              </w:rPr>
              <w:fldChar w:fldCharType="end"/>
            </w:r>
            <w:r w:rsidRPr="00AB2C83">
              <w:rPr>
                <w:rFonts w:ascii="Arial Narrow" w:hAnsi="Arial Narrow" w:cs="Arial"/>
                <w:sz w:val="18"/>
                <w:szCs w:val="18"/>
              </w:rPr>
              <w:t xml:space="preserve"> Medical Practitioners    </w:t>
            </w:r>
          </w:p>
        </w:tc>
      </w:tr>
      <w:tr w:rsidR="00893157" w:rsidRPr="00AB2C83" w:rsidTr="00B70B68">
        <w:tblPrEx>
          <w:tblCellMar>
            <w:top w:w="15" w:type="dxa"/>
            <w:left w:w="15" w:type="dxa"/>
            <w:bottom w:w="15" w:type="dxa"/>
            <w:right w:w="15" w:type="dxa"/>
          </w:tblCellMar>
          <w:tblLook w:val="04A0" w:firstRow="1" w:lastRow="0" w:firstColumn="1" w:lastColumn="0" w:noHBand="0" w:noVBand="1"/>
        </w:tblPrEx>
        <w:tc>
          <w:tcPr>
            <w:tcW w:w="1271" w:type="dxa"/>
            <w:gridSpan w:val="2"/>
            <w:vMerge/>
            <w:tcBorders>
              <w:left w:val="single" w:sz="4" w:space="0" w:color="auto"/>
              <w:bottom w:val="single" w:sz="4" w:space="0" w:color="auto"/>
              <w:right w:val="single" w:sz="4" w:space="0" w:color="auto"/>
            </w:tcBorders>
          </w:tcPr>
          <w:p w:rsidR="00893157" w:rsidRPr="00AB2C83" w:rsidRDefault="00893157" w:rsidP="004D770E">
            <w:pPr>
              <w:rPr>
                <w:rFonts w:ascii="Arial Narrow" w:hAnsi="Arial Narrow" w:cs="Arial"/>
                <w:sz w:val="18"/>
                <w:szCs w:val="18"/>
              </w:rPr>
            </w:pPr>
          </w:p>
        </w:tc>
        <w:tc>
          <w:tcPr>
            <w:tcW w:w="7938" w:type="dxa"/>
            <w:gridSpan w:val="7"/>
            <w:tcBorders>
              <w:top w:val="single" w:sz="4" w:space="0" w:color="auto"/>
              <w:left w:val="single" w:sz="4" w:space="0" w:color="auto"/>
              <w:bottom w:val="single" w:sz="4" w:space="0" w:color="auto"/>
              <w:right w:val="single" w:sz="4" w:space="0" w:color="auto"/>
            </w:tcBorders>
          </w:tcPr>
          <w:p w:rsidR="00893157" w:rsidRPr="00074DC2" w:rsidRDefault="00893157" w:rsidP="004D770E">
            <w:pPr>
              <w:rPr>
                <w:rFonts w:ascii="Arial Narrow" w:eastAsia="Calibri" w:hAnsi="Arial Narrow" w:cs="Arial"/>
                <w:color w:val="FF00FF"/>
                <w:sz w:val="18"/>
                <w:szCs w:val="18"/>
              </w:rPr>
            </w:pPr>
            <w:r w:rsidRPr="00AB2C83">
              <w:rPr>
                <w:rFonts w:ascii="Arial Narrow" w:hAnsi="Arial Narrow" w:cs="Arial"/>
                <w:b/>
                <w:sz w:val="18"/>
                <w:szCs w:val="18"/>
              </w:rPr>
              <w:t xml:space="preserve">Restriction type: </w:t>
            </w:r>
            <w:r w:rsidRPr="000C4C51">
              <w:rPr>
                <w:rFonts w:ascii="Arial Narrow" w:eastAsia="Calibri" w:hAnsi="Arial Narrow" w:cs="Arial"/>
                <w:sz w:val="18"/>
                <w:szCs w:val="18"/>
              </w:rPr>
              <w:fldChar w:fldCharType="begin">
                <w:ffData>
                  <w:name w:val="Check3"/>
                  <w:enabled/>
                  <w:calcOnExit w:val="0"/>
                  <w:checkBox>
                    <w:sizeAuto/>
                    <w:default w:val="1"/>
                  </w:checkBox>
                </w:ffData>
              </w:fldChar>
            </w:r>
            <w:bookmarkStart w:id="10" w:name="Check3"/>
            <w:r w:rsidRPr="00AB2C83">
              <w:rPr>
                <w:rFonts w:ascii="Arial Narrow" w:eastAsia="Calibri" w:hAnsi="Arial Narrow" w:cs="Arial"/>
                <w:sz w:val="18"/>
                <w:szCs w:val="18"/>
              </w:rPr>
              <w:instrText xml:space="preserve"> FORMCHECKBOX </w:instrText>
            </w:r>
            <w:r w:rsidR="00C35F78">
              <w:rPr>
                <w:rFonts w:ascii="Arial Narrow" w:eastAsia="Calibri" w:hAnsi="Arial Narrow" w:cs="Arial"/>
                <w:sz w:val="18"/>
                <w:szCs w:val="18"/>
              </w:rPr>
            </w:r>
            <w:r w:rsidR="00C35F78">
              <w:rPr>
                <w:rFonts w:ascii="Arial Narrow" w:eastAsia="Calibri" w:hAnsi="Arial Narrow" w:cs="Arial"/>
                <w:sz w:val="18"/>
                <w:szCs w:val="18"/>
              </w:rPr>
              <w:fldChar w:fldCharType="separate"/>
            </w:r>
            <w:r w:rsidRPr="000C4C51">
              <w:rPr>
                <w:rFonts w:ascii="Arial Narrow" w:eastAsia="Calibri" w:hAnsi="Arial Narrow" w:cs="Arial"/>
                <w:sz w:val="18"/>
                <w:szCs w:val="18"/>
              </w:rPr>
              <w:fldChar w:fldCharType="end"/>
            </w:r>
            <w:bookmarkEnd w:id="10"/>
            <w:r w:rsidRPr="00AB2C83">
              <w:rPr>
                <w:rFonts w:ascii="Arial Narrow" w:eastAsia="Calibri" w:hAnsi="Arial Narrow" w:cs="Arial"/>
                <w:sz w:val="18"/>
                <w:szCs w:val="18"/>
              </w:rPr>
              <w:t xml:space="preserve">  Authority Required –</w:t>
            </w:r>
            <w:r w:rsidR="003B1E09" w:rsidRPr="00AB2C83">
              <w:rPr>
                <w:rFonts w:ascii="Arial Narrow" w:eastAsia="Calibri" w:hAnsi="Arial Narrow" w:cs="Arial"/>
                <w:sz w:val="18"/>
                <w:szCs w:val="18"/>
              </w:rPr>
              <w:t xml:space="preserve"> </w:t>
            </w:r>
            <w:r w:rsidR="00FE664B" w:rsidRPr="00AB2C83">
              <w:rPr>
                <w:rFonts w:ascii="Arial Narrow" w:eastAsia="Calibri" w:hAnsi="Arial Narrow" w:cs="Arial"/>
                <w:sz w:val="18"/>
                <w:szCs w:val="18"/>
              </w:rPr>
              <w:t xml:space="preserve">immediate assessment via </w:t>
            </w:r>
            <w:r w:rsidR="003B1E09" w:rsidRPr="00AB2C83">
              <w:rPr>
                <w:rFonts w:ascii="Arial Narrow" w:eastAsia="Calibri" w:hAnsi="Arial Narrow" w:cs="Arial"/>
                <w:sz w:val="18"/>
                <w:szCs w:val="18"/>
              </w:rPr>
              <w:t xml:space="preserve">telephone </w:t>
            </w:r>
            <w:r w:rsidRPr="00AB2C83">
              <w:rPr>
                <w:rFonts w:ascii="Arial Narrow" w:eastAsia="Calibri" w:hAnsi="Arial Narrow" w:cs="Arial"/>
                <w:sz w:val="18"/>
                <w:szCs w:val="18"/>
              </w:rPr>
              <w:t>/</w:t>
            </w:r>
            <w:r w:rsidR="003B1E09" w:rsidRPr="00AB2C83">
              <w:rPr>
                <w:rFonts w:ascii="Arial Narrow" w:eastAsia="Calibri" w:hAnsi="Arial Narrow" w:cs="Arial"/>
                <w:sz w:val="18"/>
                <w:szCs w:val="18"/>
              </w:rPr>
              <w:t xml:space="preserve"> Online PBS Authorities system</w:t>
            </w:r>
            <w:r w:rsidRPr="00074DC2">
              <w:rPr>
                <w:rFonts w:ascii="Arial Narrow" w:eastAsia="Calibri" w:hAnsi="Arial Narrow" w:cs="Arial"/>
                <w:sz w:val="18"/>
                <w:szCs w:val="18"/>
              </w:rPr>
              <w:t xml:space="preserve"> </w:t>
            </w:r>
          </w:p>
        </w:tc>
      </w:tr>
      <w:tr w:rsidR="00B70B68" w:rsidRPr="00AB2C83" w:rsidTr="00B70B68">
        <w:tblPrEx>
          <w:tblCellMar>
            <w:top w:w="15" w:type="dxa"/>
            <w:left w:w="15" w:type="dxa"/>
            <w:bottom w:w="15" w:type="dxa"/>
            <w:right w:w="15" w:type="dxa"/>
          </w:tblCellMar>
          <w:tblLook w:val="04A0" w:firstRow="1" w:lastRow="0" w:firstColumn="1" w:lastColumn="0" w:noHBand="0" w:noVBand="1"/>
        </w:tblPrEx>
        <w:tc>
          <w:tcPr>
            <w:tcW w:w="279" w:type="dxa"/>
            <w:vMerge w:val="restart"/>
            <w:textDirection w:val="btLr"/>
            <w:vAlign w:val="center"/>
          </w:tcPr>
          <w:p w:rsidR="00B70B68" w:rsidRPr="00AB2C83" w:rsidRDefault="00B70B68" w:rsidP="00B70B68">
            <w:pPr>
              <w:ind w:left="113" w:right="113"/>
              <w:jc w:val="center"/>
              <w:rPr>
                <w:rFonts w:ascii="Arial Narrow" w:hAnsi="Arial Narrow"/>
                <w:color w:val="333333"/>
                <w:sz w:val="18"/>
                <w:szCs w:val="18"/>
              </w:rPr>
            </w:pPr>
          </w:p>
        </w:tc>
        <w:tc>
          <w:tcPr>
            <w:tcW w:w="992" w:type="dxa"/>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Administrative Advice:</w:t>
            </w:r>
            <w:r w:rsidRPr="00AB2C83">
              <w:rPr>
                <w:rFonts w:ascii="Arial Narrow" w:hAnsi="Arial Narrow"/>
                <w:color w:val="333333"/>
                <w:sz w:val="18"/>
                <w:szCs w:val="18"/>
              </w:rPr>
              <w:t xml:space="preserve"> No increase in the maximum quantity or number of units may be authorised.</w:t>
            </w:r>
          </w:p>
        </w:tc>
      </w:tr>
      <w:tr w:rsidR="00B70B68" w:rsidRPr="00AB2C83" w:rsidTr="00B70B68">
        <w:tblPrEx>
          <w:tblCellMar>
            <w:top w:w="15" w:type="dxa"/>
            <w:left w:w="15" w:type="dxa"/>
            <w:bottom w:w="15" w:type="dxa"/>
            <w:right w:w="15" w:type="dxa"/>
          </w:tblCellMar>
          <w:tblLook w:val="04A0" w:firstRow="1" w:lastRow="0" w:firstColumn="1" w:lastColumn="0" w:noHBand="0" w:noVBand="1"/>
        </w:tblPrEx>
        <w:tc>
          <w:tcPr>
            <w:tcW w:w="279" w:type="dxa"/>
            <w:vMerge/>
            <w:vAlign w:val="center"/>
          </w:tcPr>
          <w:p w:rsidR="00B70B68" w:rsidRPr="00AB2C83" w:rsidRDefault="00B70B68" w:rsidP="00B70B68">
            <w:pPr>
              <w:jc w:val="center"/>
              <w:rPr>
                <w:rFonts w:ascii="Arial Narrow" w:hAnsi="Arial Narrow"/>
                <w:color w:val="333333"/>
                <w:sz w:val="18"/>
                <w:szCs w:val="18"/>
              </w:rPr>
            </w:pPr>
          </w:p>
        </w:tc>
        <w:tc>
          <w:tcPr>
            <w:tcW w:w="992" w:type="dxa"/>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Administrative Advice:</w:t>
            </w:r>
            <w:r w:rsidRPr="00AB2C83">
              <w:rPr>
                <w:rFonts w:ascii="Arial Narrow" w:hAnsi="Arial Narrow"/>
                <w:color w:val="333333"/>
                <w:sz w:val="18"/>
                <w:szCs w:val="18"/>
              </w:rPr>
              <w:t xml:space="preserve"> No increase in the maximum number of repeats may be autho</w:t>
            </w:r>
            <w:bookmarkStart w:id="11" w:name="_GoBack"/>
            <w:bookmarkEnd w:id="11"/>
            <w:r w:rsidRPr="00AB2C83">
              <w:rPr>
                <w:rFonts w:ascii="Arial Narrow" w:hAnsi="Arial Narrow"/>
                <w:color w:val="333333"/>
                <w:sz w:val="18"/>
                <w:szCs w:val="18"/>
              </w:rPr>
              <w:t>rised.</w:t>
            </w:r>
          </w:p>
        </w:tc>
      </w:tr>
      <w:tr w:rsidR="00B70B68" w:rsidRPr="00AB2C83" w:rsidTr="00B70B68">
        <w:tblPrEx>
          <w:tblCellMar>
            <w:top w:w="15" w:type="dxa"/>
            <w:left w:w="15" w:type="dxa"/>
            <w:bottom w:w="15" w:type="dxa"/>
            <w:right w:w="15" w:type="dxa"/>
          </w:tblCellMar>
          <w:tblLook w:val="04A0" w:firstRow="1" w:lastRow="0" w:firstColumn="1" w:lastColumn="0" w:noHBand="0" w:noVBand="1"/>
        </w:tblPrEx>
        <w:tc>
          <w:tcPr>
            <w:tcW w:w="279" w:type="dxa"/>
            <w:vMerge/>
            <w:vAlign w:val="center"/>
          </w:tcPr>
          <w:p w:rsidR="00B70B68" w:rsidRPr="00AB2C83" w:rsidRDefault="00B70B68" w:rsidP="00B70B68">
            <w:pPr>
              <w:jc w:val="center"/>
              <w:rPr>
                <w:rFonts w:ascii="Arial Narrow" w:hAnsi="Arial Narrow"/>
                <w:color w:val="333333"/>
                <w:sz w:val="18"/>
                <w:szCs w:val="18"/>
              </w:rPr>
            </w:pPr>
          </w:p>
        </w:tc>
        <w:tc>
          <w:tcPr>
            <w:tcW w:w="992" w:type="dxa"/>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Administrative Advice:</w:t>
            </w:r>
            <w:r w:rsidRPr="00AB2C83">
              <w:rPr>
                <w:rFonts w:ascii="Arial Narrow" w:hAnsi="Arial Narrow"/>
                <w:color w:val="333333"/>
                <w:sz w:val="18"/>
                <w:szCs w:val="18"/>
              </w:rPr>
              <w:t xml:space="preserve"> Special Pricing Arrangements apply.</w:t>
            </w:r>
          </w:p>
        </w:tc>
      </w:tr>
      <w:tr w:rsidR="00B70B68" w:rsidRPr="00AB2C83" w:rsidTr="00B70B68">
        <w:tblPrEx>
          <w:tblCellMar>
            <w:top w:w="15" w:type="dxa"/>
            <w:left w:w="15" w:type="dxa"/>
            <w:bottom w:w="15" w:type="dxa"/>
            <w:right w:w="15" w:type="dxa"/>
          </w:tblCellMar>
          <w:tblLook w:val="04A0" w:firstRow="1" w:lastRow="0" w:firstColumn="1" w:lastColumn="0" w:noHBand="0" w:noVBand="1"/>
        </w:tblPrEx>
        <w:tc>
          <w:tcPr>
            <w:tcW w:w="279" w:type="dxa"/>
            <w:vMerge/>
            <w:vAlign w:val="center"/>
          </w:tcPr>
          <w:p w:rsidR="00B70B68" w:rsidRPr="00AB2C83" w:rsidRDefault="00B70B68" w:rsidP="00B70B68">
            <w:pPr>
              <w:jc w:val="center"/>
              <w:rPr>
                <w:rFonts w:ascii="Arial Narrow" w:hAnsi="Arial Narrow"/>
                <w:color w:val="333333"/>
                <w:sz w:val="18"/>
                <w:szCs w:val="18"/>
              </w:rPr>
            </w:pPr>
          </w:p>
        </w:tc>
        <w:tc>
          <w:tcPr>
            <w:tcW w:w="992" w:type="dxa"/>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tcPr>
          <w:p w:rsidR="00B70B68" w:rsidRPr="00AB2C83" w:rsidRDefault="00B70B68" w:rsidP="00B70B68">
            <w:pPr>
              <w:rPr>
                <w:rFonts w:ascii="Arial Narrow" w:hAnsi="Arial Narrow"/>
                <w:b/>
                <w:bCs/>
                <w:i/>
                <w:iCs/>
                <w:color w:val="333333"/>
                <w:sz w:val="18"/>
                <w:szCs w:val="18"/>
              </w:rPr>
            </w:pPr>
            <w:r w:rsidRPr="00AB2C83">
              <w:rPr>
                <w:rFonts w:ascii="Arial Narrow" w:hAnsi="Arial Narrow"/>
                <w:b/>
                <w:bCs/>
                <w:i/>
                <w:iCs/>
                <w:color w:val="333333"/>
                <w:sz w:val="18"/>
                <w:szCs w:val="18"/>
              </w:rPr>
              <w:t xml:space="preserve">Administrative Advice: </w:t>
            </w:r>
          </w:p>
          <w:p w:rsidR="00B70B68" w:rsidRPr="00AB2C83" w:rsidRDefault="00B70B68" w:rsidP="00B70B68">
            <w:pPr>
              <w:rPr>
                <w:rFonts w:ascii="Arial Narrow" w:hAnsi="Arial Narrow"/>
                <w:bCs/>
                <w:i/>
                <w:color w:val="333333"/>
                <w:sz w:val="18"/>
                <w:szCs w:val="18"/>
              </w:rPr>
            </w:pPr>
            <w:r w:rsidRPr="00AB2C83">
              <w:rPr>
                <w:rFonts w:ascii="Arial Narrow" w:hAnsi="Arial Narrow"/>
                <w:bCs/>
                <w:i/>
                <w:color w:val="333333"/>
                <w:sz w:val="18"/>
                <w:szCs w:val="18"/>
              </w:rPr>
              <w:t>Pharmaceutical benefits that have the form ‘tablet’ and pharmaceutical benefits that have the form ‘capsule’ of this drug are equivalent for the purposes of substitution where the strength is the same.</w:t>
            </w:r>
          </w:p>
        </w:tc>
      </w:tr>
      <w:tr w:rsidR="00B70B68" w:rsidRPr="00AB2C83" w:rsidTr="00B70B68">
        <w:tblPrEx>
          <w:tblCellMar>
            <w:top w:w="15" w:type="dxa"/>
            <w:left w:w="15" w:type="dxa"/>
            <w:bottom w:w="15" w:type="dxa"/>
            <w:right w:w="15" w:type="dxa"/>
          </w:tblCellMar>
          <w:tblLook w:val="04A0" w:firstRow="1" w:lastRow="0" w:firstColumn="1" w:lastColumn="0" w:noHBand="0" w:noVBand="1"/>
        </w:tblPrEx>
        <w:tc>
          <w:tcPr>
            <w:tcW w:w="279" w:type="dxa"/>
            <w:vMerge/>
            <w:vAlign w:val="center"/>
            <w:hideMark/>
          </w:tcPr>
          <w:p w:rsidR="00B70B68" w:rsidRPr="00AB2C83" w:rsidRDefault="00B70B68" w:rsidP="00B70B68">
            <w:pPr>
              <w:jc w:val="center"/>
              <w:rPr>
                <w:rFonts w:ascii="Arial Narrow" w:hAnsi="Arial Narrow"/>
                <w:color w:val="333333"/>
                <w:sz w:val="18"/>
                <w:szCs w:val="18"/>
              </w:rPr>
            </w:pPr>
          </w:p>
        </w:tc>
        <w:tc>
          <w:tcPr>
            <w:tcW w:w="992" w:type="dxa"/>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Administrative Advice:</w:t>
            </w:r>
          </w:p>
          <w:p w:rsidR="00B70B68" w:rsidRPr="00AB2C83" w:rsidRDefault="00B70B68" w:rsidP="00B70B68">
            <w:pPr>
              <w:rPr>
                <w:rFonts w:ascii="Arial Narrow" w:hAnsi="Arial Narrow"/>
                <w:color w:val="333333"/>
                <w:sz w:val="18"/>
                <w:szCs w:val="18"/>
              </w:rPr>
            </w:pPr>
            <w:r w:rsidRPr="00AB2C83">
              <w:rPr>
                <w:rFonts w:ascii="Arial Narrow" w:hAnsi="Arial Narrow"/>
                <w:color w:val="333333"/>
                <w:sz w:val="18"/>
                <w:szCs w:val="18"/>
              </w:rPr>
              <w:t>Applications for authorisation under this restriction may be made in real time using the Online PBS Authorities system (see www.servicesaustralia.gov.au/HPOS) or by telephone by contacting Services Australia on 1800 888 333.</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Indication:</w:t>
            </w:r>
            <w:r w:rsidRPr="00AB2C83">
              <w:rPr>
                <w:rFonts w:ascii="Arial Narrow" w:hAnsi="Arial Narrow"/>
                <w:color w:val="333333"/>
                <w:sz w:val="18"/>
                <w:szCs w:val="18"/>
              </w:rPr>
              <w:t xml:space="preserve"> Locally advanced or metastatic breast cancer</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Treatment Phase:</w:t>
            </w:r>
            <w:r w:rsidRPr="00AB2C83">
              <w:rPr>
                <w:rFonts w:ascii="Arial Narrow" w:hAnsi="Arial Narrow"/>
                <w:color w:val="333333"/>
                <w:sz w:val="18"/>
                <w:szCs w:val="18"/>
              </w:rPr>
              <w:t xml:space="preserve"> Initial treatment</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Clinical criteria:</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color w:val="333333"/>
                <w:sz w:val="18"/>
                <w:szCs w:val="18"/>
              </w:rPr>
              <w:t>Patient must not have previously been treated with an aromatase inhibitor for advanced or metastatic breast cancer</w:t>
            </w:r>
          </w:p>
        </w:tc>
      </w:tr>
      <w:tr w:rsidR="00B70B68" w:rsidRPr="00AB2C83" w:rsidTr="00B70B68">
        <w:tblPrEx>
          <w:tblCellMar>
            <w:top w:w="15" w:type="dxa"/>
            <w:left w:w="15" w:type="dxa"/>
            <w:bottom w:w="15" w:type="dxa"/>
            <w:right w:w="15" w:type="dxa"/>
          </w:tblCellMar>
          <w:tblLook w:val="04A0" w:firstRow="1" w:lastRow="0" w:firstColumn="1" w:lastColumn="0" w:noHBand="0" w:noVBand="1"/>
        </w:tblPrEx>
        <w:tc>
          <w:tcPr>
            <w:tcW w:w="1271" w:type="dxa"/>
            <w:gridSpan w:val="2"/>
            <w:vAlign w:val="center"/>
            <w:hideMark/>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AND</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Clinical criteria:</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color w:val="333333"/>
                <w:sz w:val="18"/>
                <w:szCs w:val="18"/>
              </w:rPr>
              <w:t>Patient must not have previously been treated with abemaciclib or ribociclib; or</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color w:val="333333"/>
                <w:sz w:val="18"/>
                <w:szCs w:val="18"/>
              </w:rPr>
              <w:t>Patient must have developed an intolerance to abemaciclib or ribociclib of a severity necessitating permanent treatment withdrawal</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AND</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Clinical criteria:</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color w:val="333333"/>
                <w:sz w:val="18"/>
                <w:szCs w:val="18"/>
              </w:rPr>
              <w:t>The condition must be hormone receptor positive</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AND</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Clinical criteria:</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color w:val="333333"/>
                <w:sz w:val="18"/>
                <w:szCs w:val="18"/>
              </w:rPr>
              <w:t>The condition must be human epidermal growth factor receptor 2 (HER2) negative</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AND</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Clinical criteria:</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color w:val="333333"/>
                <w:sz w:val="18"/>
                <w:szCs w:val="18"/>
              </w:rPr>
              <w:t>The condition must be inoperable</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AND</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Clinical criteria:</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color w:val="333333"/>
                <w:sz w:val="18"/>
                <w:szCs w:val="18"/>
              </w:rPr>
              <w:t>Patient must have a World Health Organisation (WHO) Eastern Cooperative Oncology Group (ECOG) performance status score of 2 or less</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AND</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Clinical criteria:</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color w:val="333333"/>
                <w:sz w:val="18"/>
                <w:szCs w:val="18"/>
              </w:rPr>
              <w:t>The treatment must be in combination with anastrozole or letrozole</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AND</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Clinical criteria:</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color w:val="333333"/>
                <w:sz w:val="18"/>
                <w:szCs w:val="18"/>
              </w:rPr>
              <w:t>The treatment must not be in combination with abemaciclib or ribociclib</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AND</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Population criteria:</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color w:val="333333"/>
                <w:sz w:val="18"/>
                <w:szCs w:val="18"/>
              </w:rPr>
              <w:t>Patient must not be premenopausal</w:t>
            </w:r>
          </w:p>
        </w:tc>
      </w:tr>
      <w:tr w:rsidR="00B70B68" w:rsidRPr="00AB2C83" w:rsidTr="004D770E">
        <w:tblPrEx>
          <w:tblCellMar>
            <w:top w:w="15" w:type="dxa"/>
            <w:left w:w="15" w:type="dxa"/>
            <w:bottom w:w="15" w:type="dxa"/>
            <w:right w:w="15" w:type="dxa"/>
          </w:tblCellMar>
          <w:tblLook w:val="04A0" w:firstRow="1" w:lastRow="0" w:firstColumn="1" w:lastColumn="0" w:noHBand="0" w:noVBand="1"/>
        </w:tblPrEx>
        <w:tc>
          <w:tcPr>
            <w:tcW w:w="9209" w:type="dxa"/>
            <w:gridSpan w:val="9"/>
            <w:vAlign w:val="center"/>
          </w:tcPr>
          <w:p w:rsidR="00B70B68" w:rsidRPr="00AB2C83" w:rsidRDefault="00B70B68" w:rsidP="00B70B68">
            <w:pPr>
              <w:rPr>
                <w:rFonts w:ascii="Arial Narrow" w:hAnsi="Arial Narrow"/>
                <w:b/>
                <w:bCs/>
                <w:color w:val="333333"/>
                <w:sz w:val="18"/>
                <w:szCs w:val="18"/>
              </w:rPr>
            </w:pPr>
          </w:p>
          <w:p w:rsidR="00B70B68" w:rsidRPr="00AB2C83" w:rsidRDefault="00B70B68" w:rsidP="00B70B68">
            <w:pPr>
              <w:rPr>
                <w:rFonts w:ascii="Arial Narrow" w:hAnsi="Arial Narrow"/>
                <w:b/>
                <w:bCs/>
                <w:color w:val="333333"/>
                <w:sz w:val="18"/>
                <w:szCs w:val="18"/>
              </w:rPr>
            </w:pPr>
          </w:p>
        </w:tc>
      </w:tr>
      <w:tr w:rsidR="00B70B68" w:rsidRPr="00AB2C83" w:rsidTr="004D770E">
        <w:tblPrEx>
          <w:tblCellMar>
            <w:top w:w="15" w:type="dxa"/>
            <w:left w:w="15" w:type="dxa"/>
            <w:bottom w:w="15" w:type="dxa"/>
            <w:right w:w="15" w:type="dxa"/>
          </w:tblCellMar>
          <w:tblLook w:val="04A0" w:firstRow="1" w:lastRow="0" w:firstColumn="1" w:lastColumn="0" w:noHBand="0" w:noVBand="1"/>
        </w:tblPrEx>
        <w:tc>
          <w:tcPr>
            <w:tcW w:w="9209" w:type="dxa"/>
            <w:gridSpan w:val="9"/>
            <w:vAlign w:val="center"/>
          </w:tcPr>
          <w:p w:rsidR="00B70B68" w:rsidRPr="00AB2C83" w:rsidRDefault="00B70B68" w:rsidP="00B70B68">
            <w:pPr>
              <w:rPr>
                <w:rFonts w:ascii="Arial Narrow" w:hAnsi="Arial Narrow"/>
                <w:b/>
                <w:bCs/>
                <w:color w:val="333333"/>
                <w:sz w:val="18"/>
                <w:szCs w:val="18"/>
              </w:rPr>
            </w:pPr>
            <w:r w:rsidRPr="000C4C51">
              <w:rPr>
                <w:rFonts w:ascii="Arial Narrow" w:hAnsi="Arial Narrow"/>
                <w:b/>
                <w:bCs/>
                <w:color w:val="333333"/>
                <w:sz w:val="18"/>
                <w:szCs w:val="18"/>
              </w:rPr>
              <w:t xml:space="preserve">Restriction Summary: 10804 / ToC: 10735 </w:t>
            </w:r>
            <w:r w:rsidRPr="000C4C51">
              <w:rPr>
                <w:rFonts w:ascii="Arial Narrow" w:hAnsi="Arial Narrow"/>
                <w:bCs/>
                <w:i/>
                <w:color w:val="333333"/>
                <w:sz w:val="18"/>
                <w:szCs w:val="18"/>
              </w:rPr>
              <w:t xml:space="preserve">(as at 1 </w:t>
            </w:r>
            <w:r w:rsidR="003B1E09" w:rsidRPr="000C4C51">
              <w:rPr>
                <w:rFonts w:ascii="Arial Narrow" w:hAnsi="Arial Narrow"/>
                <w:bCs/>
                <w:i/>
                <w:color w:val="333333"/>
                <w:sz w:val="18"/>
                <w:szCs w:val="18"/>
              </w:rPr>
              <w:t xml:space="preserve">July </w:t>
            </w:r>
            <w:r w:rsidRPr="000C4C51">
              <w:rPr>
                <w:rFonts w:ascii="Arial Narrow" w:hAnsi="Arial Narrow"/>
                <w:bCs/>
                <w:i/>
                <w:color w:val="333333"/>
                <w:sz w:val="18"/>
                <w:szCs w:val="18"/>
              </w:rPr>
              <w:t>2021)</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Indication:</w:t>
            </w:r>
            <w:r w:rsidRPr="00AB2C83">
              <w:rPr>
                <w:rFonts w:ascii="Arial Narrow" w:hAnsi="Arial Narrow"/>
                <w:color w:val="333333"/>
                <w:sz w:val="18"/>
                <w:szCs w:val="18"/>
              </w:rPr>
              <w:t xml:space="preserve"> Locally advanced or metastatic breast cancer</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Treatment Phase:</w:t>
            </w:r>
            <w:r w:rsidRPr="00AB2C83">
              <w:rPr>
                <w:rFonts w:ascii="Arial Narrow" w:hAnsi="Arial Narrow"/>
                <w:color w:val="333333"/>
                <w:sz w:val="18"/>
                <w:szCs w:val="18"/>
              </w:rPr>
              <w:t xml:space="preserve"> Continuing treatment</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Clinical criteria:</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color w:val="333333"/>
                <w:sz w:val="18"/>
                <w:szCs w:val="18"/>
              </w:rPr>
              <w:t>Patient must have previously received PBS-subsidised treatment with this drug for this condition</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AND</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Clinical criteria:</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color w:val="333333"/>
                <w:sz w:val="18"/>
                <w:szCs w:val="18"/>
              </w:rPr>
              <w:t>Patient must not develop disease progression while receiving treatment with this drug for this condition</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AND</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Clinical criteria:</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color w:val="333333"/>
                <w:sz w:val="18"/>
                <w:szCs w:val="18"/>
              </w:rPr>
              <w:t>Patient must have stable or responding disease according to the Response Evaluation Criteria In Solid Tumours (RECIST)</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AND</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Clinical criteria:</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color w:val="333333"/>
                <w:sz w:val="18"/>
                <w:szCs w:val="18"/>
              </w:rPr>
              <w:t xml:space="preserve">The treatment must be in combination with </w:t>
            </w:r>
            <w:r w:rsidR="009C67C8" w:rsidRPr="00AB2C83">
              <w:rPr>
                <w:rFonts w:ascii="Arial Narrow" w:hAnsi="Arial Narrow"/>
                <w:color w:val="333333"/>
                <w:sz w:val="18"/>
                <w:szCs w:val="18"/>
              </w:rPr>
              <w:t>anastrozole</w:t>
            </w:r>
            <w:r w:rsidRPr="00AB2C83">
              <w:rPr>
                <w:rFonts w:ascii="Arial Narrow" w:hAnsi="Arial Narrow"/>
                <w:color w:val="333333"/>
                <w:sz w:val="18"/>
                <w:szCs w:val="18"/>
              </w:rPr>
              <w:t xml:space="preserve"> or letrozole</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AND</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Clinical criteria:</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color w:val="333333"/>
                <w:sz w:val="18"/>
                <w:szCs w:val="18"/>
              </w:rPr>
              <w:t>The treatment must not be in combination with abemaciclib or ribociclib</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AND</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Population criteria:</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color w:val="333333"/>
                <w:sz w:val="18"/>
                <w:szCs w:val="18"/>
              </w:rPr>
              <w:t>Patient must not be premenopausal</w:t>
            </w:r>
          </w:p>
        </w:tc>
      </w:tr>
      <w:tr w:rsidR="00B70B68" w:rsidRPr="00AB2C83" w:rsidTr="000C2999">
        <w:tblPrEx>
          <w:tblCellMar>
            <w:top w:w="15" w:type="dxa"/>
            <w:left w:w="15" w:type="dxa"/>
            <w:bottom w:w="15" w:type="dxa"/>
            <w:right w:w="15" w:type="dxa"/>
          </w:tblCellMar>
        </w:tblPrEx>
        <w:tc>
          <w:tcPr>
            <w:tcW w:w="1271" w:type="dxa"/>
            <w:gridSpan w:val="2"/>
            <w:vAlign w:val="center"/>
          </w:tcPr>
          <w:p w:rsidR="00B70B68" w:rsidRPr="00AB2C83" w:rsidRDefault="00B70B68" w:rsidP="00B70B68">
            <w:pPr>
              <w:jc w:val="center"/>
              <w:rPr>
                <w:rFonts w:ascii="Arial Narrow" w:hAnsi="Arial Narrow"/>
                <w:color w:val="333333"/>
                <w:sz w:val="18"/>
                <w:szCs w:val="18"/>
              </w:rPr>
            </w:pPr>
          </w:p>
        </w:tc>
        <w:tc>
          <w:tcPr>
            <w:tcW w:w="7938" w:type="dxa"/>
            <w:gridSpan w:val="7"/>
            <w:vAlign w:val="center"/>
            <w:hideMark/>
          </w:tcPr>
          <w:p w:rsidR="00B70B68" w:rsidRPr="00AB2C83" w:rsidRDefault="00B70B68" w:rsidP="00B70B68">
            <w:pPr>
              <w:rPr>
                <w:rFonts w:ascii="Arial Narrow" w:hAnsi="Arial Narrow"/>
                <w:color w:val="333333"/>
                <w:sz w:val="18"/>
                <w:szCs w:val="18"/>
              </w:rPr>
            </w:pPr>
            <w:r w:rsidRPr="00AB2C83">
              <w:rPr>
                <w:rFonts w:ascii="Arial Narrow" w:hAnsi="Arial Narrow"/>
                <w:b/>
                <w:bCs/>
                <w:color w:val="333333"/>
                <w:sz w:val="18"/>
                <w:szCs w:val="18"/>
              </w:rPr>
              <w:t>Prescribing Instructions:</w:t>
            </w:r>
          </w:p>
          <w:p w:rsidR="00B70B68" w:rsidRPr="00AB2C83" w:rsidRDefault="00B70B68" w:rsidP="00B70B68">
            <w:pPr>
              <w:rPr>
                <w:rFonts w:ascii="Arial Narrow" w:hAnsi="Arial Narrow"/>
                <w:color w:val="333333"/>
                <w:sz w:val="18"/>
                <w:szCs w:val="18"/>
              </w:rPr>
            </w:pPr>
            <w:r w:rsidRPr="00AB2C83">
              <w:rPr>
                <w:rFonts w:ascii="Arial Narrow" w:hAnsi="Arial Narrow"/>
                <w:color w:val="333333"/>
                <w:sz w:val="18"/>
                <w:szCs w:val="18"/>
              </w:rPr>
              <w:t xml:space="preserve">A patient who has progressive disease when treated with this drug is no longer eligible for PBS-subsidised treatment with this drug. </w:t>
            </w:r>
          </w:p>
        </w:tc>
      </w:tr>
    </w:tbl>
    <w:p w:rsidR="0067194B" w:rsidRDefault="001E30F9" w:rsidP="00F72A5F">
      <w:pPr>
        <w:pStyle w:val="3Bodytext"/>
        <w:numPr>
          <w:ilvl w:val="0"/>
          <w:numId w:val="0"/>
        </w:numPr>
      </w:pPr>
      <w:r w:rsidRPr="00AB2C83">
        <w:rPr>
          <w:b/>
          <w:i/>
        </w:rPr>
        <w:t>These restrictions may be subject to further review. Should there be any changes made to the restriction the Sponsor will be informed.</w:t>
      </w:r>
    </w:p>
    <w:p w:rsidR="0067194B" w:rsidRPr="000C2999" w:rsidRDefault="0067194B" w:rsidP="000C2999">
      <w:pPr>
        <w:pStyle w:val="2-SectionHeading"/>
      </w:pPr>
      <w:r w:rsidRPr="00C07617">
        <w:t>Context for Decision</w:t>
      </w:r>
    </w:p>
    <w:p w:rsidR="0067194B" w:rsidRPr="007129F2" w:rsidRDefault="0067194B" w:rsidP="000C2999">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67194B" w:rsidRPr="000C2999" w:rsidRDefault="0067194B" w:rsidP="000C2999">
      <w:pPr>
        <w:pStyle w:val="2-SectionHeading"/>
        <w:rPr>
          <w:b w:val="0"/>
        </w:rPr>
      </w:pPr>
      <w:r>
        <w:t>Sponsor’s Comment</w:t>
      </w:r>
    </w:p>
    <w:p w:rsidR="0067194B" w:rsidRPr="001179AC" w:rsidRDefault="0067194B" w:rsidP="000C2999">
      <w:pPr>
        <w:spacing w:after="120"/>
        <w:ind w:firstLine="720"/>
        <w:rPr>
          <w:rFonts w:asciiTheme="minorHAnsi" w:hAnsiTheme="minorHAnsi" w:cs="Arial"/>
          <w:bCs/>
        </w:rPr>
      </w:pPr>
      <w:r w:rsidRPr="00C07617">
        <w:rPr>
          <w:rFonts w:asciiTheme="minorHAnsi" w:hAnsiTheme="minorHAnsi" w:cs="Arial"/>
          <w:bCs/>
        </w:rPr>
        <w:t>The sponsor had no comment.</w:t>
      </w:r>
    </w:p>
    <w:p w:rsidR="00592CB8" w:rsidRPr="00955597" w:rsidRDefault="00592CB8" w:rsidP="000C2999"/>
    <w:sectPr w:rsidR="00592CB8" w:rsidRPr="00955597"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CAC" w:rsidRDefault="000E7CAC">
      <w:r>
        <w:separator/>
      </w:r>
    </w:p>
    <w:p w:rsidR="000E7CAC" w:rsidRDefault="000E7CAC"/>
  </w:endnote>
  <w:endnote w:type="continuationSeparator" w:id="0">
    <w:p w:rsidR="000E7CAC" w:rsidRDefault="000E7CAC">
      <w:r>
        <w:continuationSeparator/>
      </w:r>
    </w:p>
    <w:p w:rsidR="000E7CAC" w:rsidRDefault="000E7CAC"/>
  </w:endnote>
  <w:endnote w:type="continuationNotice" w:id="1">
    <w:p w:rsidR="000E7CAC" w:rsidRDefault="000E7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TimesNewRoman">
    <w:altName w:val="Yu Gothic"/>
    <w:panose1 w:val="00000000000000000000"/>
    <w:charset w:val="0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BF64F5" w:rsidTr="005A3173">
      <w:trPr>
        <w:trHeight w:val="151"/>
      </w:trPr>
      <w:tc>
        <w:tcPr>
          <w:tcW w:w="2250" w:type="pct"/>
          <w:tcBorders>
            <w:top w:val="nil"/>
            <w:left w:val="nil"/>
            <w:bottom w:val="single" w:sz="4" w:space="0" w:color="4F81BD"/>
            <w:right w:val="nil"/>
          </w:tcBorders>
        </w:tcPr>
        <w:p w:rsidR="00BF64F5" w:rsidRPr="005A3173" w:rsidRDefault="00BF64F5" w:rsidP="005A3173">
          <w:pPr>
            <w:pStyle w:val="Header"/>
            <w:spacing w:line="276" w:lineRule="auto"/>
            <w:rPr>
              <w:rFonts w:eastAsia="MS Gothic"/>
              <w:b/>
              <w:bCs/>
              <w:color w:val="4F81BD"/>
            </w:rPr>
          </w:pPr>
        </w:p>
      </w:tc>
      <w:tc>
        <w:tcPr>
          <w:tcW w:w="500" w:type="pct"/>
          <w:vMerge w:val="restart"/>
          <w:noWrap/>
          <w:vAlign w:val="center"/>
          <w:hideMark/>
        </w:tcPr>
        <w:p w:rsidR="00BF64F5" w:rsidRPr="005A3173" w:rsidRDefault="00BF64F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F64F5" w:rsidRPr="005A3173" w:rsidRDefault="00BF64F5" w:rsidP="005A3173">
          <w:pPr>
            <w:pStyle w:val="Header"/>
            <w:spacing w:line="276" w:lineRule="auto"/>
            <w:rPr>
              <w:rFonts w:eastAsia="MS Gothic"/>
              <w:b/>
              <w:bCs/>
              <w:color w:val="4F81BD"/>
            </w:rPr>
          </w:pPr>
        </w:p>
      </w:tc>
    </w:tr>
    <w:tr w:rsidR="00BF64F5" w:rsidTr="005A3173">
      <w:trPr>
        <w:trHeight w:val="150"/>
      </w:trPr>
      <w:tc>
        <w:tcPr>
          <w:tcW w:w="2250" w:type="pct"/>
          <w:tcBorders>
            <w:top w:val="single" w:sz="4" w:space="0" w:color="4F81BD"/>
            <w:left w:val="nil"/>
            <w:bottom w:val="nil"/>
            <w:right w:val="nil"/>
          </w:tcBorders>
        </w:tcPr>
        <w:p w:rsidR="00BF64F5" w:rsidRPr="005A3173" w:rsidRDefault="00BF64F5" w:rsidP="005A3173">
          <w:pPr>
            <w:pStyle w:val="Header"/>
            <w:spacing w:line="276" w:lineRule="auto"/>
            <w:rPr>
              <w:rFonts w:eastAsia="MS Gothic"/>
              <w:b/>
              <w:bCs/>
              <w:color w:val="4F81BD"/>
            </w:rPr>
          </w:pPr>
        </w:p>
      </w:tc>
      <w:tc>
        <w:tcPr>
          <w:tcW w:w="0" w:type="auto"/>
          <w:vMerge/>
          <w:vAlign w:val="center"/>
          <w:hideMark/>
        </w:tcPr>
        <w:p w:rsidR="00BF64F5" w:rsidRPr="005A3173" w:rsidRDefault="00BF64F5" w:rsidP="005A3173">
          <w:pPr>
            <w:rPr>
              <w:color w:val="365F91"/>
              <w:sz w:val="22"/>
              <w:szCs w:val="22"/>
            </w:rPr>
          </w:pPr>
        </w:p>
      </w:tc>
      <w:tc>
        <w:tcPr>
          <w:tcW w:w="2250" w:type="pct"/>
          <w:tcBorders>
            <w:top w:val="single" w:sz="4" w:space="0" w:color="4F81BD"/>
            <w:left w:val="nil"/>
            <w:bottom w:val="nil"/>
            <w:right w:val="nil"/>
          </w:tcBorders>
        </w:tcPr>
        <w:p w:rsidR="00BF64F5" w:rsidRPr="005A3173" w:rsidRDefault="00BF64F5" w:rsidP="005A3173">
          <w:pPr>
            <w:pStyle w:val="Header"/>
            <w:spacing w:line="276" w:lineRule="auto"/>
            <w:rPr>
              <w:rFonts w:eastAsia="MS Gothic"/>
              <w:b/>
              <w:bCs/>
              <w:color w:val="4F81BD"/>
            </w:rPr>
          </w:pPr>
        </w:p>
      </w:tc>
    </w:tr>
  </w:tbl>
  <w:p w:rsidR="00BF64F5" w:rsidRDefault="00BF64F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64F5" w:rsidRDefault="00BF64F5">
    <w:pPr>
      <w:pStyle w:val="Footer"/>
    </w:pPr>
  </w:p>
  <w:p w:rsidR="00BF64F5" w:rsidRDefault="00BF64F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4F5" w:rsidRPr="00D429EC" w:rsidRDefault="00BF64F5" w:rsidP="00E27234">
    <w:pPr>
      <w:pStyle w:val="PBACFooter"/>
      <w:rPr>
        <w:rFonts w:asciiTheme="minorHAnsi" w:hAnsiTheme="minorHAnsi" w:cstheme="minorHAnsi"/>
        <w:sz w:val="24"/>
      </w:rPr>
    </w:pPr>
  </w:p>
  <w:p w:rsidR="00BF64F5" w:rsidRPr="00D429EC" w:rsidRDefault="00BF64F5" w:rsidP="00817EF6">
    <w:pPr>
      <w:pStyle w:val="PBACFooter"/>
      <w:rPr>
        <w:rFonts w:asciiTheme="minorHAnsi" w:hAnsiTheme="minorHAnsi" w:cstheme="minorHAnsi"/>
        <w:sz w:val="24"/>
      </w:rPr>
    </w:pPr>
    <w:r>
      <w:rPr>
        <w:rFonts w:ascii="Calibri" w:hAnsi="Calibri"/>
        <w:b w:val="0"/>
      </w:rPr>
      <w:t xml:space="preserve"> </w:t>
    </w:r>
    <w:r w:rsidRPr="00836F75">
      <w:rPr>
        <w:rFonts w:ascii="Calibri" w:hAnsi="Calibri"/>
        <w:b w:val="0"/>
      </w:rPr>
      <w:fldChar w:fldCharType="begin"/>
    </w:r>
    <w:r w:rsidRPr="00836F75">
      <w:rPr>
        <w:rFonts w:ascii="Calibri" w:hAnsi="Calibri"/>
      </w:rPr>
      <w:instrText xml:space="preserve"> PAGE   \* MERGEFORMAT </w:instrText>
    </w:r>
    <w:r w:rsidRPr="00836F75">
      <w:rPr>
        <w:rFonts w:ascii="Calibri" w:hAnsi="Calibri"/>
        <w:b w:val="0"/>
      </w:rPr>
      <w:fldChar w:fldCharType="separate"/>
    </w:r>
    <w:r w:rsidR="00C35F78">
      <w:rPr>
        <w:rFonts w:ascii="Calibri" w:hAnsi="Calibri"/>
        <w:noProof/>
      </w:rPr>
      <w:t>7</w:t>
    </w:r>
    <w:r w:rsidRPr="00836F75">
      <w:rPr>
        <w:rFonts w:ascii="Calibri" w:hAnsi="Calibri"/>
        <w:b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BF64F5" w:rsidTr="005A3173">
      <w:trPr>
        <w:trHeight w:val="151"/>
      </w:trPr>
      <w:tc>
        <w:tcPr>
          <w:tcW w:w="2250" w:type="pct"/>
          <w:tcBorders>
            <w:top w:val="nil"/>
            <w:left w:val="nil"/>
            <w:bottom w:val="single" w:sz="4" w:space="0" w:color="4F81BD"/>
            <w:right w:val="nil"/>
          </w:tcBorders>
        </w:tcPr>
        <w:p w:rsidR="00BF64F5" w:rsidRPr="005A3173" w:rsidRDefault="00BF64F5" w:rsidP="005A3173">
          <w:pPr>
            <w:pStyle w:val="Header"/>
            <w:spacing w:line="276" w:lineRule="auto"/>
            <w:rPr>
              <w:rFonts w:eastAsia="MS Gothic"/>
              <w:b/>
              <w:bCs/>
              <w:color w:val="4F81BD"/>
            </w:rPr>
          </w:pPr>
        </w:p>
      </w:tc>
      <w:tc>
        <w:tcPr>
          <w:tcW w:w="500" w:type="pct"/>
          <w:vMerge w:val="restart"/>
          <w:noWrap/>
          <w:vAlign w:val="center"/>
          <w:hideMark/>
        </w:tcPr>
        <w:p w:rsidR="00BF64F5" w:rsidRPr="005A3173" w:rsidRDefault="00BF64F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F64F5" w:rsidRPr="005A3173" w:rsidRDefault="00BF64F5" w:rsidP="005A3173">
          <w:pPr>
            <w:pStyle w:val="Header"/>
            <w:spacing w:line="276" w:lineRule="auto"/>
            <w:rPr>
              <w:rFonts w:eastAsia="MS Gothic"/>
              <w:b/>
              <w:bCs/>
              <w:color w:val="4F81BD"/>
            </w:rPr>
          </w:pPr>
        </w:p>
      </w:tc>
    </w:tr>
    <w:tr w:rsidR="00BF64F5" w:rsidTr="005A3173">
      <w:trPr>
        <w:trHeight w:val="150"/>
      </w:trPr>
      <w:tc>
        <w:tcPr>
          <w:tcW w:w="2250" w:type="pct"/>
          <w:tcBorders>
            <w:top w:val="single" w:sz="4" w:space="0" w:color="4F81BD"/>
            <w:left w:val="nil"/>
            <w:bottom w:val="nil"/>
            <w:right w:val="nil"/>
          </w:tcBorders>
        </w:tcPr>
        <w:p w:rsidR="00BF64F5" w:rsidRPr="005A3173" w:rsidRDefault="00BF64F5" w:rsidP="005A3173">
          <w:pPr>
            <w:pStyle w:val="Header"/>
            <w:spacing w:line="276" w:lineRule="auto"/>
            <w:rPr>
              <w:rFonts w:eastAsia="MS Gothic"/>
              <w:b/>
              <w:bCs/>
              <w:color w:val="4F81BD"/>
            </w:rPr>
          </w:pPr>
        </w:p>
      </w:tc>
      <w:tc>
        <w:tcPr>
          <w:tcW w:w="0" w:type="auto"/>
          <w:vMerge/>
          <w:vAlign w:val="center"/>
          <w:hideMark/>
        </w:tcPr>
        <w:p w:rsidR="00BF64F5" w:rsidRPr="005A3173" w:rsidRDefault="00BF64F5" w:rsidP="005A3173">
          <w:pPr>
            <w:rPr>
              <w:color w:val="365F91"/>
              <w:sz w:val="22"/>
              <w:szCs w:val="22"/>
            </w:rPr>
          </w:pPr>
        </w:p>
      </w:tc>
      <w:tc>
        <w:tcPr>
          <w:tcW w:w="2250" w:type="pct"/>
          <w:tcBorders>
            <w:top w:val="single" w:sz="4" w:space="0" w:color="4F81BD"/>
            <w:left w:val="nil"/>
            <w:bottom w:val="nil"/>
            <w:right w:val="nil"/>
          </w:tcBorders>
        </w:tcPr>
        <w:p w:rsidR="00BF64F5" w:rsidRPr="005A3173" w:rsidRDefault="00BF64F5"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BF64F5" w:rsidTr="005A3173">
      <w:trPr>
        <w:trHeight w:val="151"/>
      </w:trPr>
      <w:tc>
        <w:tcPr>
          <w:tcW w:w="2250" w:type="pct"/>
          <w:tcBorders>
            <w:top w:val="nil"/>
            <w:left w:val="nil"/>
            <w:bottom w:val="single" w:sz="4" w:space="0" w:color="4F81BD"/>
            <w:right w:val="nil"/>
          </w:tcBorders>
        </w:tcPr>
        <w:p w:rsidR="00BF64F5" w:rsidRPr="005A3173" w:rsidRDefault="00BF64F5" w:rsidP="005A3173">
          <w:pPr>
            <w:pStyle w:val="Header"/>
            <w:spacing w:line="276" w:lineRule="auto"/>
            <w:rPr>
              <w:rFonts w:eastAsia="MS Gothic"/>
              <w:b/>
              <w:bCs/>
              <w:color w:val="4F81BD"/>
            </w:rPr>
          </w:pPr>
        </w:p>
      </w:tc>
      <w:tc>
        <w:tcPr>
          <w:tcW w:w="500" w:type="pct"/>
          <w:vMerge w:val="restart"/>
          <w:noWrap/>
          <w:vAlign w:val="center"/>
          <w:hideMark/>
        </w:tcPr>
        <w:p w:rsidR="00BF64F5" w:rsidRPr="005A3173" w:rsidRDefault="00BF64F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F64F5" w:rsidRPr="005A3173" w:rsidRDefault="00BF64F5" w:rsidP="005A3173">
          <w:pPr>
            <w:pStyle w:val="Header"/>
            <w:spacing w:line="276" w:lineRule="auto"/>
            <w:rPr>
              <w:rFonts w:eastAsia="MS Gothic"/>
              <w:b/>
              <w:bCs/>
              <w:color w:val="4F81BD"/>
            </w:rPr>
          </w:pPr>
        </w:p>
      </w:tc>
    </w:tr>
    <w:tr w:rsidR="00BF64F5" w:rsidTr="005A3173">
      <w:trPr>
        <w:trHeight w:val="150"/>
      </w:trPr>
      <w:tc>
        <w:tcPr>
          <w:tcW w:w="2250" w:type="pct"/>
          <w:tcBorders>
            <w:top w:val="single" w:sz="4" w:space="0" w:color="4F81BD"/>
            <w:left w:val="nil"/>
            <w:bottom w:val="nil"/>
            <w:right w:val="nil"/>
          </w:tcBorders>
        </w:tcPr>
        <w:p w:rsidR="00BF64F5" w:rsidRPr="005A3173" w:rsidRDefault="00BF64F5" w:rsidP="005A3173">
          <w:pPr>
            <w:pStyle w:val="Header"/>
            <w:spacing w:line="276" w:lineRule="auto"/>
            <w:rPr>
              <w:rFonts w:eastAsia="MS Gothic"/>
              <w:b/>
              <w:bCs/>
              <w:color w:val="4F81BD"/>
            </w:rPr>
          </w:pPr>
        </w:p>
      </w:tc>
      <w:tc>
        <w:tcPr>
          <w:tcW w:w="0" w:type="auto"/>
          <w:vMerge/>
          <w:vAlign w:val="center"/>
          <w:hideMark/>
        </w:tcPr>
        <w:p w:rsidR="00BF64F5" w:rsidRPr="005A3173" w:rsidRDefault="00BF64F5" w:rsidP="005A3173">
          <w:pPr>
            <w:rPr>
              <w:color w:val="365F91"/>
              <w:sz w:val="22"/>
              <w:szCs w:val="22"/>
            </w:rPr>
          </w:pPr>
        </w:p>
      </w:tc>
      <w:tc>
        <w:tcPr>
          <w:tcW w:w="2250" w:type="pct"/>
          <w:tcBorders>
            <w:top w:val="single" w:sz="4" w:space="0" w:color="4F81BD"/>
            <w:left w:val="nil"/>
            <w:bottom w:val="nil"/>
            <w:right w:val="nil"/>
          </w:tcBorders>
        </w:tcPr>
        <w:p w:rsidR="00BF64F5" w:rsidRPr="005A3173" w:rsidRDefault="00BF64F5" w:rsidP="005A3173">
          <w:pPr>
            <w:pStyle w:val="Header"/>
            <w:spacing w:line="276" w:lineRule="auto"/>
            <w:rPr>
              <w:rFonts w:eastAsia="MS Gothic"/>
              <w:b/>
              <w:bCs/>
              <w:color w:val="4F81BD"/>
            </w:rPr>
          </w:pPr>
        </w:p>
      </w:tc>
    </w:tr>
  </w:tbl>
  <w:p w:rsidR="00BF64F5" w:rsidRPr="00065259" w:rsidRDefault="00BF64F5" w:rsidP="007C0F57">
    <w:pPr>
      <w:pStyle w:val="Footer"/>
      <w:jc w:val="center"/>
      <w:rPr>
        <w:sz w:val="20"/>
        <w:szCs w:val="20"/>
      </w:rPr>
    </w:pPr>
    <w:r w:rsidRPr="00065259">
      <w:rPr>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sidR="00771D04">
      <w:rPr>
        <w:rStyle w:val="PageNumber"/>
        <w:noProof/>
      </w:rPr>
      <w:t>1</w:t>
    </w:r>
    <w:r>
      <w:rPr>
        <w:rStyle w:val="PageNumber"/>
      </w:rPr>
      <w:fldChar w:fldCharType="end"/>
    </w:r>
    <w:r w:rsidRPr="00065259">
      <w:rPr>
        <w:sz w:val="20"/>
        <w:szCs w:val="20"/>
      </w:rPr>
      <w:t>BAC Meeting</w:t>
    </w:r>
  </w:p>
  <w:p w:rsidR="00BF64F5" w:rsidRPr="00065259" w:rsidRDefault="00BF64F5" w:rsidP="007C0F57">
    <w:pPr>
      <w:pStyle w:val="Footer"/>
      <w:jc w:val="center"/>
      <w:rPr>
        <w:sz w:val="20"/>
        <w:szCs w:val="20"/>
      </w:rPr>
    </w:pPr>
    <w:r w:rsidRPr="00065259">
      <w:rPr>
        <w:sz w:val="20"/>
        <w:szCs w:val="20"/>
      </w:rPr>
      <w:t>Commercial-in-Confidence</w:t>
    </w:r>
  </w:p>
  <w:p w:rsidR="00BF64F5" w:rsidRDefault="00BF64F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CAC" w:rsidRDefault="000E7CAC">
      <w:r>
        <w:separator/>
      </w:r>
    </w:p>
    <w:p w:rsidR="000E7CAC" w:rsidRDefault="000E7CAC"/>
  </w:footnote>
  <w:footnote w:type="continuationSeparator" w:id="0">
    <w:p w:rsidR="000E7CAC" w:rsidRDefault="000E7CAC">
      <w:r>
        <w:continuationSeparator/>
      </w:r>
    </w:p>
    <w:p w:rsidR="000E7CAC" w:rsidRDefault="000E7CAC"/>
  </w:footnote>
  <w:footnote w:type="continuationNotice" w:id="1">
    <w:p w:rsidR="000E7CAC" w:rsidRDefault="000E7CA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BF64F5" w:rsidRPr="008E0D90" w:rsidTr="00A06225">
      <w:trPr>
        <w:trHeight w:val="151"/>
      </w:trPr>
      <w:tc>
        <w:tcPr>
          <w:tcW w:w="2389" w:type="pct"/>
          <w:tcBorders>
            <w:top w:val="nil"/>
            <w:left w:val="nil"/>
            <w:bottom w:val="single" w:sz="4" w:space="0" w:color="4F81BD"/>
            <w:right w:val="nil"/>
          </w:tcBorders>
        </w:tcPr>
        <w:p w:rsidR="00BF64F5" w:rsidRPr="00A06225" w:rsidRDefault="00BF64F5">
          <w:pPr>
            <w:pStyle w:val="Header"/>
            <w:spacing w:line="276" w:lineRule="auto"/>
            <w:rPr>
              <w:rFonts w:ascii="Cambria" w:eastAsia="MS Gothic" w:hAnsi="Cambria"/>
              <w:b/>
              <w:bCs/>
              <w:color w:val="4F81BD"/>
            </w:rPr>
          </w:pPr>
        </w:p>
      </w:tc>
      <w:tc>
        <w:tcPr>
          <w:tcW w:w="333" w:type="pct"/>
          <w:vMerge w:val="restart"/>
          <w:noWrap/>
          <w:vAlign w:val="center"/>
          <w:hideMark/>
        </w:tcPr>
        <w:p w:rsidR="00BF64F5" w:rsidRPr="00A06225" w:rsidRDefault="00BF64F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BF64F5" w:rsidRPr="00A06225" w:rsidRDefault="00BF64F5">
          <w:pPr>
            <w:pStyle w:val="Header"/>
            <w:spacing w:line="276" w:lineRule="auto"/>
            <w:rPr>
              <w:rFonts w:ascii="Cambria" w:eastAsia="MS Gothic" w:hAnsi="Cambria"/>
              <w:b/>
              <w:bCs/>
              <w:color w:val="4F81BD"/>
            </w:rPr>
          </w:pPr>
        </w:p>
      </w:tc>
    </w:tr>
    <w:tr w:rsidR="00BF64F5" w:rsidRPr="008E0D90" w:rsidTr="00A06225">
      <w:trPr>
        <w:trHeight w:val="150"/>
      </w:trPr>
      <w:tc>
        <w:tcPr>
          <w:tcW w:w="2389" w:type="pct"/>
          <w:tcBorders>
            <w:top w:val="single" w:sz="4" w:space="0" w:color="4F81BD"/>
            <w:left w:val="nil"/>
            <w:bottom w:val="nil"/>
            <w:right w:val="nil"/>
          </w:tcBorders>
        </w:tcPr>
        <w:p w:rsidR="00BF64F5" w:rsidRPr="00A06225" w:rsidRDefault="00BF64F5">
          <w:pPr>
            <w:pStyle w:val="Header"/>
            <w:spacing w:line="276" w:lineRule="auto"/>
            <w:rPr>
              <w:rFonts w:ascii="Cambria" w:eastAsia="MS Gothic" w:hAnsi="Cambria"/>
              <w:b/>
              <w:bCs/>
              <w:color w:val="4F81BD"/>
            </w:rPr>
          </w:pPr>
        </w:p>
      </w:tc>
      <w:tc>
        <w:tcPr>
          <w:tcW w:w="0" w:type="auto"/>
          <w:vMerge/>
          <w:vAlign w:val="center"/>
          <w:hideMark/>
        </w:tcPr>
        <w:p w:rsidR="00BF64F5" w:rsidRPr="00A06225" w:rsidRDefault="00BF64F5">
          <w:pPr>
            <w:rPr>
              <w:rFonts w:ascii="Cambria" w:hAnsi="Cambria"/>
              <w:color w:val="4F81BD"/>
              <w:sz w:val="22"/>
              <w:szCs w:val="22"/>
            </w:rPr>
          </w:pPr>
        </w:p>
      </w:tc>
      <w:tc>
        <w:tcPr>
          <w:tcW w:w="2278" w:type="pct"/>
          <w:tcBorders>
            <w:top w:val="single" w:sz="4" w:space="0" w:color="4F81BD"/>
            <w:left w:val="nil"/>
            <w:bottom w:val="nil"/>
            <w:right w:val="nil"/>
          </w:tcBorders>
        </w:tcPr>
        <w:p w:rsidR="00BF64F5" w:rsidRPr="00A06225" w:rsidRDefault="00BF64F5">
          <w:pPr>
            <w:pStyle w:val="Header"/>
            <w:spacing w:line="276" w:lineRule="auto"/>
            <w:rPr>
              <w:rFonts w:ascii="Cambria" w:eastAsia="MS Gothic" w:hAnsi="Cambria"/>
              <w:b/>
              <w:bCs/>
              <w:color w:val="4F81BD"/>
            </w:rPr>
          </w:pPr>
        </w:p>
      </w:tc>
    </w:tr>
  </w:tbl>
  <w:p w:rsidR="00BF64F5" w:rsidRDefault="00BF64F5">
    <w:pPr>
      <w:pStyle w:val="Header"/>
    </w:pPr>
  </w:p>
  <w:p w:rsidR="00BF64F5" w:rsidRDefault="00BF64F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4F5" w:rsidRDefault="00257181" w:rsidP="00817EF6">
    <w:pPr>
      <w:pStyle w:val="Header"/>
      <w:ind w:left="360"/>
      <w:rPr>
        <w:rFonts w:asciiTheme="minorHAnsi" w:hAnsiTheme="minorHAnsi" w:cs="Arial"/>
        <w:i/>
        <w:color w:val="808080"/>
      </w:rPr>
    </w:pPr>
    <w:r>
      <w:rPr>
        <w:rFonts w:asciiTheme="minorHAnsi" w:hAnsiTheme="minorHAnsi" w:cs="Arial"/>
        <w:i/>
        <w:color w:val="808080"/>
      </w:rPr>
      <w:t>Public Summary Document</w:t>
    </w:r>
    <w:r w:rsidR="00BF64F5" w:rsidRPr="00056684">
      <w:rPr>
        <w:rFonts w:asciiTheme="minorHAnsi" w:hAnsiTheme="minorHAnsi" w:cs="Arial"/>
        <w:i/>
        <w:color w:val="808080"/>
      </w:rPr>
      <w:t xml:space="preserve"> –</w:t>
    </w:r>
    <w:r w:rsidR="005A02BE">
      <w:rPr>
        <w:rFonts w:asciiTheme="minorHAnsi" w:hAnsiTheme="minorHAnsi" w:cs="Arial"/>
        <w:i/>
        <w:color w:val="808080"/>
      </w:rPr>
      <w:t xml:space="preserve"> </w:t>
    </w:r>
    <w:r w:rsidR="00BF64F5">
      <w:rPr>
        <w:rFonts w:asciiTheme="minorHAnsi" w:hAnsiTheme="minorHAnsi" w:cs="Arial"/>
        <w:i/>
        <w:color w:val="808080"/>
      </w:rPr>
      <w:t>July 2021</w:t>
    </w:r>
    <w:r w:rsidR="00BF64F5" w:rsidRPr="00056684">
      <w:rPr>
        <w:rFonts w:asciiTheme="minorHAnsi" w:hAnsiTheme="minorHAnsi" w:cs="Arial"/>
        <w:i/>
        <w:color w:val="808080"/>
      </w:rPr>
      <w:t xml:space="preserve"> PBAC Meeting</w:t>
    </w:r>
  </w:p>
  <w:p w:rsidR="00257181" w:rsidRPr="00056684" w:rsidRDefault="00257181" w:rsidP="00817EF6">
    <w:pPr>
      <w:pStyle w:val="Header"/>
      <w:ind w:left="360"/>
      <w:rPr>
        <w:rFonts w:asciiTheme="minorHAnsi" w:hAnsiTheme="minorHAnsi" w:cs="Arial"/>
        <w:i/>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D04" w:rsidRDefault="0077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1440"/>
        </w:tabs>
        <w:ind w:left="144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18B51BDA"/>
    <w:multiLevelType w:val="multilevel"/>
    <w:tmpl w:val="5882CB6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5"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6"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D9B7618"/>
    <w:multiLevelType w:val="hybridMultilevel"/>
    <w:tmpl w:val="70A604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84D033C"/>
    <w:multiLevelType w:val="multilevel"/>
    <w:tmpl w:val="023AD164"/>
    <w:lvl w:ilvl="0">
      <w:start w:val="1"/>
      <w:numFmt w:val="decimal"/>
      <w:pStyle w:val="2-SectionHeading"/>
      <w:lvlText w:val="%1"/>
      <w:lvlJc w:val="left"/>
      <w:pPr>
        <w:ind w:left="720" w:hanging="720"/>
      </w:pPr>
      <w:rPr>
        <w:b/>
        <w:i w:val="0"/>
        <w:iCs/>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11"/>
  </w:num>
  <w:num w:numId="4">
    <w:abstractNumId w:val="0"/>
  </w:num>
  <w:num w:numId="5">
    <w:abstractNumId w:val="8"/>
  </w:num>
  <w:num w:numId="6">
    <w:abstractNumId w:val="12"/>
  </w:num>
  <w:num w:numId="7">
    <w:abstractNumId w:val="10"/>
  </w:num>
  <w:num w:numId="8">
    <w:abstractNumId w:val="6"/>
  </w:num>
  <w:num w:numId="9">
    <w:abstractNumId w:val="5"/>
  </w:num>
  <w:num w:numId="10">
    <w:abstractNumId w:val="1"/>
  </w:num>
  <w:num w:numId="11">
    <w:abstractNumId w:val="11"/>
  </w:num>
  <w:num w:numId="12">
    <w:abstractNumId w:val="9"/>
  </w:num>
  <w:num w:numId="13">
    <w:abstractNumId w:val="3"/>
  </w:num>
  <w:num w:numId="14">
    <w:abstractNumId w:val="11"/>
  </w:num>
  <w:num w:numId="15">
    <w:abstractNumId w:val="7"/>
  </w:num>
  <w:num w:numId="16">
    <w:abstractNumId w:val="11"/>
  </w:num>
  <w:num w:numId="17">
    <w:abstractNumId w:val="11"/>
  </w:num>
  <w:num w:numId="18">
    <w:abstractNumId w:val="11"/>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80A"/>
    <w:rsid w:val="00001663"/>
    <w:rsid w:val="000025AD"/>
    <w:rsid w:val="0000335D"/>
    <w:rsid w:val="00006782"/>
    <w:rsid w:val="00011A59"/>
    <w:rsid w:val="00012917"/>
    <w:rsid w:val="00016A41"/>
    <w:rsid w:val="000214D1"/>
    <w:rsid w:val="0002464A"/>
    <w:rsid w:val="00025A04"/>
    <w:rsid w:val="0003050E"/>
    <w:rsid w:val="0003106B"/>
    <w:rsid w:val="00034905"/>
    <w:rsid w:val="000421A1"/>
    <w:rsid w:val="0004240E"/>
    <w:rsid w:val="00044EC4"/>
    <w:rsid w:val="00045E26"/>
    <w:rsid w:val="00050962"/>
    <w:rsid w:val="000514B5"/>
    <w:rsid w:val="00051F78"/>
    <w:rsid w:val="0005322E"/>
    <w:rsid w:val="0005342E"/>
    <w:rsid w:val="00054E2B"/>
    <w:rsid w:val="00060E64"/>
    <w:rsid w:val="00065259"/>
    <w:rsid w:val="00066193"/>
    <w:rsid w:val="00066755"/>
    <w:rsid w:val="0006707C"/>
    <w:rsid w:val="00071A5B"/>
    <w:rsid w:val="00072730"/>
    <w:rsid w:val="0007337F"/>
    <w:rsid w:val="00074DC2"/>
    <w:rsid w:val="000763D5"/>
    <w:rsid w:val="00076C38"/>
    <w:rsid w:val="00077143"/>
    <w:rsid w:val="00077DF7"/>
    <w:rsid w:val="0008050C"/>
    <w:rsid w:val="00082169"/>
    <w:rsid w:val="000834BE"/>
    <w:rsid w:val="00083F01"/>
    <w:rsid w:val="00087676"/>
    <w:rsid w:val="00087C4C"/>
    <w:rsid w:val="000918CB"/>
    <w:rsid w:val="00091B06"/>
    <w:rsid w:val="000951C4"/>
    <w:rsid w:val="00095ADA"/>
    <w:rsid w:val="000969AD"/>
    <w:rsid w:val="000975FB"/>
    <w:rsid w:val="000A3AA2"/>
    <w:rsid w:val="000A44B2"/>
    <w:rsid w:val="000A52F6"/>
    <w:rsid w:val="000B44C3"/>
    <w:rsid w:val="000B558D"/>
    <w:rsid w:val="000B5A89"/>
    <w:rsid w:val="000B65F6"/>
    <w:rsid w:val="000B74CF"/>
    <w:rsid w:val="000B7767"/>
    <w:rsid w:val="000C2999"/>
    <w:rsid w:val="000C4C51"/>
    <w:rsid w:val="000C5F95"/>
    <w:rsid w:val="000C6996"/>
    <w:rsid w:val="000C7C46"/>
    <w:rsid w:val="000D09E9"/>
    <w:rsid w:val="000D0DE9"/>
    <w:rsid w:val="000D113F"/>
    <w:rsid w:val="000D23BA"/>
    <w:rsid w:val="000D5F65"/>
    <w:rsid w:val="000E19B7"/>
    <w:rsid w:val="000E20FC"/>
    <w:rsid w:val="000E3DFB"/>
    <w:rsid w:val="000E5EA1"/>
    <w:rsid w:val="000E681E"/>
    <w:rsid w:val="000E7CAC"/>
    <w:rsid w:val="000E7E52"/>
    <w:rsid w:val="000F0003"/>
    <w:rsid w:val="000F3384"/>
    <w:rsid w:val="000F4E6A"/>
    <w:rsid w:val="000F7354"/>
    <w:rsid w:val="00101ABE"/>
    <w:rsid w:val="00101B97"/>
    <w:rsid w:val="00102202"/>
    <w:rsid w:val="00102700"/>
    <w:rsid w:val="00102A78"/>
    <w:rsid w:val="00103118"/>
    <w:rsid w:val="00104227"/>
    <w:rsid w:val="001107BF"/>
    <w:rsid w:val="00113649"/>
    <w:rsid w:val="00113D5C"/>
    <w:rsid w:val="00122C05"/>
    <w:rsid w:val="0012417C"/>
    <w:rsid w:val="00124BF2"/>
    <w:rsid w:val="0012597F"/>
    <w:rsid w:val="0012749D"/>
    <w:rsid w:val="001306A5"/>
    <w:rsid w:val="001311AE"/>
    <w:rsid w:val="0013467C"/>
    <w:rsid w:val="0013557F"/>
    <w:rsid w:val="00136793"/>
    <w:rsid w:val="00140B74"/>
    <w:rsid w:val="00140D94"/>
    <w:rsid w:val="00142395"/>
    <w:rsid w:val="00142714"/>
    <w:rsid w:val="00144D09"/>
    <w:rsid w:val="001452ED"/>
    <w:rsid w:val="00145E06"/>
    <w:rsid w:val="001470B9"/>
    <w:rsid w:val="00147D84"/>
    <w:rsid w:val="001549C1"/>
    <w:rsid w:val="00156C8D"/>
    <w:rsid w:val="00160F4D"/>
    <w:rsid w:val="00162BDD"/>
    <w:rsid w:val="00162D4E"/>
    <w:rsid w:val="00163329"/>
    <w:rsid w:val="00164623"/>
    <w:rsid w:val="001652DE"/>
    <w:rsid w:val="00165B64"/>
    <w:rsid w:val="00167C39"/>
    <w:rsid w:val="001745B0"/>
    <w:rsid w:val="00176B9D"/>
    <w:rsid w:val="00180713"/>
    <w:rsid w:val="00180720"/>
    <w:rsid w:val="001830CE"/>
    <w:rsid w:val="001836E3"/>
    <w:rsid w:val="0018643B"/>
    <w:rsid w:val="0019015F"/>
    <w:rsid w:val="00196307"/>
    <w:rsid w:val="00197F03"/>
    <w:rsid w:val="001A0873"/>
    <w:rsid w:val="001A0D10"/>
    <w:rsid w:val="001A33EA"/>
    <w:rsid w:val="001A4413"/>
    <w:rsid w:val="001A4C4F"/>
    <w:rsid w:val="001A5A2B"/>
    <w:rsid w:val="001A76FB"/>
    <w:rsid w:val="001B017F"/>
    <w:rsid w:val="001B0B79"/>
    <w:rsid w:val="001B2BBC"/>
    <w:rsid w:val="001B3A40"/>
    <w:rsid w:val="001B3FFE"/>
    <w:rsid w:val="001B5129"/>
    <w:rsid w:val="001B6BD3"/>
    <w:rsid w:val="001B7F7A"/>
    <w:rsid w:val="001C0B4C"/>
    <w:rsid w:val="001C0EC4"/>
    <w:rsid w:val="001C1195"/>
    <w:rsid w:val="001C12AE"/>
    <w:rsid w:val="001C1E84"/>
    <w:rsid w:val="001C2E42"/>
    <w:rsid w:val="001C64DE"/>
    <w:rsid w:val="001C6843"/>
    <w:rsid w:val="001D1F5F"/>
    <w:rsid w:val="001D280E"/>
    <w:rsid w:val="001E06D2"/>
    <w:rsid w:val="001E17C4"/>
    <w:rsid w:val="001E30F9"/>
    <w:rsid w:val="001F005B"/>
    <w:rsid w:val="001F1850"/>
    <w:rsid w:val="001F1FBF"/>
    <w:rsid w:val="001F2B80"/>
    <w:rsid w:val="001F2F1C"/>
    <w:rsid w:val="001F3189"/>
    <w:rsid w:val="00200A39"/>
    <w:rsid w:val="00201FB8"/>
    <w:rsid w:val="00203FAC"/>
    <w:rsid w:val="00205625"/>
    <w:rsid w:val="00206C20"/>
    <w:rsid w:val="002114DD"/>
    <w:rsid w:val="00213CFB"/>
    <w:rsid w:val="00214388"/>
    <w:rsid w:val="00214E38"/>
    <w:rsid w:val="0021553C"/>
    <w:rsid w:val="0021557B"/>
    <w:rsid w:val="00215A3A"/>
    <w:rsid w:val="002174FD"/>
    <w:rsid w:val="00217BE1"/>
    <w:rsid w:val="002214B9"/>
    <w:rsid w:val="00230F63"/>
    <w:rsid w:val="00234252"/>
    <w:rsid w:val="0023466E"/>
    <w:rsid w:val="002358E1"/>
    <w:rsid w:val="00237AC6"/>
    <w:rsid w:val="00244139"/>
    <w:rsid w:val="00244490"/>
    <w:rsid w:val="00245B9C"/>
    <w:rsid w:val="00253499"/>
    <w:rsid w:val="002551A4"/>
    <w:rsid w:val="00257181"/>
    <w:rsid w:val="00257664"/>
    <w:rsid w:val="00265151"/>
    <w:rsid w:val="00265C2C"/>
    <w:rsid w:val="00266509"/>
    <w:rsid w:val="00271BA1"/>
    <w:rsid w:val="00273AC5"/>
    <w:rsid w:val="00274BEC"/>
    <w:rsid w:val="002762FA"/>
    <w:rsid w:val="00277505"/>
    <w:rsid w:val="00281504"/>
    <w:rsid w:val="0028158C"/>
    <w:rsid w:val="002823B6"/>
    <w:rsid w:val="002844CB"/>
    <w:rsid w:val="00290C03"/>
    <w:rsid w:val="00294274"/>
    <w:rsid w:val="0029458F"/>
    <w:rsid w:val="002A018F"/>
    <w:rsid w:val="002A0E04"/>
    <w:rsid w:val="002A104C"/>
    <w:rsid w:val="002A1EF7"/>
    <w:rsid w:val="002A494D"/>
    <w:rsid w:val="002A4960"/>
    <w:rsid w:val="002A636A"/>
    <w:rsid w:val="002B0AE0"/>
    <w:rsid w:val="002B1AE6"/>
    <w:rsid w:val="002B1D51"/>
    <w:rsid w:val="002B2DE8"/>
    <w:rsid w:val="002B30F8"/>
    <w:rsid w:val="002B388A"/>
    <w:rsid w:val="002B5596"/>
    <w:rsid w:val="002B77D7"/>
    <w:rsid w:val="002C212F"/>
    <w:rsid w:val="002C2F35"/>
    <w:rsid w:val="002C37A1"/>
    <w:rsid w:val="002C37C5"/>
    <w:rsid w:val="002C3B7B"/>
    <w:rsid w:val="002C6AA9"/>
    <w:rsid w:val="002C7485"/>
    <w:rsid w:val="002D2641"/>
    <w:rsid w:val="002D283A"/>
    <w:rsid w:val="002D4543"/>
    <w:rsid w:val="002E3153"/>
    <w:rsid w:val="002E4A02"/>
    <w:rsid w:val="002E5292"/>
    <w:rsid w:val="002E72CA"/>
    <w:rsid w:val="002F1D07"/>
    <w:rsid w:val="002F5FE6"/>
    <w:rsid w:val="002F600D"/>
    <w:rsid w:val="002F6F0F"/>
    <w:rsid w:val="002F7E47"/>
    <w:rsid w:val="00300AD6"/>
    <w:rsid w:val="00300B1B"/>
    <w:rsid w:val="003019D0"/>
    <w:rsid w:val="003064AF"/>
    <w:rsid w:val="00307A92"/>
    <w:rsid w:val="00310A8B"/>
    <w:rsid w:val="00310B68"/>
    <w:rsid w:val="003139C9"/>
    <w:rsid w:val="00313B16"/>
    <w:rsid w:val="003160D2"/>
    <w:rsid w:val="003173FC"/>
    <w:rsid w:val="00317C6C"/>
    <w:rsid w:val="00320B80"/>
    <w:rsid w:val="00320CD3"/>
    <w:rsid w:val="00326E79"/>
    <w:rsid w:val="0032748A"/>
    <w:rsid w:val="003301B1"/>
    <w:rsid w:val="00330E28"/>
    <w:rsid w:val="00331189"/>
    <w:rsid w:val="0033263D"/>
    <w:rsid w:val="00333A00"/>
    <w:rsid w:val="0033518A"/>
    <w:rsid w:val="00335535"/>
    <w:rsid w:val="003367EF"/>
    <w:rsid w:val="003373B6"/>
    <w:rsid w:val="00341AE4"/>
    <w:rsid w:val="00344819"/>
    <w:rsid w:val="003476EE"/>
    <w:rsid w:val="003541DD"/>
    <w:rsid w:val="00356E5B"/>
    <w:rsid w:val="00362310"/>
    <w:rsid w:val="00364A29"/>
    <w:rsid w:val="003736C9"/>
    <w:rsid w:val="003748E8"/>
    <w:rsid w:val="00383B77"/>
    <w:rsid w:val="00384988"/>
    <w:rsid w:val="003872CF"/>
    <w:rsid w:val="003948F2"/>
    <w:rsid w:val="0039782C"/>
    <w:rsid w:val="003A13A6"/>
    <w:rsid w:val="003A2165"/>
    <w:rsid w:val="003A33D9"/>
    <w:rsid w:val="003A5B4A"/>
    <w:rsid w:val="003A5D95"/>
    <w:rsid w:val="003B0D3A"/>
    <w:rsid w:val="003B1E09"/>
    <w:rsid w:val="003B2302"/>
    <w:rsid w:val="003B23C5"/>
    <w:rsid w:val="003B2A75"/>
    <w:rsid w:val="003B49B2"/>
    <w:rsid w:val="003B6124"/>
    <w:rsid w:val="003B7960"/>
    <w:rsid w:val="003C093A"/>
    <w:rsid w:val="003C1ECF"/>
    <w:rsid w:val="003C2FB5"/>
    <w:rsid w:val="003D24C5"/>
    <w:rsid w:val="003D4594"/>
    <w:rsid w:val="003D4AC4"/>
    <w:rsid w:val="003D63B7"/>
    <w:rsid w:val="003D74C5"/>
    <w:rsid w:val="003E4374"/>
    <w:rsid w:val="003E468B"/>
    <w:rsid w:val="003E62BD"/>
    <w:rsid w:val="003F044F"/>
    <w:rsid w:val="003F0C3A"/>
    <w:rsid w:val="003F15F0"/>
    <w:rsid w:val="003F3228"/>
    <w:rsid w:val="003F5C8C"/>
    <w:rsid w:val="003F63CE"/>
    <w:rsid w:val="003F775A"/>
    <w:rsid w:val="00400E55"/>
    <w:rsid w:val="0040128E"/>
    <w:rsid w:val="0040216B"/>
    <w:rsid w:val="00420400"/>
    <w:rsid w:val="004252EC"/>
    <w:rsid w:val="00430D39"/>
    <w:rsid w:val="00442C91"/>
    <w:rsid w:val="004465BD"/>
    <w:rsid w:val="00446938"/>
    <w:rsid w:val="00446E9C"/>
    <w:rsid w:val="004528FA"/>
    <w:rsid w:val="00452E0F"/>
    <w:rsid w:val="004539AA"/>
    <w:rsid w:val="00461A44"/>
    <w:rsid w:val="00462D26"/>
    <w:rsid w:val="0046385A"/>
    <w:rsid w:val="004660DF"/>
    <w:rsid w:val="00466ADA"/>
    <w:rsid w:val="004700C2"/>
    <w:rsid w:val="004702BB"/>
    <w:rsid w:val="004724BB"/>
    <w:rsid w:val="0047494B"/>
    <w:rsid w:val="00476245"/>
    <w:rsid w:val="00477A9B"/>
    <w:rsid w:val="0048108C"/>
    <w:rsid w:val="004828AB"/>
    <w:rsid w:val="00483035"/>
    <w:rsid w:val="00485940"/>
    <w:rsid w:val="00486C95"/>
    <w:rsid w:val="004877C2"/>
    <w:rsid w:val="004904B9"/>
    <w:rsid w:val="00496662"/>
    <w:rsid w:val="004A2484"/>
    <w:rsid w:val="004A5A85"/>
    <w:rsid w:val="004A71D1"/>
    <w:rsid w:val="004A7C5B"/>
    <w:rsid w:val="004B1845"/>
    <w:rsid w:val="004B2348"/>
    <w:rsid w:val="004B2E01"/>
    <w:rsid w:val="004B2E98"/>
    <w:rsid w:val="004B5640"/>
    <w:rsid w:val="004B6084"/>
    <w:rsid w:val="004BCF29"/>
    <w:rsid w:val="004C03D0"/>
    <w:rsid w:val="004C1BD7"/>
    <w:rsid w:val="004C239C"/>
    <w:rsid w:val="004C31FE"/>
    <w:rsid w:val="004C524C"/>
    <w:rsid w:val="004C5FFA"/>
    <w:rsid w:val="004C691D"/>
    <w:rsid w:val="004C6C07"/>
    <w:rsid w:val="004C7E15"/>
    <w:rsid w:val="004D2CD1"/>
    <w:rsid w:val="004D4FF6"/>
    <w:rsid w:val="004D5ADD"/>
    <w:rsid w:val="004D770E"/>
    <w:rsid w:val="004E692D"/>
    <w:rsid w:val="004E7230"/>
    <w:rsid w:val="004E7D87"/>
    <w:rsid w:val="004F2553"/>
    <w:rsid w:val="004F306A"/>
    <w:rsid w:val="00501554"/>
    <w:rsid w:val="00502AFE"/>
    <w:rsid w:val="00502E64"/>
    <w:rsid w:val="00503AD7"/>
    <w:rsid w:val="00503E89"/>
    <w:rsid w:val="00504E0C"/>
    <w:rsid w:val="00504E13"/>
    <w:rsid w:val="005109D4"/>
    <w:rsid w:val="00513078"/>
    <w:rsid w:val="00513AC2"/>
    <w:rsid w:val="00514CD7"/>
    <w:rsid w:val="00514E33"/>
    <w:rsid w:val="005167EC"/>
    <w:rsid w:val="005170DA"/>
    <w:rsid w:val="00520D6A"/>
    <w:rsid w:val="00522DB6"/>
    <w:rsid w:val="005264A7"/>
    <w:rsid w:val="0052792D"/>
    <w:rsid w:val="005319B2"/>
    <w:rsid w:val="00531A28"/>
    <w:rsid w:val="00532402"/>
    <w:rsid w:val="00532C74"/>
    <w:rsid w:val="00534E2E"/>
    <w:rsid w:val="0054064C"/>
    <w:rsid w:val="00544552"/>
    <w:rsid w:val="00545130"/>
    <w:rsid w:val="0055286A"/>
    <w:rsid w:val="00555745"/>
    <w:rsid w:val="00557D4F"/>
    <w:rsid w:val="0056122E"/>
    <w:rsid w:val="0056484E"/>
    <w:rsid w:val="00567D8A"/>
    <w:rsid w:val="005764CD"/>
    <w:rsid w:val="00577C4D"/>
    <w:rsid w:val="00580532"/>
    <w:rsid w:val="00581932"/>
    <w:rsid w:val="00592CB8"/>
    <w:rsid w:val="005963BB"/>
    <w:rsid w:val="005A02BE"/>
    <w:rsid w:val="005A1A8C"/>
    <w:rsid w:val="005A3173"/>
    <w:rsid w:val="005A3223"/>
    <w:rsid w:val="005A3DA3"/>
    <w:rsid w:val="005A514C"/>
    <w:rsid w:val="005A52C4"/>
    <w:rsid w:val="005A63A1"/>
    <w:rsid w:val="005B53C0"/>
    <w:rsid w:val="005B7789"/>
    <w:rsid w:val="005C00EB"/>
    <w:rsid w:val="005C4F73"/>
    <w:rsid w:val="005D03AB"/>
    <w:rsid w:val="005D401D"/>
    <w:rsid w:val="005D5017"/>
    <w:rsid w:val="005D63FA"/>
    <w:rsid w:val="005D73C7"/>
    <w:rsid w:val="005E0C2D"/>
    <w:rsid w:val="005E0D82"/>
    <w:rsid w:val="005E0F59"/>
    <w:rsid w:val="005E1333"/>
    <w:rsid w:val="005E3136"/>
    <w:rsid w:val="005E507D"/>
    <w:rsid w:val="005E5E5F"/>
    <w:rsid w:val="005E6E3D"/>
    <w:rsid w:val="005F0AD0"/>
    <w:rsid w:val="005F3B68"/>
    <w:rsid w:val="005F796A"/>
    <w:rsid w:val="00601A91"/>
    <w:rsid w:val="00602BA3"/>
    <w:rsid w:val="00605B63"/>
    <w:rsid w:val="00605F9A"/>
    <w:rsid w:val="00606442"/>
    <w:rsid w:val="00606EED"/>
    <w:rsid w:val="00612A95"/>
    <w:rsid w:val="00612E34"/>
    <w:rsid w:val="00613753"/>
    <w:rsid w:val="00614159"/>
    <w:rsid w:val="006158A3"/>
    <w:rsid w:val="00616C5F"/>
    <w:rsid w:val="00616DAC"/>
    <w:rsid w:val="00617725"/>
    <w:rsid w:val="00617C00"/>
    <w:rsid w:val="006263BF"/>
    <w:rsid w:val="0062748A"/>
    <w:rsid w:val="00630A2C"/>
    <w:rsid w:val="00636319"/>
    <w:rsid w:val="0063682E"/>
    <w:rsid w:val="00640088"/>
    <w:rsid w:val="00642672"/>
    <w:rsid w:val="00642DA8"/>
    <w:rsid w:val="006436CD"/>
    <w:rsid w:val="00651169"/>
    <w:rsid w:val="00653D69"/>
    <w:rsid w:val="006552E6"/>
    <w:rsid w:val="00655794"/>
    <w:rsid w:val="00657C63"/>
    <w:rsid w:val="00657F33"/>
    <w:rsid w:val="006604A3"/>
    <w:rsid w:val="00661CBC"/>
    <w:rsid w:val="00662B85"/>
    <w:rsid w:val="006670BE"/>
    <w:rsid w:val="00670A76"/>
    <w:rsid w:val="006711AA"/>
    <w:rsid w:val="0067194B"/>
    <w:rsid w:val="00672B57"/>
    <w:rsid w:val="00673F1F"/>
    <w:rsid w:val="00675622"/>
    <w:rsid w:val="0067747D"/>
    <w:rsid w:val="006818D5"/>
    <w:rsid w:val="00681CA4"/>
    <w:rsid w:val="006868A6"/>
    <w:rsid w:val="0069039D"/>
    <w:rsid w:val="006906DB"/>
    <w:rsid w:val="00691900"/>
    <w:rsid w:val="00691E6C"/>
    <w:rsid w:val="0069342D"/>
    <w:rsid w:val="00693DFB"/>
    <w:rsid w:val="0069501D"/>
    <w:rsid w:val="00696129"/>
    <w:rsid w:val="00697CF2"/>
    <w:rsid w:val="006A12A5"/>
    <w:rsid w:val="006A2515"/>
    <w:rsid w:val="006A5E20"/>
    <w:rsid w:val="006B0D94"/>
    <w:rsid w:val="006B485D"/>
    <w:rsid w:val="006B5143"/>
    <w:rsid w:val="006B7A96"/>
    <w:rsid w:val="006C025E"/>
    <w:rsid w:val="006C088F"/>
    <w:rsid w:val="006C0C45"/>
    <w:rsid w:val="006C334C"/>
    <w:rsid w:val="006C6C10"/>
    <w:rsid w:val="006C708E"/>
    <w:rsid w:val="006C783F"/>
    <w:rsid w:val="006D14E7"/>
    <w:rsid w:val="006D4444"/>
    <w:rsid w:val="006D6493"/>
    <w:rsid w:val="006D6EC7"/>
    <w:rsid w:val="006E0BC7"/>
    <w:rsid w:val="006E1BCD"/>
    <w:rsid w:val="006E2732"/>
    <w:rsid w:val="006E28DD"/>
    <w:rsid w:val="006E54B4"/>
    <w:rsid w:val="006E59CD"/>
    <w:rsid w:val="006E6E01"/>
    <w:rsid w:val="006F0A71"/>
    <w:rsid w:val="006F40C2"/>
    <w:rsid w:val="006F5125"/>
    <w:rsid w:val="006F63E3"/>
    <w:rsid w:val="006F733D"/>
    <w:rsid w:val="00700539"/>
    <w:rsid w:val="00700765"/>
    <w:rsid w:val="00702B6F"/>
    <w:rsid w:val="007037A6"/>
    <w:rsid w:val="00704069"/>
    <w:rsid w:val="00706A2F"/>
    <w:rsid w:val="0070718E"/>
    <w:rsid w:val="00707E52"/>
    <w:rsid w:val="00710259"/>
    <w:rsid w:val="0071031F"/>
    <w:rsid w:val="00711DF8"/>
    <w:rsid w:val="0071340B"/>
    <w:rsid w:val="0071436D"/>
    <w:rsid w:val="00715BBB"/>
    <w:rsid w:val="00716015"/>
    <w:rsid w:val="007174BB"/>
    <w:rsid w:val="0072025D"/>
    <w:rsid w:val="00723328"/>
    <w:rsid w:val="0072757F"/>
    <w:rsid w:val="0073137C"/>
    <w:rsid w:val="007340B9"/>
    <w:rsid w:val="007353D3"/>
    <w:rsid w:val="0074156B"/>
    <w:rsid w:val="00741619"/>
    <w:rsid w:val="00747092"/>
    <w:rsid w:val="00751E79"/>
    <w:rsid w:val="007526E6"/>
    <w:rsid w:val="00754DF9"/>
    <w:rsid w:val="007555E8"/>
    <w:rsid w:val="00755CC5"/>
    <w:rsid w:val="00764066"/>
    <w:rsid w:val="0076420C"/>
    <w:rsid w:val="00765E5A"/>
    <w:rsid w:val="00770675"/>
    <w:rsid w:val="00771D04"/>
    <w:rsid w:val="00771D07"/>
    <w:rsid w:val="00773BE3"/>
    <w:rsid w:val="007743DD"/>
    <w:rsid w:val="00774AC7"/>
    <w:rsid w:val="00774E2C"/>
    <w:rsid w:val="0077518D"/>
    <w:rsid w:val="007753C2"/>
    <w:rsid w:val="007801F0"/>
    <w:rsid w:val="00780A2E"/>
    <w:rsid w:val="007838B8"/>
    <w:rsid w:val="00784F19"/>
    <w:rsid w:val="007915BA"/>
    <w:rsid w:val="00791844"/>
    <w:rsid w:val="007979BD"/>
    <w:rsid w:val="007A6A2F"/>
    <w:rsid w:val="007B024E"/>
    <w:rsid w:val="007B3DDC"/>
    <w:rsid w:val="007B72A6"/>
    <w:rsid w:val="007C06D2"/>
    <w:rsid w:val="007C08E0"/>
    <w:rsid w:val="007C0F57"/>
    <w:rsid w:val="007C40B6"/>
    <w:rsid w:val="007C729F"/>
    <w:rsid w:val="007D503D"/>
    <w:rsid w:val="007D59E7"/>
    <w:rsid w:val="007D5F2A"/>
    <w:rsid w:val="007E1D28"/>
    <w:rsid w:val="007E490F"/>
    <w:rsid w:val="007E7A6F"/>
    <w:rsid w:val="007F0021"/>
    <w:rsid w:val="007F2641"/>
    <w:rsid w:val="007F7C36"/>
    <w:rsid w:val="008055AF"/>
    <w:rsid w:val="008057CD"/>
    <w:rsid w:val="00806796"/>
    <w:rsid w:val="00810167"/>
    <w:rsid w:val="00811CC0"/>
    <w:rsid w:val="008151D6"/>
    <w:rsid w:val="00817EF6"/>
    <w:rsid w:val="00821527"/>
    <w:rsid w:val="00822696"/>
    <w:rsid w:val="00825A6C"/>
    <w:rsid w:val="0082617E"/>
    <w:rsid w:val="008268BB"/>
    <w:rsid w:val="00826F6D"/>
    <w:rsid w:val="008306F3"/>
    <w:rsid w:val="00830E40"/>
    <w:rsid w:val="00832D9A"/>
    <w:rsid w:val="008330DB"/>
    <w:rsid w:val="00835C62"/>
    <w:rsid w:val="008368A1"/>
    <w:rsid w:val="00840EF7"/>
    <w:rsid w:val="00844C0A"/>
    <w:rsid w:val="00846056"/>
    <w:rsid w:val="0084681F"/>
    <w:rsid w:val="00847EC0"/>
    <w:rsid w:val="0085259B"/>
    <w:rsid w:val="00855FD6"/>
    <w:rsid w:val="00856DDD"/>
    <w:rsid w:val="00863E68"/>
    <w:rsid w:val="008647B5"/>
    <w:rsid w:val="00867D64"/>
    <w:rsid w:val="00875DCB"/>
    <w:rsid w:val="0087755A"/>
    <w:rsid w:val="00882085"/>
    <w:rsid w:val="00883188"/>
    <w:rsid w:val="00884A0C"/>
    <w:rsid w:val="00886ACA"/>
    <w:rsid w:val="00887440"/>
    <w:rsid w:val="0089031E"/>
    <w:rsid w:val="00893157"/>
    <w:rsid w:val="0089460B"/>
    <w:rsid w:val="00897D58"/>
    <w:rsid w:val="00897F22"/>
    <w:rsid w:val="008A0B39"/>
    <w:rsid w:val="008A17A3"/>
    <w:rsid w:val="008A1956"/>
    <w:rsid w:val="008A1E85"/>
    <w:rsid w:val="008A2419"/>
    <w:rsid w:val="008A2B5A"/>
    <w:rsid w:val="008A4937"/>
    <w:rsid w:val="008A50F1"/>
    <w:rsid w:val="008A54B3"/>
    <w:rsid w:val="008A59D9"/>
    <w:rsid w:val="008A643E"/>
    <w:rsid w:val="008A6819"/>
    <w:rsid w:val="008B2EC0"/>
    <w:rsid w:val="008B6DCF"/>
    <w:rsid w:val="008C006B"/>
    <w:rsid w:val="008C11A9"/>
    <w:rsid w:val="008C3451"/>
    <w:rsid w:val="008D0945"/>
    <w:rsid w:val="008D1409"/>
    <w:rsid w:val="008D15CC"/>
    <w:rsid w:val="008D1729"/>
    <w:rsid w:val="008D1B5C"/>
    <w:rsid w:val="008D2145"/>
    <w:rsid w:val="008D3C82"/>
    <w:rsid w:val="008D40D1"/>
    <w:rsid w:val="008D447E"/>
    <w:rsid w:val="008D6ACF"/>
    <w:rsid w:val="008D7A41"/>
    <w:rsid w:val="008E152E"/>
    <w:rsid w:val="008E2C72"/>
    <w:rsid w:val="008E3680"/>
    <w:rsid w:val="008E5870"/>
    <w:rsid w:val="008E61D6"/>
    <w:rsid w:val="008E77E4"/>
    <w:rsid w:val="008F0213"/>
    <w:rsid w:val="008F07ED"/>
    <w:rsid w:val="008F11F8"/>
    <w:rsid w:val="008F1434"/>
    <w:rsid w:val="008F2BB9"/>
    <w:rsid w:val="008F3D6A"/>
    <w:rsid w:val="008F54C3"/>
    <w:rsid w:val="008F7355"/>
    <w:rsid w:val="009023DC"/>
    <w:rsid w:val="009027C5"/>
    <w:rsid w:val="00904413"/>
    <w:rsid w:val="009067B7"/>
    <w:rsid w:val="0090775A"/>
    <w:rsid w:val="00907DFD"/>
    <w:rsid w:val="00913C99"/>
    <w:rsid w:val="00917D69"/>
    <w:rsid w:val="00920B6D"/>
    <w:rsid w:val="00926142"/>
    <w:rsid w:val="0092623D"/>
    <w:rsid w:val="00926560"/>
    <w:rsid w:val="00926B15"/>
    <w:rsid w:val="00930291"/>
    <w:rsid w:val="00930937"/>
    <w:rsid w:val="009324A6"/>
    <w:rsid w:val="00933E6C"/>
    <w:rsid w:val="00935A6E"/>
    <w:rsid w:val="00936D4C"/>
    <w:rsid w:val="00937958"/>
    <w:rsid w:val="009406E5"/>
    <w:rsid w:val="00941602"/>
    <w:rsid w:val="00942160"/>
    <w:rsid w:val="00946921"/>
    <w:rsid w:val="0095146F"/>
    <w:rsid w:val="00954CF3"/>
    <w:rsid w:val="00955597"/>
    <w:rsid w:val="00957944"/>
    <w:rsid w:val="009602C5"/>
    <w:rsid w:val="00962223"/>
    <w:rsid w:val="0096252B"/>
    <w:rsid w:val="00964A9F"/>
    <w:rsid w:val="00966D0D"/>
    <w:rsid w:val="00967732"/>
    <w:rsid w:val="0096783C"/>
    <w:rsid w:val="009722B3"/>
    <w:rsid w:val="00973E24"/>
    <w:rsid w:val="00974C21"/>
    <w:rsid w:val="00975078"/>
    <w:rsid w:val="00975948"/>
    <w:rsid w:val="00976754"/>
    <w:rsid w:val="00977BF3"/>
    <w:rsid w:val="009803E4"/>
    <w:rsid w:val="00980B0E"/>
    <w:rsid w:val="00982B39"/>
    <w:rsid w:val="009836A3"/>
    <w:rsid w:val="009855A8"/>
    <w:rsid w:val="00985D1A"/>
    <w:rsid w:val="009913F4"/>
    <w:rsid w:val="00991782"/>
    <w:rsid w:val="009937F7"/>
    <w:rsid w:val="00993E46"/>
    <w:rsid w:val="0099465B"/>
    <w:rsid w:val="00994B77"/>
    <w:rsid w:val="009951A1"/>
    <w:rsid w:val="00997A44"/>
    <w:rsid w:val="009A0CDD"/>
    <w:rsid w:val="009A3168"/>
    <w:rsid w:val="009A4BDF"/>
    <w:rsid w:val="009A5D04"/>
    <w:rsid w:val="009A61CA"/>
    <w:rsid w:val="009B0C64"/>
    <w:rsid w:val="009B0F67"/>
    <w:rsid w:val="009B1EAF"/>
    <w:rsid w:val="009B3F8C"/>
    <w:rsid w:val="009C67C8"/>
    <w:rsid w:val="009C703C"/>
    <w:rsid w:val="009D206E"/>
    <w:rsid w:val="009D3CAA"/>
    <w:rsid w:val="009D507A"/>
    <w:rsid w:val="009D6532"/>
    <w:rsid w:val="009D71FD"/>
    <w:rsid w:val="009E14C7"/>
    <w:rsid w:val="009E2588"/>
    <w:rsid w:val="009E2E8E"/>
    <w:rsid w:val="009E40E1"/>
    <w:rsid w:val="009F0EFA"/>
    <w:rsid w:val="009F4E46"/>
    <w:rsid w:val="009F5B65"/>
    <w:rsid w:val="009F5F2E"/>
    <w:rsid w:val="00A01432"/>
    <w:rsid w:val="00A06225"/>
    <w:rsid w:val="00A073AD"/>
    <w:rsid w:val="00A07B67"/>
    <w:rsid w:val="00A103A2"/>
    <w:rsid w:val="00A110D1"/>
    <w:rsid w:val="00A12587"/>
    <w:rsid w:val="00A128E6"/>
    <w:rsid w:val="00A144D3"/>
    <w:rsid w:val="00A22AC3"/>
    <w:rsid w:val="00A23F3F"/>
    <w:rsid w:val="00A24067"/>
    <w:rsid w:val="00A24A4B"/>
    <w:rsid w:val="00A2744D"/>
    <w:rsid w:val="00A27EE0"/>
    <w:rsid w:val="00A30D16"/>
    <w:rsid w:val="00A34E6C"/>
    <w:rsid w:val="00A34FD0"/>
    <w:rsid w:val="00A36398"/>
    <w:rsid w:val="00A37C8D"/>
    <w:rsid w:val="00A4020E"/>
    <w:rsid w:val="00A40FB5"/>
    <w:rsid w:val="00A42826"/>
    <w:rsid w:val="00A429B3"/>
    <w:rsid w:val="00A44EC1"/>
    <w:rsid w:val="00A473B8"/>
    <w:rsid w:val="00A510E4"/>
    <w:rsid w:val="00A5273B"/>
    <w:rsid w:val="00A53A9D"/>
    <w:rsid w:val="00A55FEE"/>
    <w:rsid w:val="00A57422"/>
    <w:rsid w:val="00A62C1A"/>
    <w:rsid w:val="00A6426D"/>
    <w:rsid w:val="00A65007"/>
    <w:rsid w:val="00A665C1"/>
    <w:rsid w:val="00A673A4"/>
    <w:rsid w:val="00A7001A"/>
    <w:rsid w:val="00A70622"/>
    <w:rsid w:val="00A70977"/>
    <w:rsid w:val="00A70D58"/>
    <w:rsid w:val="00A739FC"/>
    <w:rsid w:val="00A744F9"/>
    <w:rsid w:val="00A77613"/>
    <w:rsid w:val="00A77B87"/>
    <w:rsid w:val="00A81851"/>
    <w:rsid w:val="00A8390C"/>
    <w:rsid w:val="00A86AE0"/>
    <w:rsid w:val="00A91362"/>
    <w:rsid w:val="00A9151C"/>
    <w:rsid w:val="00A919C6"/>
    <w:rsid w:val="00A928BD"/>
    <w:rsid w:val="00A97DE9"/>
    <w:rsid w:val="00AA12CD"/>
    <w:rsid w:val="00AA2036"/>
    <w:rsid w:val="00AA4D1C"/>
    <w:rsid w:val="00AA52FD"/>
    <w:rsid w:val="00AA7006"/>
    <w:rsid w:val="00AB1362"/>
    <w:rsid w:val="00AB2C83"/>
    <w:rsid w:val="00AB5856"/>
    <w:rsid w:val="00AC193C"/>
    <w:rsid w:val="00AC30C1"/>
    <w:rsid w:val="00AC4DE5"/>
    <w:rsid w:val="00AC5206"/>
    <w:rsid w:val="00AD3106"/>
    <w:rsid w:val="00AD4322"/>
    <w:rsid w:val="00AE11A5"/>
    <w:rsid w:val="00AE13E2"/>
    <w:rsid w:val="00AE22D3"/>
    <w:rsid w:val="00AE5A49"/>
    <w:rsid w:val="00AE68B2"/>
    <w:rsid w:val="00AF11D8"/>
    <w:rsid w:val="00AF5867"/>
    <w:rsid w:val="00AF62DF"/>
    <w:rsid w:val="00AF68CC"/>
    <w:rsid w:val="00AF70A3"/>
    <w:rsid w:val="00AF70D7"/>
    <w:rsid w:val="00B01FF4"/>
    <w:rsid w:val="00B0326D"/>
    <w:rsid w:val="00B06478"/>
    <w:rsid w:val="00B07533"/>
    <w:rsid w:val="00B07CFB"/>
    <w:rsid w:val="00B1059E"/>
    <w:rsid w:val="00B14A36"/>
    <w:rsid w:val="00B16273"/>
    <w:rsid w:val="00B170A5"/>
    <w:rsid w:val="00B176C8"/>
    <w:rsid w:val="00B17EE5"/>
    <w:rsid w:val="00B205AA"/>
    <w:rsid w:val="00B22E84"/>
    <w:rsid w:val="00B233AD"/>
    <w:rsid w:val="00B23E25"/>
    <w:rsid w:val="00B25F75"/>
    <w:rsid w:val="00B26B3F"/>
    <w:rsid w:val="00B2778F"/>
    <w:rsid w:val="00B327E2"/>
    <w:rsid w:val="00B33635"/>
    <w:rsid w:val="00B378CE"/>
    <w:rsid w:val="00B42AF4"/>
    <w:rsid w:val="00B43E90"/>
    <w:rsid w:val="00B467DC"/>
    <w:rsid w:val="00B50D4D"/>
    <w:rsid w:val="00B5392A"/>
    <w:rsid w:val="00B543D5"/>
    <w:rsid w:val="00B56118"/>
    <w:rsid w:val="00B566E1"/>
    <w:rsid w:val="00B61F42"/>
    <w:rsid w:val="00B64A70"/>
    <w:rsid w:val="00B6773F"/>
    <w:rsid w:val="00B70B68"/>
    <w:rsid w:val="00B70EB3"/>
    <w:rsid w:val="00B72906"/>
    <w:rsid w:val="00B7525E"/>
    <w:rsid w:val="00B760FB"/>
    <w:rsid w:val="00B767AB"/>
    <w:rsid w:val="00B801BA"/>
    <w:rsid w:val="00B812D6"/>
    <w:rsid w:val="00B84D5C"/>
    <w:rsid w:val="00B85AF6"/>
    <w:rsid w:val="00B939AB"/>
    <w:rsid w:val="00B942DA"/>
    <w:rsid w:val="00B956ED"/>
    <w:rsid w:val="00B96B32"/>
    <w:rsid w:val="00BA2DA8"/>
    <w:rsid w:val="00BA347C"/>
    <w:rsid w:val="00BB1BE4"/>
    <w:rsid w:val="00BB3469"/>
    <w:rsid w:val="00BB5C49"/>
    <w:rsid w:val="00BB6240"/>
    <w:rsid w:val="00BB6285"/>
    <w:rsid w:val="00BB69F5"/>
    <w:rsid w:val="00BB7EC3"/>
    <w:rsid w:val="00BC470E"/>
    <w:rsid w:val="00BC4B9A"/>
    <w:rsid w:val="00BC5BE6"/>
    <w:rsid w:val="00BD02C3"/>
    <w:rsid w:val="00BD7483"/>
    <w:rsid w:val="00BD784C"/>
    <w:rsid w:val="00BE020A"/>
    <w:rsid w:val="00BE13DF"/>
    <w:rsid w:val="00BE25D7"/>
    <w:rsid w:val="00BF092C"/>
    <w:rsid w:val="00BF27A0"/>
    <w:rsid w:val="00BF4CB6"/>
    <w:rsid w:val="00BF64F5"/>
    <w:rsid w:val="00C00DA7"/>
    <w:rsid w:val="00C037DF"/>
    <w:rsid w:val="00C04CDE"/>
    <w:rsid w:val="00C068A6"/>
    <w:rsid w:val="00C12768"/>
    <w:rsid w:val="00C12D70"/>
    <w:rsid w:val="00C12FD1"/>
    <w:rsid w:val="00C16724"/>
    <w:rsid w:val="00C205FC"/>
    <w:rsid w:val="00C21B09"/>
    <w:rsid w:val="00C2673A"/>
    <w:rsid w:val="00C2744E"/>
    <w:rsid w:val="00C27B58"/>
    <w:rsid w:val="00C27C1C"/>
    <w:rsid w:val="00C33186"/>
    <w:rsid w:val="00C35996"/>
    <w:rsid w:val="00C35F78"/>
    <w:rsid w:val="00C45E18"/>
    <w:rsid w:val="00C4747E"/>
    <w:rsid w:val="00C5151E"/>
    <w:rsid w:val="00C51855"/>
    <w:rsid w:val="00C5342C"/>
    <w:rsid w:val="00C53B2B"/>
    <w:rsid w:val="00C5739E"/>
    <w:rsid w:val="00C57465"/>
    <w:rsid w:val="00C57D77"/>
    <w:rsid w:val="00C60272"/>
    <w:rsid w:val="00C603D4"/>
    <w:rsid w:val="00C61008"/>
    <w:rsid w:val="00C6256A"/>
    <w:rsid w:val="00C6276E"/>
    <w:rsid w:val="00C64EBC"/>
    <w:rsid w:val="00C664D2"/>
    <w:rsid w:val="00C710E2"/>
    <w:rsid w:val="00C71C3F"/>
    <w:rsid w:val="00C73E89"/>
    <w:rsid w:val="00C7409E"/>
    <w:rsid w:val="00C74D6D"/>
    <w:rsid w:val="00C76E76"/>
    <w:rsid w:val="00C77891"/>
    <w:rsid w:val="00C829A9"/>
    <w:rsid w:val="00C8537E"/>
    <w:rsid w:val="00C87B80"/>
    <w:rsid w:val="00C87FA1"/>
    <w:rsid w:val="00C91449"/>
    <w:rsid w:val="00C916B0"/>
    <w:rsid w:val="00C92D10"/>
    <w:rsid w:val="00C94518"/>
    <w:rsid w:val="00CA1322"/>
    <w:rsid w:val="00CA3553"/>
    <w:rsid w:val="00CA48D9"/>
    <w:rsid w:val="00CB0AF1"/>
    <w:rsid w:val="00CB1193"/>
    <w:rsid w:val="00CB4767"/>
    <w:rsid w:val="00CB493D"/>
    <w:rsid w:val="00CB759C"/>
    <w:rsid w:val="00CC3B97"/>
    <w:rsid w:val="00CD7C0B"/>
    <w:rsid w:val="00CE10C4"/>
    <w:rsid w:val="00CE27B5"/>
    <w:rsid w:val="00CE6DAF"/>
    <w:rsid w:val="00CF3305"/>
    <w:rsid w:val="00CF410A"/>
    <w:rsid w:val="00CF6154"/>
    <w:rsid w:val="00D0321E"/>
    <w:rsid w:val="00D04602"/>
    <w:rsid w:val="00D069EB"/>
    <w:rsid w:val="00D07A8A"/>
    <w:rsid w:val="00D11199"/>
    <w:rsid w:val="00D131C8"/>
    <w:rsid w:val="00D1455A"/>
    <w:rsid w:val="00D14A70"/>
    <w:rsid w:val="00D17DD4"/>
    <w:rsid w:val="00D21A95"/>
    <w:rsid w:val="00D22093"/>
    <w:rsid w:val="00D24539"/>
    <w:rsid w:val="00D31150"/>
    <w:rsid w:val="00D3138B"/>
    <w:rsid w:val="00D31FCE"/>
    <w:rsid w:val="00D323AD"/>
    <w:rsid w:val="00D3280C"/>
    <w:rsid w:val="00D3406A"/>
    <w:rsid w:val="00D40B11"/>
    <w:rsid w:val="00D429EC"/>
    <w:rsid w:val="00D441F1"/>
    <w:rsid w:val="00D4572C"/>
    <w:rsid w:val="00D469B2"/>
    <w:rsid w:val="00D54B09"/>
    <w:rsid w:val="00D6243E"/>
    <w:rsid w:val="00D65658"/>
    <w:rsid w:val="00D67EB2"/>
    <w:rsid w:val="00D72B6F"/>
    <w:rsid w:val="00D741EB"/>
    <w:rsid w:val="00D7679C"/>
    <w:rsid w:val="00D820F3"/>
    <w:rsid w:val="00D83605"/>
    <w:rsid w:val="00D84934"/>
    <w:rsid w:val="00D866EB"/>
    <w:rsid w:val="00D87D1A"/>
    <w:rsid w:val="00D91271"/>
    <w:rsid w:val="00D919F5"/>
    <w:rsid w:val="00D945F6"/>
    <w:rsid w:val="00D94F03"/>
    <w:rsid w:val="00D95161"/>
    <w:rsid w:val="00DA0A82"/>
    <w:rsid w:val="00DA0D14"/>
    <w:rsid w:val="00DA1FC9"/>
    <w:rsid w:val="00DA2060"/>
    <w:rsid w:val="00DA2CB5"/>
    <w:rsid w:val="00DA4BAC"/>
    <w:rsid w:val="00DB0151"/>
    <w:rsid w:val="00DB50E1"/>
    <w:rsid w:val="00DB609F"/>
    <w:rsid w:val="00DC0566"/>
    <w:rsid w:val="00DC1499"/>
    <w:rsid w:val="00DC2C3E"/>
    <w:rsid w:val="00DC3137"/>
    <w:rsid w:val="00DC4880"/>
    <w:rsid w:val="00DD0B03"/>
    <w:rsid w:val="00DD2F0F"/>
    <w:rsid w:val="00DD42AB"/>
    <w:rsid w:val="00DD4D16"/>
    <w:rsid w:val="00DE06AF"/>
    <w:rsid w:val="00DE6D27"/>
    <w:rsid w:val="00DE77FB"/>
    <w:rsid w:val="00DF01F8"/>
    <w:rsid w:val="00DF021D"/>
    <w:rsid w:val="00DF217D"/>
    <w:rsid w:val="00DF26A7"/>
    <w:rsid w:val="00DF3277"/>
    <w:rsid w:val="00DF77A1"/>
    <w:rsid w:val="00DF7919"/>
    <w:rsid w:val="00E0207E"/>
    <w:rsid w:val="00E02AE6"/>
    <w:rsid w:val="00E03912"/>
    <w:rsid w:val="00E04748"/>
    <w:rsid w:val="00E078D9"/>
    <w:rsid w:val="00E10293"/>
    <w:rsid w:val="00E103A0"/>
    <w:rsid w:val="00E13E60"/>
    <w:rsid w:val="00E15627"/>
    <w:rsid w:val="00E164B3"/>
    <w:rsid w:val="00E16910"/>
    <w:rsid w:val="00E20160"/>
    <w:rsid w:val="00E239E2"/>
    <w:rsid w:val="00E24E09"/>
    <w:rsid w:val="00E269A1"/>
    <w:rsid w:val="00E27234"/>
    <w:rsid w:val="00E3495C"/>
    <w:rsid w:val="00E36F78"/>
    <w:rsid w:val="00E37715"/>
    <w:rsid w:val="00E42BDB"/>
    <w:rsid w:val="00E467D9"/>
    <w:rsid w:val="00E53B1B"/>
    <w:rsid w:val="00E5726D"/>
    <w:rsid w:val="00E57EEB"/>
    <w:rsid w:val="00E60FCD"/>
    <w:rsid w:val="00E62D94"/>
    <w:rsid w:val="00E62ECC"/>
    <w:rsid w:val="00E64F37"/>
    <w:rsid w:val="00E65091"/>
    <w:rsid w:val="00E65E54"/>
    <w:rsid w:val="00E661C7"/>
    <w:rsid w:val="00E732C4"/>
    <w:rsid w:val="00E74E41"/>
    <w:rsid w:val="00E76096"/>
    <w:rsid w:val="00E80155"/>
    <w:rsid w:val="00E8134B"/>
    <w:rsid w:val="00E81E0D"/>
    <w:rsid w:val="00E81F28"/>
    <w:rsid w:val="00E848C0"/>
    <w:rsid w:val="00E86F92"/>
    <w:rsid w:val="00E9059F"/>
    <w:rsid w:val="00E91B96"/>
    <w:rsid w:val="00E935DA"/>
    <w:rsid w:val="00E93D1E"/>
    <w:rsid w:val="00E941A1"/>
    <w:rsid w:val="00E95CE3"/>
    <w:rsid w:val="00EA0856"/>
    <w:rsid w:val="00EA252F"/>
    <w:rsid w:val="00EA2825"/>
    <w:rsid w:val="00EA6518"/>
    <w:rsid w:val="00EA71A2"/>
    <w:rsid w:val="00EA7466"/>
    <w:rsid w:val="00EA7EDE"/>
    <w:rsid w:val="00EB0B63"/>
    <w:rsid w:val="00EB1936"/>
    <w:rsid w:val="00EB3545"/>
    <w:rsid w:val="00EB37BE"/>
    <w:rsid w:val="00EB4BAE"/>
    <w:rsid w:val="00EB5088"/>
    <w:rsid w:val="00EB703D"/>
    <w:rsid w:val="00EB7AC7"/>
    <w:rsid w:val="00EC21B7"/>
    <w:rsid w:val="00EC2726"/>
    <w:rsid w:val="00ED1644"/>
    <w:rsid w:val="00ED2593"/>
    <w:rsid w:val="00ED6EC0"/>
    <w:rsid w:val="00ED786C"/>
    <w:rsid w:val="00ED7D55"/>
    <w:rsid w:val="00ED7D9C"/>
    <w:rsid w:val="00EE31A2"/>
    <w:rsid w:val="00EF0069"/>
    <w:rsid w:val="00EF44A0"/>
    <w:rsid w:val="00EF4580"/>
    <w:rsid w:val="00EF4FED"/>
    <w:rsid w:val="00EF5F45"/>
    <w:rsid w:val="00EF6843"/>
    <w:rsid w:val="00EF6FB3"/>
    <w:rsid w:val="00F007C6"/>
    <w:rsid w:val="00F0172E"/>
    <w:rsid w:val="00F0508D"/>
    <w:rsid w:val="00F050BD"/>
    <w:rsid w:val="00F05657"/>
    <w:rsid w:val="00F05AB0"/>
    <w:rsid w:val="00F12C74"/>
    <w:rsid w:val="00F1335E"/>
    <w:rsid w:val="00F1559A"/>
    <w:rsid w:val="00F17ED6"/>
    <w:rsid w:val="00F20676"/>
    <w:rsid w:val="00F209E2"/>
    <w:rsid w:val="00F227D2"/>
    <w:rsid w:val="00F25578"/>
    <w:rsid w:val="00F258E5"/>
    <w:rsid w:val="00F25B9C"/>
    <w:rsid w:val="00F2675A"/>
    <w:rsid w:val="00F26CC6"/>
    <w:rsid w:val="00F300BC"/>
    <w:rsid w:val="00F3263C"/>
    <w:rsid w:val="00F3334E"/>
    <w:rsid w:val="00F36CCB"/>
    <w:rsid w:val="00F374E5"/>
    <w:rsid w:val="00F37B93"/>
    <w:rsid w:val="00F37BAD"/>
    <w:rsid w:val="00F37ECA"/>
    <w:rsid w:val="00F40A1C"/>
    <w:rsid w:val="00F43AF2"/>
    <w:rsid w:val="00F45216"/>
    <w:rsid w:val="00F5007E"/>
    <w:rsid w:val="00F50EC4"/>
    <w:rsid w:val="00F52232"/>
    <w:rsid w:val="00F52DC2"/>
    <w:rsid w:val="00F53CF0"/>
    <w:rsid w:val="00F550CF"/>
    <w:rsid w:val="00F553D2"/>
    <w:rsid w:val="00F57A6D"/>
    <w:rsid w:val="00F62F19"/>
    <w:rsid w:val="00F638CC"/>
    <w:rsid w:val="00F64C9E"/>
    <w:rsid w:val="00F64CC1"/>
    <w:rsid w:val="00F650DA"/>
    <w:rsid w:val="00F72317"/>
    <w:rsid w:val="00F72A5F"/>
    <w:rsid w:val="00F73DC1"/>
    <w:rsid w:val="00F75BB8"/>
    <w:rsid w:val="00F80475"/>
    <w:rsid w:val="00F80E6E"/>
    <w:rsid w:val="00F81390"/>
    <w:rsid w:val="00F81F7A"/>
    <w:rsid w:val="00F8247A"/>
    <w:rsid w:val="00F82E5C"/>
    <w:rsid w:val="00F83F58"/>
    <w:rsid w:val="00F85206"/>
    <w:rsid w:val="00F87CEA"/>
    <w:rsid w:val="00F9629A"/>
    <w:rsid w:val="00F97EFC"/>
    <w:rsid w:val="00FA0C7C"/>
    <w:rsid w:val="00FA1BDD"/>
    <w:rsid w:val="00FA305C"/>
    <w:rsid w:val="00FA462E"/>
    <w:rsid w:val="00FA4DD5"/>
    <w:rsid w:val="00FA5883"/>
    <w:rsid w:val="00FA6055"/>
    <w:rsid w:val="00FB0B39"/>
    <w:rsid w:val="00FB2632"/>
    <w:rsid w:val="00FB322F"/>
    <w:rsid w:val="00FB442F"/>
    <w:rsid w:val="00FC118C"/>
    <w:rsid w:val="00FC1929"/>
    <w:rsid w:val="00FC5B46"/>
    <w:rsid w:val="00FD0669"/>
    <w:rsid w:val="00FD1D4F"/>
    <w:rsid w:val="00FD24BF"/>
    <w:rsid w:val="00FD3B6E"/>
    <w:rsid w:val="00FD57EB"/>
    <w:rsid w:val="00FD5F03"/>
    <w:rsid w:val="00FD6D8E"/>
    <w:rsid w:val="00FD76FA"/>
    <w:rsid w:val="00FE0663"/>
    <w:rsid w:val="00FE0E94"/>
    <w:rsid w:val="00FE369C"/>
    <w:rsid w:val="00FE3CD9"/>
    <w:rsid w:val="00FE664B"/>
    <w:rsid w:val="00FE7D3D"/>
    <w:rsid w:val="00FF00BD"/>
    <w:rsid w:val="00FF0B13"/>
    <w:rsid w:val="00FF1ED4"/>
    <w:rsid w:val="00FF2801"/>
    <w:rsid w:val="00FF4036"/>
    <w:rsid w:val="00FF5A04"/>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Dossier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3"/>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5"/>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12,Caption 12pt+,12pt,Caption 12pt,12+,Dossier Caption"/>
    <w:basedOn w:val="Normal"/>
    <w:next w:val="Normal"/>
    <w:link w:val="CaptionChar"/>
    <w:uiPriority w:val="35"/>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9"/>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4"/>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10"/>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3748E8"/>
    <w:pPr>
      <w:spacing w:before="100" w:beforeAutospacing="1" w:after="100" w:afterAutospacing="1"/>
      <w:jc w:val="left"/>
    </w:pPr>
    <w:rPr>
      <w:rFonts w:ascii="Times New Roman" w:hAnsi="Times New Roman"/>
    </w:rPr>
  </w:style>
  <w:style w:type="character" w:styleId="Strong">
    <w:name w:val="Strong"/>
    <w:basedOn w:val="DefaultParagraphFont"/>
    <w:uiPriority w:val="22"/>
    <w:qFormat/>
    <w:rsid w:val="003748E8"/>
    <w:rPr>
      <w:b/>
      <w:bCs/>
    </w:rPr>
  </w:style>
  <w:style w:type="paragraph" w:customStyle="1" w:styleId="MainBodyText">
    <w:name w:val="Main Body Text"/>
    <w:basedOn w:val="Normal"/>
    <w:link w:val="MainBodyTextChar"/>
    <w:rsid w:val="00A739FC"/>
    <w:pPr>
      <w:spacing w:after="240" w:line="276" w:lineRule="auto"/>
    </w:pPr>
    <w:rPr>
      <w:rFonts w:ascii="Arial" w:hAnsi="Arial"/>
      <w:sz w:val="22"/>
      <w:szCs w:val="22"/>
    </w:rPr>
  </w:style>
  <w:style w:type="character" w:customStyle="1" w:styleId="MainBodyTextChar">
    <w:name w:val="Main Body Text Char"/>
    <w:link w:val="MainBodyText"/>
    <w:rsid w:val="00A739FC"/>
    <w:rPr>
      <w:rFonts w:ascii="Arial" w:hAnsi="Arial"/>
      <w:sz w:val="22"/>
      <w:szCs w:val="22"/>
    </w:rPr>
  </w:style>
  <w:style w:type="character" w:customStyle="1" w:styleId="CaptionChar">
    <w:name w:val="Caption Char"/>
    <w:aliases w:val="12 Char,Caption 12pt+ Char,12pt Char,Caption 12pt Char,12+ Char,Dossier Caption Char"/>
    <w:link w:val="Caption"/>
    <w:uiPriority w:val="35"/>
    <w:rsid w:val="00A739FC"/>
    <w:rPr>
      <w:rFonts w:ascii="Calibri" w:hAnsi="Calibri"/>
      <w:i/>
      <w:iCs/>
      <w:color w:val="000000" w:themeColor="text1"/>
      <w:sz w:val="18"/>
      <w:szCs w:val="18"/>
    </w:rPr>
  </w:style>
  <w:style w:type="character" w:customStyle="1" w:styleId="SmallBold">
    <w:name w:val="Small Bold"/>
    <w:basedOn w:val="DefaultParagraphFont"/>
    <w:uiPriority w:val="4"/>
    <w:qFormat/>
    <w:rsid w:val="0013557F"/>
    <w:rPr>
      <w:rFonts w:ascii="Candara" w:hAnsi="Candara"/>
      <w:b/>
      <w:sz w:val="20"/>
      <w:lang w:val="en-AU"/>
    </w:rPr>
  </w:style>
  <w:style w:type="paragraph" w:customStyle="1" w:styleId="TextUnderTable">
    <w:name w:val="Text Under Table"/>
    <w:basedOn w:val="Normal"/>
    <w:qFormat/>
    <w:rsid w:val="0013557F"/>
    <w:pPr>
      <w:spacing w:before="120" w:after="120" w:line="276" w:lineRule="auto"/>
      <w:contextualSpacing/>
      <w:jc w:val="left"/>
    </w:pPr>
    <w:rPr>
      <w:rFonts w:ascii="Arial" w:hAnsi="Arial"/>
      <w:i/>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6111">
      <w:bodyDiv w:val="1"/>
      <w:marLeft w:val="0"/>
      <w:marRight w:val="0"/>
      <w:marTop w:val="0"/>
      <w:marBottom w:val="0"/>
      <w:divBdr>
        <w:top w:val="none" w:sz="0" w:space="0" w:color="auto"/>
        <w:left w:val="none" w:sz="0" w:space="0" w:color="auto"/>
        <w:bottom w:val="none" w:sz="0" w:space="0" w:color="auto"/>
        <w:right w:val="none" w:sz="0" w:space="0" w:color="auto"/>
      </w:divBdr>
      <w:divsChild>
        <w:div w:id="151144332">
          <w:marLeft w:val="0"/>
          <w:marRight w:val="0"/>
          <w:marTop w:val="0"/>
          <w:marBottom w:val="0"/>
          <w:divBdr>
            <w:top w:val="none" w:sz="0" w:space="0" w:color="auto"/>
            <w:left w:val="none" w:sz="0" w:space="0" w:color="auto"/>
            <w:bottom w:val="none" w:sz="0" w:space="0" w:color="auto"/>
            <w:right w:val="none" w:sz="0" w:space="0" w:color="auto"/>
          </w:divBdr>
          <w:divsChild>
            <w:div w:id="1568491385">
              <w:marLeft w:val="0"/>
              <w:marRight w:val="0"/>
              <w:marTop w:val="0"/>
              <w:marBottom w:val="0"/>
              <w:divBdr>
                <w:top w:val="none" w:sz="0" w:space="0" w:color="auto"/>
                <w:left w:val="none" w:sz="0" w:space="0" w:color="auto"/>
                <w:bottom w:val="none" w:sz="0" w:space="0" w:color="auto"/>
                <w:right w:val="none" w:sz="0" w:space="0" w:color="auto"/>
              </w:divBdr>
              <w:divsChild>
                <w:div w:id="5519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2405">
          <w:marLeft w:val="0"/>
          <w:marRight w:val="0"/>
          <w:marTop w:val="0"/>
          <w:marBottom w:val="0"/>
          <w:divBdr>
            <w:top w:val="none" w:sz="0" w:space="0" w:color="auto"/>
            <w:left w:val="none" w:sz="0" w:space="0" w:color="auto"/>
            <w:bottom w:val="none" w:sz="0" w:space="0" w:color="auto"/>
            <w:right w:val="none" w:sz="0" w:space="0" w:color="auto"/>
          </w:divBdr>
          <w:divsChild>
            <w:div w:id="1427312670">
              <w:marLeft w:val="0"/>
              <w:marRight w:val="0"/>
              <w:marTop w:val="0"/>
              <w:marBottom w:val="0"/>
              <w:divBdr>
                <w:top w:val="none" w:sz="0" w:space="0" w:color="auto"/>
                <w:left w:val="none" w:sz="0" w:space="0" w:color="auto"/>
                <w:bottom w:val="none" w:sz="0" w:space="0" w:color="auto"/>
                <w:right w:val="none" w:sz="0" w:space="0" w:color="auto"/>
              </w:divBdr>
              <w:divsChild>
                <w:div w:id="141905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38949">
          <w:marLeft w:val="0"/>
          <w:marRight w:val="0"/>
          <w:marTop w:val="0"/>
          <w:marBottom w:val="0"/>
          <w:divBdr>
            <w:top w:val="none" w:sz="0" w:space="0" w:color="auto"/>
            <w:left w:val="none" w:sz="0" w:space="0" w:color="auto"/>
            <w:bottom w:val="none" w:sz="0" w:space="0" w:color="auto"/>
            <w:right w:val="none" w:sz="0" w:space="0" w:color="auto"/>
          </w:divBdr>
          <w:divsChild>
            <w:div w:id="799616638">
              <w:marLeft w:val="0"/>
              <w:marRight w:val="0"/>
              <w:marTop w:val="0"/>
              <w:marBottom w:val="0"/>
              <w:divBdr>
                <w:top w:val="none" w:sz="0" w:space="0" w:color="auto"/>
                <w:left w:val="none" w:sz="0" w:space="0" w:color="auto"/>
                <w:bottom w:val="none" w:sz="0" w:space="0" w:color="auto"/>
                <w:right w:val="none" w:sz="0" w:space="0" w:color="auto"/>
              </w:divBdr>
              <w:divsChild>
                <w:div w:id="16074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2066">
          <w:marLeft w:val="0"/>
          <w:marRight w:val="0"/>
          <w:marTop w:val="0"/>
          <w:marBottom w:val="0"/>
          <w:divBdr>
            <w:top w:val="none" w:sz="0" w:space="0" w:color="auto"/>
            <w:left w:val="none" w:sz="0" w:space="0" w:color="auto"/>
            <w:bottom w:val="none" w:sz="0" w:space="0" w:color="auto"/>
            <w:right w:val="none" w:sz="0" w:space="0" w:color="auto"/>
          </w:divBdr>
          <w:divsChild>
            <w:div w:id="711612596">
              <w:marLeft w:val="0"/>
              <w:marRight w:val="0"/>
              <w:marTop w:val="0"/>
              <w:marBottom w:val="0"/>
              <w:divBdr>
                <w:top w:val="none" w:sz="0" w:space="0" w:color="auto"/>
                <w:left w:val="none" w:sz="0" w:space="0" w:color="auto"/>
                <w:bottom w:val="none" w:sz="0" w:space="0" w:color="auto"/>
                <w:right w:val="none" w:sz="0" w:space="0" w:color="auto"/>
              </w:divBdr>
              <w:divsChild>
                <w:div w:id="17453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7578">
          <w:marLeft w:val="0"/>
          <w:marRight w:val="0"/>
          <w:marTop w:val="0"/>
          <w:marBottom w:val="0"/>
          <w:divBdr>
            <w:top w:val="none" w:sz="0" w:space="0" w:color="auto"/>
            <w:left w:val="none" w:sz="0" w:space="0" w:color="auto"/>
            <w:bottom w:val="none" w:sz="0" w:space="0" w:color="auto"/>
            <w:right w:val="none" w:sz="0" w:space="0" w:color="auto"/>
          </w:divBdr>
          <w:divsChild>
            <w:div w:id="2064481806">
              <w:marLeft w:val="0"/>
              <w:marRight w:val="0"/>
              <w:marTop w:val="0"/>
              <w:marBottom w:val="0"/>
              <w:divBdr>
                <w:top w:val="none" w:sz="0" w:space="0" w:color="auto"/>
                <w:left w:val="none" w:sz="0" w:space="0" w:color="auto"/>
                <w:bottom w:val="none" w:sz="0" w:space="0" w:color="auto"/>
                <w:right w:val="none" w:sz="0" w:space="0" w:color="auto"/>
              </w:divBdr>
              <w:divsChild>
                <w:div w:id="16695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3436">
          <w:marLeft w:val="0"/>
          <w:marRight w:val="0"/>
          <w:marTop w:val="0"/>
          <w:marBottom w:val="0"/>
          <w:divBdr>
            <w:top w:val="none" w:sz="0" w:space="0" w:color="auto"/>
            <w:left w:val="none" w:sz="0" w:space="0" w:color="auto"/>
            <w:bottom w:val="none" w:sz="0" w:space="0" w:color="auto"/>
            <w:right w:val="none" w:sz="0" w:space="0" w:color="auto"/>
          </w:divBdr>
          <w:divsChild>
            <w:div w:id="601374445">
              <w:marLeft w:val="0"/>
              <w:marRight w:val="0"/>
              <w:marTop w:val="0"/>
              <w:marBottom w:val="0"/>
              <w:divBdr>
                <w:top w:val="none" w:sz="0" w:space="0" w:color="auto"/>
                <w:left w:val="none" w:sz="0" w:space="0" w:color="auto"/>
                <w:bottom w:val="none" w:sz="0" w:space="0" w:color="auto"/>
                <w:right w:val="none" w:sz="0" w:space="0" w:color="auto"/>
              </w:divBdr>
              <w:divsChild>
                <w:div w:id="9621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3232">
          <w:marLeft w:val="0"/>
          <w:marRight w:val="0"/>
          <w:marTop w:val="0"/>
          <w:marBottom w:val="0"/>
          <w:divBdr>
            <w:top w:val="none" w:sz="0" w:space="0" w:color="auto"/>
            <w:left w:val="none" w:sz="0" w:space="0" w:color="auto"/>
            <w:bottom w:val="none" w:sz="0" w:space="0" w:color="auto"/>
            <w:right w:val="none" w:sz="0" w:space="0" w:color="auto"/>
          </w:divBdr>
          <w:divsChild>
            <w:div w:id="1201674323">
              <w:marLeft w:val="0"/>
              <w:marRight w:val="0"/>
              <w:marTop w:val="0"/>
              <w:marBottom w:val="0"/>
              <w:divBdr>
                <w:top w:val="none" w:sz="0" w:space="0" w:color="auto"/>
                <w:left w:val="none" w:sz="0" w:space="0" w:color="auto"/>
                <w:bottom w:val="none" w:sz="0" w:space="0" w:color="auto"/>
                <w:right w:val="none" w:sz="0" w:space="0" w:color="auto"/>
              </w:divBdr>
              <w:divsChild>
                <w:div w:id="20567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3669">
          <w:marLeft w:val="0"/>
          <w:marRight w:val="0"/>
          <w:marTop w:val="0"/>
          <w:marBottom w:val="0"/>
          <w:divBdr>
            <w:top w:val="none" w:sz="0" w:space="0" w:color="auto"/>
            <w:left w:val="none" w:sz="0" w:space="0" w:color="auto"/>
            <w:bottom w:val="none" w:sz="0" w:space="0" w:color="auto"/>
            <w:right w:val="none" w:sz="0" w:space="0" w:color="auto"/>
          </w:divBdr>
          <w:divsChild>
            <w:div w:id="319425660">
              <w:marLeft w:val="0"/>
              <w:marRight w:val="0"/>
              <w:marTop w:val="0"/>
              <w:marBottom w:val="0"/>
              <w:divBdr>
                <w:top w:val="none" w:sz="0" w:space="0" w:color="auto"/>
                <w:left w:val="none" w:sz="0" w:space="0" w:color="auto"/>
                <w:bottom w:val="none" w:sz="0" w:space="0" w:color="auto"/>
                <w:right w:val="none" w:sz="0" w:space="0" w:color="auto"/>
              </w:divBdr>
              <w:divsChild>
                <w:div w:id="124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4351">
          <w:marLeft w:val="0"/>
          <w:marRight w:val="0"/>
          <w:marTop w:val="0"/>
          <w:marBottom w:val="0"/>
          <w:divBdr>
            <w:top w:val="none" w:sz="0" w:space="0" w:color="auto"/>
            <w:left w:val="none" w:sz="0" w:space="0" w:color="auto"/>
            <w:bottom w:val="none" w:sz="0" w:space="0" w:color="auto"/>
            <w:right w:val="none" w:sz="0" w:space="0" w:color="auto"/>
          </w:divBdr>
          <w:divsChild>
            <w:div w:id="1862890629">
              <w:marLeft w:val="0"/>
              <w:marRight w:val="0"/>
              <w:marTop w:val="0"/>
              <w:marBottom w:val="0"/>
              <w:divBdr>
                <w:top w:val="none" w:sz="0" w:space="0" w:color="auto"/>
                <w:left w:val="none" w:sz="0" w:space="0" w:color="auto"/>
                <w:bottom w:val="none" w:sz="0" w:space="0" w:color="auto"/>
                <w:right w:val="none" w:sz="0" w:space="0" w:color="auto"/>
              </w:divBdr>
              <w:divsChild>
                <w:div w:id="4802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0832">
          <w:marLeft w:val="0"/>
          <w:marRight w:val="0"/>
          <w:marTop w:val="0"/>
          <w:marBottom w:val="0"/>
          <w:divBdr>
            <w:top w:val="none" w:sz="0" w:space="0" w:color="auto"/>
            <w:left w:val="none" w:sz="0" w:space="0" w:color="auto"/>
            <w:bottom w:val="none" w:sz="0" w:space="0" w:color="auto"/>
            <w:right w:val="none" w:sz="0" w:space="0" w:color="auto"/>
          </w:divBdr>
          <w:divsChild>
            <w:div w:id="2024352500">
              <w:marLeft w:val="0"/>
              <w:marRight w:val="0"/>
              <w:marTop w:val="0"/>
              <w:marBottom w:val="0"/>
              <w:divBdr>
                <w:top w:val="none" w:sz="0" w:space="0" w:color="auto"/>
                <w:left w:val="none" w:sz="0" w:space="0" w:color="auto"/>
                <w:bottom w:val="none" w:sz="0" w:space="0" w:color="auto"/>
                <w:right w:val="none" w:sz="0" w:space="0" w:color="auto"/>
              </w:divBdr>
              <w:divsChild>
                <w:div w:id="18051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24094">
          <w:marLeft w:val="0"/>
          <w:marRight w:val="0"/>
          <w:marTop w:val="0"/>
          <w:marBottom w:val="0"/>
          <w:divBdr>
            <w:top w:val="none" w:sz="0" w:space="0" w:color="auto"/>
            <w:left w:val="none" w:sz="0" w:space="0" w:color="auto"/>
            <w:bottom w:val="none" w:sz="0" w:space="0" w:color="auto"/>
            <w:right w:val="none" w:sz="0" w:space="0" w:color="auto"/>
          </w:divBdr>
          <w:divsChild>
            <w:div w:id="684479812">
              <w:marLeft w:val="0"/>
              <w:marRight w:val="0"/>
              <w:marTop w:val="0"/>
              <w:marBottom w:val="0"/>
              <w:divBdr>
                <w:top w:val="none" w:sz="0" w:space="0" w:color="auto"/>
                <w:left w:val="none" w:sz="0" w:space="0" w:color="auto"/>
                <w:bottom w:val="none" w:sz="0" w:space="0" w:color="auto"/>
                <w:right w:val="none" w:sz="0" w:space="0" w:color="auto"/>
              </w:divBdr>
              <w:divsChild>
                <w:div w:id="5659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33426">
          <w:marLeft w:val="0"/>
          <w:marRight w:val="0"/>
          <w:marTop w:val="0"/>
          <w:marBottom w:val="0"/>
          <w:divBdr>
            <w:top w:val="none" w:sz="0" w:space="0" w:color="auto"/>
            <w:left w:val="none" w:sz="0" w:space="0" w:color="auto"/>
            <w:bottom w:val="none" w:sz="0" w:space="0" w:color="auto"/>
            <w:right w:val="none" w:sz="0" w:space="0" w:color="auto"/>
          </w:divBdr>
          <w:divsChild>
            <w:div w:id="87579185">
              <w:marLeft w:val="0"/>
              <w:marRight w:val="0"/>
              <w:marTop w:val="0"/>
              <w:marBottom w:val="0"/>
              <w:divBdr>
                <w:top w:val="none" w:sz="0" w:space="0" w:color="auto"/>
                <w:left w:val="none" w:sz="0" w:space="0" w:color="auto"/>
                <w:bottom w:val="none" w:sz="0" w:space="0" w:color="auto"/>
                <w:right w:val="none" w:sz="0" w:space="0" w:color="auto"/>
              </w:divBdr>
              <w:divsChild>
                <w:div w:id="110526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3785">
          <w:marLeft w:val="0"/>
          <w:marRight w:val="0"/>
          <w:marTop w:val="0"/>
          <w:marBottom w:val="0"/>
          <w:divBdr>
            <w:top w:val="none" w:sz="0" w:space="0" w:color="auto"/>
            <w:left w:val="none" w:sz="0" w:space="0" w:color="auto"/>
            <w:bottom w:val="none" w:sz="0" w:space="0" w:color="auto"/>
            <w:right w:val="none" w:sz="0" w:space="0" w:color="auto"/>
          </w:divBdr>
          <w:divsChild>
            <w:div w:id="1107851583">
              <w:marLeft w:val="0"/>
              <w:marRight w:val="0"/>
              <w:marTop w:val="0"/>
              <w:marBottom w:val="0"/>
              <w:divBdr>
                <w:top w:val="none" w:sz="0" w:space="0" w:color="auto"/>
                <w:left w:val="none" w:sz="0" w:space="0" w:color="auto"/>
                <w:bottom w:val="none" w:sz="0" w:space="0" w:color="auto"/>
                <w:right w:val="none" w:sz="0" w:space="0" w:color="auto"/>
              </w:divBdr>
              <w:divsChild>
                <w:div w:id="20501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1077">
          <w:marLeft w:val="0"/>
          <w:marRight w:val="0"/>
          <w:marTop w:val="0"/>
          <w:marBottom w:val="0"/>
          <w:divBdr>
            <w:top w:val="none" w:sz="0" w:space="0" w:color="auto"/>
            <w:left w:val="none" w:sz="0" w:space="0" w:color="auto"/>
            <w:bottom w:val="none" w:sz="0" w:space="0" w:color="auto"/>
            <w:right w:val="none" w:sz="0" w:space="0" w:color="auto"/>
          </w:divBdr>
          <w:divsChild>
            <w:div w:id="1004363110">
              <w:marLeft w:val="0"/>
              <w:marRight w:val="0"/>
              <w:marTop w:val="0"/>
              <w:marBottom w:val="0"/>
              <w:divBdr>
                <w:top w:val="none" w:sz="0" w:space="0" w:color="auto"/>
                <w:left w:val="none" w:sz="0" w:space="0" w:color="auto"/>
                <w:bottom w:val="none" w:sz="0" w:space="0" w:color="auto"/>
                <w:right w:val="none" w:sz="0" w:space="0" w:color="auto"/>
              </w:divBdr>
              <w:divsChild>
                <w:div w:id="19542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4262">
          <w:marLeft w:val="0"/>
          <w:marRight w:val="0"/>
          <w:marTop w:val="0"/>
          <w:marBottom w:val="0"/>
          <w:divBdr>
            <w:top w:val="none" w:sz="0" w:space="0" w:color="auto"/>
            <w:left w:val="none" w:sz="0" w:space="0" w:color="auto"/>
            <w:bottom w:val="none" w:sz="0" w:space="0" w:color="auto"/>
            <w:right w:val="none" w:sz="0" w:space="0" w:color="auto"/>
          </w:divBdr>
          <w:divsChild>
            <w:div w:id="1530069282">
              <w:marLeft w:val="0"/>
              <w:marRight w:val="0"/>
              <w:marTop w:val="0"/>
              <w:marBottom w:val="0"/>
              <w:divBdr>
                <w:top w:val="none" w:sz="0" w:space="0" w:color="auto"/>
                <w:left w:val="none" w:sz="0" w:space="0" w:color="auto"/>
                <w:bottom w:val="none" w:sz="0" w:space="0" w:color="auto"/>
                <w:right w:val="none" w:sz="0" w:space="0" w:color="auto"/>
              </w:divBdr>
              <w:divsChild>
                <w:div w:id="15881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2559">
          <w:marLeft w:val="0"/>
          <w:marRight w:val="0"/>
          <w:marTop w:val="0"/>
          <w:marBottom w:val="0"/>
          <w:divBdr>
            <w:top w:val="none" w:sz="0" w:space="0" w:color="auto"/>
            <w:left w:val="none" w:sz="0" w:space="0" w:color="auto"/>
            <w:bottom w:val="none" w:sz="0" w:space="0" w:color="auto"/>
            <w:right w:val="none" w:sz="0" w:space="0" w:color="auto"/>
          </w:divBdr>
          <w:divsChild>
            <w:div w:id="1958946320">
              <w:marLeft w:val="0"/>
              <w:marRight w:val="0"/>
              <w:marTop w:val="0"/>
              <w:marBottom w:val="0"/>
              <w:divBdr>
                <w:top w:val="none" w:sz="0" w:space="0" w:color="auto"/>
                <w:left w:val="none" w:sz="0" w:space="0" w:color="auto"/>
                <w:bottom w:val="none" w:sz="0" w:space="0" w:color="auto"/>
                <w:right w:val="none" w:sz="0" w:space="0" w:color="auto"/>
              </w:divBdr>
              <w:divsChild>
                <w:div w:id="9255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08787">
          <w:marLeft w:val="0"/>
          <w:marRight w:val="0"/>
          <w:marTop w:val="0"/>
          <w:marBottom w:val="0"/>
          <w:divBdr>
            <w:top w:val="none" w:sz="0" w:space="0" w:color="auto"/>
            <w:left w:val="none" w:sz="0" w:space="0" w:color="auto"/>
            <w:bottom w:val="none" w:sz="0" w:space="0" w:color="auto"/>
            <w:right w:val="none" w:sz="0" w:space="0" w:color="auto"/>
          </w:divBdr>
          <w:divsChild>
            <w:div w:id="836069158">
              <w:marLeft w:val="0"/>
              <w:marRight w:val="0"/>
              <w:marTop w:val="0"/>
              <w:marBottom w:val="0"/>
              <w:divBdr>
                <w:top w:val="none" w:sz="0" w:space="0" w:color="auto"/>
                <w:left w:val="none" w:sz="0" w:space="0" w:color="auto"/>
                <w:bottom w:val="none" w:sz="0" w:space="0" w:color="auto"/>
                <w:right w:val="none" w:sz="0" w:space="0" w:color="auto"/>
              </w:divBdr>
              <w:divsChild>
                <w:div w:id="13760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76259">
          <w:marLeft w:val="0"/>
          <w:marRight w:val="0"/>
          <w:marTop w:val="0"/>
          <w:marBottom w:val="0"/>
          <w:divBdr>
            <w:top w:val="none" w:sz="0" w:space="0" w:color="auto"/>
            <w:left w:val="none" w:sz="0" w:space="0" w:color="auto"/>
            <w:bottom w:val="none" w:sz="0" w:space="0" w:color="auto"/>
            <w:right w:val="none" w:sz="0" w:space="0" w:color="auto"/>
          </w:divBdr>
          <w:divsChild>
            <w:div w:id="1136987840">
              <w:marLeft w:val="0"/>
              <w:marRight w:val="0"/>
              <w:marTop w:val="0"/>
              <w:marBottom w:val="0"/>
              <w:divBdr>
                <w:top w:val="none" w:sz="0" w:space="0" w:color="auto"/>
                <w:left w:val="none" w:sz="0" w:space="0" w:color="auto"/>
                <w:bottom w:val="none" w:sz="0" w:space="0" w:color="auto"/>
                <w:right w:val="none" w:sz="0" w:space="0" w:color="auto"/>
              </w:divBdr>
              <w:divsChild>
                <w:div w:id="1746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4810">
          <w:marLeft w:val="0"/>
          <w:marRight w:val="0"/>
          <w:marTop w:val="0"/>
          <w:marBottom w:val="0"/>
          <w:divBdr>
            <w:top w:val="none" w:sz="0" w:space="0" w:color="auto"/>
            <w:left w:val="none" w:sz="0" w:space="0" w:color="auto"/>
            <w:bottom w:val="none" w:sz="0" w:space="0" w:color="auto"/>
            <w:right w:val="none" w:sz="0" w:space="0" w:color="auto"/>
          </w:divBdr>
          <w:divsChild>
            <w:div w:id="1734232691">
              <w:marLeft w:val="0"/>
              <w:marRight w:val="0"/>
              <w:marTop w:val="0"/>
              <w:marBottom w:val="0"/>
              <w:divBdr>
                <w:top w:val="none" w:sz="0" w:space="0" w:color="auto"/>
                <w:left w:val="none" w:sz="0" w:space="0" w:color="auto"/>
                <w:bottom w:val="none" w:sz="0" w:space="0" w:color="auto"/>
                <w:right w:val="none" w:sz="0" w:space="0" w:color="auto"/>
              </w:divBdr>
              <w:divsChild>
                <w:div w:id="7547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5335">
          <w:marLeft w:val="0"/>
          <w:marRight w:val="0"/>
          <w:marTop w:val="0"/>
          <w:marBottom w:val="0"/>
          <w:divBdr>
            <w:top w:val="none" w:sz="0" w:space="0" w:color="auto"/>
            <w:left w:val="none" w:sz="0" w:space="0" w:color="auto"/>
            <w:bottom w:val="none" w:sz="0" w:space="0" w:color="auto"/>
            <w:right w:val="none" w:sz="0" w:space="0" w:color="auto"/>
          </w:divBdr>
          <w:divsChild>
            <w:div w:id="1855000658">
              <w:marLeft w:val="0"/>
              <w:marRight w:val="0"/>
              <w:marTop w:val="0"/>
              <w:marBottom w:val="0"/>
              <w:divBdr>
                <w:top w:val="none" w:sz="0" w:space="0" w:color="auto"/>
                <w:left w:val="none" w:sz="0" w:space="0" w:color="auto"/>
                <w:bottom w:val="none" w:sz="0" w:space="0" w:color="auto"/>
                <w:right w:val="none" w:sz="0" w:space="0" w:color="auto"/>
              </w:divBdr>
              <w:divsChild>
                <w:div w:id="1053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3385">
          <w:marLeft w:val="0"/>
          <w:marRight w:val="0"/>
          <w:marTop w:val="0"/>
          <w:marBottom w:val="0"/>
          <w:divBdr>
            <w:top w:val="none" w:sz="0" w:space="0" w:color="auto"/>
            <w:left w:val="none" w:sz="0" w:space="0" w:color="auto"/>
            <w:bottom w:val="none" w:sz="0" w:space="0" w:color="auto"/>
            <w:right w:val="none" w:sz="0" w:space="0" w:color="auto"/>
          </w:divBdr>
          <w:divsChild>
            <w:div w:id="327632388">
              <w:marLeft w:val="0"/>
              <w:marRight w:val="0"/>
              <w:marTop w:val="0"/>
              <w:marBottom w:val="0"/>
              <w:divBdr>
                <w:top w:val="none" w:sz="0" w:space="0" w:color="auto"/>
                <w:left w:val="none" w:sz="0" w:space="0" w:color="auto"/>
                <w:bottom w:val="none" w:sz="0" w:space="0" w:color="auto"/>
                <w:right w:val="none" w:sz="0" w:space="0" w:color="auto"/>
              </w:divBdr>
              <w:divsChild>
                <w:div w:id="19358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2967">
          <w:marLeft w:val="0"/>
          <w:marRight w:val="0"/>
          <w:marTop w:val="0"/>
          <w:marBottom w:val="0"/>
          <w:divBdr>
            <w:top w:val="none" w:sz="0" w:space="0" w:color="auto"/>
            <w:left w:val="none" w:sz="0" w:space="0" w:color="auto"/>
            <w:bottom w:val="none" w:sz="0" w:space="0" w:color="auto"/>
            <w:right w:val="none" w:sz="0" w:space="0" w:color="auto"/>
          </w:divBdr>
          <w:divsChild>
            <w:div w:id="988243622">
              <w:marLeft w:val="0"/>
              <w:marRight w:val="0"/>
              <w:marTop w:val="0"/>
              <w:marBottom w:val="0"/>
              <w:divBdr>
                <w:top w:val="none" w:sz="0" w:space="0" w:color="auto"/>
                <w:left w:val="none" w:sz="0" w:space="0" w:color="auto"/>
                <w:bottom w:val="none" w:sz="0" w:space="0" w:color="auto"/>
                <w:right w:val="none" w:sz="0" w:space="0" w:color="auto"/>
              </w:divBdr>
              <w:divsChild>
                <w:div w:id="13445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6753">
          <w:marLeft w:val="0"/>
          <w:marRight w:val="0"/>
          <w:marTop w:val="0"/>
          <w:marBottom w:val="0"/>
          <w:divBdr>
            <w:top w:val="none" w:sz="0" w:space="0" w:color="auto"/>
            <w:left w:val="none" w:sz="0" w:space="0" w:color="auto"/>
            <w:bottom w:val="none" w:sz="0" w:space="0" w:color="auto"/>
            <w:right w:val="none" w:sz="0" w:space="0" w:color="auto"/>
          </w:divBdr>
          <w:divsChild>
            <w:div w:id="1940290961">
              <w:marLeft w:val="0"/>
              <w:marRight w:val="0"/>
              <w:marTop w:val="0"/>
              <w:marBottom w:val="0"/>
              <w:divBdr>
                <w:top w:val="none" w:sz="0" w:space="0" w:color="auto"/>
                <w:left w:val="none" w:sz="0" w:space="0" w:color="auto"/>
                <w:bottom w:val="none" w:sz="0" w:space="0" w:color="auto"/>
                <w:right w:val="none" w:sz="0" w:space="0" w:color="auto"/>
              </w:divBdr>
              <w:divsChild>
                <w:div w:id="19605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919">
          <w:marLeft w:val="0"/>
          <w:marRight w:val="0"/>
          <w:marTop w:val="0"/>
          <w:marBottom w:val="0"/>
          <w:divBdr>
            <w:top w:val="none" w:sz="0" w:space="0" w:color="auto"/>
            <w:left w:val="none" w:sz="0" w:space="0" w:color="auto"/>
            <w:bottom w:val="none" w:sz="0" w:space="0" w:color="auto"/>
            <w:right w:val="none" w:sz="0" w:space="0" w:color="auto"/>
          </w:divBdr>
          <w:divsChild>
            <w:div w:id="659818273">
              <w:marLeft w:val="0"/>
              <w:marRight w:val="0"/>
              <w:marTop w:val="0"/>
              <w:marBottom w:val="0"/>
              <w:divBdr>
                <w:top w:val="none" w:sz="0" w:space="0" w:color="auto"/>
                <w:left w:val="none" w:sz="0" w:space="0" w:color="auto"/>
                <w:bottom w:val="none" w:sz="0" w:space="0" w:color="auto"/>
                <w:right w:val="none" w:sz="0" w:space="0" w:color="auto"/>
              </w:divBdr>
              <w:divsChild>
                <w:div w:id="3746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89748097">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7282659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48653384">
      <w:bodyDiv w:val="1"/>
      <w:marLeft w:val="0"/>
      <w:marRight w:val="0"/>
      <w:marTop w:val="0"/>
      <w:marBottom w:val="0"/>
      <w:divBdr>
        <w:top w:val="none" w:sz="0" w:space="0" w:color="auto"/>
        <w:left w:val="none" w:sz="0" w:space="0" w:color="auto"/>
        <w:bottom w:val="none" w:sz="0" w:space="0" w:color="auto"/>
        <w:right w:val="none" w:sz="0" w:space="0" w:color="auto"/>
      </w:divBdr>
    </w:div>
    <w:div w:id="1083258689">
      <w:bodyDiv w:val="1"/>
      <w:marLeft w:val="0"/>
      <w:marRight w:val="0"/>
      <w:marTop w:val="0"/>
      <w:marBottom w:val="0"/>
      <w:divBdr>
        <w:top w:val="none" w:sz="0" w:space="0" w:color="auto"/>
        <w:left w:val="none" w:sz="0" w:space="0" w:color="auto"/>
        <w:bottom w:val="none" w:sz="0" w:space="0" w:color="auto"/>
        <w:right w:val="none" w:sz="0" w:space="0" w:color="auto"/>
      </w:divBdr>
      <w:divsChild>
        <w:div w:id="909272261">
          <w:marLeft w:val="0"/>
          <w:marRight w:val="0"/>
          <w:marTop w:val="0"/>
          <w:marBottom w:val="0"/>
          <w:divBdr>
            <w:top w:val="none" w:sz="0" w:space="0" w:color="auto"/>
            <w:left w:val="none" w:sz="0" w:space="0" w:color="auto"/>
            <w:bottom w:val="none" w:sz="0" w:space="0" w:color="auto"/>
            <w:right w:val="none" w:sz="0" w:space="0" w:color="auto"/>
          </w:divBdr>
          <w:divsChild>
            <w:div w:id="833956705">
              <w:marLeft w:val="0"/>
              <w:marRight w:val="0"/>
              <w:marTop w:val="0"/>
              <w:marBottom w:val="0"/>
              <w:divBdr>
                <w:top w:val="none" w:sz="0" w:space="0" w:color="auto"/>
                <w:left w:val="none" w:sz="0" w:space="0" w:color="auto"/>
                <w:bottom w:val="none" w:sz="0" w:space="0" w:color="auto"/>
                <w:right w:val="none" w:sz="0" w:space="0" w:color="auto"/>
              </w:divBdr>
              <w:divsChild>
                <w:div w:id="19447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7696">
          <w:marLeft w:val="0"/>
          <w:marRight w:val="0"/>
          <w:marTop w:val="0"/>
          <w:marBottom w:val="0"/>
          <w:divBdr>
            <w:top w:val="none" w:sz="0" w:space="0" w:color="auto"/>
            <w:left w:val="none" w:sz="0" w:space="0" w:color="auto"/>
            <w:bottom w:val="none" w:sz="0" w:space="0" w:color="auto"/>
            <w:right w:val="none" w:sz="0" w:space="0" w:color="auto"/>
          </w:divBdr>
          <w:divsChild>
            <w:div w:id="269632692">
              <w:marLeft w:val="0"/>
              <w:marRight w:val="0"/>
              <w:marTop w:val="0"/>
              <w:marBottom w:val="0"/>
              <w:divBdr>
                <w:top w:val="none" w:sz="0" w:space="0" w:color="auto"/>
                <w:left w:val="none" w:sz="0" w:space="0" w:color="auto"/>
                <w:bottom w:val="none" w:sz="0" w:space="0" w:color="auto"/>
                <w:right w:val="none" w:sz="0" w:space="0" w:color="auto"/>
              </w:divBdr>
              <w:divsChild>
                <w:div w:id="185966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2949">
          <w:marLeft w:val="0"/>
          <w:marRight w:val="0"/>
          <w:marTop w:val="0"/>
          <w:marBottom w:val="0"/>
          <w:divBdr>
            <w:top w:val="none" w:sz="0" w:space="0" w:color="auto"/>
            <w:left w:val="none" w:sz="0" w:space="0" w:color="auto"/>
            <w:bottom w:val="none" w:sz="0" w:space="0" w:color="auto"/>
            <w:right w:val="none" w:sz="0" w:space="0" w:color="auto"/>
          </w:divBdr>
          <w:divsChild>
            <w:div w:id="1894386627">
              <w:marLeft w:val="0"/>
              <w:marRight w:val="0"/>
              <w:marTop w:val="0"/>
              <w:marBottom w:val="0"/>
              <w:divBdr>
                <w:top w:val="none" w:sz="0" w:space="0" w:color="auto"/>
                <w:left w:val="none" w:sz="0" w:space="0" w:color="auto"/>
                <w:bottom w:val="none" w:sz="0" w:space="0" w:color="auto"/>
                <w:right w:val="none" w:sz="0" w:space="0" w:color="auto"/>
              </w:divBdr>
              <w:divsChild>
                <w:div w:id="1658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71336">
          <w:marLeft w:val="0"/>
          <w:marRight w:val="0"/>
          <w:marTop w:val="0"/>
          <w:marBottom w:val="0"/>
          <w:divBdr>
            <w:top w:val="none" w:sz="0" w:space="0" w:color="auto"/>
            <w:left w:val="none" w:sz="0" w:space="0" w:color="auto"/>
            <w:bottom w:val="none" w:sz="0" w:space="0" w:color="auto"/>
            <w:right w:val="none" w:sz="0" w:space="0" w:color="auto"/>
          </w:divBdr>
          <w:divsChild>
            <w:div w:id="1504009220">
              <w:marLeft w:val="0"/>
              <w:marRight w:val="0"/>
              <w:marTop w:val="0"/>
              <w:marBottom w:val="0"/>
              <w:divBdr>
                <w:top w:val="none" w:sz="0" w:space="0" w:color="auto"/>
                <w:left w:val="none" w:sz="0" w:space="0" w:color="auto"/>
                <w:bottom w:val="none" w:sz="0" w:space="0" w:color="auto"/>
                <w:right w:val="none" w:sz="0" w:space="0" w:color="auto"/>
              </w:divBdr>
              <w:divsChild>
                <w:div w:id="106294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4134">
          <w:marLeft w:val="0"/>
          <w:marRight w:val="0"/>
          <w:marTop w:val="0"/>
          <w:marBottom w:val="0"/>
          <w:divBdr>
            <w:top w:val="none" w:sz="0" w:space="0" w:color="auto"/>
            <w:left w:val="none" w:sz="0" w:space="0" w:color="auto"/>
            <w:bottom w:val="none" w:sz="0" w:space="0" w:color="auto"/>
            <w:right w:val="none" w:sz="0" w:space="0" w:color="auto"/>
          </w:divBdr>
          <w:divsChild>
            <w:div w:id="1111897250">
              <w:marLeft w:val="0"/>
              <w:marRight w:val="0"/>
              <w:marTop w:val="0"/>
              <w:marBottom w:val="0"/>
              <w:divBdr>
                <w:top w:val="none" w:sz="0" w:space="0" w:color="auto"/>
                <w:left w:val="none" w:sz="0" w:space="0" w:color="auto"/>
                <w:bottom w:val="none" w:sz="0" w:space="0" w:color="auto"/>
                <w:right w:val="none" w:sz="0" w:space="0" w:color="auto"/>
              </w:divBdr>
              <w:divsChild>
                <w:div w:id="66971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41887">
          <w:marLeft w:val="0"/>
          <w:marRight w:val="0"/>
          <w:marTop w:val="0"/>
          <w:marBottom w:val="0"/>
          <w:divBdr>
            <w:top w:val="none" w:sz="0" w:space="0" w:color="auto"/>
            <w:left w:val="none" w:sz="0" w:space="0" w:color="auto"/>
            <w:bottom w:val="none" w:sz="0" w:space="0" w:color="auto"/>
            <w:right w:val="none" w:sz="0" w:space="0" w:color="auto"/>
          </w:divBdr>
          <w:divsChild>
            <w:div w:id="1667592904">
              <w:marLeft w:val="0"/>
              <w:marRight w:val="0"/>
              <w:marTop w:val="0"/>
              <w:marBottom w:val="0"/>
              <w:divBdr>
                <w:top w:val="none" w:sz="0" w:space="0" w:color="auto"/>
                <w:left w:val="none" w:sz="0" w:space="0" w:color="auto"/>
                <w:bottom w:val="none" w:sz="0" w:space="0" w:color="auto"/>
                <w:right w:val="none" w:sz="0" w:space="0" w:color="auto"/>
              </w:divBdr>
              <w:divsChild>
                <w:div w:id="7418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9708">
          <w:marLeft w:val="0"/>
          <w:marRight w:val="0"/>
          <w:marTop w:val="0"/>
          <w:marBottom w:val="0"/>
          <w:divBdr>
            <w:top w:val="none" w:sz="0" w:space="0" w:color="auto"/>
            <w:left w:val="none" w:sz="0" w:space="0" w:color="auto"/>
            <w:bottom w:val="none" w:sz="0" w:space="0" w:color="auto"/>
            <w:right w:val="none" w:sz="0" w:space="0" w:color="auto"/>
          </w:divBdr>
          <w:divsChild>
            <w:div w:id="2100179574">
              <w:marLeft w:val="0"/>
              <w:marRight w:val="0"/>
              <w:marTop w:val="0"/>
              <w:marBottom w:val="0"/>
              <w:divBdr>
                <w:top w:val="none" w:sz="0" w:space="0" w:color="auto"/>
                <w:left w:val="none" w:sz="0" w:space="0" w:color="auto"/>
                <w:bottom w:val="none" w:sz="0" w:space="0" w:color="auto"/>
                <w:right w:val="none" w:sz="0" w:space="0" w:color="auto"/>
              </w:divBdr>
              <w:divsChild>
                <w:div w:id="13150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70113">
          <w:marLeft w:val="0"/>
          <w:marRight w:val="0"/>
          <w:marTop w:val="0"/>
          <w:marBottom w:val="0"/>
          <w:divBdr>
            <w:top w:val="none" w:sz="0" w:space="0" w:color="auto"/>
            <w:left w:val="none" w:sz="0" w:space="0" w:color="auto"/>
            <w:bottom w:val="none" w:sz="0" w:space="0" w:color="auto"/>
            <w:right w:val="none" w:sz="0" w:space="0" w:color="auto"/>
          </w:divBdr>
          <w:divsChild>
            <w:div w:id="1509561887">
              <w:marLeft w:val="0"/>
              <w:marRight w:val="0"/>
              <w:marTop w:val="0"/>
              <w:marBottom w:val="0"/>
              <w:divBdr>
                <w:top w:val="none" w:sz="0" w:space="0" w:color="auto"/>
                <w:left w:val="none" w:sz="0" w:space="0" w:color="auto"/>
                <w:bottom w:val="none" w:sz="0" w:space="0" w:color="auto"/>
                <w:right w:val="none" w:sz="0" w:space="0" w:color="auto"/>
              </w:divBdr>
              <w:divsChild>
                <w:div w:id="6253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538">
          <w:marLeft w:val="0"/>
          <w:marRight w:val="0"/>
          <w:marTop w:val="0"/>
          <w:marBottom w:val="0"/>
          <w:divBdr>
            <w:top w:val="none" w:sz="0" w:space="0" w:color="auto"/>
            <w:left w:val="none" w:sz="0" w:space="0" w:color="auto"/>
            <w:bottom w:val="none" w:sz="0" w:space="0" w:color="auto"/>
            <w:right w:val="none" w:sz="0" w:space="0" w:color="auto"/>
          </w:divBdr>
          <w:divsChild>
            <w:div w:id="1685858057">
              <w:marLeft w:val="0"/>
              <w:marRight w:val="0"/>
              <w:marTop w:val="0"/>
              <w:marBottom w:val="0"/>
              <w:divBdr>
                <w:top w:val="none" w:sz="0" w:space="0" w:color="auto"/>
                <w:left w:val="none" w:sz="0" w:space="0" w:color="auto"/>
                <w:bottom w:val="none" w:sz="0" w:space="0" w:color="auto"/>
                <w:right w:val="none" w:sz="0" w:space="0" w:color="auto"/>
              </w:divBdr>
              <w:divsChild>
                <w:div w:id="1407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6688">
          <w:marLeft w:val="0"/>
          <w:marRight w:val="0"/>
          <w:marTop w:val="0"/>
          <w:marBottom w:val="0"/>
          <w:divBdr>
            <w:top w:val="none" w:sz="0" w:space="0" w:color="auto"/>
            <w:left w:val="none" w:sz="0" w:space="0" w:color="auto"/>
            <w:bottom w:val="none" w:sz="0" w:space="0" w:color="auto"/>
            <w:right w:val="none" w:sz="0" w:space="0" w:color="auto"/>
          </w:divBdr>
          <w:divsChild>
            <w:div w:id="1368946841">
              <w:marLeft w:val="0"/>
              <w:marRight w:val="0"/>
              <w:marTop w:val="0"/>
              <w:marBottom w:val="0"/>
              <w:divBdr>
                <w:top w:val="none" w:sz="0" w:space="0" w:color="auto"/>
                <w:left w:val="none" w:sz="0" w:space="0" w:color="auto"/>
                <w:bottom w:val="none" w:sz="0" w:space="0" w:color="auto"/>
                <w:right w:val="none" w:sz="0" w:space="0" w:color="auto"/>
              </w:divBdr>
              <w:divsChild>
                <w:div w:id="17158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84472">
          <w:marLeft w:val="0"/>
          <w:marRight w:val="0"/>
          <w:marTop w:val="0"/>
          <w:marBottom w:val="0"/>
          <w:divBdr>
            <w:top w:val="none" w:sz="0" w:space="0" w:color="auto"/>
            <w:left w:val="none" w:sz="0" w:space="0" w:color="auto"/>
            <w:bottom w:val="none" w:sz="0" w:space="0" w:color="auto"/>
            <w:right w:val="none" w:sz="0" w:space="0" w:color="auto"/>
          </w:divBdr>
          <w:divsChild>
            <w:div w:id="319575369">
              <w:marLeft w:val="0"/>
              <w:marRight w:val="0"/>
              <w:marTop w:val="0"/>
              <w:marBottom w:val="0"/>
              <w:divBdr>
                <w:top w:val="none" w:sz="0" w:space="0" w:color="auto"/>
                <w:left w:val="none" w:sz="0" w:space="0" w:color="auto"/>
                <w:bottom w:val="none" w:sz="0" w:space="0" w:color="auto"/>
                <w:right w:val="none" w:sz="0" w:space="0" w:color="auto"/>
              </w:divBdr>
              <w:divsChild>
                <w:div w:id="6595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61344">
          <w:marLeft w:val="0"/>
          <w:marRight w:val="0"/>
          <w:marTop w:val="0"/>
          <w:marBottom w:val="0"/>
          <w:divBdr>
            <w:top w:val="none" w:sz="0" w:space="0" w:color="auto"/>
            <w:left w:val="none" w:sz="0" w:space="0" w:color="auto"/>
            <w:bottom w:val="none" w:sz="0" w:space="0" w:color="auto"/>
            <w:right w:val="none" w:sz="0" w:space="0" w:color="auto"/>
          </w:divBdr>
          <w:divsChild>
            <w:div w:id="1622610657">
              <w:marLeft w:val="0"/>
              <w:marRight w:val="0"/>
              <w:marTop w:val="0"/>
              <w:marBottom w:val="0"/>
              <w:divBdr>
                <w:top w:val="none" w:sz="0" w:space="0" w:color="auto"/>
                <w:left w:val="none" w:sz="0" w:space="0" w:color="auto"/>
                <w:bottom w:val="none" w:sz="0" w:space="0" w:color="auto"/>
                <w:right w:val="none" w:sz="0" w:space="0" w:color="auto"/>
              </w:divBdr>
              <w:divsChild>
                <w:div w:id="192695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70538">
          <w:marLeft w:val="0"/>
          <w:marRight w:val="0"/>
          <w:marTop w:val="0"/>
          <w:marBottom w:val="0"/>
          <w:divBdr>
            <w:top w:val="none" w:sz="0" w:space="0" w:color="auto"/>
            <w:left w:val="none" w:sz="0" w:space="0" w:color="auto"/>
            <w:bottom w:val="none" w:sz="0" w:space="0" w:color="auto"/>
            <w:right w:val="none" w:sz="0" w:space="0" w:color="auto"/>
          </w:divBdr>
          <w:divsChild>
            <w:div w:id="2065135456">
              <w:marLeft w:val="0"/>
              <w:marRight w:val="0"/>
              <w:marTop w:val="0"/>
              <w:marBottom w:val="0"/>
              <w:divBdr>
                <w:top w:val="none" w:sz="0" w:space="0" w:color="auto"/>
                <w:left w:val="none" w:sz="0" w:space="0" w:color="auto"/>
                <w:bottom w:val="none" w:sz="0" w:space="0" w:color="auto"/>
                <w:right w:val="none" w:sz="0" w:space="0" w:color="auto"/>
              </w:divBdr>
              <w:divsChild>
                <w:div w:id="17264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13650">
          <w:marLeft w:val="0"/>
          <w:marRight w:val="0"/>
          <w:marTop w:val="0"/>
          <w:marBottom w:val="0"/>
          <w:divBdr>
            <w:top w:val="none" w:sz="0" w:space="0" w:color="auto"/>
            <w:left w:val="none" w:sz="0" w:space="0" w:color="auto"/>
            <w:bottom w:val="none" w:sz="0" w:space="0" w:color="auto"/>
            <w:right w:val="none" w:sz="0" w:space="0" w:color="auto"/>
          </w:divBdr>
          <w:divsChild>
            <w:div w:id="26027355">
              <w:marLeft w:val="0"/>
              <w:marRight w:val="0"/>
              <w:marTop w:val="0"/>
              <w:marBottom w:val="0"/>
              <w:divBdr>
                <w:top w:val="none" w:sz="0" w:space="0" w:color="auto"/>
                <w:left w:val="none" w:sz="0" w:space="0" w:color="auto"/>
                <w:bottom w:val="none" w:sz="0" w:space="0" w:color="auto"/>
                <w:right w:val="none" w:sz="0" w:space="0" w:color="auto"/>
              </w:divBdr>
              <w:divsChild>
                <w:div w:id="16647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5606">
          <w:marLeft w:val="0"/>
          <w:marRight w:val="0"/>
          <w:marTop w:val="0"/>
          <w:marBottom w:val="0"/>
          <w:divBdr>
            <w:top w:val="none" w:sz="0" w:space="0" w:color="auto"/>
            <w:left w:val="none" w:sz="0" w:space="0" w:color="auto"/>
            <w:bottom w:val="none" w:sz="0" w:space="0" w:color="auto"/>
            <w:right w:val="none" w:sz="0" w:space="0" w:color="auto"/>
          </w:divBdr>
          <w:divsChild>
            <w:div w:id="300968686">
              <w:marLeft w:val="0"/>
              <w:marRight w:val="0"/>
              <w:marTop w:val="0"/>
              <w:marBottom w:val="0"/>
              <w:divBdr>
                <w:top w:val="none" w:sz="0" w:space="0" w:color="auto"/>
                <w:left w:val="none" w:sz="0" w:space="0" w:color="auto"/>
                <w:bottom w:val="none" w:sz="0" w:space="0" w:color="auto"/>
                <w:right w:val="none" w:sz="0" w:space="0" w:color="auto"/>
              </w:divBdr>
              <w:divsChild>
                <w:div w:id="166547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4296">
          <w:marLeft w:val="0"/>
          <w:marRight w:val="0"/>
          <w:marTop w:val="0"/>
          <w:marBottom w:val="0"/>
          <w:divBdr>
            <w:top w:val="none" w:sz="0" w:space="0" w:color="auto"/>
            <w:left w:val="none" w:sz="0" w:space="0" w:color="auto"/>
            <w:bottom w:val="none" w:sz="0" w:space="0" w:color="auto"/>
            <w:right w:val="none" w:sz="0" w:space="0" w:color="auto"/>
          </w:divBdr>
          <w:divsChild>
            <w:div w:id="1320111248">
              <w:marLeft w:val="0"/>
              <w:marRight w:val="0"/>
              <w:marTop w:val="0"/>
              <w:marBottom w:val="0"/>
              <w:divBdr>
                <w:top w:val="none" w:sz="0" w:space="0" w:color="auto"/>
                <w:left w:val="none" w:sz="0" w:space="0" w:color="auto"/>
                <w:bottom w:val="none" w:sz="0" w:space="0" w:color="auto"/>
                <w:right w:val="none" w:sz="0" w:space="0" w:color="auto"/>
              </w:divBdr>
              <w:divsChild>
                <w:div w:id="10096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059664">
          <w:marLeft w:val="0"/>
          <w:marRight w:val="0"/>
          <w:marTop w:val="0"/>
          <w:marBottom w:val="0"/>
          <w:divBdr>
            <w:top w:val="none" w:sz="0" w:space="0" w:color="auto"/>
            <w:left w:val="none" w:sz="0" w:space="0" w:color="auto"/>
            <w:bottom w:val="none" w:sz="0" w:space="0" w:color="auto"/>
            <w:right w:val="none" w:sz="0" w:space="0" w:color="auto"/>
          </w:divBdr>
          <w:divsChild>
            <w:div w:id="387842831">
              <w:marLeft w:val="0"/>
              <w:marRight w:val="0"/>
              <w:marTop w:val="0"/>
              <w:marBottom w:val="0"/>
              <w:divBdr>
                <w:top w:val="none" w:sz="0" w:space="0" w:color="auto"/>
                <w:left w:val="none" w:sz="0" w:space="0" w:color="auto"/>
                <w:bottom w:val="none" w:sz="0" w:space="0" w:color="auto"/>
                <w:right w:val="none" w:sz="0" w:space="0" w:color="auto"/>
              </w:divBdr>
              <w:divsChild>
                <w:div w:id="180068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33163">
          <w:marLeft w:val="0"/>
          <w:marRight w:val="0"/>
          <w:marTop w:val="0"/>
          <w:marBottom w:val="0"/>
          <w:divBdr>
            <w:top w:val="none" w:sz="0" w:space="0" w:color="auto"/>
            <w:left w:val="none" w:sz="0" w:space="0" w:color="auto"/>
            <w:bottom w:val="none" w:sz="0" w:space="0" w:color="auto"/>
            <w:right w:val="none" w:sz="0" w:space="0" w:color="auto"/>
          </w:divBdr>
          <w:divsChild>
            <w:div w:id="1397165674">
              <w:marLeft w:val="0"/>
              <w:marRight w:val="0"/>
              <w:marTop w:val="0"/>
              <w:marBottom w:val="0"/>
              <w:divBdr>
                <w:top w:val="none" w:sz="0" w:space="0" w:color="auto"/>
                <w:left w:val="none" w:sz="0" w:space="0" w:color="auto"/>
                <w:bottom w:val="none" w:sz="0" w:space="0" w:color="auto"/>
                <w:right w:val="none" w:sz="0" w:space="0" w:color="auto"/>
              </w:divBdr>
              <w:divsChild>
                <w:div w:id="12851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79140">
          <w:marLeft w:val="0"/>
          <w:marRight w:val="0"/>
          <w:marTop w:val="0"/>
          <w:marBottom w:val="0"/>
          <w:divBdr>
            <w:top w:val="none" w:sz="0" w:space="0" w:color="auto"/>
            <w:left w:val="none" w:sz="0" w:space="0" w:color="auto"/>
            <w:bottom w:val="none" w:sz="0" w:space="0" w:color="auto"/>
            <w:right w:val="none" w:sz="0" w:space="0" w:color="auto"/>
          </w:divBdr>
          <w:divsChild>
            <w:div w:id="1782147031">
              <w:marLeft w:val="0"/>
              <w:marRight w:val="0"/>
              <w:marTop w:val="0"/>
              <w:marBottom w:val="0"/>
              <w:divBdr>
                <w:top w:val="none" w:sz="0" w:space="0" w:color="auto"/>
                <w:left w:val="none" w:sz="0" w:space="0" w:color="auto"/>
                <w:bottom w:val="none" w:sz="0" w:space="0" w:color="auto"/>
                <w:right w:val="none" w:sz="0" w:space="0" w:color="auto"/>
              </w:divBdr>
              <w:divsChild>
                <w:div w:id="9734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4548">
          <w:marLeft w:val="0"/>
          <w:marRight w:val="0"/>
          <w:marTop w:val="0"/>
          <w:marBottom w:val="0"/>
          <w:divBdr>
            <w:top w:val="none" w:sz="0" w:space="0" w:color="auto"/>
            <w:left w:val="none" w:sz="0" w:space="0" w:color="auto"/>
            <w:bottom w:val="none" w:sz="0" w:space="0" w:color="auto"/>
            <w:right w:val="none" w:sz="0" w:space="0" w:color="auto"/>
          </w:divBdr>
          <w:divsChild>
            <w:div w:id="11881090">
              <w:marLeft w:val="0"/>
              <w:marRight w:val="0"/>
              <w:marTop w:val="0"/>
              <w:marBottom w:val="0"/>
              <w:divBdr>
                <w:top w:val="none" w:sz="0" w:space="0" w:color="auto"/>
                <w:left w:val="none" w:sz="0" w:space="0" w:color="auto"/>
                <w:bottom w:val="none" w:sz="0" w:space="0" w:color="auto"/>
                <w:right w:val="none" w:sz="0" w:space="0" w:color="auto"/>
              </w:divBdr>
              <w:divsChild>
                <w:div w:id="6628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36529">
          <w:marLeft w:val="0"/>
          <w:marRight w:val="0"/>
          <w:marTop w:val="0"/>
          <w:marBottom w:val="0"/>
          <w:divBdr>
            <w:top w:val="none" w:sz="0" w:space="0" w:color="auto"/>
            <w:left w:val="none" w:sz="0" w:space="0" w:color="auto"/>
            <w:bottom w:val="none" w:sz="0" w:space="0" w:color="auto"/>
            <w:right w:val="none" w:sz="0" w:space="0" w:color="auto"/>
          </w:divBdr>
          <w:divsChild>
            <w:div w:id="1153372260">
              <w:marLeft w:val="0"/>
              <w:marRight w:val="0"/>
              <w:marTop w:val="0"/>
              <w:marBottom w:val="0"/>
              <w:divBdr>
                <w:top w:val="none" w:sz="0" w:space="0" w:color="auto"/>
                <w:left w:val="none" w:sz="0" w:space="0" w:color="auto"/>
                <w:bottom w:val="none" w:sz="0" w:space="0" w:color="auto"/>
                <w:right w:val="none" w:sz="0" w:space="0" w:color="auto"/>
              </w:divBdr>
              <w:divsChild>
                <w:div w:id="10485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49411">
          <w:marLeft w:val="0"/>
          <w:marRight w:val="0"/>
          <w:marTop w:val="0"/>
          <w:marBottom w:val="0"/>
          <w:divBdr>
            <w:top w:val="none" w:sz="0" w:space="0" w:color="auto"/>
            <w:left w:val="none" w:sz="0" w:space="0" w:color="auto"/>
            <w:bottom w:val="none" w:sz="0" w:space="0" w:color="auto"/>
            <w:right w:val="none" w:sz="0" w:space="0" w:color="auto"/>
          </w:divBdr>
          <w:divsChild>
            <w:div w:id="2113353841">
              <w:marLeft w:val="0"/>
              <w:marRight w:val="0"/>
              <w:marTop w:val="0"/>
              <w:marBottom w:val="0"/>
              <w:divBdr>
                <w:top w:val="none" w:sz="0" w:space="0" w:color="auto"/>
                <w:left w:val="none" w:sz="0" w:space="0" w:color="auto"/>
                <w:bottom w:val="none" w:sz="0" w:space="0" w:color="auto"/>
                <w:right w:val="none" w:sz="0" w:space="0" w:color="auto"/>
              </w:divBdr>
              <w:divsChild>
                <w:div w:id="165144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4709">
          <w:marLeft w:val="0"/>
          <w:marRight w:val="0"/>
          <w:marTop w:val="0"/>
          <w:marBottom w:val="0"/>
          <w:divBdr>
            <w:top w:val="none" w:sz="0" w:space="0" w:color="auto"/>
            <w:left w:val="none" w:sz="0" w:space="0" w:color="auto"/>
            <w:bottom w:val="none" w:sz="0" w:space="0" w:color="auto"/>
            <w:right w:val="none" w:sz="0" w:space="0" w:color="auto"/>
          </w:divBdr>
          <w:divsChild>
            <w:div w:id="1762293897">
              <w:marLeft w:val="0"/>
              <w:marRight w:val="0"/>
              <w:marTop w:val="0"/>
              <w:marBottom w:val="0"/>
              <w:divBdr>
                <w:top w:val="none" w:sz="0" w:space="0" w:color="auto"/>
                <w:left w:val="none" w:sz="0" w:space="0" w:color="auto"/>
                <w:bottom w:val="none" w:sz="0" w:space="0" w:color="auto"/>
                <w:right w:val="none" w:sz="0" w:space="0" w:color="auto"/>
              </w:divBdr>
              <w:divsChild>
                <w:div w:id="4356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4784">
          <w:marLeft w:val="0"/>
          <w:marRight w:val="0"/>
          <w:marTop w:val="0"/>
          <w:marBottom w:val="0"/>
          <w:divBdr>
            <w:top w:val="none" w:sz="0" w:space="0" w:color="auto"/>
            <w:left w:val="none" w:sz="0" w:space="0" w:color="auto"/>
            <w:bottom w:val="none" w:sz="0" w:space="0" w:color="auto"/>
            <w:right w:val="none" w:sz="0" w:space="0" w:color="auto"/>
          </w:divBdr>
          <w:divsChild>
            <w:div w:id="234781618">
              <w:marLeft w:val="0"/>
              <w:marRight w:val="0"/>
              <w:marTop w:val="0"/>
              <w:marBottom w:val="0"/>
              <w:divBdr>
                <w:top w:val="none" w:sz="0" w:space="0" w:color="auto"/>
                <w:left w:val="none" w:sz="0" w:space="0" w:color="auto"/>
                <w:bottom w:val="none" w:sz="0" w:space="0" w:color="auto"/>
                <w:right w:val="none" w:sz="0" w:space="0" w:color="auto"/>
              </w:divBdr>
              <w:divsChild>
                <w:div w:id="17592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5491810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BA274-AC06-4695-B556-474FFC36C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1946</Words>
  <Characters>11090</Characters>
  <Application>Microsoft Office Word</Application>
  <DocSecurity>0</DocSecurity>
  <Lines>92</Lines>
  <Paragraphs>26</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6.23	PALBOCICLIB,          Tablet 75 mg          Tablet 100 mg          Tablet 1</vt:lpstr>
      <vt:lpstr>Purpose of Application </vt:lpstr>
      <vt:lpstr>Background </vt:lpstr>
      <vt:lpstr>    Registration status</vt:lpstr>
      <vt:lpstr>Requested listing </vt:lpstr>
      <vt:lpstr>Consideration of the evidence</vt:lpstr>
      <vt:lpstr>    Sponsor Hearing</vt:lpstr>
      <vt:lpstr>    Consumer Comments</vt:lpstr>
      <vt:lpstr>    Clinical studies </vt:lpstr>
      <vt:lpstr>    Clinical claim </vt:lpstr>
      <vt:lpstr>    Pricing considerations </vt:lpstr>
      <vt:lpstr>PBAC Outcome</vt:lpstr>
      <vt:lpstr>Context for Decision</vt:lpstr>
      <vt:lpstr>Sponsor’s Comment</vt:lpstr>
    </vt:vector>
  </TitlesOfParts>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2021-10-25T04:26:00Z</dcterms:created>
  <dcterms:modified xsi:type="dcterms:W3CDTF">2021-10-25T04:27:00Z</dcterms:modified>
</cp:coreProperties>
</file>