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7B" w:rsidRPr="009C5C54" w:rsidRDefault="00752C63" w:rsidP="00D248EE">
      <w:pPr>
        <w:pStyle w:val="1-MainHeading"/>
      </w:pPr>
      <w:bookmarkStart w:id="0" w:name="_Toc72247583"/>
      <w:r w:rsidRPr="009C5C54">
        <w:t>6.07</w:t>
      </w:r>
      <w:r w:rsidR="00A3387B" w:rsidRPr="009C5C54">
        <w:tab/>
        <w:t>TRIPTORELIN,</w:t>
      </w:r>
      <w:r w:rsidR="00A3387B" w:rsidRPr="009C5C54">
        <w:br/>
      </w:r>
      <w:r w:rsidR="00D248EE" w:rsidRPr="009C5C54">
        <w:t>Powder for I.M. injection (prolonged release) 22.5 mg (as embonate) with solvent, syringe and needles</w:t>
      </w:r>
      <w:r w:rsidRPr="009C5C54">
        <w:t>,</w:t>
      </w:r>
      <w:r w:rsidR="00A3387B" w:rsidRPr="009C5C54">
        <w:br/>
        <w:t>Diphereline</w:t>
      </w:r>
      <w:r w:rsidR="00A3387B" w:rsidRPr="009C5C54">
        <w:rPr>
          <w:vertAlign w:val="superscript"/>
        </w:rPr>
        <w:t>®</w:t>
      </w:r>
      <w:r w:rsidR="00A3387B" w:rsidRPr="009C5C54">
        <w:t>,</w:t>
      </w:r>
      <w:r w:rsidR="00A3387B" w:rsidRPr="009C5C54">
        <w:br/>
        <w:t>Ipsen Pty Ltd.</w:t>
      </w:r>
      <w:bookmarkEnd w:id="0"/>
    </w:p>
    <w:p w:rsidR="00A3387B" w:rsidRPr="009C5C54" w:rsidRDefault="00A3387B" w:rsidP="00A3387B">
      <w:pPr>
        <w:pStyle w:val="2-SectionHeading"/>
        <w:numPr>
          <w:ilvl w:val="0"/>
          <w:numId w:val="1"/>
        </w:numPr>
      </w:pPr>
      <w:bookmarkStart w:id="1" w:name="_Toc72247585"/>
      <w:r w:rsidRPr="009C5C54">
        <w:t>Purpose of submission</w:t>
      </w:r>
      <w:bookmarkEnd w:id="1"/>
    </w:p>
    <w:p w:rsidR="00A3387B" w:rsidRPr="009C5C54" w:rsidRDefault="00A3387B" w:rsidP="00A3387B">
      <w:pPr>
        <w:pStyle w:val="3-BodyText"/>
      </w:pPr>
      <w:r w:rsidRPr="009C5C54">
        <w:t>The</w:t>
      </w:r>
      <w:r w:rsidR="001073B0">
        <w:t xml:space="preserve"> Category 2</w:t>
      </w:r>
      <w:r w:rsidR="00636413">
        <w:t xml:space="preserve"> </w:t>
      </w:r>
      <w:r w:rsidRPr="009C5C54">
        <w:t xml:space="preserve">submission requested a </w:t>
      </w:r>
      <w:r w:rsidR="00CA1C94" w:rsidRPr="009C5C54">
        <w:t>General Schedule</w:t>
      </w:r>
      <w:r w:rsidRPr="009C5C54">
        <w:t xml:space="preserve"> listing for triptorelin embo</w:t>
      </w:r>
      <w:r w:rsidR="00F6744B" w:rsidRPr="009C5C54">
        <w:t>n</w:t>
      </w:r>
      <w:r w:rsidRPr="009C5C54">
        <w:t>ate (henceforth referred to as triptorelin) for the treatment of central precocious puberty (CPP)</w:t>
      </w:r>
      <w:r w:rsidR="003A6DD9" w:rsidRPr="009C5C54">
        <w:t>.</w:t>
      </w:r>
    </w:p>
    <w:p w:rsidR="00A3387B" w:rsidRPr="009C5C54" w:rsidRDefault="00A3387B" w:rsidP="00A3387B">
      <w:pPr>
        <w:pStyle w:val="3-BodyText"/>
      </w:pPr>
      <w:r w:rsidRPr="009C5C54">
        <w:t xml:space="preserve">Listing was requested on the basis of a cost-minimisation analysis versus leuprorelin subcutaneous depot injections. </w:t>
      </w:r>
      <w:r w:rsidR="009E4996" w:rsidRPr="009C5C54">
        <w:t>Table 1</w:t>
      </w:r>
      <w:r w:rsidRPr="009C5C54">
        <w:t xml:space="preserve"> presents the key components of the clinical issue addressed by the submission.</w:t>
      </w:r>
      <w:r w:rsidR="000249C1" w:rsidRPr="009C5C54">
        <w:t xml:space="preserve"> </w:t>
      </w:r>
    </w:p>
    <w:p w:rsidR="00A3387B" w:rsidRPr="009C5C54" w:rsidRDefault="00A3387B" w:rsidP="00A3387B">
      <w:pPr>
        <w:pStyle w:val="TableFigureHeading"/>
      </w:pPr>
      <w:bookmarkStart w:id="2" w:name="_Ref71184448"/>
      <w:r w:rsidRPr="009C5C54">
        <w:rPr>
          <w:rStyle w:val="CommentReference"/>
          <w:b/>
          <w:szCs w:val="24"/>
        </w:rPr>
        <w:t xml:space="preserve">Table </w:t>
      </w:r>
      <w:r w:rsidR="009E4996" w:rsidRPr="009C5C54">
        <w:rPr>
          <w:rStyle w:val="CommentReference"/>
          <w:b/>
          <w:szCs w:val="24"/>
        </w:rPr>
        <w:t>1</w:t>
      </w:r>
      <w:bookmarkEnd w:id="2"/>
      <w:r w:rsidRPr="009C5C54">
        <w:rPr>
          <w:rStyle w:val="CommentReference"/>
          <w:b/>
          <w:szCs w:val="24"/>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A3387B" w:rsidRPr="009C5C54" w:rsidTr="00C72823">
        <w:tc>
          <w:tcPr>
            <w:tcW w:w="1668" w:type="dxa"/>
            <w:vAlign w:val="center"/>
          </w:tcPr>
          <w:p w:rsidR="00A3387B" w:rsidRPr="009C5C54" w:rsidRDefault="00A3387B" w:rsidP="00C72823">
            <w:pPr>
              <w:pStyle w:val="In-tableHeading"/>
              <w:rPr>
                <w:lang w:val="en-AU"/>
              </w:rPr>
            </w:pPr>
            <w:r w:rsidRPr="009C5C54">
              <w:rPr>
                <w:lang w:val="en-AU"/>
              </w:rPr>
              <w:t>Component</w:t>
            </w:r>
          </w:p>
        </w:tc>
        <w:tc>
          <w:tcPr>
            <w:tcW w:w="7488" w:type="dxa"/>
            <w:vAlign w:val="center"/>
          </w:tcPr>
          <w:p w:rsidR="00A3387B" w:rsidRPr="009C5C54" w:rsidRDefault="00A3387B" w:rsidP="00C72823">
            <w:pPr>
              <w:pStyle w:val="In-tableHeading"/>
              <w:rPr>
                <w:lang w:val="en-AU"/>
              </w:rPr>
            </w:pPr>
            <w:r w:rsidRPr="009C5C54">
              <w:rPr>
                <w:lang w:val="en-AU"/>
              </w:rPr>
              <w:t>Description</w:t>
            </w:r>
          </w:p>
        </w:tc>
      </w:tr>
      <w:tr w:rsidR="00A3387B" w:rsidRPr="009C5C54" w:rsidTr="00C72823">
        <w:tc>
          <w:tcPr>
            <w:tcW w:w="1668" w:type="dxa"/>
            <w:vAlign w:val="center"/>
          </w:tcPr>
          <w:p w:rsidR="00A3387B" w:rsidRPr="009C5C54" w:rsidRDefault="00A3387B" w:rsidP="00C72823">
            <w:pPr>
              <w:pStyle w:val="TableText0"/>
            </w:pPr>
            <w:r w:rsidRPr="009C5C54">
              <w:t>Population</w:t>
            </w:r>
          </w:p>
        </w:tc>
        <w:tc>
          <w:tcPr>
            <w:tcW w:w="7488" w:type="dxa"/>
            <w:vAlign w:val="center"/>
          </w:tcPr>
          <w:p w:rsidR="00A3387B" w:rsidRPr="009C5C54" w:rsidRDefault="00A3387B" w:rsidP="007B4E87">
            <w:pPr>
              <w:pStyle w:val="TableText0"/>
            </w:pPr>
            <w:r w:rsidRPr="009C5C54">
              <w:t>CPP in children 2 years and older with an onset before 8 years in girls and 10 years in boys.</w:t>
            </w:r>
          </w:p>
        </w:tc>
      </w:tr>
      <w:tr w:rsidR="00A3387B" w:rsidRPr="009C5C54" w:rsidTr="00C72823">
        <w:tc>
          <w:tcPr>
            <w:tcW w:w="1668" w:type="dxa"/>
            <w:vAlign w:val="center"/>
          </w:tcPr>
          <w:p w:rsidR="00A3387B" w:rsidRPr="009C5C54" w:rsidRDefault="00A3387B" w:rsidP="00C72823">
            <w:pPr>
              <w:pStyle w:val="TableText0"/>
            </w:pPr>
            <w:r w:rsidRPr="009C5C54">
              <w:t>Intervention</w:t>
            </w:r>
          </w:p>
        </w:tc>
        <w:tc>
          <w:tcPr>
            <w:tcW w:w="7488" w:type="dxa"/>
            <w:vAlign w:val="center"/>
          </w:tcPr>
          <w:p w:rsidR="00A3387B" w:rsidRPr="009C5C54" w:rsidRDefault="00A3387B" w:rsidP="00C72823">
            <w:pPr>
              <w:pStyle w:val="TableText0"/>
            </w:pPr>
            <w:r w:rsidRPr="009C5C54">
              <w:t>22.5 mg triptorelin administered every six months as a single intramuscular injection.</w:t>
            </w:r>
          </w:p>
        </w:tc>
      </w:tr>
      <w:tr w:rsidR="00A3387B" w:rsidRPr="009C5C54" w:rsidTr="00C72823">
        <w:tc>
          <w:tcPr>
            <w:tcW w:w="1668" w:type="dxa"/>
            <w:vAlign w:val="center"/>
          </w:tcPr>
          <w:p w:rsidR="00A3387B" w:rsidRPr="009C5C54" w:rsidRDefault="00A3387B" w:rsidP="00C72823">
            <w:pPr>
              <w:pStyle w:val="TableText0"/>
            </w:pPr>
            <w:r w:rsidRPr="009C5C54">
              <w:t>Comparator</w:t>
            </w:r>
          </w:p>
        </w:tc>
        <w:tc>
          <w:tcPr>
            <w:tcW w:w="7488" w:type="dxa"/>
            <w:vAlign w:val="center"/>
          </w:tcPr>
          <w:p w:rsidR="00A3387B" w:rsidRPr="009C5C54" w:rsidRDefault="00A3387B" w:rsidP="00C72823">
            <w:pPr>
              <w:pStyle w:val="TableText0"/>
            </w:pPr>
            <w:r w:rsidRPr="009C5C54">
              <w:t>Leuprorelin acetate depot 30 mg PDS</w:t>
            </w:r>
          </w:p>
        </w:tc>
      </w:tr>
      <w:tr w:rsidR="00A3387B" w:rsidRPr="009C5C54" w:rsidTr="00C72823">
        <w:tc>
          <w:tcPr>
            <w:tcW w:w="1668" w:type="dxa"/>
            <w:vAlign w:val="center"/>
          </w:tcPr>
          <w:p w:rsidR="00A3387B" w:rsidRPr="009C5C54" w:rsidRDefault="00A3387B" w:rsidP="00C72823">
            <w:pPr>
              <w:pStyle w:val="TableText0"/>
            </w:pPr>
            <w:r w:rsidRPr="009C5C54">
              <w:t>Outcomes</w:t>
            </w:r>
          </w:p>
        </w:tc>
        <w:tc>
          <w:tcPr>
            <w:tcW w:w="7488" w:type="dxa"/>
            <w:vAlign w:val="center"/>
          </w:tcPr>
          <w:p w:rsidR="00A3387B" w:rsidRPr="009C5C54" w:rsidRDefault="00A3387B" w:rsidP="00C72823">
            <w:pPr>
              <w:pStyle w:val="TableText0"/>
              <w:rPr>
                <w:u w:val="single"/>
              </w:rPr>
            </w:pPr>
            <w:r w:rsidRPr="009C5C54">
              <w:rPr>
                <w:u w:val="single"/>
              </w:rPr>
              <w:t>Primary</w:t>
            </w:r>
          </w:p>
          <w:p w:rsidR="00A3387B" w:rsidRPr="009C5C54" w:rsidRDefault="00A3387B" w:rsidP="00C72823">
            <w:pPr>
              <w:pStyle w:val="TableText0"/>
            </w:pPr>
            <w:r w:rsidRPr="009C5C54">
              <w:t>Percentage of children with luteinising hormone suppression to prepubertal levels 30 minutes after leuprolide stimulation at month 6</w:t>
            </w:r>
            <w:r w:rsidR="003A6DD9" w:rsidRPr="009C5C54">
              <w:t>.</w:t>
            </w:r>
          </w:p>
          <w:p w:rsidR="00A3387B" w:rsidRPr="009C5C54" w:rsidRDefault="00A3387B" w:rsidP="00C72823">
            <w:pPr>
              <w:pStyle w:val="TableText0"/>
              <w:rPr>
                <w:u w:val="single"/>
              </w:rPr>
            </w:pPr>
            <w:r w:rsidRPr="009C5C54">
              <w:rPr>
                <w:u w:val="single"/>
              </w:rPr>
              <w:t>Secondary</w:t>
            </w:r>
          </w:p>
          <w:p w:rsidR="00A3387B" w:rsidRPr="009C5C54" w:rsidRDefault="00A3387B" w:rsidP="00C72823">
            <w:pPr>
              <w:pStyle w:val="TableText0"/>
            </w:pPr>
            <w:r w:rsidRPr="009C5C54">
              <w:t>Luteinising hormone, follicle stimulating hormone, basal estradiol (in girls)</w:t>
            </w:r>
            <w:r w:rsidR="003A6DD9" w:rsidRPr="009C5C54">
              <w:t xml:space="preserve"> </w:t>
            </w:r>
            <w:r w:rsidRPr="009C5C54">
              <w:t>and testosterone (in boys) levels at baseline, on-treatment, end-of treatment,</w:t>
            </w:r>
            <w:r w:rsidR="003A6DD9" w:rsidRPr="009C5C54">
              <w:t xml:space="preserve"> </w:t>
            </w:r>
            <w:r w:rsidRPr="009C5C54">
              <w:t>and corresponding changes from baseline.</w:t>
            </w:r>
          </w:p>
          <w:p w:rsidR="00A3387B" w:rsidRPr="009C5C54" w:rsidRDefault="00A3387B" w:rsidP="00C72823">
            <w:pPr>
              <w:pStyle w:val="TableText0"/>
            </w:pPr>
            <w:r w:rsidRPr="009C5C54">
              <w:t>Change in height and growth velocity, sexual maturation, uterine length in girls, and testicular volume in boys.</w:t>
            </w:r>
          </w:p>
          <w:p w:rsidR="00A3387B" w:rsidRPr="009C5C54" w:rsidRDefault="00A3387B" w:rsidP="00C72823">
            <w:pPr>
              <w:pStyle w:val="TableText0"/>
            </w:pPr>
            <w:r w:rsidRPr="009C5C54">
              <w:t>Adverse events</w:t>
            </w:r>
            <w:r w:rsidR="003A6DD9" w:rsidRPr="009C5C54">
              <w:t>.</w:t>
            </w:r>
            <w:r w:rsidRPr="009C5C54">
              <w:t xml:space="preserve"> </w:t>
            </w:r>
          </w:p>
        </w:tc>
      </w:tr>
      <w:tr w:rsidR="00A3387B" w:rsidRPr="009C5C54" w:rsidTr="00C72823">
        <w:tc>
          <w:tcPr>
            <w:tcW w:w="1668" w:type="dxa"/>
            <w:vAlign w:val="center"/>
          </w:tcPr>
          <w:p w:rsidR="00A3387B" w:rsidRPr="009C5C54" w:rsidRDefault="00A3387B" w:rsidP="00C72823">
            <w:pPr>
              <w:pStyle w:val="TableText0"/>
            </w:pPr>
            <w:r w:rsidRPr="009C5C54">
              <w:t>Clinical claim</w:t>
            </w:r>
          </w:p>
        </w:tc>
        <w:tc>
          <w:tcPr>
            <w:tcW w:w="7488" w:type="dxa"/>
            <w:vAlign w:val="center"/>
          </w:tcPr>
          <w:p w:rsidR="00A3387B" w:rsidRPr="009C5C54" w:rsidRDefault="00A3387B" w:rsidP="00C72823">
            <w:pPr>
              <w:pStyle w:val="TableText0"/>
            </w:pPr>
            <w:r w:rsidRPr="009C5C54">
              <w:t>For the treatment of central precocious puberty, triptorelin is non-inferior compared to leuprorelin depot 30 mg PDS at suppression</w:t>
            </w:r>
            <w:r w:rsidR="007B4E87" w:rsidRPr="009C5C54">
              <w:t xml:space="preserve"> with respect to</w:t>
            </w:r>
            <w:r w:rsidRPr="009C5C54">
              <w:t xml:space="preserve"> luteinising hormone levels with a comparable safety profile.</w:t>
            </w:r>
          </w:p>
        </w:tc>
      </w:tr>
    </w:tbl>
    <w:p w:rsidR="003A6DD9" w:rsidRPr="009C5C54" w:rsidRDefault="00A3387B" w:rsidP="00A3387B">
      <w:pPr>
        <w:pStyle w:val="TableFigureFooter"/>
      </w:pPr>
      <w:r w:rsidRPr="009C5C54">
        <w:t xml:space="preserve">Source: Table 1.1.1, p12 of the submission. </w:t>
      </w:r>
    </w:p>
    <w:p w:rsidR="00A3387B" w:rsidRPr="009C5C54" w:rsidRDefault="00A3387B" w:rsidP="00A3387B">
      <w:pPr>
        <w:pStyle w:val="TableFigureFooter"/>
      </w:pPr>
      <w:r w:rsidRPr="009C5C54">
        <w:t>CPP = central precocious puberty; mg = milligram; PDS = Prefilled double chamber syringe</w:t>
      </w:r>
    </w:p>
    <w:p w:rsidR="00A3387B" w:rsidRPr="009C5C54" w:rsidRDefault="00A3387B" w:rsidP="00A3387B">
      <w:pPr>
        <w:pStyle w:val="2-SectionHeading"/>
        <w:numPr>
          <w:ilvl w:val="0"/>
          <w:numId w:val="1"/>
        </w:numPr>
      </w:pPr>
      <w:bookmarkStart w:id="3" w:name="_Toc72247586"/>
      <w:r w:rsidRPr="009C5C54">
        <w:t>Background</w:t>
      </w:r>
      <w:bookmarkEnd w:id="3"/>
    </w:p>
    <w:p w:rsidR="00A3387B" w:rsidRPr="009C5C54" w:rsidRDefault="00A3387B" w:rsidP="00A3387B">
      <w:pPr>
        <w:pStyle w:val="4-SubsectionHeading"/>
      </w:pPr>
      <w:bookmarkStart w:id="4" w:name="_Toc22897638"/>
      <w:bookmarkStart w:id="5" w:name="_Toc72247587"/>
      <w:r w:rsidRPr="009C5C54">
        <w:t>Registration status</w:t>
      </w:r>
      <w:bookmarkEnd w:id="4"/>
      <w:bookmarkEnd w:id="5"/>
    </w:p>
    <w:p w:rsidR="00A3387B" w:rsidRPr="009C5C54" w:rsidRDefault="000B7197" w:rsidP="00644151">
      <w:pPr>
        <w:pStyle w:val="3-BodyText"/>
      </w:pPr>
      <w:r w:rsidRPr="009C5C54">
        <w:t xml:space="preserve">TGA status at time of </w:t>
      </w:r>
      <w:r w:rsidR="00CA1C94" w:rsidRPr="009C5C54">
        <w:t>PBAC consideration.</w:t>
      </w:r>
      <w:r w:rsidRPr="009C5C54">
        <w:t xml:space="preserve"> </w:t>
      </w:r>
      <w:r w:rsidR="007B4E87" w:rsidRPr="009C5C54">
        <w:t>The submission was made under TGA/PBS parallel process</w:t>
      </w:r>
      <w:r w:rsidR="00CA1C94" w:rsidRPr="009C5C54">
        <w:t xml:space="preserve">, with the Delegate’s </w:t>
      </w:r>
      <w:r w:rsidR="00EB155C" w:rsidRPr="009C5C54">
        <w:t>Overview</w:t>
      </w:r>
      <w:r w:rsidR="00CA1C94" w:rsidRPr="009C5C54">
        <w:t xml:space="preserve"> available at time of PBAC consideration. </w:t>
      </w:r>
      <w:r w:rsidR="00644151" w:rsidRPr="009C5C54">
        <w:t xml:space="preserve">The proposed TGA indication is </w:t>
      </w:r>
      <w:r w:rsidR="00A3387B" w:rsidRPr="009C5C54">
        <w:t>for the treatment of children 2 years and older with central precocious puberty (CPP).</w:t>
      </w:r>
      <w:r w:rsidR="00644151" w:rsidRPr="009C5C54">
        <w:t xml:space="preserve"> </w:t>
      </w:r>
      <w:r w:rsidR="00A3387B" w:rsidRPr="009C5C54">
        <w:t>Triptorelin is currently approved for the treatment of hormone-dependent locally advanced or metastatic prostate cancer.</w:t>
      </w:r>
    </w:p>
    <w:p w:rsidR="00A3387B" w:rsidRPr="009C5C54" w:rsidRDefault="00A3387B" w:rsidP="00A3387B">
      <w:pPr>
        <w:pStyle w:val="3-BodyText"/>
      </w:pPr>
      <w:r w:rsidRPr="009C5C54">
        <w:rPr>
          <w:iCs/>
        </w:rPr>
        <w:lastRenderedPageBreak/>
        <w:t>The proposed</w:t>
      </w:r>
      <w:r w:rsidR="00636413">
        <w:rPr>
          <w:iCs/>
        </w:rPr>
        <w:t xml:space="preserve"> PBS</w:t>
      </w:r>
      <w:r w:rsidRPr="009C5C54">
        <w:rPr>
          <w:iCs/>
        </w:rPr>
        <w:t xml:space="preserve"> indication for triptorelin was narrower than the TGA approved indication for leuprorelin that includes no age limit: treatment of children with central precocious puberty (CPP).</w:t>
      </w:r>
    </w:p>
    <w:p w:rsidR="0034449D" w:rsidRPr="009C5C54" w:rsidRDefault="0034449D" w:rsidP="0034449D">
      <w:pPr>
        <w:ind w:firstLine="709"/>
        <w:rPr>
          <w:rFonts w:asciiTheme="minorHAnsi" w:hAnsiTheme="minorHAnsi"/>
          <w:i/>
        </w:rPr>
      </w:pPr>
      <w:r w:rsidRPr="009C5C54">
        <w:rPr>
          <w:rFonts w:asciiTheme="minorHAnsi" w:hAnsiTheme="minorHAnsi"/>
          <w:i/>
        </w:rPr>
        <w:t>For more detail on PBAC’s view, see section 7 PBAC outcome.</w:t>
      </w:r>
    </w:p>
    <w:p w:rsidR="006E5FC1" w:rsidRDefault="006E5FC1">
      <w:pPr>
        <w:jc w:val="left"/>
        <w:rPr>
          <w:rFonts w:asciiTheme="minorHAnsi" w:hAnsiTheme="minorHAnsi"/>
          <w:snapToGrid w:val="0"/>
        </w:rPr>
      </w:pPr>
      <w:r>
        <w:br w:type="page"/>
      </w:r>
    </w:p>
    <w:p w:rsidR="00A3387B" w:rsidRPr="009C5C54" w:rsidRDefault="00A3387B" w:rsidP="00A3387B">
      <w:pPr>
        <w:pStyle w:val="2-SectionHeading"/>
        <w:numPr>
          <w:ilvl w:val="0"/>
          <w:numId w:val="1"/>
        </w:numPr>
      </w:pPr>
      <w:bookmarkStart w:id="6" w:name="_Toc72247588"/>
      <w:r w:rsidRPr="009C5C54">
        <w:t>Requested listing</w:t>
      </w:r>
      <w:bookmarkEnd w:id="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23"/>
        <w:gridCol w:w="1332"/>
        <w:gridCol w:w="1291"/>
        <w:gridCol w:w="800"/>
        <w:gridCol w:w="1905"/>
        <w:gridCol w:w="1876"/>
      </w:tblGrid>
      <w:tr w:rsidR="00A3387B" w:rsidRPr="009C5C54" w:rsidTr="00F22F66">
        <w:tc>
          <w:tcPr>
            <w:tcW w:w="1010" w:type="pct"/>
            <w:vAlign w:val="center"/>
          </w:tcPr>
          <w:p w:rsidR="00A3387B" w:rsidRPr="009C5C54" w:rsidRDefault="00A3387B" w:rsidP="00C72823">
            <w:pPr>
              <w:pStyle w:val="Tabletext"/>
              <w:rPr>
                <w:b/>
                <w:bCs/>
              </w:rPr>
            </w:pPr>
            <w:r w:rsidRPr="009C5C54">
              <w:rPr>
                <w:b/>
              </w:rPr>
              <w:t>Name, restriction, manner of administration, form</w:t>
            </w:r>
          </w:p>
        </w:tc>
        <w:tc>
          <w:tcPr>
            <w:tcW w:w="738" w:type="pct"/>
            <w:vAlign w:val="center"/>
          </w:tcPr>
          <w:p w:rsidR="00A3387B" w:rsidRPr="009C5C54" w:rsidRDefault="00A3387B" w:rsidP="00C72823">
            <w:pPr>
              <w:pStyle w:val="Tabletext"/>
              <w:jc w:val="center"/>
              <w:rPr>
                <w:b/>
                <w:bCs/>
              </w:rPr>
            </w:pPr>
            <w:r w:rsidRPr="009C5C54">
              <w:rPr>
                <w:b/>
              </w:rPr>
              <w:t>Maximum quantity (packs)</w:t>
            </w:r>
          </w:p>
        </w:tc>
        <w:tc>
          <w:tcPr>
            <w:tcW w:w="715" w:type="pct"/>
            <w:vAlign w:val="center"/>
          </w:tcPr>
          <w:p w:rsidR="00A3387B" w:rsidRPr="009C5C54" w:rsidRDefault="00A3387B" w:rsidP="00C72823">
            <w:pPr>
              <w:pStyle w:val="Tabletext"/>
              <w:jc w:val="center"/>
              <w:rPr>
                <w:b/>
                <w:bCs/>
              </w:rPr>
            </w:pPr>
            <w:r w:rsidRPr="009C5C54">
              <w:rPr>
                <w:b/>
              </w:rPr>
              <w:t>Maximum quantity (units)</w:t>
            </w:r>
          </w:p>
        </w:tc>
        <w:tc>
          <w:tcPr>
            <w:tcW w:w="443" w:type="pct"/>
            <w:vAlign w:val="center"/>
          </w:tcPr>
          <w:p w:rsidR="00A3387B" w:rsidRPr="009C5C54" w:rsidRDefault="00A3387B" w:rsidP="00C72823">
            <w:pPr>
              <w:pStyle w:val="Tabletext"/>
              <w:jc w:val="center"/>
              <w:rPr>
                <w:b/>
                <w:bCs/>
              </w:rPr>
            </w:pPr>
            <w:r w:rsidRPr="009C5C54">
              <w:rPr>
                <w:b/>
              </w:rPr>
              <w:t>No. of repeats</w:t>
            </w:r>
          </w:p>
        </w:tc>
        <w:tc>
          <w:tcPr>
            <w:tcW w:w="1055" w:type="pct"/>
            <w:vAlign w:val="center"/>
          </w:tcPr>
          <w:p w:rsidR="00A3387B" w:rsidRPr="009C5C54" w:rsidRDefault="00A3387B" w:rsidP="00C72823">
            <w:pPr>
              <w:pStyle w:val="Tabletext"/>
              <w:jc w:val="center"/>
              <w:rPr>
                <w:b/>
                <w:bCs/>
              </w:rPr>
            </w:pPr>
            <w:r w:rsidRPr="009C5C54">
              <w:rPr>
                <w:b/>
              </w:rPr>
              <w:t>Dispensed price for maximum quantity</w:t>
            </w:r>
          </w:p>
        </w:tc>
        <w:tc>
          <w:tcPr>
            <w:tcW w:w="1038" w:type="pct"/>
            <w:vAlign w:val="center"/>
          </w:tcPr>
          <w:p w:rsidR="00A3387B" w:rsidRPr="009C5C54" w:rsidRDefault="00A3387B" w:rsidP="00C72823">
            <w:pPr>
              <w:pStyle w:val="Tabletext"/>
              <w:jc w:val="center"/>
              <w:rPr>
                <w:b/>
                <w:bCs/>
              </w:rPr>
            </w:pPr>
            <w:r w:rsidRPr="009C5C54">
              <w:rPr>
                <w:b/>
              </w:rPr>
              <w:t>Proprietary name and manufacturer</w:t>
            </w:r>
          </w:p>
        </w:tc>
      </w:tr>
      <w:tr w:rsidR="00A3387B" w:rsidRPr="009C5C54" w:rsidTr="00F22F66">
        <w:tc>
          <w:tcPr>
            <w:tcW w:w="1010" w:type="pct"/>
            <w:vAlign w:val="center"/>
          </w:tcPr>
          <w:p w:rsidR="00A3387B" w:rsidRPr="009C5C54" w:rsidRDefault="00A3387B" w:rsidP="00C72823">
            <w:pPr>
              <w:pStyle w:val="Tabletext"/>
            </w:pPr>
            <w:r w:rsidRPr="009C5C54">
              <w:t>Triptorelin</w:t>
            </w:r>
          </w:p>
          <w:p w:rsidR="00A3387B" w:rsidRPr="009C5C54" w:rsidRDefault="00A3387B" w:rsidP="00C72823">
            <w:pPr>
              <w:pStyle w:val="Tabletext"/>
            </w:pPr>
            <w:r w:rsidRPr="009C5C54">
              <w:t>Injection, 22.5 mg [1 vial], inert substance diluent [2 mL ampoule]</w:t>
            </w:r>
          </w:p>
        </w:tc>
        <w:tc>
          <w:tcPr>
            <w:tcW w:w="738" w:type="pct"/>
            <w:vAlign w:val="center"/>
          </w:tcPr>
          <w:p w:rsidR="00A3387B" w:rsidRPr="009C5C54" w:rsidRDefault="00A3387B" w:rsidP="00C72823">
            <w:pPr>
              <w:pStyle w:val="Tabletext"/>
              <w:jc w:val="center"/>
              <w:rPr>
                <w:rFonts w:ascii="Times" w:hAnsi="Times"/>
              </w:rPr>
            </w:pPr>
            <w:r w:rsidRPr="009C5C54">
              <w:t>1</w:t>
            </w:r>
          </w:p>
        </w:tc>
        <w:tc>
          <w:tcPr>
            <w:tcW w:w="715" w:type="pct"/>
            <w:vAlign w:val="center"/>
          </w:tcPr>
          <w:p w:rsidR="00A3387B" w:rsidRPr="009C5C54" w:rsidRDefault="00A3387B" w:rsidP="00C72823">
            <w:pPr>
              <w:pStyle w:val="Tabletext"/>
              <w:jc w:val="center"/>
              <w:rPr>
                <w:rFonts w:ascii="Times" w:hAnsi="Times"/>
              </w:rPr>
            </w:pPr>
            <w:r w:rsidRPr="009C5C54">
              <w:t>1</w:t>
            </w:r>
          </w:p>
        </w:tc>
        <w:tc>
          <w:tcPr>
            <w:tcW w:w="443" w:type="pct"/>
            <w:vAlign w:val="center"/>
          </w:tcPr>
          <w:p w:rsidR="00A3387B" w:rsidRPr="009C5C54" w:rsidRDefault="00A3387B" w:rsidP="00C72823">
            <w:pPr>
              <w:pStyle w:val="Tabletext"/>
              <w:jc w:val="center"/>
              <w:rPr>
                <w:rFonts w:ascii="Times" w:hAnsi="Times"/>
              </w:rPr>
            </w:pPr>
            <w:r w:rsidRPr="009C5C54">
              <w:t>0</w:t>
            </w:r>
          </w:p>
        </w:tc>
        <w:tc>
          <w:tcPr>
            <w:tcW w:w="1055" w:type="pct"/>
            <w:vAlign w:val="center"/>
          </w:tcPr>
          <w:p w:rsidR="00A3387B" w:rsidRPr="009C5C54" w:rsidRDefault="00A3387B" w:rsidP="00C72823">
            <w:pPr>
              <w:pStyle w:val="Tabletext"/>
              <w:jc w:val="center"/>
            </w:pPr>
            <w:r w:rsidRPr="009C5C54">
              <w:t>$1,839.28</w:t>
            </w:r>
          </w:p>
        </w:tc>
        <w:tc>
          <w:tcPr>
            <w:tcW w:w="1038" w:type="pct"/>
            <w:vAlign w:val="center"/>
          </w:tcPr>
          <w:p w:rsidR="00A3387B" w:rsidRPr="009C5C54" w:rsidRDefault="00A3387B" w:rsidP="00C72823">
            <w:pPr>
              <w:pStyle w:val="Tabletext"/>
              <w:jc w:val="center"/>
              <w:rPr>
                <w:rFonts w:ascii="Times" w:hAnsi="Times"/>
              </w:rPr>
            </w:pPr>
            <w:r w:rsidRPr="009C5C54">
              <w:t>Diphereline</w:t>
            </w:r>
            <w:r w:rsidRPr="009C5C54">
              <w:rPr>
                <w:vertAlign w:val="superscript"/>
              </w:rPr>
              <w:t>®</w:t>
            </w:r>
            <w:r w:rsidRPr="009C5C54">
              <w:t xml:space="preserve"> Ipsen Pty Ltd.</w:t>
            </w:r>
          </w:p>
        </w:tc>
      </w:tr>
      <w:tr w:rsidR="000C3016"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0C3016" w:rsidRPr="009C5C54" w:rsidRDefault="000C3016" w:rsidP="00C72823">
            <w:pPr>
              <w:pStyle w:val="TableText0"/>
            </w:pP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Category / Program:</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GENERAL – General Schedule (Code GE)</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Prescriber type:</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fldChar w:fldCharType="begin">
                <w:ffData>
                  <w:name w:val="Check1"/>
                  <w:enabled/>
                  <w:calcOnExit w:val="0"/>
                  <w:checkBox>
                    <w:sizeAuto/>
                    <w:default w:val="0"/>
                  </w:checkBox>
                </w:ffData>
              </w:fldChar>
            </w:r>
            <w:r w:rsidRPr="009C5C54">
              <w:instrText xml:space="preserve"> FORMCHECKBOX </w:instrText>
            </w:r>
            <w:r w:rsidR="00C5539E">
              <w:fldChar w:fldCharType="separate"/>
            </w:r>
            <w:r w:rsidRPr="009C5C54">
              <w:fldChar w:fldCharType="end"/>
            </w:r>
            <w:r w:rsidRPr="009C5C54">
              <w:t xml:space="preserve">Dental  </w:t>
            </w:r>
            <w:r w:rsidRPr="009C5C54">
              <w:fldChar w:fldCharType="begin">
                <w:ffData>
                  <w:name w:val="Check1"/>
                  <w:enabled/>
                  <w:calcOnExit w:val="0"/>
                  <w:checkBox>
                    <w:sizeAuto/>
                    <w:default w:val="1"/>
                  </w:checkBox>
                </w:ffData>
              </w:fldChar>
            </w:r>
            <w:r w:rsidRPr="009C5C54">
              <w:instrText xml:space="preserve"> FORMCHECKBOX </w:instrText>
            </w:r>
            <w:r w:rsidR="00C5539E">
              <w:fldChar w:fldCharType="separate"/>
            </w:r>
            <w:r w:rsidRPr="009C5C54">
              <w:fldChar w:fldCharType="end"/>
            </w:r>
            <w:r w:rsidRPr="009C5C54">
              <w:t xml:space="preserve">Medical Practitioners  </w:t>
            </w:r>
            <w:r w:rsidRPr="009C5C54">
              <w:fldChar w:fldCharType="begin">
                <w:ffData>
                  <w:name w:val="Check1"/>
                  <w:enabled/>
                  <w:calcOnExit w:val="0"/>
                  <w:checkBox>
                    <w:sizeAuto/>
                    <w:default w:val="0"/>
                  </w:checkBox>
                </w:ffData>
              </w:fldChar>
            </w:r>
            <w:r w:rsidRPr="009C5C54">
              <w:instrText xml:space="preserve"> FORMCHECKBOX </w:instrText>
            </w:r>
            <w:r w:rsidR="00C5539E">
              <w:fldChar w:fldCharType="separate"/>
            </w:r>
            <w:r w:rsidRPr="009C5C54">
              <w:fldChar w:fldCharType="end"/>
            </w:r>
            <w:r w:rsidRPr="009C5C54">
              <w:t xml:space="preserve">Nurse practitioners </w:t>
            </w:r>
          </w:p>
          <w:p w:rsidR="00A3387B" w:rsidRPr="009C5C54" w:rsidRDefault="00A3387B" w:rsidP="00C72823">
            <w:pPr>
              <w:pStyle w:val="TableText0"/>
            </w:pPr>
            <w:r w:rsidRPr="009C5C54">
              <w:fldChar w:fldCharType="begin">
                <w:ffData>
                  <w:name w:val="Check1"/>
                  <w:enabled/>
                  <w:calcOnExit w:val="0"/>
                  <w:checkBox>
                    <w:sizeAuto/>
                    <w:default w:val="0"/>
                  </w:checkBox>
                </w:ffData>
              </w:fldChar>
            </w:r>
            <w:r w:rsidRPr="009C5C54">
              <w:instrText xml:space="preserve"> FORMCHECKBOX </w:instrText>
            </w:r>
            <w:r w:rsidR="00C5539E">
              <w:fldChar w:fldCharType="separate"/>
            </w:r>
            <w:r w:rsidRPr="009C5C54">
              <w:fldChar w:fldCharType="end"/>
            </w:r>
            <w:r w:rsidRPr="009C5C54">
              <w:t xml:space="preserve">Optometrists </w:t>
            </w:r>
            <w:r w:rsidRPr="009C5C54">
              <w:fldChar w:fldCharType="begin">
                <w:ffData>
                  <w:name w:val="Check1"/>
                  <w:enabled/>
                  <w:calcOnExit w:val="0"/>
                  <w:checkBox>
                    <w:sizeAuto/>
                    <w:default w:val="0"/>
                  </w:checkBox>
                </w:ffData>
              </w:fldChar>
            </w:r>
            <w:r w:rsidRPr="009C5C54">
              <w:instrText xml:space="preserve"> FORMCHECKBOX </w:instrText>
            </w:r>
            <w:r w:rsidR="00C5539E">
              <w:fldChar w:fldCharType="separate"/>
            </w:r>
            <w:r w:rsidRPr="009C5C54">
              <w:fldChar w:fldCharType="end"/>
            </w:r>
            <w:r w:rsidRPr="009C5C54">
              <w:t>Midwives</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Condition:</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Central precocious puberty</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Treatment phase:</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Initial</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i/>
              </w:rPr>
            </w:pPr>
            <w:r w:rsidRPr="009C5C54">
              <w:rPr>
                <w:b/>
              </w:rPr>
              <w:t>Restriction:</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fldChar w:fldCharType="begin">
                <w:ffData>
                  <w:name w:val=""/>
                  <w:enabled/>
                  <w:calcOnExit w:val="0"/>
                  <w:checkBox>
                    <w:sizeAuto/>
                    <w:default w:val="1"/>
                  </w:checkBox>
                </w:ffData>
              </w:fldChar>
            </w:r>
            <w:r w:rsidRPr="009C5C54">
              <w:instrText xml:space="preserve"> FORMCHECKBOX </w:instrText>
            </w:r>
            <w:r w:rsidR="00C5539E">
              <w:fldChar w:fldCharType="separate"/>
            </w:r>
            <w:r w:rsidRPr="009C5C54">
              <w:fldChar w:fldCharType="end"/>
            </w:r>
            <w:r w:rsidRPr="009C5C54">
              <w:t>Restricted benefit</w:t>
            </w:r>
          </w:p>
          <w:p w:rsidR="00A3387B" w:rsidRPr="009C5C54" w:rsidRDefault="00A3387B" w:rsidP="000C3016">
            <w:pPr>
              <w:pStyle w:val="TableText0"/>
            </w:pP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Treatment criteria:</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Must be treated by a paediatric endocrinologist; OR</w:t>
            </w:r>
          </w:p>
          <w:p w:rsidR="00A3387B" w:rsidRPr="009C5C54" w:rsidRDefault="00A3387B" w:rsidP="00C72823">
            <w:pPr>
              <w:pStyle w:val="TableText0"/>
            </w:pPr>
            <w:r w:rsidRPr="009C5C54">
              <w:t>Must be treated by an endocrinologist specialising in paediatrics</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Population criteria:</w:t>
            </w:r>
          </w:p>
          <w:p w:rsidR="00A3387B" w:rsidRPr="009C5C54" w:rsidRDefault="00A3387B" w:rsidP="00C72823">
            <w:pPr>
              <w:pStyle w:val="TableText0"/>
              <w:rPr>
                <w:i/>
              </w:rPr>
            </w:pP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Patient must be aged 11 years or younger (girls) or 12 years or younger (boys),</w:t>
            </w:r>
          </w:p>
          <w:p w:rsidR="00A3387B" w:rsidRPr="009C5C54" w:rsidRDefault="00A3387B" w:rsidP="00C72823">
            <w:pPr>
              <w:pStyle w:val="TableText0"/>
            </w:pPr>
            <w:r w:rsidRPr="009C5C54">
              <w:t>AND</w:t>
            </w:r>
          </w:p>
          <w:p w:rsidR="00A3387B" w:rsidRPr="009C5C54" w:rsidRDefault="00A3387B" w:rsidP="00C72823">
            <w:pPr>
              <w:pStyle w:val="TableText0"/>
            </w:pPr>
            <w:r w:rsidRPr="009C5C54">
              <w:t>Patient must have had an onset of central precious puberty before 8 years (girls) or 10 years (boys).</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Treatment phase:</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Continuing</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Restriction:</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fldChar w:fldCharType="begin">
                <w:ffData>
                  <w:name w:val=""/>
                  <w:enabled/>
                  <w:calcOnExit w:val="0"/>
                  <w:checkBox>
                    <w:sizeAuto/>
                    <w:default w:val="1"/>
                  </w:checkBox>
                </w:ffData>
              </w:fldChar>
            </w:r>
            <w:r w:rsidRPr="009C5C54">
              <w:instrText xml:space="preserve"> FORMCHECKBOX </w:instrText>
            </w:r>
            <w:r w:rsidR="00C5539E">
              <w:fldChar w:fldCharType="separate"/>
            </w:r>
            <w:r w:rsidRPr="009C5C54">
              <w:fldChar w:fldCharType="end"/>
            </w:r>
            <w:r w:rsidRPr="009C5C54">
              <w:t>Restricted benefit</w:t>
            </w:r>
          </w:p>
          <w:p w:rsidR="00A3387B" w:rsidRPr="009C5C54" w:rsidRDefault="00A3387B" w:rsidP="00C72823">
            <w:pPr>
              <w:pStyle w:val="TableText0"/>
            </w:pP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Treatment criteria:</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Must be treated by a medical practitioner in consultation with a paediatric endocrinologist; OR</w:t>
            </w:r>
          </w:p>
          <w:p w:rsidR="00A3387B" w:rsidRPr="009C5C54" w:rsidRDefault="00A3387B" w:rsidP="00C72823">
            <w:pPr>
              <w:pStyle w:val="TableText0"/>
            </w:pPr>
            <w:r w:rsidRPr="009C5C54">
              <w:t>Must be treated by a medical practitioner in consultation with an endocrinologist specialising in paediatrics.</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Clinical criteria:</w:t>
            </w:r>
          </w:p>
          <w:p w:rsidR="00A3387B" w:rsidRPr="009C5C54" w:rsidRDefault="00A3387B" w:rsidP="00C72823">
            <w:pPr>
              <w:pStyle w:val="TableText0"/>
              <w:rPr>
                <w:b/>
              </w:rPr>
            </w:pP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Patient must have previously been issued with an authority prescription for a gonadotropin releasing hormone analogue for this condition.</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Treatment phase:</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Grandfathered</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Restriction:</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fldChar w:fldCharType="begin">
                <w:ffData>
                  <w:name w:val=""/>
                  <w:enabled/>
                  <w:calcOnExit w:val="0"/>
                  <w:checkBox>
                    <w:sizeAuto/>
                    <w:default w:val="1"/>
                  </w:checkBox>
                </w:ffData>
              </w:fldChar>
            </w:r>
            <w:r w:rsidRPr="009C5C54">
              <w:instrText xml:space="preserve"> FORMCHECKBOX </w:instrText>
            </w:r>
            <w:r w:rsidR="00C5539E">
              <w:fldChar w:fldCharType="separate"/>
            </w:r>
            <w:r w:rsidRPr="009C5C54">
              <w:fldChar w:fldCharType="end"/>
            </w:r>
            <w:r w:rsidRPr="009C5C54">
              <w:t>Restricted benefit</w:t>
            </w:r>
          </w:p>
          <w:p w:rsidR="00A3387B" w:rsidRPr="009C5C54" w:rsidRDefault="00A3387B" w:rsidP="00C72823">
            <w:pPr>
              <w:pStyle w:val="TableText0"/>
            </w:pP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Treatment criteria:</w:t>
            </w: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Must be treated by a medical practitioner in consultation with a paediatric endocrinologist; OR</w:t>
            </w:r>
          </w:p>
          <w:p w:rsidR="00A3387B" w:rsidRPr="009C5C54" w:rsidRDefault="00A3387B" w:rsidP="00C72823">
            <w:pPr>
              <w:pStyle w:val="TableText0"/>
            </w:pPr>
            <w:r w:rsidRPr="009C5C54">
              <w:t>Must be treated by a medical practitioner in consultation with an endocrinologist specialising in paediatrics.</w:t>
            </w:r>
          </w:p>
        </w:tc>
      </w:tr>
      <w:tr w:rsidR="00A3387B" w:rsidRPr="009C5C54" w:rsidTr="00F22F66">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0" w:type="pct"/>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rPr>
                <w:b/>
              </w:rPr>
            </w:pPr>
            <w:r w:rsidRPr="009C5C54">
              <w:rPr>
                <w:b/>
              </w:rPr>
              <w:t>Clinical criteria:</w:t>
            </w:r>
          </w:p>
          <w:p w:rsidR="00A3387B" w:rsidRPr="009C5C54" w:rsidRDefault="00A3387B" w:rsidP="00C72823">
            <w:pPr>
              <w:pStyle w:val="TableText0"/>
              <w:rPr>
                <w:b/>
              </w:rPr>
            </w:pPr>
          </w:p>
        </w:tc>
        <w:tc>
          <w:tcPr>
            <w:tcW w:w="3990" w:type="pct"/>
            <w:gridSpan w:val="5"/>
            <w:tcBorders>
              <w:top w:val="single" w:sz="4" w:space="0" w:color="auto"/>
              <w:left w:val="single" w:sz="4" w:space="0" w:color="auto"/>
              <w:bottom w:val="single" w:sz="4" w:space="0" w:color="auto"/>
              <w:right w:val="single" w:sz="4" w:space="0" w:color="auto"/>
            </w:tcBorders>
          </w:tcPr>
          <w:p w:rsidR="00A3387B" w:rsidRPr="009C5C54" w:rsidRDefault="00A3387B" w:rsidP="00C72823">
            <w:pPr>
              <w:pStyle w:val="TableText0"/>
            </w:pPr>
            <w:r w:rsidRPr="009C5C54">
              <w:t>Patient must have previously received non-PBS subsidised treatment with this drug for this condition prior to (PBS listing date)</w:t>
            </w:r>
          </w:p>
        </w:tc>
      </w:tr>
    </w:tbl>
    <w:p w:rsidR="00A3387B" w:rsidRPr="009C5C54" w:rsidRDefault="00A3387B" w:rsidP="00A3387B">
      <w:pPr>
        <w:pStyle w:val="TableFigureFooter"/>
      </w:pPr>
      <w:r w:rsidRPr="009C5C54">
        <w:t>Source: Table 1.4.1-1.4.4, pp23- 25 of the submission.</w:t>
      </w:r>
    </w:p>
    <w:p w:rsidR="00804FF1" w:rsidRPr="009C5C54" w:rsidRDefault="00A3387B" w:rsidP="000B7197">
      <w:pPr>
        <w:pStyle w:val="3-BodyText"/>
        <w:rPr>
          <w:color w:val="000000" w:themeColor="text1"/>
        </w:rPr>
      </w:pPr>
      <w:r w:rsidRPr="009C5C54">
        <w:rPr>
          <w:color w:val="000000" w:themeColor="text1"/>
        </w:rPr>
        <w:t xml:space="preserve">The submission did not </w:t>
      </w:r>
      <w:r w:rsidR="00B86E6C" w:rsidRPr="009C5C54">
        <w:rPr>
          <w:color w:val="000000" w:themeColor="text1"/>
        </w:rPr>
        <w:t>request a</w:t>
      </w:r>
      <w:r w:rsidRPr="009C5C54">
        <w:rPr>
          <w:color w:val="000000" w:themeColor="text1"/>
        </w:rPr>
        <w:t xml:space="preserve"> </w:t>
      </w:r>
      <w:r w:rsidR="009C5C54">
        <w:rPr>
          <w:color w:val="000000" w:themeColor="text1"/>
        </w:rPr>
        <w:t>S</w:t>
      </w:r>
      <w:r w:rsidR="009C5C54" w:rsidRPr="009C5C54">
        <w:rPr>
          <w:color w:val="000000" w:themeColor="text1"/>
        </w:rPr>
        <w:t xml:space="preserve">pecial </w:t>
      </w:r>
      <w:r w:rsidR="009C5C54">
        <w:rPr>
          <w:color w:val="000000" w:themeColor="text1"/>
        </w:rPr>
        <w:t>P</w:t>
      </w:r>
      <w:r w:rsidR="009C5C54" w:rsidRPr="009C5C54">
        <w:rPr>
          <w:color w:val="000000" w:themeColor="text1"/>
        </w:rPr>
        <w:t xml:space="preserve">ricing </w:t>
      </w:r>
      <w:r w:rsidR="009C5C54">
        <w:rPr>
          <w:color w:val="000000" w:themeColor="text1"/>
        </w:rPr>
        <w:t>A</w:t>
      </w:r>
      <w:r w:rsidR="009C5C54" w:rsidRPr="009C5C54">
        <w:rPr>
          <w:color w:val="000000" w:themeColor="text1"/>
        </w:rPr>
        <w:t>rrangement</w:t>
      </w:r>
      <w:r w:rsidRPr="009C5C54">
        <w:rPr>
          <w:color w:val="000000" w:themeColor="text1"/>
        </w:rPr>
        <w:t xml:space="preserve">. </w:t>
      </w:r>
      <w:r w:rsidR="00CA1C94" w:rsidRPr="009C5C54">
        <w:rPr>
          <w:color w:val="000000" w:themeColor="text1"/>
        </w:rPr>
        <w:t>The requested price was</w:t>
      </w:r>
      <w:r w:rsidR="007D7892" w:rsidRPr="009C5C54">
        <w:rPr>
          <w:color w:val="000000" w:themeColor="text1"/>
        </w:rPr>
        <w:t xml:space="preserve"> the same as the currently listed price of triptorelin</w:t>
      </w:r>
      <w:r w:rsidR="003D6C63" w:rsidRPr="009C5C54">
        <w:rPr>
          <w:color w:val="000000" w:themeColor="text1"/>
        </w:rPr>
        <w:t xml:space="preserve"> for prostate cancer</w:t>
      </w:r>
      <w:r w:rsidR="007D7892" w:rsidRPr="009C5C54">
        <w:rPr>
          <w:color w:val="000000" w:themeColor="text1"/>
        </w:rPr>
        <w:t xml:space="preserve">. </w:t>
      </w:r>
    </w:p>
    <w:p w:rsidR="00A3387B" w:rsidRPr="009C5C54" w:rsidRDefault="00A3387B" w:rsidP="00A3387B">
      <w:pPr>
        <w:pStyle w:val="3-BodyText"/>
        <w:rPr>
          <w:iCs/>
          <w:color w:val="000000" w:themeColor="text1"/>
        </w:rPr>
      </w:pPr>
      <w:r w:rsidRPr="009C5C54">
        <w:rPr>
          <w:iCs/>
          <w:color w:val="000000" w:themeColor="text1"/>
        </w:rPr>
        <w:t xml:space="preserve">The restriction was generally consistent with the TGA indication. However, the draft Product Information </w:t>
      </w:r>
      <w:r w:rsidR="00AB6D2F" w:rsidRPr="009C5C54">
        <w:rPr>
          <w:iCs/>
          <w:color w:val="000000" w:themeColor="text1"/>
        </w:rPr>
        <w:t xml:space="preserve">(PI) </w:t>
      </w:r>
      <w:r w:rsidRPr="009C5C54">
        <w:rPr>
          <w:iCs/>
          <w:color w:val="000000" w:themeColor="text1"/>
        </w:rPr>
        <w:t xml:space="preserve">includes a minimum age at which treatment may be initiated of 2 years old, which </w:t>
      </w:r>
      <w:r w:rsidR="000C3016" w:rsidRPr="009C5C54">
        <w:rPr>
          <w:iCs/>
          <w:color w:val="000000" w:themeColor="text1"/>
        </w:rPr>
        <w:t xml:space="preserve">was </w:t>
      </w:r>
      <w:r w:rsidRPr="009C5C54">
        <w:rPr>
          <w:iCs/>
          <w:color w:val="000000" w:themeColor="text1"/>
        </w:rPr>
        <w:t xml:space="preserve">not </w:t>
      </w:r>
      <w:r w:rsidR="000C3016" w:rsidRPr="009C5C54">
        <w:rPr>
          <w:iCs/>
          <w:color w:val="000000" w:themeColor="text1"/>
        </w:rPr>
        <w:t xml:space="preserve">proposed </w:t>
      </w:r>
      <w:r w:rsidRPr="009C5C54">
        <w:rPr>
          <w:iCs/>
          <w:color w:val="000000" w:themeColor="text1"/>
        </w:rPr>
        <w:t xml:space="preserve">in the restriction. </w:t>
      </w:r>
    </w:p>
    <w:p w:rsidR="00A3387B" w:rsidRPr="009C5C54" w:rsidRDefault="00A3387B" w:rsidP="00EB155C">
      <w:pPr>
        <w:pStyle w:val="3-BodyText"/>
        <w:rPr>
          <w:color w:val="000000" w:themeColor="text1"/>
        </w:rPr>
      </w:pPr>
      <w:r w:rsidRPr="009C5C54">
        <w:rPr>
          <w:iCs/>
          <w:color w:val="000000" w:themeColor="text1"/>
        </w:rPr>
        <w:t>The</w:t>
      </w:r>
      <w:r w:rsidR="007E6E82" w:rsidRPr="009C5C54">
        <w:rPr>
          <w:iCs/>
          <w:color w:val="000000" w:themeColor="text1"/>
        </w:rPr>
        <w:t xml:space="preserve"> </w:t>
      </w:r>
      <w:r w:rsidRPr="009C5C54">
        <w:rPr>
          <w:iCs/>
          <w:color w:val="000000" w:themeColor="text1"/>
        </w:rPr>
        <w:t xml:space="preserve">continuing criteria </w:t>
      </w:r>
      <w:r w:rsidR="00CB41CF" w:rsidRPr="009C5C54">
        <w:rPr>
          <w:iCs/>
          <w:color w:val="000000" w:themeColor="text1"/>
        </w:rPr>
        <w:t xml:space="preserve">proposed by the submission (and reiterated in the pre-PBAC response) </w:t>
      </w:r>
      <w:r w:rsidRPr="009C5C54">
        <w:rPr>
          <w:iCs/>
          <w:color w:val="000000" w:themeColor="text1"/>
        </w:rPr>
        <w:t xml:space="preserve">specified prior use with a </w:t>
      </w:r>
      <w:r w:rsidR="00AB6D2F" w:rsidRPr="009C5C54">
        <w:rPr>
          <w:iCs/>
          <w:color w:val="000000" w:themeColor="text1"/>
        </w:rPr>
        <w:t>gonadotropin-releasing hormone analogues (</w:t>
      </w:r>
      <w:r w:rsidRPr="009C5C54">
        <w:rPr>
          <w:iCs/>
          <w:color w:val="000000" w:themeColor="text1"/>
        </w:rPr>
        <w:t>GnRHa</w:t>
      </w:r>
      <w:r w:rsidR="00AB6D2F" w:rsidRPr="009C5C54">
        <w:rPr>
          <w:iCs/>
          <w:color w:val="000000" w:themeColor="text1"/>
        </w:rPr>
        <w:t>)</w:t>
      </w:r>
      <w:r w:rsidRPr="009C5C54">
        <w:rPr>
          <w:iCs/>
          <w:color w:val="000000" w:themeColor="text1"/>
        </w:rPr>
        <w:t xml:space="preserve"> treatment, rather than specifically triptorelin. This was inconsistent with the included evidence, which only included treatment naïve patients. </w:t>
      </w:r>
      <w:r w:rsidR="007E6E82" w:rsidRPr="009C5C54">
        <w:rPr>
          <w:iCs/>
          <w:color w:val="000000" w:themeColor="text1"/>
        </w:rPr>
        <w:t>The PBAC considered th</w:t>
      </w:r>
      <w:r w:rsidR="00644151" w:rsidRPr="009C5C54">
        <w:rPr>
          <w:iCs/>
          <w:color w:val="000000" w:themeColor="text1"/>
        </w:rPr>
        <w:t>e proposal in the submission</w:t>
      </w:r>
      <w:r w:rsidR="007E6E82" w:rsidRPr="009C5C54">
        <w:rPr>
          <w:iCs/>
          <w:color w:val="000000" w:themeColor="text1"/>
        </w:rPr>
        <w:t xml:space="preserve"> was reasonable </w:t>
      </w:r>
      <w:r w:rsidR="006808F2" w:rsidRPr="009C5C54">
        <w:rPr>
          <w:iCs/>
          <w:color w:val="000000" w:themeColor="text1"/>
        </w:rPr>
        <w:t xml:space="preserve">as this would allow for clinical decision making autonomy, which would </w:t>
      </w:r>
      <w:r w:rsidR="009C5C54">
        <w:rPr>
          <w:iCs/>
          <w:color w:val="000000" w:themeColor="text1"/>
        </w:rPr>
        <w:t xml:space="preserve">facilitate </w:t>
      </w:r>
      <w:r w:rsidR="007E6E82" w:rsidRPr="009C5C54">
        <w:rPr>
          <w:iCs/>
          <w:color w:val="000000" w:themeColor="text1"/>
        </w:rPr>
        <w:t xml:space="preserve">switching between GnRH </w:t>
      </w:r>
      <w:r w:rsidR="0088659B" w:rsidRPr="009C5C54">
        <w:rPr>
          <w:iCs/>
          <w:color w:val="000000" w:themeColor="text1"/>
        </w:rPr>
        <w:t>analogue</w:t>
      </w:r>
      <w:r w:rsidR="007E6E82" w:rsidRPr="009C5C54">
        <w:rPr>
          <w:iCs/>
          <w:color w:val="000000" w:themeColor="text1"/>
        </w:rPr>
        <w:t>s for CPP in practice</w:t>
      </w:r>
      <w:r w:rsidR="006808F2" w:rsidRPr="009C5C54">
        <w:rPr>
          <w:iCs/>
          <w:color w:val="000000" w:themeColor="text1"/>
        </w:rPr>
        <w:t>.</w:t>
      </w:r>
      <w:r w:rsidR="007E6E82" w:rsidRPr="009C5C54">
        <w:rPr>
          <w:iCs/>
          <w:color w:val="000000" w:themeColor="text1"/>
        </w:rPr>
        <w:t xml:space="preserve"> </w:t>
      </w:r>
      <w:r w:rsidR="006808F2" w:rsidRPr="009C5C54">
        <w:rPr>
          <w:iCs/>
          <w:color w:val="000000" w:themeColor="text1"/>
        </w:rPr>
        <w:t xml:space="preserve">Triptorelin </w:t>
      </w:r>
      <w:r w:rsidR="007E6E82" w:rsidRPr="009C5C54">
        <w:rPr>
          <w:iCs/>
          <w:color w:val="000000" w:themeColor="text1"/>
        </w:rPr>
        <w:t>may be preferred for some patients due to the reduced dosing frequency.</w:t>
      </w:r>
      <w:r w:rsidR="006E2DF6" w:rsidRPr="009C5C54">
        <w:rPr>
          <w:iCs/>
          <w:color w:val="000000" w:themeColor="text1"/>
        </w:rPr>
        <w:t xml:space="preserve"> </w:t>
      </w:r>
    </w:p>
    <w:p w:rsidR="00134AB2" w:rsidRPr="009C5C54" w:rsidRDefault="00CB41CF" w:rsidP="00CB41CF">
      <w:pPr>
        <w:pStyle w:val="3-BodyText"/>
        <w:rPr>
          <w:iCs/>
          <w:color w:val="000000" w:themeColor="text1"/>
        </w:rPr>
      </w:pPr>
      <w:r w:rsidRPr="009C5C54">
        <w:rPr>
          <w:iCs/>
          <w:color w:val="000000" w:themeColor="text1"/>
        </w:rPr>
        <w:t xml:space="preserve">The requested listing of triptorelin allowed treatment initiation for patients up to one year older than the listing of leuprorelin and cessation of treatment with triptorelin at up to 1-2 years older than the current listing of leuprorelin. </w:t>
      </w:r>
      <w:r w:rsidR="00134AB2" w:rsidRPr="009C5C54">
        <w:rPr>
          <w:iCs/>
          <w:color w:val="000000" w:themeColor="text1"/>
        </w:rPr>
        <w:t xml:space="preserve">The </w:t>
      </w:r>
      <w:r w:rsidR="00593BA5">
        <w:rPr>
          <w:iCs/>
          <w:color w:val="000000" w:themeColor="text1"/>
        </w:rPr>
        <w:t xml:space="preserve">Pre-Sub-Committee Response </w:t>
      </w:r>
      <w:r w:rsidR="006808F2" w:rsidRPr="009C5C54">
        <w:rPr>
          <w:iCs/>
          <w:color w:val="000000" w:themeColor="text1"/>
        </w:rPr>
        <w:t xml:space="preserve">explained that </w:t>
      </w:r>
      <w:r w:rsidR="00134AB2" w:rsidRPr="009C5C54">
        <w:rPr>
          <w:iCs/>
          <w:color w:val="000000" w:themeColor="text1"/>
        </w:rPr>
        <w:t xml:space="preserve">the requested restriction was consistent with the </w:t>
      </w:r>
      <w:r w:rsidR="006808F2" w:rsidRPr="009C5C54">
        <w:rPr>
          <w:iCs/>
          <w:color w:val="000000" w:themeColor="text1"/>
        </w:rPr>
        <w:t xml:space="preserve">inclusion criteria of the supporting registration studies </w:t>
      </w:r>
      <w:r w:rsidR="00134AB2" w:rsidRPr="009C5C54">
        <w:rPr>
          <w:iCs/>
          <w:color w:val="000000" w:themeColor="text1"/>
        </w:rPr>
        <w:t xml:space="preserve">and the clinical implications of the different age range than the current listing of leuprorelin would be minimal. The ESC considered </w:t>
      </w:r>
      <w:r w:rsidR="006808F2" w:rsidRPr="009C5C54">
        <w:rPr>
          <w:iCs/>
          <w:color w:val="000000" w:themeColor="text1"/>
        </w:rPr>
        <w:t xml:space="preserve">the clinical decision </w:t>
      </w:r>
      <w:r w:rsidR="00134AB2" w:rsidRPr="009C5C54">
        <w:rPr>
          <w:iCs/>
          <w:color w:val="000000" w:themeColor="text1"/>
        </w:rPr>
        <w:t>to cease treatment for CPP (and allow onset of puberty) was a matter of clinical judgment and agreed it was likely the clinical implications of the different age ranges for leuprorelin and triptorelin were minimal.</w:t>
      </w:r>
      <w:r w:rsidR="007E6E82" w:rsidRPr="009C5C54">
        <w:rPr>
          <w:iCs/>
          <w:color w:val="000000" w:themeColor="text1"/>
        </w:rPr>
        <w:t xml:space="preserve"> The PBAC agreed with the ESC and considered it was reasonable to align the restriction of triptorelin with the </w:t>
      </w:r>
      <w:r w:rsidR="006808F2" w:rsidRPr="009C5C54">
        <w:rPr>
          <w:iCs/>
          <w:color w:val="000000" w:themeColor="text1"/>
        </w:rPr>
        <w:t xml:space="preserve">age inclusion criteria of the supporting </w:t>
      </w:r>
      <w:r w:rsidR="00C9003C">
        <w:rPr>
          <w:iCs/>
          <w:color w:val="000000" w:themeColor="text1"/>
        </w:rPr>
        <w:t>clinical</w:t>
      </w:r>
      <w:r w:rsidR="006808F2" w:rsidRPr="009C5C54">
        <w:rPr>
          <w:iCs/>
          <w:color w:val="000000" w:themeColor="text1"/>
        </w:rPr>
        <w:t xml:space="preserve"> studies </w:t>
      </w:r>
      <w:r w:rsidR="007E6E82" w:rsidRPr="009C5C54">
        <w:rPr>
          <w:iCs/>
          <w:color w:val="000000" w:themeColor="text1"/>
        </w:rPr>
        <w:t>and agreed it was unlikely the differences in ages specified between leuprorelin and triptorelin would substantially alter clinical management of CPP.</w:t>
      </w:r>
    </w:p>
    <w:p w:rsidR="001B6F16" w:rsidRPr="009C5C54" w:rsidRDefault="001B6F16" w:rsidP="00A3387B">
      <w:pPr>
        <w:pStyle w:val="3-BodyText"/>
      </w:pPr>
      <w:r w:rsidRPr="009C5C54">
        <w:rPr>
          <w:iCs/>
        </w:rPr>
        <w:t xml:space="preserve">The submission requested a </w:t>
      </w:r>
      <w:r w:rsidR="00EE2F33" w:rsidRPr="009C5C54">
        <w:rPr>
          <w:iCs/>
        </w:rPr>
        <w:t>‘</w:t>
      </w:r>
      <w:r w:rsidRPr="009C5C54">
        <w:rPr>
          <w:iCs/>
        </w:rPr>
        <w:t>grandfather</w:t>
      </w:r>
      <w:r w:rsidR="00EE2F33" w:rsidRPr="009C5C54">
        <w:rPr>
          <w:iCs/>
        </w:rPr>
        <w:t>’</w:t>
      </w:r>
      <w:r w:rsidRPr="009C5C54">
        <w:rPr>
          <w:iCs/>
        </w:rPr>
        <w:t xml:space="preserve"> restriction</w:t>
      </w:r>
      <w:r w:rsidR="007E6E82" w:rsidRPr="009C5C54">
        <w:rPr>
          <w:iCs/>
        </w:rPr>
        <w:t xml:space="preserve"> to allow transition to PBS</w:t>
      </w:r>
      <w:r w:rsidR="007E6E82" w:rsidRPr="009C5C54">
        <w:rPr>
          <w:iCs/>
        </w:rPr>
        <w:noBreakHyphen/>
        <w:t>subsidised therapy from a planned product familiarisation program</w:t>
      </w:r>
      <w:r w:rsidR="00CA1C94" w:rsidRPr="009C5C54">
        <w:rPr>
          <w:iCs/>
        </w:rPr>
        <w:t>.</w:t>
      </w:r>
      <w:r w:rsidR="00EE2F33" w:rsidRPr="009C5C54">
        <w:rPr>
          <w:iCs/>
        </w:rPr>
        <w:t xml:space="preserve"> </w:t>
      </w:r>
      <w:r w:rsidR="00A81CD0">
        <w:rPr>
          <w:iCs/>
        </w:rPr>
        <w:t>It was noted that any ‘grandfather’ listing would be expected to capture the same patient population as would the non-‘grandfather’ listings, without requiring the patient to stop treatment such that disease severity deteriorated to meet usual PBS entry criteria. The submission’s proposed ‘grandfather’ restriction, would technically open access to patients commenced on treatment where their age is older than the upper limit in the ‘Initial treatment’ restriction, and/or, CPP symptoms occurred after the specified age ranges in the ‘Initial treatment’ restriction.  Therefore, submission’s proposed ‘grandfather’ restriction would need correction.</w:t>
      </w:r>
    </w:p>
    <w:p w:rsidR="000E56EB" w:rsidRPr="009C5C54" w:rsidRDefault="000E56EB" w:rsidP="00A3387B">
      <w:pPr>
        <w:pStyle w:val="3-BodyText"/>
      </w:pPr>
      <w:r w:rsidRPr="009C5C54">
        <w:rPr>
          <w:iCs/>
        </w:rPr>
        <w:t>Triptorelin would be the second GnRH listed on the PBS for CPP. The proposed restriction did not exclude simultaneous use of triptorelin and leuprorelin. The PBAC considered simultaneous use of triptorelin together with leuprorelin</w:t>
      </w:r>
      <w:r w:rsidR="00B220D9">
        <w:rPr>
          <w:iCs/>
        </w:rPr>
        <w:t xml:space="preserve"> was unlikely to occur in practice.</w:t>
      </w:r>
    </w:p>
    <w:p w:rsidR="0034449D" w:rsidRPr="009C5C54" w:rsidRDefault="0034449D" w:rsidP="0034449D">
      <w:pPr>
        <w:ind w:firstLine="709"/>
        <w:rPr>
          <w:rFonts w:asciiTheme="minorHAnsi" w:hAnsiTheme="minorHAnsi"/>
          <w:i/>
        </w:rPr>
      </w:pPr>
      <w:r w:rsidRPr="009C5C54">
        <w:rPr>
          <w:rFonts w:asciiTheme="minorHAnsi" w:hAnsiTheme="minorHAnsi"/>
          <w:i/>
        </w:rPr>
        <w:t>For more detail on PBAC’s view, see section 7 PBAC outcome.</w:t>
      </w:r>
    </w:p>
    <w:p w:rsidR="0034449D" w:rsidRPr="009C5C54" w:rsidRDefault="0034449D" w:rsidP="0034449D">
      <w:pPr>
        <w:pStyle w:val="3-BodyText"/>
        <w:numPr>
          <w:ilvl w:val="0"/>
          <w:numId w:val="0"/>
        </w:numPr>
        <w:ind w:left="720"/>
      </w:pPr>
    </w:p>
    <w:p w:rsidR="00A3387B" w:rsidRPr="009C5C54" w:rsidRDefault="00A3387B" w:rsidP="00A3387B">
      <w:pPr>
        <w:pStyle w:val="2-SectionHeading"/>
        <w:numPr>
          <w:ilvl w:val="0"/>
          <w:numId w:val="1"/>
        </w:numPr>
      </w:pPr>
      <w:bookmarkStart w:id="7" w:name="_Toc72247589"/>
      <w:r w:rsidRPr="009C5C54">
        <w:t>Population and disease</w:t>
      </w:r>
      <w:bookmarkEnd w:id="7"/>
    </w:p>
    <w:p w:rsidR="00A3387B" w:rsidRPr="009C5C54" w:rsidRDefault="00A3387B" w:rsidP="00A3387B">
      <w:pPr>
        <w:pStyle w:val="3-BodyText"/>
      </w:pPr>
      <w:r w:rsidRPr="009C5C54">
        <w:t>CPP is generally defined by premature secretion of gonadotropins and subsequent early onset of secondary sexual characteristics before the age of 8 years in girls and 9 years in boys as well as premature physical signs of sexual development. CPP is a rare disorder with low incidence and prevalence. Globally it has been reported that it occurs in 1 in 5,000 to 10,000 children (Eugster 2019</w:t>
      </w:r>
      <w:r w:rsidR="00050D70">
        <w:t>)</w:t>
      </w:r>
      <w:r w:rsidRPr="009C5C54">
        <w:t xml:space="preserve">. In 2019 the </w:t>
      </w:r>
      <w:r w:rsidR="00975F73">
        <w:t>D</w:t>
      </w:r>
      <w:r w:rsidR="00975F73" w:rsidRPr="009C5C54">
        <w:t xml:space="preserve">rug </w:t>
      </w:r>
      <w:r w:rsidR="00975F73">
        <w:t>U</w:t>
      </w:r>
      <w:r w:rsidR="00975F73" w:rsidRPr="009C5C54">
        <w:t xml:space="preserve">tilisation </w:t>
      </w:r>
      <w:r w:rsidR="00975F73">
        <w:t>S</w:t>
      </w:r>
      <w:r w:rsidR="00975F73" w:rsidRPr="009C5C54">
        <w:t>ub</w:t>
      </w:r>
      <w:r w:rsidRPr="009C5C54">
        <w:t>-</w:t>
      </w:r>
      <w:r w:rsidR="00975F73">
        <w:t>C</w:t>
      </w:r>
      <w:r w:rsidR="00975F73" w:rsidRPr="009C5C54">
        <w:t xml:space="preserve">ommittee </w:t>
      </w:r>
      <w:r w:rsidRPr="009C5C54">
        <w:t>(DUSC) estimated that between 2014</w:t>
      </w:r>
      <w:r w:rsidR="00050D70">
        <w:t xml:space="preserve"> to 20</w:t>
      </w:r>
      <w:r w:rsidRPr="009C5C54">
        <w:t>18 there were a total of 713 patients with CPP</w:t>
      </w:r>
      <w:r w:rsidR="00975F73">
        <w:t>,</w:t>
      </w:r>
      <w:r w:rsidR="00975F73" w:rsidRPr="009C5C54">
        <w:t xml:space="preserve"> </w:t>
      </w:r>
      <w:r w:rsidRPr="009C5C54">
        <w:t xml:space="preserve">102 male patients and 609 female patients (DUSC 2019). </w:t>
      </w:r>
    </w:p>
    <w:p w:rsidR="00A3387B" w:rsidRPr="009C5C54" w:rsidRDefault="00A3387B" w:rsidP="00A3387B">
      <w:pPr>
        <w:pStyle w:val="3-BodyText"/>
      </w:pPr>
      <w:r w:rsidRPr="009C5C54">
        <w:t xml:space="preserve">Triptorelin, a gonadotrophin releasing hormone (GnRH) </w:t>
      </w:r>
      <w:r w:rsidR="0088659B" w:rsidRPr="009C5C54">
        <w:t>analogue</w:t>
      </w:r>
      <w:r w:rsidRPr="009C5C54">
        <w:t xml:space="preserve">, inhibits gonadotrophin secretion when given continuously and in therapeutic doses. Inhibition of the increased hypophyseal gonadotropic activity in children with central precocious puberty leads to lowering of the LH levels following GnRH (or GnRH </w:t>
      </w:r>
      <w:r w:rsidR="0088659B" w:rsidRPr="009C5C54">
        <w:t>analogue</w:t>
      </w:r>
      <w:r w:rsidRPr="009C5C54">
        <w:t>) stimulation test and to suppression of oestradiol and testosterone secretion in girls and boys, respectively</w:t>
      </w:r>
      <w:r w:rsidR="007C4EDF" w:rsidRPr="009C5C54">
        <w:t>.</w:t>
      </w:r>
    </w:p>
    <w:p w:rsidR="00A3387B" w:rsidRPr="009C5C54" w:rsidRDefault="00A3387B" w:rsidP="00A3387B">
      <w:pPr>
        <w:pStyle w:val="2-SectionHeading"/>
        <w:numPr>
          <w:ilvl w:val="0"/>
          <w:numId w:val="1"/>
        </w:numPr>
      </w:pPr>
      <w:bookmarkStart w:id="8" w:name="_Toc72247590"/>
      <w:r w:rsidRPr="009C5C54">
        <w:t>Comparator</w:t>
      </w:r>
      <w:bookmarkEnd w:id="8"/>
    </w:p>
    <w:p w:rsidR="00A3387B" w:rsidRPr="009C5C54" w:rsidRDefault="00A3387B" w:rsidP="00A3387B">
      <w:pPr>
        <w:pStyle w:val="3-BodyText"/>
        <w:rPr>
          <w:snapToGrid/>
        </w:rPr>
      </w:pPr>
      <w:r w:rsidRPr="009C5C54">
        <w:t xml:space="preserve">The submission nominated leuprorelin as the main comparator. </w:t>
      </w:r>
      <w:r w:rsidRPr="009C5C54">
        <w:rPr>
          <w:iCs/>
        </w:rPr>
        <w:t>This was reasonable.</w:t>
      </w:r>
      <w:r w:rsidRPr="009C5C54">
        <w:rPr>
          <w:i/>
          <w:iCs/>
        </w:rPr>
        <w:t xml:space="preserve"> </w:t>
      </w:r>
    </w:p>
    <w:p w:rsidR="00A3387B" w:rsidRPr="009C5C54" w:rsidRDefault="00A3387B" w:rsidP="00A3387B">
      <w:pPr>
        <w:pStyle w:val="3-BodyText"/>
        <w:rPr>
          <w:snapToGrid/>
        </w:rPr>
      </w:pPr>
      <w:r w:rsidRPr="009C5C54">
        <w:rPr>
          <w:iCs/>
        </w:rPr>
        <w:t>It was noted during the evaluation that the triptorelin requested restriction (</w:t>
      </w:r>
      <w:r w:rsidRPr="009C5C54">
        <w:rPr>
          <w:rFonts w:cs="Calibri"/>
          <w:iCs/>
        </w:rPr>
        <w:t>≤</w:t>
      </w:r>
      <w:r w:rsidRPr="009C5C54">
        <w:rPr>
          <w:iCs/>
        </w:rPr>
        <w:t xml:space="preserve">11 years [girls] or </w:t>
      </w:r>
      <w:r w:rsidRPr="009C5C54">
        <w:rPr>
          <w:rFonts w:cs="Calibri"/>
          <w:iCs/>
        </w:rPr>
        <w:t>≤</w:t>
      </w:r>
      <w:r w:rsidRPr="009C5C54">
        <w:rPr>
          <w:iCs/>
        </w:rPr>
        <w:t>12 years [boys]) was slightly broader than the leuprorelin restriction (</w:t>
      </w:r>
      <w:r w:rsidRPr="009C5C54">
        <w:rPr>
          <w:rFonts w:cs="Calibri"/>
          <w:iCs/>
        </w:rPr>
        <w:t>≤</w:t>
      </w:r>
      <w:r w:rsidRPr="009C5C54">
        <w:rPr>
          <w:iCs/>
        </w:rPr>
        <w:t xml:space="preserve">10 years [girls] or </w:t>
      </w:r>
      <w:r w:rsidRPr="009C5C54">
        <w:rPr>
          <w:rFonts w:cs="Calibri"/>
          <w:iCs/>
        </w:rPr>
        <w:t>≤</w:t>
      </w:r>
      <w:r w:rsidRPr="009C5C54">
        <w:rPr>
          <w:iCs/>
        </w:rPr>
        <w:t xml:space="preserve">11 years [boys]). Though it is possible that for the targeted population that does not otherwise fall into the leuprorelin restriction, best supportive care could be a relevant comparator, it was unclear if this would </w:t>
      </w:r>
      <w:r w:rsidR="00975F73">
        <w:rPr>
          <w:iCs/>
        </w:rPr>
        <w:t xml:space="preserve">occur </w:t>
      </w:r>
      <w:r w:rsidRPr="009C5C54">
        <w:rPr>
          <w:iCs/>
        </w:rPr>
        <w:t xml:space="preserve">in </w:t>
      </w:r>
      <w:r w:rsidR="00975F73">
        <w:rPr>
          <w:iCs/>
        </w:rPr>
        <w:t xml:space="preserve">clinical </w:t>
      </w:r>
      <w:r w:rsidRPr="009C5C54">
        <w:rPr>
          <w:iCs/>
        </w:rPr>
        <w:t xml:space="preserve">practice. </w:t>
      </w:r>
    </w:p>
    <w:p w:rsidR="0034449D" w:rsidRPr="009C5C54" w:rsidRDefault="0034449D" w:rsidP="0034449D">
      <w:pPr>
        <w:ind w:firstLine="709"/>
        <w:rPr>
          <w:rFonts w:asciiTheme="minorHAnsi" w:hAnsiTheme="minorHAnsi"/>
          <w:i/>
        </w:rPr>
      </w:pPr>
      <w:r w:rsidRPr="009C5C54">
        <w:rPr>
          <w:rFonts w:asciiTheme="minorHAnsi" w:hAnsiTheme="minorHAnsi"/>
          <w:i/>
        </w:rPr>
        <w:t>For more detail on PBAC’s view, see section 7 PBAC outcome.</w:t>
      </w:r>
    </w:p>
    <w:p w:rsidR="00A3387B" w:rsidRPr="009C5C54" w:rsidRDefault="00A3387B" w:rsidP="00A3387B">
      <w:pPr>
        <w:pStyle w:val="2-SectionHeading"/>
        <w:numPr>
          <w:ilvl w:val="0"/>
          <w:numId w:val="1"/>
        </w:numPr>
      </w:pPr>
      <w:bookmarkStart w:id="9" w:name="_Toc72247591"/>
      <w:bookmarkStart w:id="10" w:name="_Toc22897640"/>
      <w:r w:rsidRPr="009C5C54">
        <w:t>Consideration of the evidence</w:t>
      </w:r>
      <w:bookmarkEnd w:id="9"/>
    </w:p>
    <w:p w:rsidR="0034449D" w:rsidRPr="009C5C54" w:rsidRDefault="0034449D" w:rsidP="0034449D">
      <w:pPr>
        <w:widowControl w:val="0"/>
        <w:spacing w:before="240" w:line="276" w:lineRule="auto"/>
        <w:outlineLvl w:val="1"/>
        <w:rPr>
          <w:rFonts w:asciiTheme="minorHAnsi" w:hAnsiTheme="minorHAnsi"/>
          <w:b/>
          <w:bCs/>
          <w:i/>
          <w:snapToGrid w:val="0"/>
          <w:sz w:val="28"/>
          <w:szCs w:val="28"/>
        </w:rPr>
      </w:pPr>
      <w:bookmarkStart w:id="11" w:name="_Toc72247592"/>
      <w:r w:rsidRPr="009C5C54">
        <w:rPr>
          <w:rFonts w:asciiTheme="minorHAnsi" w:hAnsiTheme="minorHAnsi"/>
          <w:b/>
          <w:bCs/>
          <w:i/>
          <w:snapToGrid w:val="0"/>
          <w:sz w:val="28"/>
          <w:szCs w:val="28"/>
        </w:rPr>
        <w:t>Sponsor hearing</w:t>
      </w:r>
    </w:p>
    <w:p w:rsidR="0034449D" w:rsidRPr="009C5C54" w:rsidRDefault="0034449D"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There was no hearing for this item.</w:t>
      </w:r>
    </w:p>
    <w:p w:rsidR="0034449D" w:rsidRPr="009C5C54" w:rsidRDefault="0034449D" w:rsidP="0034449D">
      <w:pPr>
        <w:widowControl w:val="0"/>
        <w:spacing w:before="240" w:line="276" w:lineRule="auto"/>
        <w:outlineLvl w:val="1"/>
        <w:rPr>
          <w:rFonts w:asciiTheme="minorHAnsi" w:hAnsiTheme="minorHAnsi"/>
          <w:b/>
          <w:bCs/>
          <w:i/>
          <w:snapToGrid w:val="0"/>
          <w:sz w:val="28"/>
          <w:szCs w:val="28"/>
        </w:rPr>
      </w:pPr>
      <w:r w:rsidRPr="009C5C54">
        <w:rPr>
          <w:rFonts w:asciiTheme="minorHAnsi" w:hAnsiTheme="minorHAnsi"/>
          <w:b/>
          <w:bCs/>
          <w:i/>
          <w:snapToGrid w:val="0"/>
          <w:sz w:val="28"/>
          <w:szCs w:val="28"/>
        </w:rPr>
        <w:t>Consumer comments</w:t>
      </w:r>
    </w:p>
    <w:p w:rsidR="0034449D" w:rsidRPr="009C5C54" w:rsidRDefault="004D42E9"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w:t>
      </w:r>
      <w:r w:rsidR="0034449D" w:rsidRPr="009C5C54">
        <w:rPr>
          <w:rFonts w:asciiTheme="minorHAnsi" w:hAnsiTheme="minorHAnsi"/>
          <w:bCs/>
          <w:snapToGrid w:val="0"/>
        </w:rPr>
        <w:t xml:space="preserve">PBAC noted that </w:t>
      </w:r>
      <w:r w:rsidR="00975F73">
        <w:rPr>
          <w:rFonts w:asciiTheme="minorHAnsi" w:hAnsiTheme="minorHAnsi"/>
          <w:bCs/>
          <w:snapToGrid w:val="0"/>
        </w:rPr>
        <w:t xml:space="preserve">this item received </w:t>
      </w:r>
      <w:r w:rsidR="0034449D" w:rsidRPr="009C5C54">
        <w:rPr>
          <w:rFonts w:asciiTheme="minorHAnsi" w:hAnsiTheme="minorHAnsi"/>
          <w:bCs/>
          <w:snapToGrid w:val="0"/>
        </w:rPr>
        <w:t>no consumer comments.</w:t>
      </w:r>
    </w:p>
    <w:p w:rsidR="00A3387B" w:rsidRPr="009C5C54" w:rsidRDefault="00A3387B" w:rsidP="00A3387B">
      <w:pPr>
        <w:pStyle w:val="4-SubsectionHeading"/>
      </w:pPr>
      <w:r w:rsidRPr="009C5C54">
        <w:t>Clinical studies/trials</w:t>
      </w:r>
      <w:bookmarkEnd w:id="10"/>
      <w:bookmarkEnd w:id="11"/>
    </w:p>
    <w:p w:rsidR="00A3387B" w:rsidRPr="009C5C54" w:rsidRDefault="00A3387B" w:rsidP="00A3387B">
      <w:pPr>
        <w:pStyle w:val="3-BodyText"/>
        <w:rPr>
          <w:color w:val="0066FF"/>
        </w:rPr>
      </w:pPr>
      <w:r w:rsidRPr="009C5C54">
        <w:t>The submission was based on a naïve indirect comparison of one open label non comparative study of triptorelin (Study 301, N=44) with one randomised dose finding trial of leuprorelin (Lee 2012, N=84) and its extension study (Lee 2014, N=72).</w:t>
      </w:r>
    </w:p>
    <w:p w:rsidR="00A3387B" w:rsidRPr="009C5C54" w:rsidRDefault="00A3387B" w:rsidP="00A3387B">
      <w:pPr>
        <w:pStyle w:val="3-BodyText"/>
      </w:pPr>
      <w:r w:rsidRPr="009C5C54">
        <w:rPr>
          <w:snapToGrid/>
        </w:rPr>
        <w:t>Details of Study 301 and Lee (2012/2014) are provided in</w:t>
      </w:r>
      <w:r w:rsidR="0011695B" w:rsidRPr="009C5C54">
        <w:rPr>
          <w:snapToGrid/>
        </w:rPr>
        <w:t xml:space="preserve"> </w:t>
      </w:r>
      <w:r w:rsidR="009E4996" w:rsidRPr="009C5C54">
        <w:t>Table 2</w:t>
      </w:r>
      <w:r w:rsidRPr="009C5C54">
        <w:t>.</w:t>
      </w:r>
    </w:p>
    <w:p w:rsidR="00C61C12" w:rsidRDefault="00C61C12">
      <w:pPr>
        <w:jc w:val="left"/>
        <w:rPr>
          <w:rStyle w:val="CommentReference"/>
          <w:rFonts w:eastAsiaTheme="majorEastAsia" w:cstheme="majorBidi"/>
          <w:bCs/>
          <w:szCs w:val="24"/>
        </w:rPr>
      </w:pPr>
      <w:bookmarkStart w:id="12" w:name="_Ref71300024"/>
      <w:r>
        <w:rPr>
          <w:rStyle w:val="CommentReference"/>
          <w:b w:val="0"/>
          <w:szCs w:val="24"/>
        </w:rPr>
        <w:br w:type="page"/>
      </w:r>
    </w:p>
    <w:p w:rsidR="00A3387B" w:rsidRPr="009C5C54" w:rsidRDefault="00A3387B" w:rsidP="00A3387B">
      <w:pPr>
        <w:pStyle w:val="TableFigureHeading"/>
        <w:rPr>
          <w:rStyle w:val="CommentReference"/>
          <w:b/>
          <w:szCs w:val="24"/>
        </w:rPr>
      </w:pPr>
      <w:r w:rsidRPr="009C5C54">
        <w:rPr>
          <w:rStyle w:val="CommentReference"/>
          <w:b/>
          <w:szCs w:val="24"/>
        </w:rPr>
        <w:t xml:space="preserve">Table </w:t>
      </w:r>
      <w:r w:rsidR="009E4996" w:rsidRPr="009C5C54">
        <w:rPr>
          <w:rStyle w:val="CommentReference"/>
          <w:b/>
          <w:szCs w:val="24"/>
        </w:rPr>
        <w:t>2</w:t>
      </w:r>
      <w:bookmarkEnd w:id="12"/>
      <w:r w:rsidRPr="009C5C54">
        <w:rPr>
          <w:rStyle w:val="CommentReference"/>
          <w:b/>
          <w:szCs w:val="24"/>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7"/>
        <w:gridCol w:w="839"/>
        <w:gridCol w:w="1403"/>
        <w:gridCol w:w="1111"/>
        <w:gridCol w:w="2285"/>
        <w:gridCol w:w="2092"/>
      </w:tblGrid>
      <w:tr w:rsidR="00A3387B" w:rsidRPr="009C5C54" w:rsidTr="00C72823">
        <w:trPr>
          <w:tblHeader/>
        </w:trPr>
        <w:tc>
          <w:tcPr>
            <w:tcW w:w="714" w:type="pct"/>
            <w:shd w:val="clear" w:color="auto" w:fill="auto"/>
            <w:vAlign w:val="center"/>
          </w:tcPr>
          <w:p w:rsidR="00A3387B" w:rsidRPr="009C5C54" w:rsidRDefault="00A3387B" w:rsidP="00C72823">
            <w:pPr>
              <w:pStyle w:val="In-tableHeading"/>
              <w:rPr>
                <w:lang w:val="en-AU"/>
              </w:rPr>
            </w:pPr>
            <w:r w:rsidRPr="009C5C54">
              <w:rPr>
                <w:lang w:val="en-AU"/>
              </w:rPr>
              <w:t>Trial</w:t>
            </w:r>
          </w:p>
        </w:tc>
        <w:tc>
          <w:tcPr>
            <w:tcW w:w="465" w:type="pct"/>
            <w:shd w:val="clear" w:color="auto" w:fill="auto"/>
            <w:vAlign w:val="center"/>
          </w:tcPr>
          <w:p w:rsidR="00A3387B" w:rsidRPr="009C5C54" w:rsidRDefault="00A3387B" w:rsidP="00C72823">
            <w:pPr>
              <w:pStyle w:val="In-tableHeading"/>
              <w:jc w:val="center"/>
              <w:rPr>
                <w:lang w:val="en-AU"/>
              </w:rPr>
            </w:pPr>
            <w:r w:rsidRPr="009C5C54">
              <w:rPr>
                <w:lang w:val="en-AU"/>
              </w:rPr>
              <w:t>N</w:t>
            </w:r>
          </w:p>
        </w:tc>
        <w:tc>
          <w:tcPr>
            <w:tcW w:w="778" w:type="pct"/>
            <w:shd w:val="clear" w:color="auto" w:fill="auto"/>
            <w:vAlign w:val="center"/>
          </w:tcPr>
          <w:p w:rsidR="00A3387B" w:rsidRPr="009C5C54" w:rsidRDefault="00A3387B" w:rsidP="00C72823">
            <w:pPr>
              <w:pStyle w:val="In-tableHeading"/>
              <w:jc w:val="center"/>
              <w:rPr>
                <w:lang w:val="en-AU"/>
              </w:rPr>
            </w:pPr>
            <w:r w:rsidRPr="009C5C54">
              <w:rPr>
                <w:lang w:val="en-AU"/>
              </w:rPr>
              <w:t>Design/ duration</w:t>
            </w:r>
          </w:p>
        </w:tc>
        <w:tc>
          <w:tcPr>
            <w:tcW w:w="616" w:type="pct"/>
            <w:shd w:val="clear" w:color="auto" w:fill="auto"/>
            <w:vAlign w:val="center"/>
          </w:tcPr>
          <w:p w:rsidR="00A3387B" w:rsidRPr="009C5C54" w:rsidRDefault="00A3387B" w:rsidP="00C72823">
            <w:pPr>
              <w:pStyle w:val="In-tableHeading"/>
              <w:jc w:val="center"/>
              <w:rPr>
                <w:lang w:val="en-AU"/>
              </w:rPr>
            </w:pPr>
            <w:r w:rsidRPr="009C5C54">
              <w:rPr>
                <w:lang w:val="en-AU"/>
              </w:rPr>
              <w:t>Risk of bias</w:t>
            </w:r>
          </w:p>
        </w:tc>
        <w:tc>
          <w:tcPr>
            <w:tcW w:w="1267" w:type="pct"/>
            <w:shd w:val="clear" w:color="auto" w:fill="auto"/>
            <w:vAlign w:val="center"/>
          </w:tcPr>
          <w:p w:rsidR="00A3387B" w:rsidRPr="009C5C54" w:rsidRDefault="00A3387B" w:rsidP="00C72823">
            <w:pPr>
              <w:pStyle w:val="In-tableHeading"/>
              <w:jc w:val="center"/>
              <w:rPr>
                <w:lang w:val="en-AU"/>
              </w:rPr>
            </w:pPr>
            <w:r w:rsidRPr="009C5C54">
              <w:rPr>
                <w:lang w:val="en-AU"/>
              </w:rPr>
              <w:t>Patient population</w:t>
            </w:r>
          </w:p>
        </w:tc>
        <w:tc>
          <w:tcPr>
            <w:tcW w:w="1160" w:type="pct"/>
            <w:shd w:val="clear" w:color="auto" w:fill="auto"/>
            <w:vAlign w:val="center"/>
          </w:tcPr>
          <w:p w:rsidR="00A3387B" w:rsidRPr="009C5C54" w:rsidRDefault="00A3387B" w:rsidP="00C72823">
            <w:pPr>
              <w:pStyle w:val="In-tableHeading"/>
              <w:jc w:val="center"/>
              <w:rPr>
                <w:lang w:val="en-AU"/>
              </w:rPr>
            </w:pPr>
            <w:r w:rsidRPr="009C5C54">
              <w:rPr>
                <w:lang w:val="en-AU"/>
              </w:rPr>
              <w:t>Key outcomes</w:t>
            </w:r>
          </w:p>
        </w:tc>
      </w:tr>
      <w:tr w:rsidR="00A3387B" w:rsidRPr="009C5C54" w:rsidTr="00C72823">
        <w:tc>
          <w:tcPr>
            <w:tcW w:w="5000" w:type="pct"/>
            <w:gridSpan w:val="6"/>
            <w:shd w:val="clear" w:color="auto" w:fill="auto"/>
            <w:vAlign w:val="center"/>
          </w:tcPr>
          <w:p w:rsidR="00A3387B" w:rsidRPr="009C5C54" w:rsidRDefault="00A3387B" w:rsidP="00C72823">
            <w:pPr>
              <w:pStyle w:val="In-tableHeading"/>
              <w:rPr>
                <w:lang w:val="en-AU"/>
              </w:rPr>
            </w:pPr>
            <w:r w:rsidRPr="009C5C54">
              <w:rPr>
                <w:lang w:val="en-AU"/>
              </w:rPr>
              <w:t>Triptorelin</w:t>
            </w:r>
          </w:p>
        </w:tc>
      </w:tr>
      <w:tr w:rsidR="00A3387B" w:rsidRPr="009C5C54" w:rsidTr="00C72823">
        <w:tc>
          <w:tcPr>
            <w:tcW w:w="714" w:type="pct"/>
            <w:shd w:val="clear" w:color="auto" w:fill="auto"/>
            <w:vAlign w:val="center"/>
          </w:tcPr>
          <w:p w:rsidR="00A3387B" w:rsidRPr="009C5C54" w:rsidRDefault="00A3387B" w:rsidP="00C72823">
            <w:pPr>
              <w:pStyle w:val="TableText0"/>
            </w:pPr>
            <w:r w:rsidRPr="009C5C54">
              <w:t>Study 301</w:t>
            </w:r>
          </w:p>
        </w:tc>
        <w:tc>
          <w:tcPr>
            <w:tcW w:w="465" w:type="pct"/>
            <w:shd w:val="clear" w:color="auto" w:fill="auto"/>
            <w:vAlign w:val="center"/>
          </w:tcPr>
          <w:p w:rsidR="00A3387B" w:rsidRPr="009C5C54" w:rsidRDefault="00A3387B" w:rsidP="00C72823">
            <w:pPr>
              <w:pStyle w:val="TableText0"/>
              <w:jc w:val="center"/>
            </w:pPr>
            <w:r w:rsidRPr="009C5C54">
              <w:t>44</w:t>
            </w:r>
          </w:p>
        </w:tc>
        <w:tc>
          <w:tcPr>
            <w:tcW w:w="778" w:type="pct"/>
            <w:shd w:val="clear" w:color="auto" w:fill="auto"/>
            <w:vAlign w:val="center"/>
          </w:tcPr>
          <w:p w:rsidR="00A3387B" w:rsidRPr="009C5C54" w:rsidRDefault="00A3387B" w:rsidP="00C72823">
            <w:pPr>
              <w:pStyle w:val="TableText0"/>
              <w:jc w:val="center"/>
            </w:pPr>
            <w:r w:rsidRPr="009C5C54">
              <w:t>SAS, OL, 50 week max follow-up</w:t>
            </w:r>
          </w:p>
        </w:tc>
        <w:tc>
          <w:tcPr>
            <w:tcW w:w="616" w:type="pct"/>
            <w:shd w:val="clear" w:color="auto" w:fill="auto"/>
            <w:vAlign w:val="center"/>
          </w:tcPr>
          <w:p w:rsidR="00A3387B" w:rsidRPr="009C5C54" w:rsidRDefault="00A3387B" w:rsidP="00C72823">
            <w:pPr>
              <w:pStyle w:val="TableText0"/>
              <w:jc w:val="center"/>
            </w:pPr>
            <w:r w:rsidRPr="009C5C54">
              <w:t>High</w:t>
            </w:r>
          </w:p>
        </w:tc>
        <w:tc>
          <w:tcPr>
            <w:tcW w:w="1267" w:type="pct"/>
            <w:shd w:val="clear" w:color="auto" w:fill="auto"/>
            <w:vAlign w:val="center"/>
          </w:tcPr>
          <w:p w:rsidR="00A3387B" w:rsidRPr="009C5C54" w:rsidRDefault="00A3387B" w:rsidP="00C72823">
            <w:pPr>
              <w:pStyle w:val="TableText0"/>
              <w:jc w:val="center"/>
            </w:pPr>
            <w:r w:rsidRPr="009C5C54">
              <w:t>CPP</w:t>
            </w:r>
          </w:p>
        </w:tc>
        <w:tc>
          <w:tcPr>
            <w:tcW w:w="1160" w:type="pct"/>
            <w:shd w:val="clear" w:color="auto" w:fill="auto"/>
            <w:vAlign w:val="center"/>
          </w:tcPr>
          <w:p w:rsidR="00A3387B" w:rsidRPr="009C5C54" w:rsidRDefault="00A3387B" w:rsidP="00C72823">
            <w:pPr>
              <w:pStyle w:val="TableText0"/>
              <w:jc w:val="center"/>
            </w:pPr>
            <w:r w:rsidRPr="009C5C54">
              <w:t>LH suppression/ mean LH</w:t>
            </w:r>
          </w:p>
        </w:tc>
      </w:tr>
      <w:tr w:rsidR="00A3387B" w:rsidRPr="009C5C54" w:rsidTr="00C72823">
        <w:tc>
          <w:tcPr>
            <w:tcW w:w="5000" w:type="pct"/>
            <w:gridSpan w:val="6"/>
            <w:shd w:val="clear" w:color="auto" w:fill="auto"/>
            <w:vAlign w:val="center"/>
          </w:tcPr>
          <w:p w:rsidR="00A3387B" w:rsidRPr="009C5C54" w:rsidRDefault="00A3387B" w:rsidP="00C72823">
            <w:pPr>
              <w:pStyle w:val="In-tableHeading"/>
              <w:rPr>
                <w:lang w:val="en-AU"/>
              </w:rPr>
            </w:pPr>
            <w:r w:rsidRPr="009C5C54">
              <w:rPr>
                <w:lang w:val="en-AU"/>
              </w:rPr>
              <w:t>Leuprorelin 3 month 11.5mg depot versus  leuprorelin 3 month 30mg depot</w:t>
            </w:r>
          </w:p>
        </w:tc>
      </w:tr>
      <w:tr w:rsidR="00A3387B" w:rsidRPr="009C5C54" w:rsidTr="00C72823">
        <w:tc>
          <w:tcPr>
            <w:tcW w:w="714" w:type="pct"/>
            <w:shd w:val="clear" w:color="auto" w:fill="auto"/>
            <w:vAlign w:val="center"/>
          </w:tcPr>
          <w:p w:rsidR="00A3387B" w:rsidRPr="009C5C54" w:rsidRDefault="00A3387B" w:rsidP="00C72823">
            <w:pPr>
              <w:pStyle w:val="TableText0"/>
            </w:pPr>
            <w:r w:rsidRPr="009C5C54">
              <w:t>Lee 2012</w:t>
            </w:r>
          </w:p>
        </w:tc>
        <w:tc>
          <w:tcPr>
            <w:tcW w:w="465" w:type="pct"/>
            <w:shd w:val="clear" w:color="auto" w:fill="auto"/>
            <w:vAlign w:val="center"/>
          </w:tcPr>
          <w:p w:rsidR="00A3387B" w:rsidRPr="009C5C54" w:rsidRDefault="00A3387B" w:rsidP="00C72823">
            <w:pPr>
              <w:pStyle w:val="TableText0"/>
              <w:jc w:val="center"/>
            </w:pPr>
            <w:r w:rsidRPr="009C5C54">
              <w:t>84</w:t>
            </w:r>
          </w:p>
        </w:tc>
        <w:tc>
          <w:tcPr>
            <w:tcW w:w="778" w:type="pct"/>
            <w:shd w:val="clear" w:color="auto" w:fill="auto"/>
            <w:vAlign w:val="center"/>
          </w:tcPr>
          <w:p w:rsidR="00A3387B" w:rsidRPr="009C5C54" w:rsidRDefault="00A3387B" w:rsidP="00C72823">
            <w:pPr>
              <w:pStyle w:val="TableText0"/>
            </w:pPr>
            <w:r w:rsidRPr="009C5C54">
              <w:t>R, OL, 6 month max follow-up</w:t>
            </w:r>
          </w:p>
        </w:tc>
        <w:tc>
          <w:tcPr>
            <w:tcW w:w="616" w:type="pct"/>
            <w:shd w:val="clear" w:color="auto" w:fill="auto"/>
            <w:vAlign w:val="center"/>
          </w:tcPr>
          <w:p w:rsidR="00A3387B" w:rsidRPr="009C5C54" w:rsidRDefault="00A3387B" w:rsidP="00C72823">
            <w:pPr>
              <w:pStyle w:val="TableText0"/>
              <w:jc w:val="center"/>
            </w:pPr>
            <w:r w:rsidRPr="009C5C54">
              <w:t>High</w:t>
            </w:r>
          </w:p>
        </w:tc>
        <w:tc>
          <w:tcPr>
            <w:tcW w:w="1267" w:type="pct"/>
            <w:shd w:val="clear" w:color="auto" w:fill="auto"/>
            <w:vAlign w:val="center"/>
          </w:tcPr>
          <w:p w:rsidR="00A3387B" w:rsidRPr="009C5C54" w:rsidRDefault="00A3387B" w:rsidP="00C72823">
            <w:pPr>
              <w:pStyle w:val="TableText0"/>
              <w:jc w:val="center"/>
            </w:pPr>
            <w:r w:rsidRPr="009C5C54">
              <w:t>CPP</w:t>
            </w:r>
          </w:p>
        </w:tc>
        <w:tc>
          <w:tcPr>
            <w:tcW w:w="1160" w:type="pct"/>
            <w:shd w:val="clear" w:color="auto" w:fill="auto"/>
            <w:vAlign w:val="center"/>
          </w:tcPr>
          <w:p w:rsidR="00A3387B" w:rsidRPr="009C5C54" w:rsidRDefault="00A3387B" w:rsidP="00C72823">
            <w:pPr>
              <w:pStyle w:val="TableText0"/>
            </w:pPr>
            <w:r w:rsidRPr="009C5C54">
              <w:t>LH suppression/ mean LH</w:t>
            </w:r>
          </w:p>
        </w:tc>
      </w:tr>
      <w:tr w:rsidR="00A3387B" w:rsidRPr="009C5C54" w:rsidTr="00C72823">
        <w:tc>
          <w:tcPr>
            <w:tcW w:w="714" w:type="pct"/>
            <w:shd w:val="clear" w:color="auto" w:fill="auto"/>
            <w:vAlign w:val="center"/>
          </w:tcPr>
          <w:p w:rsidR="00A3387B" w:rsidRPr="009C5C54" w:rsidRDefault="00A3387B" w:rsidP="00C72823">
            <w:pPr>
              <w:pStyle w:val="TableText0"/>
            </w:pPr>
            <w:r w:rsidRPr="009C5C54">
              <w:t>Lee 2014</w:t>
            </w:r>
          </w:p>
        </w:tc>
        <w:tc>
          <w:tcPr>
            <w:tcW w:w="465" w:type="pct"/>
            <w:shd w:val="clear" w:color="auto" w:fill="auto"/>
            <w:vAlign w:val="center"/>
          </w:tcPr>
          <w:p w:rsidR="00A3387B" w:rsidRPr="009C5C54" w:rsidRDefault="00A3387B" w:rsidP="00C72823">
            <w:pPr>
              <w:pStyle w:val="TableText0"/>
              <w:jc w:val="center"/>
            </w:pPr>
            <w:r w:rsidRPr="009C5C54">
              <w:t>72</w:t>
            </w:r>
          </w:p>
        </w:tc>
        <w:tc>
          <w:tcPr>
            <w:tcW w:w="778" w:type="pct"/>
            <w:shd w:val="clear" w:color="auto" w:fill="auto"/>
            <w:vAlign w:val="center"/>
          </w:tcPr>
          <w:p w:rsidR="00A3387B" w:rsidRPr="009C5C54" w:rsidRDefault="00A3387B" w:rsidP="00C72823">
            <w:pPr>
              <w:pStyle w:val="TableText0"/>
            </w:pPr>
            <w:r w:rsidRPr="009C5C54">
              <w:t>Ext, OL, 36 month max follow-up</w:t>
            </w:r>
          </w:p>
        </w:tc>
        <w:tc>
          <w:tcPr>
            <w:tcW w:w="616" w:type="pct"/>
            <w:shd w:val="clear" w:color="auto" w:fill="auto"/>
            <w:vAlign w:val="center"/>
          </w:tcPr>
          <w:p w:rsidR="00A3387B" w:rsidRPr="009C5C54" w:rsidRDefault="00A3387B" w:rsidP="00C72823">
            <w:pPr>
              <w:pStyle w:val="TableText0"/>
              <w:jc w:val="center"/>
            </w:pPr>
            <w:r w:rsidRPr="009C5C54">
              <w:t>High</w:t>
            </w:r>
          </w:p>
        </w:tc>
        <w:tc>
          <w:tcPr>
            <w:tcW w:w="1267" w:type="pct"/>
            <w:shd w:val="clear" w:color="auto" w:fill="auto"/>
            <w:vAlign w:val="center"/>
          </w:tcPr>
          <w:p w:rsidR="00A3387B" w:rsidRPr="009C5C54" w:rsidRDefault="00A3387B" w:rsidP="00C72823">
            <w:pPr>
              <w:pStyle w:val="TableText0"/>
              <w:jc w:val="center"/>
            </w:pPr>
            <w:r w:rsidRPr="009C5C54">
              <w:t>CPP</w:t>
            </w:r>
          </w:p>
        </w:tc>
        <w:tc>
          <w:tcPr>
            <w:tcW w:w="1160" w:type="pct"/>
            <w:shd w:val="clear" w:color="auto" w:fill="auto"/>
            <w:vAlign w:val="center"/>
          </w:tcPr>
          <w:p w:rsidR="00A3387B" w:rsidRPr="009C5C54" w:rsidRDefault="00A3387B" w:rsidP="00C72823">
            <w:pPr>
              <w:pStyle w:val="TableText0"/>
            </w:pPr>
            <w:r w:rsidRPr="009C5C54">
              <w:t>LH suppression/ mean LH</w:t>
            </w:r>
          </w:p>
        </w:tc>
      </w:tr>
    </w:tbl>
    <w:p w:rsidR="00A3387B" w:rsidRPr="009C5C54" w:rsidRDefault="00A3387B" w:rsidP="00A3387B">
      <w:pPr>
        <w:pStyle w:val="TableFigureFooter"/>
      </w:pPr>
      <w:r w:rsidRPr="009C5C54">
        <w:t>Source: pp37-42 of the submission.</w:t>
      </w:r>
    </w:p>
    <w:p w:rsidR="00A3387B" w:rsidRPr="009C5C54" w:rsidRDefault="00A3387B" w:rsidP="00A3387B">
      <w:pPr>
        <w:pStyle w:val="TableFigureFooter"/>
        <w:rPr>
          <w:szCs w:val="18"/>
        </w:rPr>
      </w:pPr>
      <w:r w:rsidRPr="009C5C54">
        <w:t>DB = double blind; Ext = extension study;</w:t>
      </w:r>
      <w:r w:rsidR="0088659B" w:rsidRPr="009C5C54">
        <w:t xml:space="preserve"> CPP = central precocious puberty;</w:t>
      </w:r>
      <w:r w:rsidRPr="009C5C54">
        <w:t xml:space="preserve"> LH = luteinising hormone; MC = multi-centre; OL = open label; OS = overall survival; PFS = progression-free survival; R = randomised. SAS = single arm study</w:t>
      </w:r>
    </w:p>
    <w:p w:rsidR="00A3387B" w:rsidRPr="009C5C54" w:rsidRDefault="00A3387B" w:rsidP="00A3387B">
      <w:pPr>
        <w:pStyle w:val="3-BodyText"/>
        <w:rPr>
          <w:iCs/>
        </w:rPr>
      </w:pPr>
      <w:r w:rsidRPr="009C5C54">
        <w:rPr>
          <w:iCs/>
        </w:rPr>
        <w:t>All three included studies had a high risk of bias. Study 301</w:t>
      </w:r>
      <w:r w:rsidR="00FE372A" w:rsidRPr="009C5C54">
        <w:rPr>
          <w:iCs/>
        </w:rPr>
        <w:t xml:space="preserve"> (the triptorelin study)</w:t>
      </w:r>
      <w:r w:rsidRPr="009C5C54">
        <w:rPr>
          <w:iCs/>
        </w:rPr>
        <w:t xml:space="preserve"> was </w:t>
      </w:r>
      <w:r w:rsidR="007867F3" w:rsidRPr="009C5C54">
        <w:rPr>
          <w:iCs/>
        </w:rPr>
        <w:t>a</w:t>
      </w:r>
      <w:r w:rsidR="00FE372A" w:rsidRPr="009C5C54">
        <w:rPr>
          <w:iCs/>
        </w:rPr>
        <w:t xml:space="preserve"> single-arm,</w:t>
      </w:r>
      <w:r w:rsidR="007867F3" w:rsidRPr="009C5C54">
        <w:rPr>
          <w:iCs/>
        </w:rPr>
        <w:t xml:space="preserve"> </w:t>
      </w:r>
      <w:r w:rsidRPr="009C5C54">
        <w:rPr>
          <w:iCs/>
        </w:rPr>
        <w:t>no</w:t>
      </w:r>
      <w:r w:rsidR="007867F3" w:rsidRPr="009C5C54">
        <w:rPr>
          <w:iCs/>
        </w:rPr>
        <w:t>n-</w:t>
      </w:r>
      <w:r w:rsidRPr="009C5C54">
        <w:rPr>
          <w:iCs/>
        </w:rPr>
        <w:t>randomised, non-comparative study.</w:t>
      </w:r>
      <w:r w:rsidR="00FA2715" w:rsidRPr="009C5C54">
        <w:rPr>
          <w:iCs/>
        </w:rPr>
        <w:t xml:space="preserve"> </w:t>
      </w:r>
    </w:p>
    <w:p w:rsidR="00A3387B" w:rsidRPr="009C5C54" w:rsidRDefault="00A3387B" w:rsidP="00A3387B">
      <w:pPr>
        <w:pStyle w:val="3-BodyText"/>
        <w:rPr>
          <w:i/>
          <w:iCs/>
        </w:rPr>
      </w:pPr>
      <w:r w:rsidRPr="009C5C54">
        <w:t xml:space="preserve">Lee (2012) was a randomised open label dose finding trial, comparing </w:t>
      </w:r>
      <w:r w:rsidR="00975F73" w:rsidRPr="009C5C54">
        <w:t>3-month</w:t>
      </w:r>
      <w:r w:rsidRPr="009C5C54">
        <w:t>, 11.5</w:t>
      </w:r>
      <w:r w:rsidR="007867F3" w:rsidRPr="009C5C54">
        <w:t xml:space="preserve"> </w:t>
      </w:r>
      <w:r w:rsidRPr="009C5C54">
        <w:t xml:space="preserve">mg depot of leuprorelin </w:t>
      </w:r>
      <w:r w:rsidR="0040081E" w:rsidRPr="009C5C54">
        <w:t xml:space="preserve">to </w:t>
      </w:r>
      <w:r w:rsidRPr="009C5C54">
        <w:t xml:space="preserve">a 3 month, 30mg depot of leuprorelin, and Lee (2014) was its extension study. </w:t>
      </w:r>
      <w:r w:rsidRPr="009C5C54">
        <w:rPr>
          <w:iCs/>
        </w:rPr>
        <w:t xml:space="preserve">Lee (2012 and 2014) formed the basis of the leuprorelin listing on the PBS in 2014 (Leuprorelin </w:t>
      </w:r>
      <w:r w:rsidR="00593BA5">
        <w:rPr>
          <w:iCs/>
        </w:rPr>
        <w:t>Public Summary Document (</w:t>
      </w:r>
      <w:r w:rsidRPr="009C5C54">
        <w:rPr>
          <w:iCs/>
        </w:rPr>
        <w:t>PSD</w:t>
      </w:r>
      <w:r w:rsidR="00593BA5">
        <w:rPr>
          <w:iCs/>
        </w:rPr>
        <w:t>)</w:t>
      </w:r>
      <w:r w:rsidRPr="009C5C54">
        <w:rPr>
          <w:iCs/>
        </w:rPr>
        <w:t xml:space="preserve">, November 2014). The leuprorelin submission had considered that based on the observation that there were more patients in the 30mg treatment group than the 11.25mg treatment group who achieved suppression of peak stimulated LH levels, leuprorelin 30mg would be significantly better than no active treatment in suppressing LH levels (paragraph 6.9, Leuprorelin PSD, November 2014). As an open label trial that was not placebo controlled, this trial also had a high risk of bias. </w:t>
      </w:r>
    </w:p>
    <w:p w:rsidR="00A3387B" w:rsidRPr="009C5C54" w:rsidRDefault="00A3387B" w:rsidP="00A3387B">
      <w:pPr>
        <w:pStyle w:val="4-SubsectionHeading"/>
      </w:pPr>
      <w:bookmarkStart w:id="13" w:name="_Toc22897641"/>
      <w:bookmarkStart w:id="14" w:name="_Toc72247593"/>
      <w:r w:rsidRPr="009C5C54">
        <w:t>Comparative effectiveness</w:t>
      </w:r>
      <w:bookmarkEnd w:id="13"/>
      <w:bookmarkEnd w:id="14"/>
    </w:p>
    <w:p w:rsidR="00A3387B" w:rsidRPr="009C5C54" w:rsidRDefault="00770DAC" w:rsidP="00A3387B">
      <w:pPr>
        <w:pStyle w:val="3-BodyText"/>
      </w:pPr>
      <w:r w:rsidRPr="009C5C54">
        <w:t xml:space="preserve">Table 3 </w:t>
      </w:r>
      <w:r w:rsidR="00A3387B" w:rsidRPr="009C5C54">
        <w:t xml:space="preserve">presents the submission’s naïve comparison of the Study 301, Lee 2012 and Lee 2014 study arms for </w:t>
      </w:r>
      <w:r w:rsidR="007867F3" w:rsidRPr="009C5C54">
        <w:t>m</w:t>
      </w:r>
      <w:r w:rsidR="00A3387B" w:rsidRPr="009C5C54">
        <w:t>ean luteinising hormone (LH) level and proportion of patients maintaining LH suppression at various time</w:t>
      </w:r>
      <w:r w:rsidR="007B5D7F" w:rsidRPr="009C5C54">
        <w:t xml:space="preserve"> </w:t>
      </w:r>
      <w:r w:rsidR="00A3387B" w:rsidRPr="009C5C54">
        <w:t xml:space="preserve">points. </w:t>
      </w:r>
    </w:p>
    <w:p w:rsidR="00C61C12" w:rsidRDefault="00C61C12">
      <w:pPr>
        <w:jc w:val="left"/>
        <w:rPr>
          <w:rStyle w:val="CommentReference"/>
          <w:rFonts w:eastAsiaTheme="majorEastAsia" w:cstheme="majorBidi"/>
          <w:bCs/>
          <w:szCs w:val="24"/>
        </w:rPr>
      </w:pPr>
      <w:bookmarkStart w:id="15" w:name="_Ref71297008"/>
      <w:r>
        <w:rPr>
          <w:rStyle w:val="CommentReference"/>
          <w:b w:val="0"/>
          <w:szCs w:val="24"/>
        </w:rPr>
        <w:br w:type="page"/>
      </w:r>
    </w:p>
    <w:p w:rsidR="00A3387B" w:rsidRPr="009C5C54" w:rsidRDefault="00A3387B" w:rsidP="00A3387B">
      <w:pPr>
        <w:pStyle w:val="TableFigureHeading"/>
      </w:pPr>
      <w:r w:rsidRPr="009C5C54">
        <w:rPr>
          <w:rStyle w:val="CommentReference"/>
          <w:b/>
          <w:szCs w:val="24"/>
        </w:rPr>
        <w:t xml:space="preserve">Table </w:t>
      </w:r>
      <w:r w:rsidR="009E4996" w:rsidRPr="009C5C54">
        <w:rPr>
          <w:rStyle w:val="CommentReference"/>
          <w:b/>
          <w:szCs w:val="24"/>
        </w:rPr>
        <w:t>3</w:t>
      </w:r>
      <w:bookmarkEnd w:id="15"/>
      <w:r w:rsidRPr="009C5C54">
        <w:rPr>
          <w:rStyle w:val="CommentReference"/>
          <w:b/>
          <w:szCs w:val="24"/>
        </w:rPr>
        <w:t xml:space="preserve">: </w:t>
      </w:r>
      <w:r w:rsidRPr="009C5C54">
        <w:rPr>
          <w:rStyle w:val="CaptionChar"/>
          <w:b/>
          <w:bCs/>
          <w:snapToGrid/>
          <w:color w:val="auto"/>
          <w:sz w:val="20"/>
          <w:szCs w:val="24"/>
          <w:lang w:eastAsia="en-AU"/>
        </w:rPr>
        <w:t>Comparison of mean LH levels and proportion maintaining LH suppression across studies</w:t>
      </w:r>
    </w:p>
    <w:tbl>
      <w:tblPr>
        <w:tblStyle w:val="TableGrid"/>
        <w:tblW w:w="5000" w:type="pct"/>
        <w:tblInd w:w="-5" w:type="dxa"/>
        <w:tblCellMar>
          <w:left w:w="29" w:type="dxa"/>
          <w:right w:w="29" w:type="dxa"/>
        </w:tblCellMar>
        <w:tblLook w:val="04A0" w:firstRow="1" w:lastRow="0" w:firstColumn="1" w:lastColumn="0" w:noHBand="0" w:noVBand="1"/>
        <w:tblCaption w:val="Table 3: Comparison of mean LH levels and proportion maintaining LH suppression across studies"/>
      </w:tblPr>
      <w:tblGrid>
        <w:gridCol w:w="1159"/>
        <w:gridCol w:w="1991"/>
        <w:gridCol w:w="1892"/>
        <w:gridCol w:w="1980"/>
        <w:gridCol w:w="1995"/>
      </w:tblGrid>
      <w:tr w:rsidR="00A3387B" w:rsidRPr="009C5C54" w:rsidTr="006537E2">
        <w:trPr>
          <w:trHeight w:val="300"/>
          <w:tblHeader/>
        </w:trPr>
        <w:tc>
          <w:tcPr>
            <w:tcW w:w="1747" w:type="pct"/>
            <w:gridSpan w:val="2"/>
          </w:tcPr>
          <w:p w:rsidR="00A3387B" w:rsidRPr="009C5C54" w:rsidRDefault="00A3387B" w:rsidP="00C72823">
            <w:pPr>
              <w:pStyle w:val="Tabletext"/>
              <w:rPr>
                <w:b/>
                <w:bCs/>
              </w:rPr>
            </w:pPr>
          </w:p>
        </w:tc>
        <w:tc>
          <w:tcPr>
            <w:tcW w:w="1049" w:type="pct"/>
            <w:vAlign w:val="center"/>
          </w:tcPr>
          <w:p w:rsidR="00A3387B" w:rsidRPr="009C5C54" w:rsidRDefault="00A3387B" w:rsidP="004C6AB5">
            <w:pPr>
              <w:pStyle w:val="Tabletext"/>
              <w:jc w:val="center"/>
              <w:rPr>
                <w:b/>
                <w:bCs/>
              </w:rPr>
            </w:pPr>
            <w:r w:rsidRPr="009C5C54">
              <w:rPr>
                <w:b/>
                <w:bCs/>
              </w:rPr>
              <w:t>Triptorelin 22.5mg</w:t>
            </w:r>
          </w:p>
          <w:p w:rsidR="00A3387B" w:rsidRPr="009C5C54" w:rsidRDefault="00A3387B" w:rsidP="004C6AB5">
            <w:pPr>
              <w:pStyle w:val="Tabletext"/>
              <w:jc w:val="center"/>
              <w:rPr>
                <w:b/>
                <w:bCs/>
              </w:rPr>
            </w:pPr>
            <w:r w:rsidRPr="009C5C54">
              <w:rPr>
                <w:rStyle w:val="CaptionChar"/>
                <w:snapToGrid w:val="0"/>
                <w:color w:val="auto"/>
                <w:sz w:val="20"/>
                <w:szCs w:val="24"/>
                <w:lang w:eastAsia="en-AU"/>
              </w:rPr>
              <w:t>(LH ≤4 IU/L)</w:t>
            </w:r>
          </w:p>
        </w:tc>
        <w:tc>
          <w:tcPr>
            <w:tcW w:w="1098" w:type="pct"/>
          </w:tcPr>
          <w:p w:rsidR="00A3387B" w:rsidRPr="009C5C54" w:rsidRDefault="00A3387B" w:rsidP="00C72823">
            <w:pPr>
              <w:pStyle w:val="Tabletext"/>
              <w:jc w:val="center"/>
              <w:rPr>
                <w:b/>
                <w:bCs/>
              </w:rPr>
            </w:pPr>
            <w:r w:rsidRPr="009C5C54">
              <w:rPr>
                <w:b/>
                <w:bCs/>
              </w:rPr>
              <w:t>Leuprorelin 30 mg - Treatment Naïve</w:t>
            </w:r>
          </w:p>
          <w:p w:rsidR="00A3387B" w:rsidRPr="009C5C54" w:rsidRDefault="00A3387B" w:rsidP="00C72823">
            <w:pPr>
              <w:pStyle w:val="Tabletext"/>
              <w:jc w:val="center"/>
              <w:rPr>
                <w:b/>
                <w:bCs/>
              </w:rPr>
            </w:pPr>
            <w:r w:rsidRPr="009C5C54">
              <w:rPr>
                <w:rStyle w:val="CaptionChar"/>
                <w:snapToGrid w:val="0"/>
                <w:color w:val="auto"/>
                <w:sz w:val="20"/>
                <w:szCs w:val="24"/>
                <w:lang w:eastAsia="en-AU"/>
              </w:rPr>
              <w:t>(LH &lt;4 IU/L)</w:t>
            </w:r>
          </w:p>
        </w:tc>
        <w:tc>
          <w:tcPr>
            <w:tcW w:w="1106" w:type="pct"/>
          </w:tcPr>
          <w:p w:rsidR="00A3387B" w:rsidRPr="009C5C54" w:rsidRDefault="00A3387B" w:rsidP="00C72823">
            <w:pPr>
              <w:pStyle w:val="Tabletext"/>
              <w:jc w:val="center"/>
              <w:rPr>
                <w:b/>
                <w:bCs/>
              </w:rPr>
            </w:pPr>
            <w:r w:rsidRPr="009C5C54">
              <w:rPr>
                <w:b/>
                <w:bCs/>
              </w:rPr>
              <w:t>Leuprorelin 30 mg - Extension Study</w:t>
            </w:r>
          </w:p>
          <w:p w:rsidR="00A3387B" w:rsidRPr="009C5C54" w:rsidRDefault="00A3387B" w:rsidP="00C72823">
            <w:pPr>
              <w:pStyle w:val="Tabletext"/>
              <w:jc w:val="center"/>
              <w:rPr>
                <w:b/>
                <w:bCs/>
              </w:rPr>
            </w:pPr>
            <w:r w:rsidRPr="009C5C54">
              <w:rPr>
                <w:rStyle w:val="CaptionChar"/>
                <w:snapToGrid w:val="0"/>
                <w:color w:val="auto"/>
                <w:sz w:val="20"/>
                <w:szCs w:val="24"/>
                <w:lang w:eastAsia="en-AU"/>
              </w:rPr>
              <w:t>(LH &lt;4 IU/L)</w:t>
            </w:r>
          </w:p>
        </w:tc>
      </w:tr>
      <w:tr w:rsidR="00A3387B" w:rsidRPr="009C5C54" w:rsidTr="004C6AB5">
        <w:trPr>
          <w:trHeight w:val="71"/>
        </w:trPr>
        <w:tc>
          <w:tcPr>
            <w:tcW w:w="1747" w:type="pct"/>
            <w:gridSpan w:val="2"/>
          </w:tcPr>
          <w:p w:rsidR="00A3387B" w:rsidRPr="009C5C54" w:rsidRDefault="00A3387B" w:rsidP="00C72823">
            <w:pPr>
              <w:pStyle w:val="Tabletext"/>
            </w:pPr>
            <w:r w:rsidRPr="009C5C54">
              <w:t>Mean luteinising hormone level across time points (95% CI)</w:t>
            </w:r>
          </w:p>
        </w:tc>
        <w:tc>
          <w:tcPr>
            <w:tcW w:w="1049" w:type="pct"/>
            <w:vAlign w:val="center"/>
          </w:tcPr>
          <w:p w:rsidR="00A3387B" w:rsidRPr="009C5C54" w:rsidRDefault="00A3387B" w:rsidP="004C6AB5">
            <w:pPr>
              <w:pStyle w:val="Tabletext"/>
              <w:jc w:val="center"/>
            </w:pPr>
            <w:r w:rsidRPr="009C5C54">
              <w:t>2.37 (1.44 - 3.29)</w:t>
            </w:r>
          </w:p>
        </w:tc>
        <w:tc>
          <w:tcPr>
            <w:tcW w:w="1098" w:type="pct"/>
            <w:vAlign w:val="center"/>
          </w:tcPr>
          <w:p w:rsidR="00A3387B" w:rsidRPr="009C5C54" w:rsidRDefault="00A3387B" w:rsidP="004C6AB5">
            <w:pPr>
              <w:pStyle w:val="Tabletext"/>
              <w:jc w:val="center"/>
            </w:pPr>
            <w:r w:rsidRPr="009C5C54">
              <w:t>1.73 (1.29 - 2.16)</w:t>
            </w:r>
          </w:p>
        </w:tc>
        <w:tc>
          <w:tcPr>
            <w:tcW w:w="1106" w:type="pct"/>
            <w:vAlign w:val="center"/>
          </w:tcPr>
          <w:p w:rsidR="00A3387B" w:rsidRPr="009C5C54" w:rsidRDefault="00A3387B" w:rsidP="004C6AB5">
            <w:pPr>
              <w:pStyle w:val="Tabletext"/>
              <w:jc w:val="center"/>
            </w:pPr>
            <w:r w:rsidRPr="009C5C54">
              <w:t>1.27 (0.92 - 1.62)</w:t>
            </w:r>
          </w:p>
        </w:tc>
      </w:tr>
      <w:tr w:rsidR="004C6AB5" w:rsidRPr="009C5C54" w:rsidTr="00984428">
        <w:trPr>
          <w:trHeight w:val="71"/>
        </w:trPr>
        <w:tc>
          <w:tcPr>
            <w:tcW w:w="643" w:type="pct"/>
          </w:tcPr>
          <w:p w:rsidR="004C6AB5" w:rsidRPr="009C5C54" w:rsidRDefault="004C6AB5" w:rsidP="004C6AB5">
            <w:pPr>
              <w:pStyle w:val="Tabletext"/>
            </w:pPr>
            <w:r w:rsidRPr="009C5C54">
              <w:t>Pre-study/baseline</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27.21 (20.56)</w:t>
            </w:r>
          </w:p>
        </w:tc>
        <w:tc>
          <w:tcPr>
            <w:tcW w:w="1098" w:type="pct"/>
            <w:vAlign w:val="center"/>
          </w:tcPr>
          <w:p w:rsidR="004C6AB5" w:rsidRPr="009C5C54" w:rsidRDefault="004C6AB5" w:rsidP="004C6AB5">
            <w:pPr>
              <w:pStyle w:val="Tabletext"/>
              <w:keepNext/>
              <w:jc w:val="center"/>
            </w:pPr>
            <w:r w:rsidRPr="009C5C54">
              <w:t>21</w:t>
            </w:r>
          </w:p>
          <w:p w:rsidR="004C6AB5" w:rsidRPr="009C5C54" w:rsidRDefault="004C6AB5" w:rsidP="004C6AB5">
            <w:pPr>
              <w:pStyle w:val="Tabletext"/>
              <w:jc w:val="center"/>
            </w:pPr>
            <w:r w:rsidRPr="009C5C54">
              <w:t>23.5 (16.76)</w:t>
            </w:r>
          </w:p>
        </w:tc>
        <w:tc>
          <w:tcPr>
            <w:tcW w:w="1106" w:type="pct"/>
            <w:vAlign w:val="center"/>
          </w:tcPr>
          <w:p w:rsidR="004C6AB5" w:rsidRPr="009C5C54" w:rsidRDefault="004C6AB5" w:rsidP="004C6AB5">
            <w:pPr>
              <w:pStyle w:val="Tabletext"/>
              <w:keepNext/>
              <w:jc w:val="center"/>
            </w:pPr>
            <w:r w:rsidRPr="009C5C54">
              <w:t>38</w:t>
            </w:r>
          </w:p>
          <w:p w:rsidR="004C6AB5" w:rsidRPr="009C5C54" w:rsidRDefault="004C6AB5" w:rsidP="004C6AB5">
            <w:pPr>
              <w:pStyle w:val="Tabletext"/>
              <w:jc w:val="center"/>
            </w:pPr>
            <w:r w:rsidRPr="009C5C54">
              <w:t>10.16 (12.66)</w:t>
            </w:r>
          </w:p>
        </w:tc>
      </w:tr>
      <w:tr w:rsidR="004C6AB5" w:rsidRPr="009C5C54" w:rsidTr="00984428">
        <w:trPr>
          <w:trHeight w:val="50"/>
        </w:trPr>
        <w:tc>
          <w:tcPr>
            <w:tcW w:w="643" w:type="pct"/>
          </w:tcPr>
          <w:p w:rsidR="004C6AB5" w:rsidRPr="009C5C54" w:rsidRDefault="004C6AB5" w:rsidP="004C6AB5">
            <w:pPr>
              <w:pStyle w:val="Tabletext"/>
            </w:pPr>
            <w:r w:rsidRPr="009C5C54">
              <w:t>Day 1</w:t>
            </w:r>
          </w:p>
        </w:tc>
        <w:tc>
          <w:tcPr>
            <w:tcW w:w="1104" w:type="pct"/>
            <w:noWrap/>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jc w:val="center"/>
            </w:pPr>
            <w:r w:rsidRPr="009C5C54">
              <w:t>NA</w:t>
            </w:r>
          </w:p>
        </w:tc>
        <w:tc>
          <w:tcPr>
            <w:tcW w:w="1098" w:type="pct"/>
            <w:vAlign w:val="center"/>
          </w:tcPr>
          <w:p w:rsidR="004C6AB5" w:rsidRPr="009C5C54" w:rsidRDefault="004C6AB5" w:rsidP="004C6AB5">
            <w:pPr>
              <w:pStyle w:val="Tabletext"/>
              <w:jc w:val="center"/>
            </w:pPr>
            <w:r w:rsidRPr="009C5C54">
              <w:t>NA</w:t>
            </w:r>
          </w:p>
        </w:tc>
        <w:tc>
          <w:tcPr>
            <w:tcW w:w="1106" w:type="pct"/>
            <w:vAlign w:val="center"/>
          </w:tcPr>
          <w:p w:rsidR="004C6AB5" w:rsidRPr="009C5C54" w:rsidRDefault="004C6AB5" w:rsidP="004C6AB5">
            <w:pPr>
              <w:pStyle w:val="Tabletext"/>
              <w:keepNext/>
              <w:jc w:val="center"/>
            </w:pPr>
            <w:r w:rsidRPr="009C5C54">
              <w:t>37</w:t>
            </w:r>
          </w:p>
          <w:p w:rsidR="004C6AB5" w:rsidRPr="009C5C54" w:rsidRDefault="004C6AB5" w:rsidP="004C6AB5">
            <w:pPr>
              <w:pStyle w:val="Tabletext"/>
              <w:jc w:val="center"/>
            </w:pPr>
            <w:r w:rsidRPr="009C5C54">
              <w:t>1.49 (0.86)</w:t>
            </w:r>
          </w:p>
        </w:tc>
      </w:tr>
      <w:tr w:rsidR="004C6AB5" w:rsidRPr="009C5C54" w:rsidTr="00984428">
        <w:trPr>
          <w:trHeight w:val="50"/>
        </w:trPr>
        <w:tc>
          <w:tcPr>
            <w:tcW w:w="643" w:type="pct"/>
          </w:tcPr>
          <w:p w:rsidR="004C6AB5" w:rsidRPr="009C5C54" w:rsidRDefault="004C6AB5" w:rsidP="004C6AB5">
            <w:pPr>
              <w:pStyle w:val="Tabletext"/>
            </w:pPr>
            <w:r w:rsidRPr="009C5C54">
              <w:t>Month 1</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2.00 (2.94)</w:t>
            </w:r>
          </w:p>
        </w:tc>
        <w:tc>
          <w:tcPr>
            <w:tcW w:w="1098" w:type="pct"/>
            <w:vAlign w:val="center"/>
          </w:tcPr>
          <w:p w:rsidR="004C6AB5" w:rsidRPr="009C5C54" w:rsidRDefault="004C6AB5" w:rsidP="004C6AB5">
            <w:pPr>
              <w:pStyle w:val="Tabletext"/>
              <w:keepNext/>
              <w:jc w:val="center"/>
            </w:pPr>
            <w:r w:rsidRPr="009C5C54">
              <w:t>21</w:t>
            </w:r>
          </w:p>
          <w:p w:rsidR="004C6AB5" w:rsidRPr="009C5C54" w:rsidRDefault="004C6AB5" w:rsidP="004C6AB5">
            <w:pPr>
              <w:pStyle w:val="Tabletext"/>
              <w:jc w:val="center"/>
            </w:pPr>
            <w:r w:rsidRPr="009C5C54">
              <w:t>1.9 (1.74)</w:t>
            </w:r>
          </w:p>
        </w:tc>
        <w:tc>
          <w:tcPr>
            <w:tcW w:w="1106" w:type="pct"/>
            <w:vAlign w:val="center"/>
          </w:tcPr>
          <w:p w:rsidR="004C6AB5" w:rsidRPr="009C5C54" w:rsidRDefault="004C6AB5" w:rsidP="004C6AB5">
            <w:pPr>
              <w:pStyle w:val="Tabletext"/>
              <w:jc w:val="center"/>
            </w:pPr>
            <w:r w:rsidRPr="009C5C54">
              <w:t>NA</w:t>
            </w:r>
          </w:p>
        </w:tc>
      </w:tr>
      <w:tr w:rsidR="004C6AB5" w:rsidRPr="009C5C54" w:rsidTr="00984428">
        <w:trPr>
          <w:trHeight w:val="50"/>
        </w:trPr>
        <w:tc>
          <w:tcPr>
            <w:tcW w:w="643" w:type="pct"/>
          </w:tcPr>
          <w:p w:rsidR="004C6AB5" w:rsidRPr="009C5C54" w:rsidRDefault="004C6AB5" w:rsidP="004C6AB5">
            <w:pPr>
              <w:pStyle w:val="Tabletext"/>
            </w:pPr>
            <w:r w:rsidRPr="009C5C54">
              <w:t>Month 2</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1.96 (4.43)</w:t>
            </w:r>
          </w:p>
        </w:tc>
        <w:tc>
          <w:tcPr>
            <w:tcW w:w="1098" w:type="pct"/>
            <w:vAlign w:val="center"/>
          </w:tcPr>
          <w:p w:rsidR="004C6AB5" w:rsidRPr="009C5C54" w:rsidRDefault="004C6AB5" w:rsidP="004C6AB5">
            <w:pPr>
              <w:pStyle w:val="Tabletext"/>
              <w:keepNext/>
              <w:jc w:val="center"/>
            </w:pPr>
            <w:r w:rsidRPr="009C5C54">
              <w:t>21</w:t>
            </w:r>
          </w:p>
          <w:p w:rsidR="004C6AB5" w:rsidRPr="009C5C54" w:rsidRDefault="004C6AB5" w:rsidP="004C6AB5">
            <w:pPr>
              <w:pStyle w:val="Tabletext"/>
              <w:jc w:val="center"/>
            </w:pPr>
            <w:r w:rsidRPr="009C5C54">
              <w:t>2.0 (2.25)</w:t>
            </w:r>
          </w:p>
        </w:tc>
        <w:tc>
          <w:tcPr>
            <w:tcW w:w="1106" w:type="pct"/>
            <w:vAlign w:val="center"/>
          </w:tcPr>
          <w:p w:rsidR="004C6AB5" w:rsidRPr="009C5C54" w:rsidRDefault="004C6AB5" w:rsidP="004C6AB5">
            <w:pPr>
              <w:pStyle w:val="Tabletext"/>
              <w:jc w:val="center"/>
            </w:pPr>
            <w:r w:rsidRPr="009C5C54">
              <w:t>NA</w:t>
            </w:r>
          </w:p>
        </w:tc>
      </w:tr>
      <w:tr w:rsidR="004C6AB5" w:rsidRPr="009C5C54" w:rsidTr="00984428">
        <w:trPr>
          <w:trHeight w:val="224"/>
        </w:trPr>
        <w:tc>
          <w:tcPr>
            <w:tcW w:w="643" w:type="pct"/>
          </w:tcPr>
          <w:p w:rsidR="004C6AB5" w:rsidRPr="009C5C54" w:rsidRDefault="004C6AB5" w:rsidP="004C6AB5">
            <w:pPr>
              <w:pStyle w:val="Tabletext"/>
            </w:pPr>
            <w:r w:rsidRPr="009C5C54">
              <w:t>Month 3</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2.04 (1.45)</w:t>
            </w:r>
          </w:p>
        </w:tc>
        <w:tc>
          <w:tcPr>
            <w:tcW w:w="1098" w:type="pct"/>
            <w:vAlign w:val="center"/>
          </w:tcPr>
          <w:p w:rsidR="004C6AB5" w:rsidRPr="009C5C54" w:rsidRDefault="004C6AB5" w:rsidP="004C6AB5">
            <w:pPr>
              <w:pStyle w:val="Tabletext"/>
              <w:keepNext/>
              <w:jc w:val="center"/>
            </w:pPr>
            <w:r w:rsidRPr="009C5C54">
              <w:t>20</w:t>
            </w:r>
          </w:p>
          <w:p w:rsidR="004C6AB5" w:rsidRPr="009C5C54" w:rsidRDefault="004C6AB5" w:rsidP="004C6AB5">
            <w:pPr>
              <w:pStyle w:val="Tabletext"/>
              <w:jc w:val="center"/>
            </w:pPr>
            <w:r w:rsidRPr="009C5C54">
              <w:t>1.4 (0.78)</w:t>
            </w:r>
          </w:p>
        </w:tc>
        <w:tc>
          <w:tcPr>
            <w:tcW w:w="1106" w:type="pct"/>
            <w:vAlign w:val="center"/>
          </w:tcPr>
          <w:p w:rsidR="004C6AB5" w:rsidRPr="009C5C54" w:rsidRDefault="004C6AB5" w:rsidP="004C6AB5">
            <w:pPr>
              <w:pStyle w:val="Tabletext"/>
              <w:jc w:val="center"/>
            </w:pPr>
            <w:r w:rsidRPr="009C5C54">
              <w:t>NA</w:t>
            </w:r>
          </w:p>
        </w:tc>
      </w:tr>
      <w:tr w:rsidR="004C6AB5" w:rsidRPr="009C5C54" w:rsidTr="00984428">
        <w:trPr>
          <w:trHeight w:val="89"/>
        </w:trPr>
        <w:tc>
          <w:tcPr>
            <w:tcW w:w="643" w:type="pct"/>
          </w:tcPr>
          <w:p w:rsidR="004C6AB5" w:rsidRPr="009C5C54" w:rsidRDefault="004C6AB5" w:rsidP="004C6AB5">
            <w:pPr>
              <w:pStyle w:val="Tabletext"/>
            </w:pPr>
            <w:r w:rsidRPr="009C5C54">
              <w:t>Month 6</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4.16 (12.26)</w:t>
            </w:r>
          </w:p>
        </w:tc>
        <w:tc>
          <w:tcPr>
            <w:tcW w:w="1098" w:type="pct"/>
            <w:vAlign w:val="center"/>
          </w:tcPr>
          <w:p w:rsidR="004C6AB5" w:rsidRPr="009C5C54" w:rsidRDefault="004C6AB5" w:rsidP="004C6AB5">
            <w:pPr>
              <w:pStyle w:val="Tabletext"/>
              <w:keepNext/>
              <w:jc w:val="center"/>
            </w:pPr>
            <w:r w:rsidRPr="009C5C54">
              <w:t>18</w:t>
            </w:r>
          </w:p>
          <w:p w:rsidR="004C6AB5" w:rsidRPr="009C5C54" w:rsidRDefault="004C6AB5" w:rsidP="004C6AB5">
            <w:pPr>
              <w:pStyle w:val="Tabletext"/>
              <w:jc w:val="center"/>
            </w:pPr>
            <w:r w:rsidRPr="009C5C54">
              <w:t>1.6 (0.95)</w:t>
            </w:r>
          </w:p>
        </w:tc>
        <w:tc>
          <w:tcPr>
            <w:tcW w:w="1106" w:type="pct"/>
            <w:vAlign w:val="center"/>
          </w:tcPr>
          <w:p w:rsidR="004C6AB5" w:rsidRPr="009C5C54" w:rsidRDefault="004C6AB5" w:rsidP="004C6AB5">
            <w:pPr>
              <w:pStyle w:val="Tabletext"/>
              <w:keepNext/>
              <w:jc w:val="center"/>
            </w:pPr>
            <w:r w:rsidRPr="009C5C54">
              <w:t>36</w:t>
            </w:r>
          </w:p>
          <w:p w:rsidR="004C6AB5" w:rsidRPr="009C5C54" w:rsidRDefault="004C6AB5" w:rsidP="004C6AB5">
            <w:pPr>
              <w:pStyle w:val="Tabletext"/>
              <w:jc w:val="center"/>
            </w:pPr>
            <w:r w:rsidRPr="009C5C54">
              <w:t>1.62 (0.82)</w:t>
            </w:r>
          </w:p>
        </w:tc>
      </w:tr>
      <w:tr w:rsidR="004C6AB5" w:rsidRPr="009C5C54" w:rsidTr="00984428">
        <w:trPr>
          <w:trHeight w:val="72"/>
        </w:trPr>
        <w:tc>
          <w:tcPr>
            <w:tcW w:w="643" w:type="pct"/>
          </w:tcPr>
          <w:p w:rsidR="004C6AB5" w:rsidRPr="009C5C54" w:rsidRDefault="004C6AB5" w:rsidP="004C6AB5">
            <w:pPr>
              <w:pStyle w:val="Tabletext"/>
            </w:pPr>
            <w:r w:rsidRPr="009C5C54">
              <w:t>Month 9</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1.97 (1.42)</w:t>
            </w:r>
          </w:p>
        </w:tc>
        <w:tc>
          <w:tcPr>
            <w:tcW w:w="1098" w:type="pct"/>
            <w:vAlign w:val="center"/>
          </w:tcPr>
          <w:p w:rsidR="004C6AB5" w:rsidRPr="009C5C54" w:rsidRDefault="004C6AB5" w:rsidP="004C6AB5">
            <w:pPr>
              <w:pStyle w:val="Tabletext"/>
              <w:jc w:val="center"/>
            </w:pPr>
            <w:r w:rsidRPr="009C5C54">
              <w:t>NA</w:t>
            </w:r>
          </w:p>
        </w:tc>
        <w:tc>
          <w:tcPr>
            <w:tcW w:w="1106" w:type="pct"/>
            <w:vAlign w:val="center"/>
          </w:tcPr>
          <w:p w:rsidR="004C6AB5" w:rsidRPr="009C5C54" w:rsidRDefault="004C6AB5" w:rsidP="004C6AB5">
            <w:pPr>
              <w:pStyle w:val="Tabletext"/>
              <w:jc w:val="center"/>
            </w:pPr>
            <w:r w:rsidRPr="009C5C54">
              <w:t>NA</w:t>
            </w:r>
          </w:p>
        </w:tc>
      </w:tr>
      <w:tr w:rsidR="004C6AB5" w:rsidRPr="009C5C54" w:rsidTr="00984428">
        <w:trPr>
          <w:trHeight w:val="72"/>
        </w:trPr>
        <w:tc>
          <w:tcPr>
            <w:tcW w:w="643" w:type="pct"/>
          </w:tcPr>
          <w:p w:rsidR="004C6AB5" w:rsidRPr="009C5C54" w:rsidRDefault="004C6AB5" w:rsidP="004C6AB5">
            <w:pPr>
              <w:pStyle w:val="Tabletext"/>
            </w:pPr>
            <w:r w:rsidRPr="009C5C54">
              <w:t>Month 12</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keepNext/>
              <w:jc w:val="center"/>
            </w:pPr>
            <w:r w:rsidRPr="009C5C54">
              <w:t>44</w:t>
            </w:r>
          </w:p>
          <w:p w:rsidR="004C6AB5" w:rsidRPr="009C5C54" w:rsidRDefault="004C6AB5" w:rsidP="004C6AB5">
            <w:pPr>
              <w:pStyle w:val="Tabletext"/>
              <w:jc w:val="center"/>
            </w:pPr>
            <w:r w:rsidRPr="009C5C54">
              <w:t>2.06 (1.61)</w:t>
            </w:r>
          </w:p>
        </w:tc>
        <w:tc>
          <w:tcPr>
            <w:tcW w:w="1098" w:type="pct"/>
            <w:vAlign w:val="center"/>
          </w:tcPr>
          <w:p w:rsidR="004C6AB5" w:rsidRPr="009C5C54" w:rsidRDefault="004C6AB5" w:rsidP="004C6AB5">
            <w:pPr>
              <w:pStyle w:val="Tabletext"/>
              <w:jc w:val="center"/>
            </w:pPr>
            <w:r w:rsidRPr="009C5C54">
              <w:t>NA</w:t>
            </w:r>
          </w:p>
        </w:tc>
        <w:tc>
          <w:tcPr>
            <w:tcW w:w="1106" w:type="pct"/>
            <w:vAlign w:val="center"/>
          </w:tcPr>
          <w:p w:rsidR="004C6AB5" w:rsidRPr="009C5C54" w:rsidRDefault="004C6AB5" w:rsidP="004C6AB5">
            <w:pPr>
              <w:pStyle w:val="Tabletext"/>
              <w:keepNext/>
              <w:jc w:val="center"/>
            </w:pPr>
            <w:r w:rsidRPr="009C5C54">
              <w:t>32</w:t>
            </w:r>
          </w:p>
          <w:p w:rsidR="004C6AB5" w:rsidRPr="009C5C54" w:rsidRDefault="004C6AB5" w:rsidP="004C6AB5">
            <w:pPr>
              <w:pStyle w:val="Tabletext"/>
              <w:jc w:val="center"/>
            </w:pPr>
            <w:r w:rsidRPr="009C5C54">
              <w:t>1.58 (1.02)</w:t>
            </w:r>
          </w:p>
        </w:tc>
      </w:tr>
      <w:tr w:rsidR="004C6AB5" w:rsidRPr="009C5C54" w:rsidTr="00984428">
        <w:trPr>
          <w:trHeight w:val="134"/>
        </w:trPr>
        <w:tc>
          <w:tcPr>
            <w:tcW w:w="643" w:type="pct"/>
          </w:tcPr>
          <w:p w:rsidR="004C6AB5" w:rsidRPr="009C5C54" w:rsidRDefault="004C6AB5" w:rsidP="004C6AB5">
            <w:pPr>
              <w:pStyle w:val="Tabletext"/>
            </w:pPr>
            <w:r w:rsidRPr="009C5C54">
              <w:t>Month 24</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jc w:val="center"/>
            </w:pPr>
            <w:r w:rsidRPr="009C5C54">
              <w:t>NA</w:t>
            </w:r>
          </w:p>
        </w:tc>
        <w:tc>
          <w:tcPr>
            <w:tcW w:w="1098" w:type="pct"/>
            <w:vAlign w:val="center"/>
          </w:tcPr>
          <w:p w:rsidR="004C6AB5" w:rsidRPr="009C5C54" w:rsidRDefault="004C6AB5" w:rsidP="004C6AB5">
            <w:pPr>
              <w:pStyle w:val="Tabletext"/>
              <w:jc w:val="center"/>
            </w:pPr>
            <w:r w:rsidRPr="009C5C54">
              <w:t>NA</w:t>
            </w:r>
          </w:p>
        </w:tc>
        <w:tc>
          <w:tcPr>
            <w:tcW w:w="1106" w:type="pct"/>
            <w:vAlign w:val="center"/>
          </w:tcPr>
          <w:p w:rsidR="004C6AB5" w:rsidRPr="009C5C54" w:rsidRDefault="004C6AB5" w:rsidP="004C6AB5">
            <w:pPr>
              <w:pStyle w:val="Tabletext"/>
              <w:keepNext/>
              <w:jc w:val="center"/>
            </w:pPr>
            <w:r w:rsidRPr="009C5C54">
              <w:t>18</w:t>
            </w:r>
          </w:p>
          <w:p w:rsidR="004C6AB5" w:rsidRPr="009C5C54" w:rsidRDefault="004C6AB5" w:rsidP="004C6AB5">
            <w:pPr>
              <w:pStyle w:val="Tabletext"/>
              <w:jc w:val="center"/>
            </w:pPr>
            <w:r w:rsidRPr="009C5C54">
              <w:t>0.88 (0.58)</w:t>
            </w:r>
          </w:p>
        </w:tc>
      </w:tr>
      <w:tr w:rsidR="004C6AB5" w:rsidRPr="009C5C54" w:rsidTr="00984428">
        <w:trPr>
          <w:trHeight w:val="72"/>
        </w:trPr>
        <w:tc>
          <w:tcPr>
            <w:tcW w:w="643" w:type="pct"/>
          </w:tcPr>
          <w:p w:rsidR="004C6AB5" w:rsidRPr="009C5C54" w:rsidRDefault="004C6AB5" w:rsidP="004C6AB5">
            <w:pPr>
              <w:pStyle w:val="Tabletext"/>
            </w:pPr>
            <w:r w:rsidRPr="009C5C54">
              <w:t>Month 36</w:t>
            </w:r>
          </w:p>
        </w:tc>
        <w:tc>
          <w:tcPr>
            <w:tcW w:w="1104" w:type="pct"/>
            <w:noWrap/>
            <w:hideMark/>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jc w:val="center"/>
            </w:pPr>
            <w:r w:rsidRPr="009C5C54">
              <w:t>NA</w:t>
            </w:r>
          </w:p>
        </w:tc>
        <w:tc>
          <w:tcPr>
            <w:tcW w:w="1098" w:type="pct"/>
            <w:vAlign w:val="center"/>
          </w:tcPr>
          <w:p w:rsidR="004C6AB5" w:rsidRPr="009C5C54" w:rsidRDefault="004C6AB5" w:rsidP="004C6AB5">
            <w:pPr>
              <w:pStyle w:val="Tabletext"/>
              <w:jc w:val="center"/>
            </w:pPr>
            <w:r w:rsidRPr="009C5C54">
              <w:t>NA</w:t>
            </w:r>
          </w:p>
        </w:tc>
        <w:tc>
          <w:tcPr>
            <w:tcW w:w="1106" w:type="pct"/>
            <w:vAlign w:val="center"/>
          </w:tcPr>
          <w:p w:rsidR="004C6AB5" w:rsidRPr="009C5C54" w:rsidRDefault="004C6AB5" w:rsidP="004C6AB5">
            <w:pPr>
              <w:pStyle w:val="Tabletext"/>
              <w:keepNext/>
              <w:jc w:val="center"/>
            </w:pPr>
            <w:r w:rsidRPr="009C5C54">
              <w:t>11</w:t>
            </w:r>
          </w:p>
          <w:p w:rsidR="004C6AB5" w:rsidRPr="009C5C54" w:rsidRDefault="004C6AB5" w:rsidP="004C6AB5">
            <w:pPr>
              <w:pStyle w:val="Tabletext"/>
              <w:jc w:val="center"/>
            </w:pPr>
            <w:r w:rsidRPr="009C5C54">
              <w:t>0.91 (0.49)</w:t>
            </w:r>
          </w:p>
        </w:tc>
      </w:tr>
      <w:tr w:rsidR="004C6AB5" w:rsidRPr="009C5C54" w:rsidTr="00984428">
        <w:trPr>
          <w:trHeight w:val="72"/>
        </w:trPr>
        <w:tc>
          <w:tcPr>
            <w:tcW w:w="643" w:type="pct"/>
          </w:tcPr>
          <w:p w:rsidR="004C6AB5" w:rsidRPr="009C5C54" w:rsidRDefault="004C6AB5" w:rsidP="004C6AB5">
            <w:pPr>
              <w:pStyle w:val="Tabletext"/>
            </w:pPr>
            <w:r w:rsidRPr="009C5C54">
              <w:t>Final Visit</w:t>
            </w:r>
          </w:p>
        </w:tc>
        <w:tc>
          <w:tcPr>
            <w:tcW w:w="1104" w:type="pct"/>
            <w:noWrap/>
          </w:tcPr>
          <w:p w:rsidR="004C6AB5" w:rsidRPr="009C5C54" w:rsidRDefault="004C6AB5" w:rsidP="004C6AB5">
            <w:pPr>
              <w:pStyle w:val="Tabletext"/>
              <w:keepNext/>
            </w:pPr>
            <w:r w:rsidRPr="009C5C54">
              <w:t>N</w:t>
            </w:r>
          </w:p>
          <w:p w:rsidR="004C6AB5" w:rsidRPr="009C5C54" w:rsidRDefault="004C6AB5" w:rsidP="004C6AB5">
            <w:pPr>
              <w:pStyle w:val="Tabletext"/>
            </w:pPr>
            <w:r w:rsidRPr="009C5C54">
              <w:t>Mean (SD)</w:t>
            </w:r>
          </w:p>
        </w:tc>
        <w:tc>
          <w:tcPr>
            <w:tcW w:w="1049" w:type="pct"/>
            <w:vAlign w:val="center"/>
          </w:tcPr>
          <w:p w:rsidR="004C6AB5" w:rsidRPr="009C5C54" w:rsidRDefault="004C6AB5" w:rsidP="004C6AB5">
            <w:pPr>
              <w:pStyle w:val="Tabletext"/>
              <w:jc w:val="center"/>
            </w:pPr>
            <w:r w:rsidRPr="009C5C54">
              <w:t>NA</w:t>
            </w:r>
          </w:p>
        </w:tc>
        <w:tc>
          <w:tcPr>
            <w:tcW w:w="1098" w:type="pct"/>
            <w:vAlign w:val="center"/>
          </w:tcPr>
          <w:p w:rsidR="004C6AB5" w:rsidRPr="009C5C54" w:rsidRDefault="004C6AB5" w:rsidP="004C6AB5">
            <w:pPr>
              <w:pStyle w:val="Tabletext"/>
              <w:jc w:val="center"/>
            </w:pPr>
            <w:r w:rsidRPr="009C5C54">
              <w:t>NA</w:t>
            </w:r>
          </w:p>
        </w:tc>
        <w:tc>
          <w:tcPr>
            <w:tcW w:w="1106" w:type="pct"/>
            <w:vAlign w:val="center"/>
          </w:tcPr>
          <w:p w:rsidR="004C6AB5" w:rsidRPr="009C5C54" w:rsidRDefault="004C6AB5" w:rsidP="004C6AB5">
            <w:pPr>
              <w:pStyle w:val="Tabletext"/>
              <w:keepNext/>
              <w:jc w:val="center"/>
            </w:pPr>
            <w:r w:rsidRPr="009C5C54">
              <w:t>36</w:t>
            </w:r>
          </w:p>
          <w:p w:rsidR="004C6AB5" w:rsidRPr="009C5C54" w:rsidRDefault="004C6AB5" w:rsidP="004C6AB5">
            <w:pPr>
              <w:pStyle w:val="Tabletext"/>
              <w:jc w:val="center"/>
            </w:pPr>
            <w:r w:rsidRPr="009C5C54">
              <w:t>1.15 (0.74)</w:t>
            </w:r>
          </w:p>
        </w:tc>
      </w:tr>
      <w:tr w:rsidR="00A3387B" w:rsidRPr="009C5C54" w:rsidTr="004C6AB5">
        <w:trPr>
          <w:trHeight w:val="134"/>
        </w:trPr>
        <w:tc>
          <w:tcPr>
            <w:tcW w:w="1747" w:type="pct"/>
            <w:gridSpan w:val="2"/>
            <w:noWrap/>
          </w:tcPr>
          <w:p w:rsidR="00A3387B" w:rsidRPr="009C5C54" w:rsidRDefault="00A3387B" w:rsidP="00C72823">
            <w:pPr>
              <w:pStyle w:val="Tabletext"/>
              <w:rPr>
                <w:rFonts w:cstheme="majorHAnsi"/>
                <w:szCs w:val="20"/>
                <w:lang w:eastAsia="ja-JP"/>
              </w:rPr>
            </w:pPr>
            <w:r w:rsidRPr="009C5C54">
              <w:rPr>
                <w:rFonts w:cstheme="majorHAnsi"/>
                <w:szCs w:val="20"/>
                <w:lang w:eastAsia="ja-JP"/>
              </w:rPr>
              <w:t>% maintaining LH suppression</w:t>
            </w:r>
          </w:p>
          <w:p w:rsidR="00A3387B" w:rsidRPr="009C5C54" w:rsidRDefault="00A3387B" w:rsidP="00C72823">
            <w:pPr>
              <w:pStyle w:val="Tabletext"/>
              <w:rPr>
                <w:rFonts w:cstheme="majorHAnsi"/>
                <w:szCs w:val="20"/>
                <w:lang w:eastAsia="ja-JP"/>
              </w:rPr>
            </w:pPr>
            <w:r w:rsidRPr="009C5C54">
              <w:rPr>
                <w:rFonts w:cstheme="majorHAnsi"/>
                <w:szCs w:val="20"/>
                <w:lang w:eastAsia="ja-JP"/>
              </w:rPr>
              <w:t>95% CI (over study duration)</w:t>
            </w:r>
          </w:p>
        </w:tc>
        <w:tc>
          <w:tcPr>
            <w:tcW w:w="1049" w:type="pct"/>
            <w:vAlign w:val="center"/>
          </w:tcPr>
          <w:p w:rsidR="00A3387B" w:rsidRPr="009C5C54" w:rsidRDefault="00A3387B" w:rsidP="004C6AB5">
            <w:pPr>
              <w:pStyle w:val="Tabletext"/>
              <w:jc w:val="center"/>
              <w:rPr>
                <w:rFonts w:cstheme="majorHAnsi"/>
                <w:color w:val="000000" w:themeColor="text1"/>
                <w:szCs w:val="20"/>
              </w:rPr>
            </w:pPr>
            <w:r w:rsidRPr="009C5C54">
              <w:rPr>
                <w:rFonts w:cstheme="majorHAnsi"/>
                <w:color w:val="000000" w:themeColor="text1"/>
                <w:szCs w:val="20"/>
              </w:rPr>
              <w:t>90.91 (78.33 - 97.47)</w:t>
            </w:r>
          </w:p>
        </w:tc>
        <w:tc>
          <w:tcPr>
            <w:tcW w:w="1098" w:type="pct"/>
            <w:vAlign w:val="center"/>
          </w:tcPr>
          <w:p w:rsidR="00A3387B" w:rsidRPr="009C5C54" w:rsidRDefault="00A3387B" w:rsidP="004C6AB5">
            <w:pPr>
              <w:pStyle w:val="Tabletext"/>
              <w:jc w:val="center"/>
              <w:rPr>
                <w:rFonts w:cstheme="majorHAnsi"/>
                <w:color w:val="000000" w:themeColor="text1"/>
                <w:szCs w:val="20"/>
              </w:rPr>
            </w:pPr>
            <w:r w:rsidRPr="009C5C54">
              <w:rPr>
                <w:rFonts w:cstheme="majorHAnsi"/>
                <w:color w:val="000000" w:themeColor="text1"/>
                <w:szCs w:val="20"/>
              </w:rPr>
              <w:t>90.5 (77.9 - 100)</w:t>
            </w:r>
          </w:p>
        </w:tc>
        <w:tc>
          <w:tcPr>
            <w:tcW w:w="1106" w:type="pct"/>
            <w:vAlign w:val="center"/>
          </w:tcPr>
          <w:p w:rsidR="00A3387B" w:rsidRPr="009C5C54" w:rsidRDefault="00A3387B" w:rsidP="004C6AB5">
            <w:pPr>
              <w:pStyle w:val="Tabletext"/>
              <w:jc w:val="center"/>
              <w:rPr>
                <w:rFonts w:cstheme="majorHAnsi"/>
                <w:color w:val="000000" w:themeColor="text1"/>
                <w:szCs w:val="20"/>
                <w:lang w:eastAsia="ja-JP"/>
              </w:rPr>
            </w:pPr>
            <w:r w:rsidRPr="009C5C54">
              <w:rPr>
                <w:rFonts w:cstheme="majorHAnsi"/>
                <w:color w:val="000000" w:themeColor="text1"/>
                <w:szCs w:val="20"/>
              </w:rPr>
              <w:t>99.48 (88.71 - 100.00)</w:t>
            </w:r>
          </w:p>
        </w:tc>
      </w:tr>
      <w:tr w:rsidR="00A3387B" w:rsidRPr="009C5C54" w:rsidTr="004C6AB5">
        <w:trPr>
          <w:trHeight w:val="79"/>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1: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95.45 (84.53 - 99.44)</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r>
      <w:tr w:rsidR="00A3387B" w:rsidRPr="009C5C54" w:rsidTr="004C6AB5">
        <w:trPr>
          <w:trHeight w:val="79"/>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2: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95.45 (84.53 - 99.44)</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r>
      <w:tr w:rsidR="00A3387B" w:rsidRPr="009C5C54" w:rsidTr="004C6AB5">
        <w:trPr>
          <w:trHeight w:val="170"/>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3: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93.18 (81.34 - 98.57)</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r>
      <w:tr w:rsidR="00A3387B" w:rsidRPr="009C5C54" w:rsidTr="004C6AB5">
        <w:trPr>
          <w:trHeight w:val="79"/>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6: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90.91 (78.33 - 97.47)</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rPr>
              <w:t>100 (90.26 - 100.00)</w:t>
            </w:r>
          </w:p>
        </w:tc>
      </w:tr>
      <w:tr w:rsidR="00A3387B" w:rsidRPr="009C5C54" w:rsidTr="004C6AB5">
        <w:trPr>
          <w:trHeight w:val="188"/>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9: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93.18 (81.34 - 98.57)</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r>
      <w:tr w:rsidR="00A3387B" w:rsidRPr="009C5C54" w:rsidTr="004C6AB5">
        <w:trPr>
          <w:trHeight w:val="79"/>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12: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97.73 (87.98 - 99.94)</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rPr>
              <w:t>96.9 (83.78 - 99.92)</w:t>
            </w:r>
          </w:p>
        </w:tc>
      </w:tr>
      <w:tr w:rsidR="00A3387B" w:rsidRPr="009C5C54" w:rsidTr="004C6AB5">
        <w:trPr>
          <w:trHeight w:val="79"/>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24: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NA</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rPr>
              <w:t>100 (81.47 - 100.00)</w:t>
            </w:r>
          </w:p>
        </w:tc>
      </w:tr>
      <w:tr w:rsidR="00A3387B" w:rsidRPr="009C5C54" w:rsidTr="004C6AB5">
        <w:trPr>
          <w:trHeight w:val="79"/>
        </w:trPr>
        <w:tc>
          <w:tcPr>
            <w:tcW w:w="1747" w:type="pct"/>
            <w:gridSpan w:val="2"/>
            <w:noWrap/>
            <w:hideMark/>
          </w:tcPr>
          <w:p w:rsidR="00A3387B" w:rsidRPr="009C5C54" w:rsidRDefault="00A3387B" w:rsidP="00C72823">
            <w:pPr>
              <w:pStyle w:val="Tabletext"/>
              <w:rPr>
                <w:rFonts w:cstheme="majorHAnsi"/>
                <w:szCs w:val="20"/>
                <w:lang w:eastAsia="ja-JP"/>
              </w:rPr>
            </w:pPr>
            <w:r w:rsidRPr="009C5C54">
              <w:rPr>
                <w:rFonts w:cstheme="majorHAnsi"/>
                <w:szCs w:val="20"/>
                <w:lang w:eastAsia="ja-JP"/>
              </w:rPr>
              <w:t>Month 36: % responders (95% CI)</w:t>
            </w:r>
          </w:p>
        </w:tc>
        <w:tc>
          <w:tcPr>
            <w:tcW w:w="1049" w:type="pct"/>
          </w:tcPr>
          <w:p w:rsidR="00A3387B" w:rsidRPr="009C5C54" w:rsidRDefault="00A3387B" w:rsidP="00C72823">
            <w:pPr>
              <w:pStyle w:val="Tabletext"/>
              <w:jc w:val="center"/>
              <w:rPr>
                <w:rFonts w:cstheme="majorHAnsi"/>
                <w:szCs w:val="20"/>
                <w:lang w:eastAsia="ja-JP"/>
              </w:rPr>
            </w:pPr>
            <w:r w:rsidRPr="009C5C54">
              <w:rPr>
                <w:rFonts w:cstheme="majorHAnsi"/>
                <w:szCs w:val="20"/>
              </w:rPr>
              <w:t>NA</w:t>
            </w:r>
          </w:p>
        </w:tc>
        <w:tc>
          <w:tcPr>
            <w:tcW w:w="1098" w:type="pct"/>
          </w:tcPr>
          <w:p w:rsidR="00A3387B" w:rsidRPr="009C5C54" w:rsidRDefault="00A3387B" w:rsidP="00C72823">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rPr>
              <w:t>100 (71.51 - 100.00)</w:t>
            </w:r>
          </w:p>
        </w:tc>
      </w:tr>
      <w:tr w:rsidR="00A3387B" w:rsidRPr="009C5C54" w:rsidTr="006537E2">
        <w:trPr>
          <w:trHeight w:val="79"/>
        </w:trPr>
        <w:tc>
          <w:tcPr>
            <w:tcW w:w="1747" w:type="pct"/>
            <w:gridSpan w:val="2"/>
            <w:noWrap/>
          </w:tcPr>
          <w:p w:rsidR="00A3387B" w:rsidRPr="009C5C54" w:rsidRDefault="00A3387B" w:rsidP="00C72823">
            <w:pPr>
              <w:pStyle w:val="Tabletext"/>
              <w:rPr>
                <w:rFonts w:cstheme="majorHAnsi"/>
                <w:szCs w:val="20"/>
                <w:lang w:eastAsia="ja-JP"/>
              </w:rPr>
            </w:pPr>
            <w:r w:rsidRPr="009C5C54">
              <w:rPr>
                <w:rFonts w:cstheme="majorHAnsi"/>
                <w:szCs w:val="20"/>
                <w:lang w:eastAsia="ja-JP"/>
              </w:rPr>
              <w:t>Final Visit: % responders</w:t>
            </w:r>
          </w:p>
          <w:p w:rsidR="00A3387B" w:rsidRPr="009C5C54" w:rsidRDefault="00A3387B" w:rsidP="00C72823">
            <w:pPr>
              <w:pStyle w:val="Tabletext"/>
              <w:rPr>
                <w:rFonts w:cstheme="majorHAnsi"/>
                <w:szCs w:val="20"/>
                <w:lang w:eastAsia="ja-JP"/>
              </w:rPr>
            </w:pPr>
            <w:r w:rsidRPr="009C5C54">
              <w:rPr>
                <w:rFonts w:cstheme="majorHAnsi"/>
                <w:szCs w:val="20"/>
                <w:lang w:eastAsia="ja-JP"/>
              </w:rPr>
              <w:t>95% CI</w:t>
            </w:r>
          </w:p>
        </w:tc>
        <w:tc>
          <w:tcPr>
            <w:tcW w:w="1049" w:type="pct"/>
            <w:vAlign w:val="center"/>
          </w:tcPr>
          <w:p w:rsidR="00A3387B" w:rsidRPr="009C5C54" w:rsidRDefault="00A3387B" w:rsidP="006537E2">
            <w:pPr>
              <w:pStyle w:val="Tabletext"/>
              <w:jc w:val="center"/>
              <w:rPr>
                <w:rFonts w:cstheme="majorHAnsi"/>
                <w:szCs w:val="20"/>
                <w:lang w:eastAsia="ja-JP"/>
              </w:rPr>
            </w:pPr>
            <w:r w:rsidRPr="009C5C54">
              <w:rPr>
                <w:rFonts w:cstheme="majorHAnsi"/>
                <w:szCs w:val="20"/>
              </w:rPr>
              <w:t>NA</w:t>
            </w:r>
          </w:p>
        </w:tc>
        <w:tc>
          <w:tcPr>
            <w:tcW w:w="1098" w:type="pct"/>
            <w:vAlign w:val="center"/>
          </w:tcPr>
          <w:p w:rsidR="00A3387B" w:rsidRPr="009C5C54" w:rsidRDefault="00A3387B" w:rsidP="006537E2">
            <w:pPr>
              <w:pStyle w:val="Tabletext"/>
              <w:jc w:val="center"/>
              <w:rPr>
                <w:rFonts w:cstheme="majorHAnsi"/>
                <w:szCs w:val="20"/>
                <w:lang w:eastAsia="ja-JP"/>
              </w:rPr>
            </w:pPr>
            <w:r w:rsidRPr="009C5C54">
              <w:rPr>
                <w:rFonts w:cstheme="majorHAnsi"/>
                <w:szCs w:val="20"/>
                <w:lang w:eastAsia="ja-JP"/>
              </w:rPr>
              <w:t>NA</w:t>
            </w:r>
          </w:p>
        </w:tc>
        <w:tc>
          <w:tcPr>
            <w:tcW w:w="1106" w:type="pct"/>
          </w:tcPr>
          <w:p w:rsidR="00A3387B" w:rsidRPr="009C5C54" w:rsidRDefault="00A3387B" w:rsidP="00C72823">
            <w:pPr>
              <w:pStyle w:val="Tabletext"/>
              <w:jc w:val="center"/>
              <w:rPr>
                <w:rFonts w:cstheme="majorHAnsi"/>
                <w:szCs w:val="20"/>
                <w:lang w:eastAsia="ja-JP"/>
              </w:rPr>
            </w:pPr>
            <w:r w:rsidRPr="009C5C54">
              <w:rPr>
                <w:rFonts w:cstheme="majorHAnsi"/>
                <w:szCs w:val="20"/>
              </w:rPr>
              <w:t>100</w:t>
            </w:r>
          </w:p>
          <w:p w:rsidR="00A3387B" w:rsidRPr="009C5C54" w:rsidRDefault="00A3387B" w:rsidP="00C72823">
            <w:pPr>
              <w:pStyle w:val="Tabletext"/>
              <w:jc w:val="center"/>
              <w:rPr>
                <w:rFonts w:cstheme="majorHAnsi"/>
                <w:szCs w:val="20"/>
                <w:lang w:eastAsia="ja-JP"/>
              </w:rPr>
            </w:pPr>
            <w:r w:rsidRPr="009C5C54">
              <w:rPr>
                <w:rFonts w:cstheme="majorHAnsi"/>
                <w:szCs w:val="20"/>
              </w:rPr>
              <w:t>(90.26 - 100.00)</w:t>
            </w:r>
          </w:p>
        </w:tc>
      </w:tr>
    </w:tbl>
    <w:p w:rsidR="00A3387B" w:rsidRPr="009C5C54" w:rsidRDefault="00A3387B" w:rsidP="00A3387B">
      <w:pPr>
        <w:pStyle w:val="TableFigureFooter"/>
      </w:pPr>
      <w:r w:rsidRPr="009C5C54">
        <w:t xml:space="preserve">Source: Table 2.6.1 and Table 2.6.2, </w:t>
      </w:r>
      <w:r w:rsidR="006979ED" w:rsidRPr="009C5C54">
        <w:t>p82 and</w:t>
      </w:r>
      <w:r w:rsidRPr="009C5C54">
        <w:t xml:space="preserve"> p83 of the submission.</w:t>
      </w:r>
    </w:p>
    <w:p w:rsidR="00A3387B" w:rsidRPr="009C5C54" w:rsidRDefault="00A3387B" w:rsidP="00A3387B">
      <w:pPr>
        <w:pStyle w:val="TableFigureFooter"/>
      </w:pPr>
      <w:r w:rsidRPr="009C5C54">
        <w:t>Source: Table 2.6.1, p82 of the submission.</w:t>
      </w:r>
    </w:p>
    <w:p w:rsidR="00A3387B" w:rsidRPr="009C5C54" w:rsidRDefault="00A3387B" w:rsidP="00A3387B">
      <w:pPr>
        <w:pStyle w:val="TableFigureFooter"/>
      </w:pPr>
      <w:r w:rsidRPr="009C5C54">
        <w:t>NA = not applicable; SD = standard deviation</w:t>
      </w:r>
      <w:r w:rsidR="0088659B" w:rsidRPr="009C5C54">
        <w:t>; LH = luteinizing hormone</w:t>
      </w:r>
    </w:p>
    <w:p w:rsidR="00A3387B" w:rsidRPr="009C5C54" w:rsidRDefault="00A3387B" w:rsidP="00A077D6">
      <w:pPr>
        <w:pStyle w:val="TableFigureFooter"/>
        <w:tabs>
          <w:tab w:val="left" w:pos="284"/>
        </w:tabs>
      </w:pPr>
      <w:r w:rsidRPr="009C5C54">
        <w:t>*</w:t>
      </w:r>
      <w:r w:rsidR="00A077D6" w:rsidRPr="009C5C54">
        <w:tab/>
      </w:r>
      <w:r w:rsidRPr="009C5C54">
        <w:t>Day is month 6 of pivotal lead-in study by Lee et al 2012</w:t>
      </w:r>
    </w:p>
    <w:p w:rsidR="00A3387B" w:rsidRPr="009C5C54" w:rsidRDefault="00A3387B" w:rsidP="00A3387B">
      <w:pPr>
        <w:pStyle w:val="3-BodyText"/>
        <w:rPr>
          <w:color w:val="000000" w:themeColor="text1"/>
        </w:rPr>
      </w:pPr>
      <w:r w:rsidRPr="009C5C54">
        <w:rPr>
          <w:color w:val="000000" w:themeColor="text1"/>
        </w:rPr>
        <w:t xml:space="preserve">The submission noted a spike in LH levels at Month 6 (4.16) for the triptorelin group. The following explanations </w:t>
      </w:r>
      <w:r w:rsidR="000526A2" w:rsidRPr="009C5C54">
        <w:rPr>
          <w:color w:val="000000" w:themeColor="text1"/>
        </w:rPr>
        <w:t xml:space="preserve">were </w:t>
      </w:r>
      <w:r w:rsidRPr="009C5C54">
        <w:rPr>
          <w:color w:val="000000" w:themeColor="text1"/>
        </w:rPr>
        <w:t xml:space="preserve">offered: </w:t>
      </w:r>
    </w:p>
    <w:p w:rsidR="00A3387B" w:rsidRPr="009C5C54" w:rsidRDefault="00A3387B" w:rsidP="001C66D2">
      <w:pPr>
        <w:pStyle w:val="3-BodyText"/>
        <w:numPr>
          <w:ilvl w:val="0"/>
          <w:numId w:val="5"/>
        </w:numPr>
        <w:ind w:left="993" w:hanging="284"/>
        <w:rPr>
          <w:color w:val="000000" w:themeColor="text1"/>
        </w:rPr>
      </w:pPr>
      <w:r w:rsidRPr="009C5C54">
        <w:rPr>
          <w:color w:val="000000" w:themeColor="text1"/>
        </w:rPr>
        <w:t xml:space="preserve">One patient performed the Month 6 (day 169) visit on day 183, </w:t>
      </w:r>
      <w:r w:rsidR="00644151" w:rsidRPr="009C5C54">
        <w:rPr>
          <w:color w:val="000000" w:themeColor="text1"/>
        </w:rPr>
        <w:t>i.e.</w:t>
      </w:r>
      <w:r w:rsidRPr="009C5C54">
        <w:rPr>
          <w:color w:val="000000" w:themeColor="text1"/>
        </w:rPr>
        <w:t xml:space="preserve"> 14 days after the scheduled date.</w:t>
      </w:r>
    </w:p>
    <w:p w:rsidR="00A3387B" w:rsidRPr="009C5C54" w:rsidRDefault="00A3387B" w:rsidP="001C66D2">
      <w:pPr>
        <w:pStyle w:val="3-BodyText"/>
        <w:numPr>
          <w:ilvl w:val="0"/>
          <w:numId w:val="5"/>
        </w:numPr>
        <w:ind w:left="993" w:hanging="284"/>
        <w:rPr>
          <w:color w:val="000000" w:themeColor="text1"/>
        </w:rPr>
      </w:pPr>
      <w:r w:rsidRPr="009C5C54">
        <w:rPr>
          <w:color w:val="000000" w:themeColor="text1"/>
        </w:rPr>
        <w:t>One patient had a borderline LH value of 5.1 IU/L at Month 6 but at Month 12, his LH was suppressed to a pre</w:t>
      </w:r>
      <w:r w:rsidR="00644151" w:rsidRPr="009C5C54">
        <w:rPr>
          <w:color w:val="000000" w:themeColor="text1"/>
        </w:rPr>
        <w:t>-</w:t>
      </w:r>
      <w:r w:rsidRPr="009C5C54">
        <w:rPr>
          <w:color w:val="000000" w:themeColor="text1"/>
        </w:rPr>
        <w:t>pubertal level (3.2 IU/L).</w:t>
      </w:r>
    </w:p>
    <w:p w:rsidR="00A3387B" w:rsidRPr="009C5C54" w:rsidRDefault="00A3387B" w:rsidP="001C66D2">
      <w:pPr>
        <w:pStyle w:val="3-BodyText"/>
        <w:numPr>
          <w:ilvl w:val="0"/>
          <w:numId w:val="5"/>
        </w:numPr>
        <w:ind w:left="993" w:hanging="284"/>
        <w:rPr>
          <w:color w:val="000000" w:themeColor="text1"/>
        </w:rPr>
      </w:pPr>
      <w:r w:rsidRPr="009C5C54">
        <w:rPr>
          <w:color w:val="000000" w:themeColor="text1"/>
        </w:rPr>
        <w:t xml:space="preserve">One patient with an LH </w:t>
      </w:r>
      <w:r w:rsidR="004D42E9" w:rsidRPr="009C5C54">
        <w:rPr>
          <w:color w:val="000000" w:themeColor="text1"/>
        </w:rPr>
        <w:t xml:space="preserve">level </w:t>
      </w:r>
      <w:r w:rsidRPr="009C5C54">
        <w:rPr>
          <w:color w:val="000000" w:themeColor="text1"/>
        </w:rPr>
        <w:t>of 83 IU/L at Month 6, encountered a technical problem with the 1st triptorelin injection. The injection clogged, the needle was changed, and a 2nd injection was required to complete administration. Only one vial of IMP was used. There were no difficulties with the 2nd injection at Month 6, and at Month 12, LH was suppressed to a pre</w:t>
      </w:r>
      <w:r w:rsidR="00644151" w:rsidRPr="009C5C54">
        <w:rPr>
          <w:color w:val="000000" w:themeColor="text1"/>
        </w:rPr>
        <w:t>-</w:t>
      </w:r>
      <w:r w:rsidRPr="009C5C54">
        <w:rPr>
          <w:color w:val="000000" w:themeColor="text1"/>
        </w:rPr>
        <w:t>pubertal level (3.6 IU/L).</w:t>
      </w:r>
    </w:p>
    <w:p w:rsidR="0023565D" w:rsidRPr="009C5C54" w:rsidRDefault="0023565D" w:rsidP="00A3387B">
      <w:pPr>
        <w:pStyle w:val="3-BodyText"/>
        <w:rPr>
          <w:color w:val="000000" w:themeColor="text1"/>
        </w:rPr>
      </w:pPr>
      <w:r w:rsidRPr="009C5C54">
        <w:rPr>
          <w:iCs/>
          <w:color w:val="000000" w:themeColor="text1"/>
        </w:rPr>
        <w:t>Given, the small sample size of the study,</w:t>
      </w:r>
      <w:r w:rsidR="003D6C63" w:rsidRPr="009C5C54">
        <w:rPr>
          <w:iCs/>
          <w:color w:val="000000" w:themeColor="text1"/>
        </w:rPr>
        <w:t xml:space="preserve"> the ESC considered</w:t>
      </w:r>
      <w:r w:rsidRPr="009C5C54">
        <w:rPr>
          <w:iCs/>
          <w:color w:val="000000" w:themeColor="text1"/>
        </w:rPr>
        <w:t xml:space="preserve"> it appeared reasonable that the issues described for these </w:t>
      </w:r>
      <w:r w:rsidR="006537E2" w:rsidRPr="009C5C54">
        <w:rPr>
          <w:iCs/>
          <w:color w:val="000000" w:themeColor="text1"/>
        </w:rPr>
        <w:t xml:space="preserve">three </w:t>
      </w:r>
      <w:r w:rsidRPr="009C5C54">
        <w:rPr>
          <w:iCs/>
          <w:color w:val="000000" w:themeColor="text1"/>
        </w:rPr>
        <w:t>patients would sufficiently account for the spike in LH levels</w:t>
      </w:r>
      <w:r w:rsidR="008D67AE" w:rsidRPr="009C5C54">
        <w:rPr>
          <w:iCs/>
          <w:color w:val="000000" w:themeColor="text1"/>
        </w:rPr>
        <w:t xml:space="preserve">. </w:t>
      </w:r>
    </w:p>
    <w:p w:rsidR="00A3387B" w:rsidRPr="009C5C54" w:rsidRDefault="00A3387B" w:rsidP="00A3387B">
      <w:pPr>
        <w:pStyle w:val="3-BodyText"/>
        <w:rPr>
          <w:color w:val="000000" w:themeColor="text1"/>
        </w:rPr>
      </w:pPr>
      <w:r w:rsidRPr="009C5C54">
        <w:rPr>
          <w:color w:val="000000" w:themeColor="text1"/>
        </w:rPr>
        <w:t>Besides these patients, mean LH levels were broadly consistent across the studies. However, mean levels may be more difficult to interpret and less relevant to clinical decision making than proportion of patients with LH suppression.</w:t>
      </w:r>
    </w:p>
    <w:p w:rsidR="00A3387B" w:rsidRPr="009C5C54" w:rsidRDefault="00A3387B" w:rsidP="00A3387B">
      <w:pPr>
        <w:pStyle w:val="3-BodyText"/>
      </w:pPr>
      <w:r w:rsidRPr="009C5C54">
        <w:t>The submission noted that Study 301 specified suppression to pre</w:t>
      </w:r>
      <w:r w:rsidR="00AB06CC" w:rsidRPr="009C5C54">
        <w:t>-</w:t>
      </w:r>
      <w:r w:rsidRPr="009C5C54">
        <w:t>pubertal levels defined as serum LH level ≤5 IU/L. The leuprorelin studies however used a different definition of suppression, LH &lt;4 IU/L. To avoid a potential bias towards the leuprorelin study,</w:t>
      </w:r>
      <w:r w:rsidR="00AB06CC" w:rsidRPr="009C5C54">
        <w:t xml:space="preserve"> </w:t>
      </w:r>
      <w:r w:rsidRPr="009C5C54">
        <w:t>a secondary outcome measure from Study 301</w:t>
      </w:r>
      <w:r w:rsidR="00AB06CC" w:rsidRPr="009C5C54">
        <w:t xml:space="preserve"> which reported the</w:t>
      </w:r>
      <w:r w:rsidRPr="009C5C54">
        <w:t xml:space="preserve"> proportion of patients achieving LH levels ≤4 IU/L have been used in this comparison</w:t>
      </w:r>
      <w:r w:rsidR="00AB06CC" w:rsidRPr="009C5C54">
        <w:t>. When using the</w:t>
      </w:r>
      <w:r w:rsidR="0023565D" w:rsidRPr="009C5C54">
        <w:t xml:space="preserve"> </w:t>
      </w:r>
      <w:r w:rsidRPr="009C5C54">
        <w:t>secondary outcome for triptorelin LH levels ≤4 IU/L, a small discordance remains as the leuprorelin studies used the narrower threshold of LH &lt;4 IU/L. This results in the potential for a small bias in favour of triptorelin.</w:t>
      </w:r>
    </w:p>
    <w:p w:rsidR="00A3387B" w:rsidRPr="009C5C54" w:rsidRDefault="00A3387B" w:rsidP="00A3387B">
      <w:pPr>
        <w:pStyle w:val="3-BodyText"/>
      </w:pPr>
      <w:r w:rsidRPr="009C5C54">
        <w:t xml:space="preserve">The submission also noted that within Study 301, patients were naïve to treatment. However, in Lee 2012, each strength included treatment naïve and previously treated patients. By definition, in the extension study by Lee 2014, all patients had previously undergone treatment. </w:t>
      </w:r>
    </w:p>
    <w:p w:rsidR="00A3387B" w:rsidRPr="009C5C54" w:rsidRDefault="00A3387B" w:rsidP="00A3387B">
      <w:pPr>
        <w:pStyle w:val="3-BodyText"/>
      </w:pPr>
      <w:r w:rsidRPr="009C5C54">
        <w:t>The submission considered that patients who have been previously treated with a GnRHa are more likely to be a responder to treatment, therefore, to avoid a potential bias toward leuprorelin in this comparison, patients who were naïve to treatment were used as the basis of comparison.</w:t>
      </w:r>
    </w:p>
    <w:p w:rsidR="00A3387B" w:rsidRPr="009C5C54" w:rsidRDefault="00A3387B" w:rsidP="00A3387B">
      <w:pPr>
        <w:pStyle w:val="3-BodyText"/>
      </w:pPr>
      <w:r w:rsidRPr="009C5C54">
        <w:t>LH suppression was approximately 90% in both the triptorelin Study 301 arm and the leuprorelin 30mg arm of Lee 2012. Suppression in the leuprorelin extension study (Lee 2014) was at approximately 99%.</w:t>
      </w:r>
    </w:p>
    <w:p w:rsidR="00A3387B" w:rsidRPr="009C5C54" w:rsidRDefault="00A3387B" w:rsidP="00A3387B">
      <w:pPr>
        <w:pStyle w:val="3-BodyText"/>
      </w:pPr>
      <w:r w:rsidRPr="009C5C54">
        <w:rPr>
          <w:iCs/>
        </w:rPr>
        <w:t xml:space="preserve">Though the analysis had many important limitations, the numerical trends suggested similar LH suppression across the relevant study arms. </w:t>
      </w:r>
    </w:p>
    <w:p w:rsidR="00A3387B" w:rsidRPr="009C5C54" w:rsidRDefault="00A3387B" w:rsidP="00A3387B">
      <w:pPr>
        <w:pStyle w:val="4-SubsectionHeading"/>
      </w:pPr>
      <w:bookmarkStart w:id="16" w:name="_Toc22897642"/>
      <w:bookmarkStart w:id="17" w:name="_Toc72247594"/>
      <w:r w:rsidRPr="009C5C54">
        <w:t>Comparative harms</w:t>
      </w:r>
      <w:bookmarkEnd w:id="16"/>
      <w:bookmarkEnd w:id="17"/>
    </w:p>
    <w:p w:rsidR="00804FF1" w:rsidRPr="009C5C54" w:rsidRDefault="00A3387B" w:rsidP="00E37853">
      <w:pPr>
        <w:pStyle w:val="3-BodyText"/>
        <w:rPr>
          <w:rStyle w:val="CommentReference"/>
          <w:rFonts w:eastAsiaTheme="majorEastAsia" w:cstheme="majorBidi"/>
          <w:bCs/>
          <w:szCs w:val="24"/>
        </w:rPr>
      </w:pPr>
      <w:r w:rsidRPr="009C5C54">
        <w:rPr>
          <w:color w:val="000000" w:themeColor="text1"/>
        </w:rPr>
        <w:t>A comparison of AEs by system organ class across the triptorelin and leuprorelin studies is presented i</w:t>
      </w:r>
      <w:r w:rsidRPr="009C5C54">
        <w:t xml:space="preserve">n </w:t>
      </w:r>
      <w:bookmarkStart w:id="18" w:name="_Ref71280326"/>
      <w:r w:rsidR="00E37853" w:rsidRPr="009C5C54">
        <w:t>Table 4.</w:t>
      </w:r>
    </w:p>
    <w:p w:rsidR="00C61C12" w:rsidRDefault="00C61C12">
      <w:pPr>
        <w:jc w:val="left"/>
        <w:rPr>
          <w:rStyle w:val="CommentReference"/>
          <w:rFonts w:eastAsiaTheme="majorEastAsia" w:cstheme="majorBidi"/>
          <w:bCs/>
          <w:szCs w:val="24"/>
        </w:rPr>
      </w:pPr>
      <w:r>
        <w:rPr>
          <w:rStyle w:val="CommentReference"/>
          <w:b w:val="0"/>
          <w:szCs w:val="24"/>
        </w:rPr>
        <w:br w:type="page"/>
      </w:r>
    </w:p>
    <w:p w:rsidR="00A3387B" w:rsidRPr="009C5C54" w:rsidRDefault="00A3387B" w:rsidP="00A3387B">
      <w:pPr>
        <w:pStyle w:val="TableFigureHeading"/>
      </w:pPr>
      <w:r w:rsidRPr="009C5C54">
        <w:rPr>
          <w:rStyle w:val="CommentReference"/>
          <w:b/>
          <w:szCs w:val="24"/>
        </w:rPr>
        <w:t xml:space="preserve">Table </w:t>
      </w:r>
      <w:r w:rsidR="009E4996" w:rsidRPr="009C5C54">
        <w:rPr>
          <w:rStyle w:val="CommentReference"/>
          <w:b/>
          <w:szCs w:val="24"/>
        </w:rPr>
        <w:t>4</w:t>
      </w:r>
      <w:bookmarkEnd w:id="18"/>
      <w:r w:rsidRPr="009C5C54">
        <w:rPr>
          <w:rStyle w:val="CommentReference"/>
          <w:b/>
          <w:szCs w:val="24"/>
        </w:rPr>
        <w:t xml:space="preserve">: </w:t>
      </w:r>
      <w:r w:rsidRPr="009C5C54">
        <w:rPr>
          <w:rStyle w:val="CaptionChar"/>
          <w:b/>
          <w:bCs/>
          <w:snapToGrid/>
          <w:color w:val="auto"/>
          <w:sz w:val="20"/>
          <w:szCs w:val="24"/>
          <w:lang w:eastAsia="en-AU"/>
        </w:rPr>
        <w:t xml:space="preserve">Comparison </w:t>
      </w:r>
      <w:r w:rsidRPr="009C5C54">
        <w:t>of adverse events by system organ class</w:t>
      </w:r>
    </w:p>
    <w:tbl>
      <w:tblPr>
        <w:tblStyle w:val="TableGrid"/>
        <w:tblW w:w="5000" w:type="pct"/>
        <w:tblLayout w:type="fixed"/>
        <w:tblCellMar>
          <w:left w:w="28" w:type="dxa"/>
          <w:right w:w="28" w:type="dxa"/>
        </w:tblCellMar>
        <w:tblLook w:val="04A0" w:firstRow="1" w:lastRow="0" w:firstColumn="1" w:lastColumn="0" w:noHBand="0" w:noVBand="1"/>
        <w:tblCaption w:val="Table 4: Comparison of adverse events by system organ class"/>
      </w:tblPr>
      <w:tblGrid>
        <w:gridCol w:w="1528"/>
        <w:gridCol w:w="1070"/>
        <w:gridCol w:w="1070"/>
        <w:gridCol w:w="1070"/>
        <w:gridCol w:w="1070"/>
        <w:gridCol w:w="1070"/>
        <w:gridCol w:w="1070"/>
        <w:gridCol w:w="1069"/>
      </w:tblGrid>
      <w:tr w:rsidR="00A3387B" w:rsidRPr="009C5C54" w:rsidTr="00C5539E">
        <w:trPr>
          <w:trHeight w:val="300"/>
          <w:tblHeader/>
        </w:trPr>
        <w:tc>
          <w:tcPr>
            <w:tcW w:w="847" w:type="pct"/>
            <w:noWrap/>
            <w:hideMark/>
          </w:tcPr>
          <w:p w:rsidR="00A3387B" w:rsidRPr="009C5C54" w:rsidRDefault="00A3387B" w:rsidP="00C72823">
            <w:pPr>
              <w:pStyle w:val="Tabletext"/>
            </w:pPr>
          </w:p>
        </w:tc>
        <w:tc>
          <w:tcPr>
            <w:tcW w:w="593" w:type="pct"/>
            <w:noWrap/>
            <w:hideMark/>
          </w:tcPr>
          <w:p w:rsidR="00A3387B" w:rsidRPr="009C5C54" w:rsidRDefault="00A3387B" w:rsidP="00C72823">
            <w:pPr>
              <w:pStyle w:val="Tabletext"/>
              <w:jc w:val="center"/>
              <w:rPr>
                <w:b/>
                <w:bCs/>
              </w:rPr>
            </w:pPr>
            <w:r w:rsidRPr="009C5C54">
              <w:rPr>
                <w:b/>
              </w:rPr>
              <w:t>Triptorelin 22.5mg</w:t>
            </w:r>
          </w:p>
        </w:tc>
        <w:tc>
          <w:tcPr>
            <w:tcW w:w="593" w:type="pct"/>
            <w:noWrap/>
            <w:hideMark/>
          </w:tcPr>
          <w:p w:rsidR="00A3387B" w:rsidRPr="009C5C54" w:rsidRDefault="00A3387B" w:rsidP="00C72823">
            <w:pPr>
              <w:pStyle w:val="Tabletext"/>
              <w:jc w:val="center"/>
              <w:rPr>
                <w:b/>
                <w:bCs/>
              </w:rPr>
            </w:pPr>
            <w:r w:rsidRPr="009C5C54">
              <w:rPr>
                <w:b/>
              </w:rPr>
              <w:t>Leuprolide Acetate 11.25 mg - Treatment Naive</w:t>
            </w:r>
          </w:p>
        </w:tc>
        <w:tc>
          <w:tcPr>
            <w:tcW w:w="593" w:type="pct"/>
            <w:noWrap/>
            <w:hideMark/>
          </w:tcPr>
          <w:p w:rsidR="00A3387B" w:rsidRPr="009C5C54" w:rsidRDefault="00A3387B" w:rsidP="00C72823">
            <w:pPr>
              <w:pStyle w:val="Tabletext"/>
              <w:jc w:val="center"/>
              <w:rPr>
                <w:b/>
                <w:bCs/>
              </w:rPr>
            </w:pPr>
            <w:r w:rsidRPr="009C5C54">
              <w:rPr>
                <w:b/>
              </w:rPr>
              <w:t>Leuprolide Acetate 11.25 mg - Previous Treatment</w:t>
            </w:r>
          </w:p>
        </w:tc>
        <w:tc>
          <w:tcPr>
            <w:tcW w:w="593" w:type="pct"/>
            <w:noWrap/>
            <w:hideMark/>
          </w:tcPr>
          <w:p w:rsidR="00A3387B" w:rsidRPr="009C5C54" w:rsidRDefault="00A3387B" w:rsidP="00C72823">
            <w:pPr>
              <w:pStyle w:val="Tabletext"/>
              <w:jc w:val="center"/>
              <w:rPr>
                <w:b/>
                <w:bCs/>
              </w:rPr>
            </w:pPr>
            <w:r w:rsidRPr="009C5C54">
              <w:rPr>
                <w:b/>
              </w:rPr>
              <w:t>Leuprolide Acetate 30 mg - Treatment Naive</w:t>
            </w:r>
          </w:p>
        </w:tc>
        <w:tc>
          <w:tcPr>
            <w:tcW w:w="593" w:type="pct"/>
            <w:noWrap/>
            <w:hideMark/>
          </w:tcPr>
          <w:p w:rsidR="00A3387B" w:rsidRPr="009C5C54" w:rsidRDefault="00A3387B" w:rsidP="00C72823">
            <w:pPr>
              <w:pStyle w:val="Tabletext"/>
              <w:jc w:val="center"/>
              <w:rPr>
                <w:b/>
                <w:bCs/>
              </w:rPr>
            </w:pPr>
            <w:r w:rsidRPr="009C5C54">
              <w:rPr>
                <w:b/>
              </w:rPr>
              <w:t>Leuprolide Acetate 30 mg - Previous Treatment</w:t>
            </w:r>
          </w:p>
        </w:tc>
        <w:tc>
          <w:tcPr>
            <w:tcW w:w="593" w:type="pct"/>
            <w:noWrap/>
            <w:hideMark/>
          </w:tcPr>
          <w:p w:rsidR="00A3387B" w:rsidRPr="009C5C54" w:rsidRDefault="00A3387B" w:rsidP="00C72823">
            <w:pPr>
              <w:pStyle w:val="Tabletext"/>
              <w:jc w:val="center"/>
              <w:rPr>
                <w:b/>
                <w:bCs/>
              </w:rPr>
            </w:pPr>
            <w:r w:rsidRPr="009C5C54">
              <w:rPr>
                <w:b/>
              </w:rPr>
              <w:t>Leuprolide Acetate 11.25 mg</w:t>
            </w:r>
          </w:p>
        </w:tc>
        <w:tc>
          <w:tcPr>
            <w:tcW w:w="593" w:type="pct"/>
            <w:noWrap/>
            <w:hideMark/>
          </w:tcPr>
          <w:p w:rsidR="00A3387B" w:rsidRPr="009C5C54" w:rsidRDefault="00A3387B" w:rsidP="00C72823">
            <w:pPr>
              <w:pStyle w:val="Tabletext"/>
              <w:jc w:val="center"/>
              <w:rPr>
                <w:b/>
                <w:bCs/>
              </w:rPr>
            </w:pPr>
            <w:r w:rsidRPr="009C5C54">
              <w:rPr>
                <w:b/>
              </w:rPr>
              <w:t>Leuprolide Acetate 30 mg</w:t>
            </w:r>
          </w:p>
        </w:tc>
      </w:tr>
      <w:tr w:rsidR="00A3387B" w:rsidRPr="009C5C54" w:rsidTr="007867F3">
        <w:trPr>
          <w:trHeight w:val="79"/>
        </w:trPr>
        <w:tc>
          <w:tcPr>
            <w:tcW w:w="847" w:type="pct"/>
            <w:noWrap/>
            <w:hideMark/>
          </w:tcPr>
          <w:p w:rsidR="00A3387B" w:rsidRPr="009C5C54" w:rsidRDefault="00A3387B" w:rsidP="00C72823">
            <w:pPr>
              <w:pStyle w:val="Tabletext"/>
            </w:pPr>
            <w:r w:rsidRPr="009C5C54">
              <w:t>Gastrointestinal disorders</w:t>
            </w:r>
          </w:p>
        </w:tc>
        <w:tc>
          <w:tcPr>
            <w:tcW w:w="593" w:type="pct"/>
            <w:noWrap/>
            <w:hideMark/>
          </w:tcPr>
          <w:p w:rsidR="00A3387B" w:rsidRPr="009C5C54" w:rsidRDefault="00A3387B" w:rsidP="00C72823">
            <w:pPr>
              <w:pStyle w:val="Tabletext"/>
              <w:jc w:val="center"/>
            </w:pPr>
            <w:r w:rsidRPr="009C5C54">
              <w:t>5</w:t>
            </w:r>
          </w:p>
          <w:p w:rsidR="00A3387B" w:rsidRPr="009C5C54" w:rsidRDefault="00A3387B" w:rsidP="00C72823">
            <w:pPr>
              <w:pStyle w:val="Tabletext"/>
              <w:jc w:val="center"/>
            </w:pPr>
            <w:r w:rsidRPr="009C5C54">
              <w:t>11%</w:t>
            </w:r>
          </w:p>
        </w:tc>
        <w:tc>
          <w:tcPr>
            <w:tcW w:w="593" w:type="pct"/>
            <w:noWrap/>
            <w:hideMark/>
          </w:tcPr>
          <w:p w:rsidR="00A3387B" w:rsidRPr="009C5C54" w:rsidRDefault="00A3387B" w:rsidP="00C72823">
            <w:pPr>
              <w:pStyle w:val="Tabletext"/>
              <w:jc w:val="center"/>
            </w:pPr>
            <w:r w:rsidRPr="009C5C54">
              <w:t>0</w:t>
            </w:r>
          </w:p>
          <w:p w:rsidR="00A3387B" w:rsidRPr="009C5C54" w:rsidRDefault="00A3387B" w:rsidP="00C72823">
            <w:pPr>
              <w:pStyle w:val="Tabletext"/>
              <w:jc w:val="center"/>
            </w:pPr>
            <w:r w:rsidRPr="009C5C54">
              <w:t>0%</w:t>
            </w:r>
          </w:p>
        </w:tc>
        <w:tc>
          <w:tcPr>
            <w:tcW w:w="593" w:type="pct"/>
            <w:noWrap/>
            <w:hideMark/>
          </w:tcPr>
          <w:p w:rsidR="00A3387B" w:rsidRPr="009C5C54" w:rsidRDefault="00A3387B" w:rsidP="00C72823">
            <w:pPr>
              <w:pStyle w:val="Tabletext"/>
              <w:jc w:val="center"/>
            </w:pPr>
            <w:r w:rsidRPr="009C5C54">
              <w:t>1</w:t>
            </w:r>
          </w:p>
          <w:p w:rsidR="00A3387B" w:rsidRPr="009C5C54" w:rsidRDefault="00A3387B" w:rsidP="00C72823">
            <w:pPr>
              <w:pStyle w:val="Tabletext"/>
              <w:jc w:val="center"/>
            </w:pPr>
            <w:r w:rsidRPr="009C5C54">
              <w:t>5%</w:t>
            </w:r>
          </w:p>
        </w:tc>
        <w:tc>
          <w:tcPr>
            <w:tcW w:w="593" w:type="pct"/>
            <w:noWrap/>
            <w:hideMark/>
          </w:tcPr>
          <w:p w:rsidR="00A3387B" w:rsidRPr="009C5C54" w:rsidRDefault="00A3387B" w:rsidP="00C72823">
            <w:pPr>
              <w:pStyle w:val="Tabletext"/>
              <w:jc w:val="center"/>
            </w:pPr>
            <w:r w:rsidRPr="009C5C54">
              <w:t>4</w:t>
            </w:r>
          </w:p>
          <w:p w:rsidR="00A3387B" w:rsidRPr="009C5C54" w:rsidRDefault="00A3387B" w:rsidP="00C72823">
            <w:pPr>
              <w:pStyle w:val="Tabletext"/>
              <w:jc w:val="center"/>
            </w:pPr>
            <w:r w:rsidRPr="009C5C54">
              <w:t>19%</w:t>
            </w:r>
          </w:p>
        </w:tc>
        <w:tc>
          <w:tcPr>
            <w:tcW w:w="593" w:type="pct"/>
            <w:noWrap/>
            <w:hideMark/>
          </w:tcPr>
          <w:p w:rsidR="00A3387B" w:rsidRPr="009C5C54" w:rsidRDefault="00A3387B" w:rsidP="00C72823">
            <w:pPr>
              <w:pStyle w:val="Tabletext"/>
              <w:jc w:val="center"/>
            </w:pPr>
            <w:r w:rsidRPr="009C5C54">
              <w:t>1</w:t>
            </w:r>
          </w:p>
          <w:p w:rsidR="00A3387B" w:rsidRPr="009C5C54" w:rsidRDefault="00A3387B" w:rsidP="00C72823">
            <w:pPr>
              <w:pStyle w:val="Tabletext"/>
              <w:jc w:val="center"/>
            </w:pPr>
            <w:r w:rsidRPr="009C5C54">
              <w:t>5%</w:t>
            </w:r>
          </w:p>
        </w:tc>
        <w:tc>
          <w:tcPr>
            <w:tcW w:w="593" w:type="pct"/>
            <w:noWrap/>
            <w:hideMark/>
          </w:tcPr>
          <w:p w:rsidR="00A3387B" w:rsidRPr="009C5C54" w:rsidRDefault="00A3387B" w:rsidP="00C72823">
            <w:pPr>
              <w:pStyle w:val="Tabletext"/>
              <w:jc w:val="center"/>
            </w:pPr>
            <w:r w:rsidRPr="009C5C54">
              <w:t>11</w:t>
            </w:r>
          </w:p>
          <w:p w:rsidR="00A3387B" w:rsidRPr="009C5C54" w:rsidRDefault="00A3387B" w:rsidP="00C72823">
            <w:pPr>
              <w:pStyle w:val="Tabletext"/>
              <w:jc w:val="center"/>
            </w:pPr>
            <w:r w:rsidRPr="009C5C54">
              <w:t>32%</w:t>
            </w:r>
          </w:p>
        </w:tc>
        <w:tc>
          <w:tcPr>
            <w:tcW w:w="593" w:type="pct"/>
            <w:noWrap/>
            <w:hideMark/>
          </w:tcPr>
          <w:p w:rsidR="00A3387B" w:rsidRPr="009C5C54" w:rsidRDefault="00A3387B" w:rsidP="00C72823">
            <w:pPr>
              <w:pStyle w:val="Tabletext"/>
              <w:jc w:val="center"/>
            </w:pPr>
            <w:r w:rsidRPr="009C5C54">
              <w:t>14</w:t>
            </w:r>
          </w:p>
          <w:p w:rsidR="00A3387B" w:rsidRPr="009C5C54" w:rsidRDefault="00A3387B" w:rsidP="00C72823">
            <w:pPr>
              <w:pStyle w:val="Tabletext"/>
              <w:jc w:val="center"/>
            </w:pPr>
            <w:r w:rsidRPr="009C5C54">
              <w:t>37%</w:t>
            </w:r>
          </w:p>
        </w:tc>
      </w:tr>
      <w:tr w:rsidR="00A3387B" w:rsidRPr="009C5C54" w:rsidTr="007867F3">
        <w:trPr>
          <w:trHeight w:val="79"/>
        </w:trPr>
        <w:tc>
          <w:tcPr>
            <w:tcW w:w="847" w:type="pct"/>
            <w:noWrap/>
            <w:hideMark/>
          </w:tcPr>
          <w:p w:rsidR="00A3387B" w:rsidRPr="009C5C54" w:rsidRDefault="00A3387B" w:rsidP="00C72823">
            <w:pPr>
              <w:pStyle w:val="Tabletext"/>
            </w:pPr>
            <w:r w:rsidRPr="009C5C54">
              <w:t>General disorders</w:t>
            </w:r>
          </w:p>
        </w:tc>
        <w:tc>
          <w:tcPr>
            <w:tcW w:w="593" w:type="pct"/>
            <w:noWrap/>
            <w:hideMark/>
          </w:tcPr>
          <w:p w:rsidR="00A3387B" w:rsidRPr="009C5C54" w:rsidRDefault="00A3387B" w:rsidP="00C72823">
            <w:pPr>
              <w:pStyle w:val="Tabletext"/>
              <w:jc w:val="center"/>
            </w:pPr>
            <w:r w:rsidRPr="009C5C54">
              <w:t>5</w:t>
            </w:r>
          </w:p>
          <w:p w:rsidR="00A3387B" w:rsidRPr="009C5C54" w:rsidRDefault="00A3387B" w:rsidP="00C72823">
            <w:pPr>
              <w:pStyle w:val="Tabletext"/>
              <w:jc w:val="center"/>
            </w:pPr>
            <w:r w:rsidRPr="009C5C54">
              <w:t>11%</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29%</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29%</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29%</w:t>
            </w:r>
          </w:p>
        </w:tc>
        <w:tc>
          <w:tcPr>
            <w:tcW w:w="593" w:type="pct"/>
            <w:noWrap/>
            <w:hideMark/>
          </w:tcPr>
          <w:p w:rsidR="00A3387B" w:rsidRPr="009C5C54" w:rsidRDefault="00A3387B" w:rsidP="00C72823">
            <w:pPr>
              <w:pStyle w:val="Tabletext"/>
              <w:jc w:val="center"/>
            </w:pPr>
            <w:r w:rsidRPr="009C5C54">
              <w:t>13</w:t>
            </w:r>
          </w:p>
          <w:p w:rsidR="00A3387B" w:rsidRPr="009C5C54" w:rsidRDefault="00A3387B" w:rsidP="00C72823">
            <w:pPr>
              <w:pStyle w:val="Tabletext"/>
              <w:jc w:val="center"/>
            </w:pPr>
            <w:r w:rsidRPr="009C5C54">
              <w:t>62%</w:t>
            </w:r>
          </w:p>
        </w:tc>
        <w:tc>
          <w:tcPr>
            <w:tcW w:w="593" w:type="pct"/>
            <w:noWrap/>
            <w:hideMark/>
          </w:tcPr>
          <w:p w:rsidR="00A3387B" w:rsidRPr="009C5C54" w:rsidRDefault="00A3387B" w:rsidP="00C72823">
            <w:pPr>
              <w:pStyle w:val="Tabletext"/>
              <w:jc w:val="center"/>
            </w:pPr>
            <w:r w:rsidRPr="009C5C54">
              <w:t>16</w:t>
            </w:r>
          </w:p>
          <w:p w:rsidR="00A3387B" w:rsidRPr="009C5C54" w:rsidRDefault="00A3387B" w:rsidP="00C72823">
            <w:pPr>
              <w:pStyle w:val="Tabletext"/>
              <w:jc w:val="center"/>
            </w:pPr>
            <w:r w:rsidRPr="009C5C54">
              <w:t>47%</w:t>
            </w:r>
          </w:p>
        </w:tc>
        <w:tc>
          <w:tcPr>
            <w:tcW w:w="593" w:type="pct"/>
            <w:noWrap/>
            <w:hideMark/>
          </w:tcPr>
          <w:p w:rsidR="00A3387B" w:rsidRPr="009C5C54" w:rsidRDefault="00A3387B" w:rsidP="00C72823">
            <w:pPr>
              <w:pStyle w:val="Tabletext"/>
              <w:jc w:val="center"/>
            </w:pPr>
            <w:r w:rsidRPr="009C5C54">
              <w:t>14</w:t>
            </w:r>
          </w:p>
          <w:p w:rsidR="00A3387B" w:rsidRPr="009C5C54" w:rsidRDefault="00A3387B" w:rsidP="00C72823">
            <w:pPr>
              <w:pStyle w:val="Tabletext"/>
              <w:jc w:val="center"/>
            </w:pPr>
            <w:r w:rsidRPr="009C5C54">
              <w:t>41%</w:t>
            </w:r>
          </w:p>
        </w:tc>
      </w:tr>
      <w:tr w:rsidR="00A3387B" w:rsidRPr="009C5C54" w:rsidTr="007867F3">
        <w:trPr>
          <w:trHeight w:val="79"/>
        </w:trPr>
        <w:tc>
          <w:tcPr>
            <w:tcW w:w="847" w:type="pct"/>
            <w:noWrap/>
            <w:hideMark/>
          </w:tcPr>
          <w:p w:rsidR="00A3387B" w:rsidRPr="009C5C54" w:rsidRDefault="00A3387B" w:rsidP="00C72823">
            <w:pPr>
              <w:pStyle w:val="Tabletext"/>
            </w:pPr>
            <w:r w:rsidRPr="009C5C54">
              <w:t>Infections and infestations</w:t>
            </w:r>
          </w:p>
        </w:tc>
        <w:tc>
          <w:tcPr>
            <w:tcW w:w="593" w:type="pct"/>
            <w:noWrap/>
            <w:hideMark/>
          </w:tcPr>
          <w:p w:rsidR="00A3387B" w:rsidRPr="009C5C54" w:rsidRDefault="00A3387B" w:rsidP="00C72823">
            <w:pPr>
              <w:pStyle w:val="Tabletext"/>
              <w:jc w:val="center"/>
            </w:pPr>
            <w:r w:rsidRPr="009C5C54">
              <w:t>21</w:t>
            </w:r>
          </w:p>
          <w:p w:rsidR="00A3387B" w:rsidRPr="009C5C54" w:rsidRDefault="00A3387B" w:rsidP="00C72823">
            <w:pPr>
              <w:pStyle w:val="Tabletext"/>
              <w:jc w:val="center"/>
            </w:pPr>
            <w:r w:rsidRPr="009C5C54">
              <w:t>48%</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29%</w:t>
            </w:r>
          </w:p>
        </w:tc>
        <w:tc>
          <w:tcPr>
            <w:tcW w:w="593" w:type="pct"/>
            <w:noWrap/>
            <w:hideMark/>
          </w:tcPr>
          <w:p w:rsidR="00A3387B" w:rsidRPr="009C5C54" w:rsidRDefault="00A3387B" w:rsidP="00C72823">
            <w:pPr>
              <w:pStyle w:val="Tabletext"/>
              <w:jc w:val="center"/>
            </w:pPr>
            <w:r w:rsidRPr="009C5C54">
              <w:t>11</w:t>
            </w:r>
          </w:p>
          <w:p w:rsidR="00A3387B" w:rsidRPr="009C5C54" w:rsidRDefault="00A3387B" w:rsidP="00C72823">
            <w:pPr>
              <w:pStyle w:val="Tabletext"/>
              <w:jc w:val="center"/>
            </w:pPr>
            <w:r w:rsidRPr="009C5C54">
              <w:t>52%</w:t>
            </w:r>
          </w:p>
        </w:tc>
        <w:tc>
          <w:tcPr>
            <w:tcW w:w="593" w:type="pct"/>
            <w:noWrap/>
            <w:hideMark/>
          </w:tcPr>
          <w:p w:rsidR="00A3387B" w:rsidRPr="009C5C54" w:rsidRDefault="00A3387B" w:rsidP="00C72823">
            <w:pPr>
              <w:pStyle w:val="Tabletext"/>
              <w:jc w:val="center"/>
            </w:pPr>
            <w:r w:rsidRPr="009C5C54">
              <w:t>5</w:t>
            </w:r>
          </w:p>
          <w:p w:rsidR="00A3387B" w:rsidRPr="009C5C54" w:rsidRDefault="00A3387B" w:rsidP="00C72823">
            <w:pPr>
              <w:pStyle w:val="Tabletext"/>
              <w:jc w:val="center"/>
            </w:pPr>
            <w:r w:rsidRPr="009C5C54">
              <w:t>24%</w:t>
            </w:r>
          </w:p>
        </w:tc>
        <w:tc>
          <w:tcPr>
            <w:tcW w:w="593" w:type="pct"/>
            <w:noWrap/>
            <w:hideMark/>
          </w:tcPr>
          <w:p w:rsidR="00A3387B" w:rsidRPr="009C5C54" w:rsidRDefault="00A3387B" w:rsidP="00C72823">
            <w:pPr>
              <w:pStyle w:val="Tabletext"/>
              <w:jc w:val="center"/>
            </w:pPr>
            <w:r w:rsidRPr="009C5C54">
              <w:t>3</w:t>
            </w:r>
          </w:p>
          <w:p w:rsidR="00A3387B" w:rsidRPr="009C5C54" w:rsidRDefault="00A3387B" w:rsidP="00C72823">
            <w:pPr>
              <w:pStyle w:val="Tabletext"/>
              <w:jc w:val="center"/>
            </w:pPr>
            <w:r w:rsidRPr="009C5C54">
              <w:t>14%</w:t>
            </w:r>
          </w:p>
        </w:tc>
        <w:tc>
          <w:tcPr>
            <w:tcW w:w="593" w:type="pct"/>
            <w:noWrap/>
            <w:hideMark/>
          </w:tcPr>
          <w:p w:rsidR="00A3387B" w:rsidRPr="009C5C54" w:rsidRDefault="00A3387B" w:rsidP="00C72823">
            <w:pPr>
              <w:pStyle w:val="Tabletext"/>
              <w:jc w:val="center"/>
            </w:pPr>
            <w:r w:rsidRPr="009C5C54">
              <w:t>37</w:t>
            </w:r>
          </w:p>
          <w:p w:rsidR="00A3387B" w:rsidRPr="009C5C54" w:rsidRDefault="00A3387B" w:rsidP="00C72823">
            <w:pPr>
              <w:pStyle w:val="Tabletext"/>
              <w:jc w:val="center"/>
            </w:pPr>
            <w:r w:rsidRPr="009C5C54">
              <w:t>100%</w:t>
            </w:r>
          </w:p>
        </w:tc>
        <w:tc>
          <w:tcPr>
            <w:tcW w:w="593" w:type="pct"/>
            <w:noWrap/>
            <w:hideMark/>
          </w:tcPr>
          <w:p w:rsidR="00A3387B" w:rsidRPr="009C5C54" w:rsidRDefault="00A3387B" w:rsidP="00C72823">
            <w:pPr>
              <w:pStyle w:val="Tabletext"/>
              <w:jc w:val="center"/>
            </w:pPr>
            <w:r w:rsidRPr="009C5C54">
              <w:t>18</w:t>
            </w:r>
          </w:p>
          <w:p w:rsidR="00A3387B" w:rsidRPr="009C5C54" w:rsidRDefault="00A3387B" w:rsidP="00C72823">
            <w:pPr>
              <w:pStyle w:val="Tabletext"/>
              <w:jc w:val="center"/>
            </w:pPr>
            <w:r w:rsidRPr="009C5C54">
              <w:t>53%</w:t>
            </w:r>
          </w:p>
        </w:tc>
      </w:tr>
      <w:tr w:rsidR="00A3387B" w:rsidRPr="009C5C54" w:rsidTr="007867F3">
        <w:trPr>
          <w:trHeight w:val="79"/>
        </w:trPr>
        <w:tc>
          <w:tcPr>
            <w:tcW w:w="847" w:type="pct"/>
            <w:noWrap/>
            <w:hideMark/>
          </w:tcPr>
          <w:p w:rsidR="00A3387B" w:rsidRPr="009C5C54" w:rsidRDefault="00A3387B" w:rsidP="00C72823">
            <w:pPr>
              <w:pStyle w:val="Tabletext"/>
            </w:pPr>
            <w:r w:rsidRPr="009C5C54">
              <w:t>Nervous system disorders</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14%</w:t>
            </w:r>
          </w:p>
        </w:tc>
        <w:tc>
          <w:tcPr>
            <w:tcW w:w="593" w:type="pct"/>
            <w:noWrap/>
            <w:hideMark/>
          </w:tcPr>
          <w:p w:rsidR="00A3387B" w:rsidRPr="009C5C54" w:rsidRDefault="00A3387B" w:rsidP="00C72823">
            <w:pPr>
              <w:pStyle w:val="Tabletext"/>
              <w:jc w:val="center"/>
            </w:pPr>
            <w:r w:rsidRPr="009C5C54">
              <w:t>1</w:t>
            </w:r>
          </w:p>
          <w:p w:rsidR="00A3387B" w:rsidRPr="009C5C54" w:rsidRDefault="00A3387B" w:rsidP="00C72823">
            <w:pPr>
              <w:pStyle w:val="Tabletext"/>
              <w:jc w:val="center"/>
            </w:pPr>
            <w:r w:rsidRPr="009C5C54">
              <w:t>5%</w:t>
            </w:r>
          </w:p>
        </w:tc>
        <w:tc>
          <w:tcPr>
            <w:tcW w:w="593" w:type="pct"/>
            <w:noWrap/>
            <w:hideMark/>
          </w:tcPr>
          <w:p w:rsidR="00A3387B" w:rsidRPr="009C5C54" w:rsidRDefault="00A3387B" w:rsidP="00C72823">
            <w:pPr>
              <w:pStyle w:val="Tabletext"/>
              <w:jc w:val="center"/>
            </w:pPr>
            <w:r w:rsidRPr="009C5C54">
              <w:t>4</w:t>
            </w:r>
          </w:p>
          <w:p w:rsidR="00A3387B" w:rsidRPr="009C5C54" w:rsidRDefault="00A3387B" w:rsidP="00C72823">
            <w:pPr>
              <w:pStyle w:val="Tabletext"/>
              <w:jc w:val="center"/>
            </w:pPr>
            <w:r w:rsidRPr="009C5C54">
              <w:t>19%</w:t>
            </w:r>
          </w:p>
        </w:tc>
        <w:tc>
          <w:tcPr>
            <w:tcW w:w="593" w:type="pct"/>
            <w:noWrap/>
            <w:hideMark/>
          </w:tcPr>
          <w:p w:rsidR="00A3387B" w:rsidRPr="009C5C54" w:rsidRDefault="00A3387B" w:rsidP="00C72823">
            <w:pPr>
              <w:pStyle w:val="Tabletext"/>
              <w:jc w:val="center"/>
            </w:pPr>
            <w:r w:rsidRPr="009C5C54">
              <w:t>8</w:t>
            </w:r>
          </w:p>
          <w:p w:rsidR="00A3387B" w:rsidRPr="009C5C54" w:rsidRDefault="00A3387B" w:rsidP="00C72823">
            <w:pPr>
              <w:pStyle w:val="Tabletext"/>
              <w:jc w:val="center"/>
            </w:pPr>
            <w:r w:rsidRPr="009C5C54">
              <w:t>38%</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29%</w:t>
            </w:r>
          </w:p>
        </w:tc>
        <w:tc>
          <w:tcPr>
            <w:tcW w:w="593" w:type="pct"/>
            <w:noWrap/>
            <w:hideMark/>
          </w:tcPr>
          <w:p w:rsidR="00A3387B" w:rsidRPr="009C5C54" w:rsidRDefault="00A3387B" w:rsidP="00C72823">
            <w:pPr>
              <w:pStyle w:val="Tabletext"/>
              <w:jc w:val="center"/>
            </w:pPr>
            <w:r w:rsidRPr="009C5C54">
              <w:t>5</w:t>
            </w:r>
          </w:p>
          <w:p w:rsidR="00A3387B" w:rsidRPr="009C5C54" w:rsidRDefault="00A3387B" w:rsidP="00C72823">
            <w:pPr>
              <w:pStyle w:val="Tabletext"/>
              <w:jc w:val="center"/>
            </w:pPr>
            <w:r w:rsidRPr="009C5C54">
              <w:t>15%</w:t>
            </w:r>
          </w:p>
        </w:tc>
        <w:tc>
          <w:tcPr>
            <w:tcW w:w="593" w:type="pct"/>
            <w:noWrap/>
            <w:hideMark/>
          </w:tcPr>
          <w:p w:rsidR="00A3387B" w:rsidRPr="009C5C54" w:rsidRDefault="00A3387B" w:rsidP="00C72823">
            <w:pPr>
              <w:pStyle w:val="Tabletext"/>
              <w:jc w:val="center"/>
            </w:pPr>
            <w:r w:rsidRPr="009C5C54">
              <w:t>6</w:t>
            </w:r>
          </w:p>
          <w:p w:rsidR="00A3387B" w:rsidRPr="009C5C54" w:rsidRDefault="00A3387B" w:rsidP="00C72823">
            <w:pPr>
              <w:pStyle w:val="Tabletext"/>
              <w:jc w:val="center"/>
            </w:pPr>
            <w:r w:rsidRPr="009C5C54">
              <w:t>18%</w:t>
            </w:r>
          </w:p>
        </w:tc>
      </w:tr>
    </w:tbl>
    <w:p w:rsidR="00A3387B" w:rsidRPr="009C5C54" w:rsidRDefault="00A3387B" w:rsidP="00A3387B">
      <w:pPr>
        <w:pStyle w:val="TableFigureFooter"/>
      </w:pPr>
      <w:r w:rsidRPr="009C5C54">
        <w:t>Source: Table 2.6.3, p85 of the submission.</w:t>
      </w:r>
    </w:p>
    <w:p w:rsidR="00A3387B" w:rsidRPr="009C5C54" w:rsidRDefault="00A3387B" w:rsidP="00A3387B">
      <w:pPr>
        <w:pStyle w:val="3-BodyText"/>
        <w:rPr>
          <w:color w:val="000000" w:themeColor="text1"/>
        </w:rPr>
      </w:pPr>
      <w:r w:rsidRPr="009C5C54">
        <w:rPr>
          <w:iCs/>
        </w:rPr>
        <w:t xml:space="preserve">The numerical trends appear to favour triptorelin. However, given </w:t>
      </w:r>
      <w:r w:rsidR="00BC16D3" w:rsidRPr="009C5C54">
        <w:rPr>
          <w:iCs/>
        </w:rPr>
        <w:t xml:space="preserve">the </w:t>
      </w:r>
      <w:r w:rsidRPr="009C5C54">
        <w:rPr>
          <w:iCs/>
        </w:rPr>
        <w:t xml:space="preserve">nature of the comparison and the high risk of bias of the included studies, </w:t>
      </w:r>
      <w:r w:rsidR="00605BA9" w:rsidRPr="009C5C54">
        <w:rPr>
          <w:iCs/>
        </w:rPr>
        <w:t>a claim of non-inferior comparative safety is likely more reasonable.</w:t>
      </w:r>
      <w:r w:rsidRPr="009C5C54">
        <w:rPr>
          <w:iCs/>
        </w:rPr>
        <w:t xml:space="preserve"> </w:t>
      </w:r>
    </w:p>
    <w:p w:rsidR="00A3387B" w:rsidRPr="009C5C54" w:rsidRDefault="00A3387B" w:rsidP="00A3387B">
      <w:pPr>
        <w:pStyle w:val="4-SubsectionHeading"/>
      </w:pPr>
      <w:bookmarkStart w:id="19" w:name="_Toc22897644"/>
      <w:bookmarkStart w:id="20" w:name="_Toc72247595"/>
      <w:r w:rsidRPr="009C5C54">
        <w:t>Clinical claim</w:t>
      </w:r>
      <w:bookmarkEnd w:id="19"/>
      <w:bookmarkEnd w:id="20"/>
    </w:p>
    <w:p w:rsidR="00A3387B" w:rsidRPr="009C5C54" w:rsidRDefault="00A3387B" w:rsidP="00A3387B">
      <w:pPr>
        <w:pStyle w:val="3-BodyText"/>
        <w:rPr>
          <w:color w:val="000000" w:themeColor="text1"/>
        </w:rPr>
      </w:pPr>
      <w:r w:rsidRPr="009C5C54">
        <w:rPr>
          <w:color w:val="000000" w:themeColor="text1"/>
        </w:rPr>
        <w:t xml:space="preserve">The submission claimed that for children with CPP: </w:t>
      </w:r>
    </w:p>
    <w:p w:rsidR="00A3387B" w:rsidRPr="009C5C54" w:rsidRDefault="00A3387B" w:rsidP="001C66D2">
      <w:pPr>
        <w:pStyle w:val="3-BodyText"/>
        <w:numPr>
          <w:ilvl w:val="0"/>
          <w:numId w:val="8"/>
        </w:numPr>
        <w:ind w:left="1134" w:hanging="425"/>
        <w:rPr>
          <w:color w:val="000000" w:themeColor="text1"/>
        </w:rPr>
      </w:pPr>
      <w:r w:rsidRPr="009C5C54">
        <w:rPr>
          <w:color w:val="000000" w:themeColor="text1"/>
        </w:rPr>
        <w:t xml:space="preserve">Triptorelin is non-inferior compared to leuprorelin in terms </w:t>
      </w:r>
      <w:r w:rsidR="000526A2" w:rsidRPr="009C5C54">
        <w:rPr>
          <w:color w:val="000000" w:themeColor="text1"/>
        </w:rPr>
        <w:t xml:space="preserve">of </w:t>
      </w:r>
      <w:r w:rsidRPr="009C5C54">
        <w:rPr>
          <w:color w:val="000000" w:themeColor="text1"/>
        </w:rPr>
        <w:t>efficacy measured as suppression of LH to pre-pubertal levels.</w:t>
      </w:r>
    </w:p>
    <w:p w:rsidR="00A3387B" w:rsidRPr="009C5C54" w:rsidRDefault="00A3387B" w:rsidP="001C66D2">
      <w:pPr>
        <w:pStyle w:val="3-BodyText"/>
        <w:numPr>
          <w:ilvl w:val="0"/>
          <w:numId w:val="8"/>
        </w:numPr>
        <w:ind w:left="1134" w:hanging="425"/>
        <w:rPr>
          <w:color w:val="000000" w:themeColor="text1"/>
        </w:rPr>
      </w:pPr>
      <w:r w:rsidRPr="009C5C54">
        <w:rPr>
          <w:color w:val="000000" w:themeColor="text1"/>
        </w:rPr>
        <w:t>Triptorelin is non-inferior in safety compared with leuprorelin based on overall and system organ class (SOC) AEs.</w:t>
      </w:r>
    </w:p>
    <w:p w:rsidR="0034449D" w:rsidRPr="009C5C54" w:rsidRDefault="00A3387B" w:rsidP="0034449D">
      <w:pPr>
        <w:pStyle w:val="3-BodyText"/>
        <w:rPr>
          <w:iCs/>
          <w:color w:val="000000" w:themeColor="text1"/>
        </w:rPr>
      </w:pPr>
      <w:r w:rsidRPr="009C5C54">
        <w:rPr>
          <w:iCs/>
          <w:color w:val="000000" w:themeColor="text1"/>
        </w:rPr>
        <w:t xml:space="preserve">Both claims are </w:t>
      </w:r>
      <w:r w:rsidR="007867F3" w:rsidRPr="009C5C54">
        <w:rPr>
          <w:iCs/>
          <w:color w:val="000000" w:themeColor="text1"/>
        </w:rPr>
        <w:t>based on</w:t>
      </w:r>
      <w:r w:rsidRPr="009C5C54">
        <w:rPr>
          <w:iCs/>
          <w:color w:val="000000" w:themeColor="text1"/>
        </w:rPr>
        <w:t xml:space="preserve"> numerical trends in a naïve comparison of single treatment arms of different studies with high risk of bias. Consequently, the </w:t>
      </w:r>
      <w:r w:rsidR="00BC16D3" w:rsidRPr="009C5C54">
        <w:rPr>
          <w:iCs/>
          <w:color w:val="000000" w:themeColor="text1"/>
        </w:rPr>
        <w:t xml:space="preserve">evaluation considered the </w:t>
      </w:r>
      <w:r w:rsidRPr="009C5C54">
        <w:rPr>
          <w:iCs/>
          <w:color w:val="000000" w:themeColor="text1"/>
        </w:rPr>
        <w:t>reliability of these claims is not strong. Nevertheless, the included evidence does not indicate any strong efficacy or safety signals which would point to inferiority of triptorelin.</w:t>
      </w:r>
      <w:r w:rsidR="008D67AE" w:rsidRPr="009C5C54">
        <w:rPr>
          <w:iCs/>
          <w:color w:val="000000" w:themeColor="text1"/>
        </w:rPr>
        <w:t xml:space="preserve"> </w:t>
      </w:r>
      <w:r w:rsidR="008D67AE" w:rsidRPr="009C5C54">
        <w:rPr>
          <w:iCs/>
        </w:rPr>
        <w:t>The ESC noted limited evidence was presented for the clinically-relevant outcomes of growth velocity reduction and improved wellbeing; however, despite the limitations of the clinical data presented, the ESC considered the place of GnRH analogues in the treatment of CPP was well-established and the claim of non-inferior comparative efficacy was likely reasonable.</w:t>
      </w:r>
    </w:p>
    <w:p w:rsidR="0034449D" w:rsidRPr="009C5C54" w:rsidRDefault="0034449D" w:rsidP="0034449D">
      <w:pPr>
        <w:pStyle w:val="3-BodyText"/>
        <w:rPr>
          <w:iCs/>
        </w:rPr>
      </w:pPr>
      <w:r w:rsidRPr="009C5C54">
        <w:rPr>
          <w:iCs/>
        </w:rPr>
        <w:t>The PBAC considered that the claim of non-inferior comparative effectiveness</w:t>
      </w:r>
      <w:r w:rsidR="00BC16D3" w:rsidRPr="009C5C54">
        <w:rPr>
          <w:iCs/>
        </w:rPr>
        <w:t xml:space="preserve"> and safety</w:t>
      </w:r>
      <w:r w:rsidRPr="009C5C54">
        <w:rPr>
          <w:iCs/>
        </w:rPr>
        <w:t xml:space="preserve"> was reasonable</w:t>
      </w:r>
      <w:r w:rsidR="000E150E" w:rsidRPr="009C5C54">
        <w:rPr>
          <w:iCs/>
        </w:rPr>
        <w:t>.</w:t>
      </w:r>
    </w:p>
    <w:p w:rsidR="00A3387B" w:rsidRPr="009C5C54" w:rsidRDefault="00A3387B" w:rsidP="00A3387B">
      <w:pPr>
        <w:pStyle w:val="4-SubsectionHeading"/>
      </w:pPr>
      <w:bookmarkStart w:id="21" w:name="_Toc22897645"/>
      <w:bookmarkStart w:id="22" w:name="_Toc72247596"/>
      <w:r w:rsidRPr="009C5C54">
        <w:t>Economic analysis</w:t>
      </w:r>
      <w:bookmarkEnd w:id="21"/>
      <w:bookmarkEnd w:id="22"/>
      <w:r w:rsidRPr="009C5C54">
        <w:t xml:space="preserve"> </w:t>
      </w:r>
    </w:p>
    <w:p w:rsidR="00A3387B" w:rsidRPr="009C5C54" w:rsidRDefault="009E4996" w:rsidP="00A3387B">
      <w:pPr>
        <w:pStyle w:val="3-BodyText"/>
      </w:pPr>
      <w:r w:rsidRPr="009C5C54">
        <w:t>Table 5</w:t>
      </w:r>
      <w:r w:rsidR="00A3387B" w:rsidRPr="009C5C54">
        <w:t xml:space="preserve"> presents key components and assumptions of the submission’s cost-minimisation analysis.</w:t>
      </w:r>
    </w:p>
    <w:p w:rsidR="00A3387B" w:rsidRPr="009C5C54" w:rsidRDefault="00A3387B" w:rsidP="00A3387B">
      <w:pPr>
        <w:pStyle w:val="TableFigureHeading"/>
        <w:rPr>
          <w:rStyle w:val="CommentReference"/>
          <w:b/>
          <w:szCs w:val="24"/>
        </w:rPr>
      </w:pPr>
      <w:bookmarkStart w:id="23" w:name="_Ref71281018"/>
      <w:r w:rsidRPr="009C5C54">
        <w:rPr>
          <w:rStyle w:val="CommentReference"/>
          <w:b/>
          <w:szCs w:val="24"/>
        </w:rPr>
        <w:t xml:space="preserve">Table </w:t>
      </w:r>
      <w:r w:rsidR="009E4996" w:rsidRPr="009C5C54">
        <w:rPr>
          <w:rStyle w:val="CommentReference"/>
          <w:b/>
          <w:szCs w:val="24"/>
        </w:rPr>
        <w:t>5</w:t>
      </w:r>
      <w:bookmarkEnd w:id="23"/>
      <w:r w:rsidRPr="009C5C54">
        <w:rPr>
          <w:rStyle w:val="CommentReference"/>
          <w:b/>
          <w:szCs w:val="24"/>
        </w:rPr>
        <w:t>: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0"/>
        <w:gridCol w:w="6520"/>
      </w:tblGrid>
      <w:tr w:rsidR="00A3387B" w:rsidRPr="009C5C54" w:rsidTr="007867F3">
        <w:tc>
          <w:tcPr>
            <w:tcW w:w="2660" w:type="dxa"/>
            <w:vAlign w:val="center"/>
          </w:tcPr>
          <w:p w:rsidR="00A3387B" w:rsidRPr="009C5C54" w:rsidRDefault="00A3387B" w:rsidP="00C72823">
            <w:pPr>
              <w:pStyle w:val="In-tableHeading"/>
              <w:rPr>
                <w:lang w:val="en-AU"/>
              </w:rPr>
            </w:pPr>
            <w:r w:rsidRPr="009C5C54">
              <w:rPr>
                <w:lang w:val="en-AU"/>
              </w:rPr>
              <w:t>Component</w:t>
            </w:r>
          </w:p>
        </w:tc>
        <w:tc>
          <w:tcPr>
            <w:tcW w:w="6520" w:type="dxa"/>
            <w:vAlign w:val="center"/>
          </w:tcPr>
          <w:p w:rsidR="00A3387B" w:rsidRPr="009C5C54" w:rsidRDefault="00A3387B" w:rsidP="00C72823">
            <w:pPr>
              <w:pStyle w:val="In-tableHeading"/>
              <w:rPr>
                <w:lang w:val="en-AU"/>
              </w:rPr>
            </w:pPr>
            <w:r w:rsidRPr="009C5C54">
              <w:rPr>
                <w:lang w:val="en-AU"/>
              </w:rPr>
              <w:t>Claim or assumption</w:t>
            </w:r>
          </w:p>
        </w:tc>
      </w:tr>
      <w:tr w:rsidR="00A3387B" w:rsidRPr="009C5C54" w:rsidTr="007867F3">
        <w:tc>
          <w:tcPr>
            <w:tcW w:w="2660" w:type="dxa"/>
            <w:vAlign w:val="center"/>
          </w:tcPr>
          <w:p w:rsidR="00A3387B" w:rsidRPr="009C5C54" w:rsidRDefault="00A3387B" w:rsidP="00C72823">
            <w:pPr>
              <w:pStyle w:val="TableText0"/>
            </w:pPr>
            <w:r w:rsidRPr="009C5C54">
              <w:t>Therapeutic claim: effectiveness</w:t>
            </w:r>
          </w:p>
        </w:tc>
        <w:tc>
          <w:tcPr>
            <w:tcW w:w="6520" w:type="dxa"/>
          </w:tcPr>
          <w:p w:rsidR="00A3387B" w:rsidRPr="009C5C54" w:rsidRDefault="00A3387B" w:rsidP="00C72823">
            <w:pPr>
              <w:pStyle w:val="TableText0"/>
            </w:pPr>
            <w:r w:rsidRPr="009C5C54">
              <w:t>Triptorelin is non-inferior compared to leuprorelin in terms of efficacy, measured as suppression of LH to pre-pubertal levels.</w:t>
            </w:r>
          </w:p>
        </w:tc>
      </w:tr>
      <w:tr w:rsidR="00A3387B" w:rsidRPr="009C5C54" w:rsidTr="007867F3">
        <w:tc>
          <w:tcPr>
            <w:tcW w:w="2660" w:type="dxa"/>
            <w:vAlign w:val="center"/>
          </w:tcPr>
          <w:p w:rsidR="00A3387B" w:rsidRPr="009C5C54" w:rsidRDefault="00A3387B" w:rsidP="00C72823">
            <w:pPr>
              <w:pStyle w:val="TableText0"/>
            </w:pPr>
            <w:r w:rsidRPr="009C5C54">
              <w:t>Therapeutic claim: safety</w:t>
            </w:r>
          </w:p>
        </w:tc>
        <w:tc>
          <w:tcPr>
            <w:tcW w:w="6520" w:type="dxa"/>
          </w:tcPr>
          <w:p w:rsidR="00A3387B" w:rsidRPr="009C5C54" w:rsidRDefault="00A3387B" w:rsidP="00C72823">
            <w:pPr>
              <w:pStyle w:val="TableText0"/>
            </w:pPr>
            <w:r w:rsidRPr="009C5C54">
              <w:t>Triptorelin is non-inferior in safety compared with leuprorelin based on overall and system organ class (SOC) AEs.</w:t>
            </w:r>
          </w:p>
        </w:tc>
      </w:tr>
      <w:tr w:rsidR="00A3387B" w:rsidRPr="009C5C54" w:rsidTr="007867F3">
        <w:tc>
          <w:tcPr>
            <w:tcW w:w="2660" w:type="dxa"/>
            <w:vAlign w:val="center"/>
          </w:tcPr>
          <w:p w:rsidR="00A3387B" w:rsidRPr="009C5C54" w:rsidRDefault="00A3387B" w:rsidP="00C72823">
            <w:pPr>
              <w:pStyle w:val="TableText0"/>
            </w:pPr>
            <w:r w:rsidRPr="009C5C54">
              <w:t>Evidence base</w:t>
            </w:r>
          </w:p>
        </w:tc>
        <w:tc>
          <w:tcPr>
            <w:tcW w:w="6520" w:type="dxa"/>
          </w:tcPr>
          <w:p w:rsidR="00A3387B" w:rsidRPr="009C5C54" w:rsidRDefault="00A3387B" w:rsidP="00C72823">
            <w:pPr>
              <w:pStyle w:val="TableText0"/>
            </w:pPr>
            <w:r w:rsidRPr="009C5C54">
              <w:t>Naïve treatment comparison of Study 301, Lee 2012, Lee 2014.</w:t>
            </w:r>
          </w:p>
        </w:tc>
      </w:tr>
      <w:tr w:rsidR="00A3387B" w:rsidRPr="009C5C54" w:rsidTr="007867F3">
        <w:tc>
          <w:tcPr>
            <w:tcW w:w="2660" w:type="dxa"/>
            <w:vAlign w:val="center"/>
          </w:tcPr>
          <w:p w:rsidR="00A3387B" w:rsidRPr="009C5C54" w:rsidRDefault="00A3387B" w:rsidP="00C72823">
            <w:pPr>
              <w:pStyle w:val="TableText0"/>
            </w:pPr>
            <w:r w:rsidRPr="009C5C54">
              <w:t>Equi-effective doses</w:t>
            </w:r>
          </w:p>
        </w:tc>
        <w:tc>
          <w:tcPr>
            <w:tcW w:w="6520" w:type="dxa"/>
          </w:tcPr>
          <w:p w:rsidR="00A3387B" w:rsidRPr="009C5C54" w:rsidRDefault="00A3387B" w:rsidP="00C72823">
            <w:pPr>
              <w:pStyle w:val="TableText0"/>
            </w:pPr>
            <w:r w:rsidRPr="009C5C54">
              <w:t>2 injections of triptorelin (22.5mg) is equi-effective to 4 injections of leuprorelin (30mg).</w:t>
            </w:r>
          </w:p>
        </w:tc>
      </w:tr>
      <w:tr w:rsidR="00A3387B" w:rsidRPr="009C5C54" w:rsidTr="007867F3">
        <w:tc>
          <w:tcPr>
            <w:tcW w:w="2660" w:type="dxa"/>
            <w:vAlign w:val="center"/>
          </w:tcPr>
          <w:p w:rsidR="00A3387B" w:rsidRPr="009C5C54" w:rsidRDefault="00A3387B" w:rsidP="00C72823">
            <w:pPr>
              <w:pStyle w:val="TableText0"/>
            </w:pPr>
            <w:r w:rsidRPr="009C5C54">
              <w:t>Direct medicine costs</w:t>
            </w:r>
          </w:p>
        </w:tc>
        <w:tc>
          <w:tcPr>
            <w:tcW w:w="6520" w:type="dxa"/>
          </w:tcPr>
          <w:p w:rsidR="00A3387B" w:rsidRPr="009C5C54" w:rsidRDefault="00A3387B" w:rsidP="00C72823">
            <w:pPr>
              <w:pStyle w:val="TableText0"/>
            </w:pPr>
            <w:r w:rsidRPr="009C5C54">
              <w:t>Triptorelin costs less than leuprorelin in terms of price per year.</w:t>
            </w:r>
          </w:p>
        </w:tc>
      </w:tr>
      <w:tr w:rsidR="00A3387B" w:rsidRPr="009C5C54" w:rsidTr="007867F3">
        <w:tc>
          <w:tcPr>
            <w:tcW w:w="2660" w:type="dxa"/>
            <w:vAlign w:val="center"/>
          </w:tcPr>
          <w:p w:rsidR="00A3387B" w:rsidRPr="009C5C54" w:rsidRDefault="00A3387B" w:rsidP="00C72823">
            <w:pPr>
              <w:pStyle w:val="TableText0"/>
            </w:pPr>
            <w:r w:rsidRPr="009C5C54">
              <w:t>Other costs or cost offsets</w:t>
            </w:r>
          </w:p>
        </w:tc>
        <w:tc>
          <w:tcPr>
            <w:tcW w:w="6520" w:type="dxa"/>
          </w:tcPr>
          <w:p w:rsidR="00A3387B" w:rsidRPr="009C5C54" w:rsidRDefault="00A3387B" w:rsidP="00C72823">
            <w:pPr>
              <w:pStyle w:val="TableText0"/>
            </w:pPr>
            <w:r w:rsidRPr="009C5C54">
              <w:t>MBS items used during review appointments.</w:t>
            </w:r>
          </w:p>
        </w:tc>
      </w:tr>
    </w:tbl>
    <w:p w:rsidR="007867F3" w:rsidRPr="009C5C54" w:rsidRDefault="00A3387B" w:rsidP="00A3387B">
      <w:pPr>
        <w:pStyle w:val="TableFigureFooter"/>
      </w:pPr>
      <w:r w:rsidRPr="009C5C54">
        <w:t xml:space="preserve">Source: Table 3.1.1, p93 of the submission. </w:t>
      </w:r>
    </w:p>
    <w:p w:rsidR="00A3387B" w:rsidRPr="009C5C54" w:rsidRDefault="00A3387B" w:rsidP="00A3387B">
      <w:pPr>
        <w:pStyle w:val="TableFigureFooter"/>
        <w:rPr>
          <w:sz w:val="20"/>
        </w:rPr>
      </w:pPr>
      <w:r w:rsidRPr="009C5C54">
        <w:t>AE = adverse event; LH = Luteinising hormone; MBS = Medicare Benefits Schedule; SOC = system organ class</w:t>
      </w:r>
    </w:p>
    <w:p w:rsidR="00A3387B" w:rsidRPr="009C5C54" w:rsidRDefault="00A3387B" w:rsidP="00A3387B">
      <w:pPr>
        <w:pStyle w:val="3-BodyText"/>
      </w:pPr>
      <w:r w:rsidRPr="009C5C54">
        <w:t>The submission did not explicitly state the equi-effective doses. However, based on the presented cost-minimisation analysis, the implied equi-effective dose was</w:t>
      </w:r>
      <w:r w:rsidR="00A077D6" w:rsidRPr="009C5C54">
        <w:t xml:space="preserve"> based on dosing over one year</w:t>
      </w:r>
      <w:r w:rsidRPr="009C5C54">
        <w:t>:</w:t>
      </w:r>
    </w:p>
    <w:p w:rsidR="00A3387B" w:rsidRPr="009C5C54" w:rsidRDefault="00A3387B" w:rsidP="00A077D6">
      <w:pPr>
        <w:pStyle w:val="ListParagraph"/>
        <w:ind w:left="720"/>
        <w:jc w:val="center"/>
      </w:pPr>
      <w:r w:rsidRPr="009C5C54">
        <w:t>2 injections of triptorelin (22.5</w:t>
      </w:r>
      <w:r w:rsidR="008E4D06">
        <w:t> </w:t>
      </w:r>
      <w:r w:rsidRPr="009C5C54">
        <w:t xml:space="preserve">mg) </w:t>
      </w:r>
      <w:r w:rsidR="003971D3" w:rsidRPr="009C5C54">
        <w:t>= 4</w:t>
      </w:r>
      <w:r w:rsidRPr="009C5C54">
        <w:t xml:space="preserve"> injections of leuprorelin (30</w:t>
      </w:r>
      <w:r w:rsidR="008E4D06">
        <w:t> </w:t>
      </w:r>
      <w:r w:rsidRPr="009C5C54">
        <w:t>mg).</w:t>
      </w:r>
    </w:p>
    <w:p w:rsidR="00A3387B" w:rsidRPr="009C5C54" w:rsidRDefault="00A3387B" w:rsidP="00A3387B">
      <w:pPr>
        <w:pStyle w:val="3-BodyText"/>
        <w:rPr>
          <w:iCs/>
        </w:rPr>
      </w:pPr>
      <w:r w:rsidRPr="009C5C54">
        <w:rPr>
          <w:iCs/>
        </w:rPr>
        <w:t xml:space="preserve">These equi-effective doses do not account for differences in duration of treatment. Though little evidence is available for length of treatment with each of the treatments in the proposed setting, it is likely that treatment for most patients will be greater than one year. Given the slight differences in the indications and restrictions of triptorelin and leuprorelin, there is a possibility that in practice some patients would be treated for longer with triptorelin. The </w:t>
      </w:r>
      <w:r w:rsidR="00F51450" w:rsidRPr="009C5C54">
        <w:rPr>
          <w:iCs/>
        </w:rPr>
        <w:t xml:space="preserve">evaluation considered the </w:t>
      </w:r>
      <w:r w:rsidRPr="009C5C54">
        <w:rPr>
          <w:iCs/>
        </w:rPr>
        <w:t>extent to which this would be observed in practice is unclear.</w:t>
      </w:r>
    </w:p>
    <w:p w:rsidR="00A3387B" w:rsidRPr="009C5C54" w:rsidRDefault="00A3387B" w:rsidP="00A3387B">
      <w:pPr>
        <w:pStyle w:val="3-BodyText"/>
      </w:pPr>
      <w:r w:rsidRPr="009C5C54">
        <w:t>The submission included cost offsets relating to reduced routine and complex appointments from the 6 monthly compared to 3 monthly injection schedule (MBS Items 116 [routine] and 133 [complex]) as well as reduced biochemical testing (MBS Item 66695).</w:t>
      </w:r>
    </w:p>
    <w:p w:rsidR="00A3387B" w:rsidRPr="009C5C54" w:rsidRDefault="00A3387B" w:rsidP="00A3387B">
      <w:pPr>
        <w:pStyle w:val="3-BodyText"/>
      </w:pPr>
      <w:r w:rsidRPr="009C5C54">
        <w:rPr>
          <w:iCs/>
        </w:rPr>
        <w:t>Although it was reasonable to assume more frequent appointments to administer injections, there was no basis for modelling differences in complex reviews, as these would likely occur at the same rate regardless of frequency of injections.</w:t>
      </w:r>
    </w:p>
    <w:p w:rsidR="00A3387B" w:rsidRPr="009C5C54" w:rsidRDefault="00A3387B" w:rsidP="00A3387B">
      <w:pPr>
        <w:pStyle w:val="3-BodyText"/>
      </w:pPr>
      <w:r w:rsidRPr="009C5C54">
        <w:rPr>
          <w:iCs/>
        </w:rPr>
        <w:t>Additionally, it is unclear if evaluations may continue to be needed on a more frequent basis than the</w:t>
      </w:r>
      <w:r w:rsidR="003971D3" w:rsidRPr="009C5C54">
        <w:rPr>
          <w:iCs/>
        </w:rPr>
        <w:t xml:space="preserve"> six-monthly </w:t>
      </w:r>
      <w:r w:rsidRPr="009C5C54">
        <w:rPr>
          <w:iCs/>
        </w:rPr>
        <w:t xml:space="preserve">injections of triptorelin, and thus it may be reasonable to assume a smaller number of reduced appointments. </w:t>
      </w:r>
    </w:p>
    <w:p w:rsidR="00A3387B" w:rsidRPr="009C5C54" w:rsidRDefault="00A3387B" w:rsidP="00A3387B">
      <w:pPr>
        <w:pStyle w:val="3-BodyText"/>
      </w:pPr>
      <w:r w:rsidRPr="009C5C54">
        <w:t xml:space="preserve">It was also unclear if biochemical tests would be performed more regularly with more frequent injections. </w:t>
      </w:r>
      <w:r w:rsidRPr="009C5C54">
        <w:rPr>
          <w:iCs/>
        </w:rPr>
        <w:t xml:space="preserve">It does not appear that there would be any clinical reason for leuprorelin to require more frequent biochemical tests. </w:t>
      </w:r>
    </w:p>
    <w:p w:rsidR="00A3387B" w:rsidRPr="009C5C54" w:rsidRDefault="00A3387B" w:rsidP="00A3387B">
      <w:pPr>
        <w:pStyle w:val="3-BodyText"/>
        <w:rPr>
          <w:iCs/>
        </w:rPr>
      </w:pPr>
      <w:r w:rsidRPr="009C5C54">
        <w:rPr>
          <w:iCs/>
        </w:rPr>
        <w:t>Overall, the cost-offsets appeared</w:t>
      </w:r>
      <w:r w:rsidR="003971D3" w:rsidRPr="009C5C54">
        <w:rPr>
          <w:iCs/>
        </w:rPr>
        <w:t xml:space="preserve"> to be</w:t>
      </w:r>
      <w:r w:rsidRPr="009C5C54">
        <w:rPr>
          <w:iCs/>
        </w:rPr>
        <w:t xml:space="preserve"> overestimated.</w:t>
      </w:r>
    </w:p>
    <w:p w:rsidR="00A3387B" w:rsidRPr="009C5C54" w:rsidRDefault="00770DAC" w:rsidP="00A3387B">
      <w:pPr>
        <w:pStyle w:val="3-BodyText"/>
      </w:pPr>
      <w:r w:rsidRPr="009C5C54">
        <w:t xml:space="preserve">Table 6 </w:t>
      </w:r>
      <w:r w:rsidR="00A3387B" w:rsidRPr="009C5C54">
        <w:t>presents the results of the submission’s cost minimisation analysis.</w:t>
      </w:r>
    </w:p>
    <w:p w:rsidR="00C61C12" w:rsidRDefault="00C61C12">
      <w:pPr>
        <w:jc w:val="left"/>
        <w:rPr>
          <w:rStyle w:val="CommentReference"/>
          <w:rFonts w:eastAsiaTheme="majorEastAsia" w:cstheme="majorBidi"/>
          <w:bCs/>
          <w:szCs w:val="24"/>
        </w:rPr>
      </w:pPr>
      <w:bookmarkStart w:id="24" w:name="_Ref71281236"/>
      <w:r>
        <w:rPr>
          <w:rStyle w:val="CommentReference"/>
          <w:b w:val="0"/>
          <w:szCs w:val="24"/>
        </w:rPr>
        <w:br w:type="page"/>
      </w:r>
    </w:p>
    <w:p w:rsidR="00A3387B" w:rsidRPr="009C5C54" w:rsidRDefault="00A3387B" w:rsidP="00A3387B">
      <w:pPr>
        <w:pStyle w:val="TableFigureHeading"/>
        <w:rPr>
          <w:rStyle w:val="CommentReference"/>
          <w:b/>
          <w:szCs w:val="24"/>
        </w:rPr>
      </w:pPr>
      <w:r w:rsidRPr="009C5C54">
        <w:rPr>
          <w:rStyle w:val="CommentReference"/>
          <w:b/>
          <w:szCs w:val="24"/>
        </w:rPr>
        <w:t xml:space="preserve">Table </w:t>
      </w:r>
      <w:r w:rsidR="009E4996" w:rsidRPr="009C5C54">
        <w:rPr>
          <w:rStyle w:val="CommentReference"/>
          <w:b/>
          <w:szCs w:val="24"/>
        </w:rPr>
        <w:t>6</w:t>
      </w:r>
      <w:bookmarkEnd w:id="24"/>
      <w:r w:rsidRPr="009C5C54">
        <w:rPr>
          <w:rStyle w:val="CommentReference"/>
          <w:b/>
          <w:szCs w:val="24"/>
        </w:rPr>
        <w:t>: Results of the cost-minimisation analysis</w:t>
      </w:r>
      <w:r w:rsidR="00556696" w:rsidRPr="009C5C54">
        <w:rPr>
          <w:rStyle w:val="CommentReference"/>
          <w:b/>
          <w:szCs w:val="24"/>
        </w:rPr>
        <w:t xml:space="preserve"> </w:t>
      </w:r>
    </w:p>
    <w:tbl>
      <w:tblPr>
        <w:tblStyle w:val="TableGrid"/>
        <w:tblW w:w="4999" w:type="pct"/>
        <w:tblCellMar>
          <w:left w:w="28" w:type="dxa"/>
          <w:right w:w="28" w:type="dxa"/>
        </w:tblCellMar>
        <w:tblLook w:val="04A0" w:firstRow="1" w:lastRow="0" w:firstColumn="1" w:lastColumn="0" w:noHBand="0" w:noVBand="1"/>
        <w:tblCaption w:val="Table 6: Results of the cost-minimisation analysis "/>
      </w:tblPr>
      <w:tblGrid>
        <w:gridCol w:w="4946"/>
        <w:gridCol w:w="1588"/>
        <w:gridCol w:w="1251"/>
        <w:gridCol w:w="1230"/>
      </w:tblGrid>
      <w:tr w:rsidR="00A3387B" w:rsidRPr="009C5C54" w:rsidTr="00C5539E">
        <w:trPr>
          <w:tblHeader/>
        </w:trPr>
        <w:tc>
          <w:tcPr>
            <w:tcW w:w="2743" w:type="pct"/>
            <w:vAlign w:val="bottom"/>
          </w:tcPr>
          <w:p w:rsidR="00A3387B" w:rsidRPr="009C5C54" w:rsidRDefault="00A3387B" w:rsidP="00C72823">
            <w:pPr>
              <w:pStyle w:val="Tabletext"/>
              <w:rPr>
                <w:b/>
                <w:bCs/>
              </w:rPr>
            </w:pPr>
            <w:r w:rsidRPr="009C5C54">
              <w:rPr>
                <w:b/>
                <w:bCs/>
              </w:rPr>
              <w:t>Treatment</w:t>
            </w:r>
          </w:p>
        </w:tc>
        <w:tc>
          <w:tcPr>
            <w:tcW w:w="881" w:type="pct"/>
            <w:vAlign w:val="center"/>
          </w:tcPr>
          <w:p w:rsidR="00A3387B" w:rsidRPr="009C5C54" w:rsidRDefault="00A3387B" w:rsidP="006537E2">
            <w:pPr>
              <w:pStyle w:val="Tabletext"/>
              <w:jc w:val="center"/>
              <w:rPr>
                <w:b/>
              </w:rPr>
            </w:pPr>
            <w:r w:rsidRPr="009C5C54">
              <w:rPr>
                <w:b/>
                <w:bCs/>
              </w:rPr>
              <w:t>AEMP</w:t>
            </w:r>
          </w:p>
        </w:tc>
        <w:tc>
          <w:tcPr>
            <w:tcW w:w="694" w:type="pct"/>
          </w:tcPr>
          <w:p w:rsidR="00A3387B" w:rsidRPr="009C5C54" w:rsidRDefault="00A3387B" w:rsidP="00C72823">
            <w:pPr>
              <w:pStyle w:val="Tabletext"/>
              <w:jc w:val="center"/>
              <w:rPr>
                <w:b/>
                <w:bCs/>
              </w:rPr>
            </w:pPr>
            <w:r w:rsidRPr="009C5C54">
              <w:rPr>
                <w:b/>
                <w:bCs/>
              </w:rPr>
              <w:t>Injections per year</w:t>
            </w:r>
          </w:p>
        </w:tc>
        <w:tc>
          <w:tcPr>
            <w:tcW w:w="683" w:type="pct"/>
          </w:tcPr>
          <w:p w:rsidR="00A3387B" w:rsidRPr="009C5C54" w:rsidRDefault="00A3387B" w:rsidP="00C72823">
            <w:pPr>
              <w:pStyle w:val="Tabletext"/>
              <w:jc w:val="center"/>
              <w:rPr>
                <w:b/>
                <w:bCs/>
              </w:rPr>
            </w:pPr>
            <w:r w:rsidRPr="009C5C54">
              <w:rPr>
                <w:b/>
                <w:bCs/>
              </w:rPr>
              <w:t>Annual cost per year</w:t>
            </w:r>
          </w:p>
        </w:tc>
      </w:tr>
      <w:tr w:rsidR="00A3387B" w:rsidRPr="009C5C54" w:rsidTr="00C72823">
        <w:tc>
          <w:tcPr>
            <w:tcW w:w="2743" w:type="pct"/>
          </w:tcPr>
          <w:p w:rsidR="00A3387B" w:rsidRPr="009C5C54" w:rsidRDefault="00A3387B" w:rsidP="00C72823">
            <w:pPr>
              <w:pStyle w:val="Tabletext"/>
            </w:pPr>
            <w:r w:rsidRPr="009C5C54">
              <w:t>Leuprorelin acetate 30mg for injection, 1 dual chamber syringe -</w:t>
            </w:r>
          </w:p>
        </w:tc>
        <w:tc>
          <w:tcPr>
            <w:tcW w:w="881" w:type="pct"/>
          </w:tcPr>
          <w:p w:rsidR="00A3387B" w:rsidRPr="009C5C54" w:rsidRDefault="00A3387B" w:rsidP="00C72823">
            <w:pPr>
              <w:pStyle w:val="Tabletext"/>
              <w:jc w:val="center"/>
              <w:rPr>
                <w:rStyle w:val="Small"/>
                <w:rFonts w:asciiTheme="majorHAnsi" w:hAnsiTheme="majorHAnsi" w:cstheme="majorHAnsi"/>
                <w:szCs w:val="20"/>
              </w:rPr>
            </w:pPr>
            <w:r w:rsidRPr="009C5C54">
              <w:t>$1,071.68</w:t>
            </w:r>
          </w:p>
        </w:tc>
        <w:tc>
          <w:tcPr>
            <w:tcW w:w="694" w:type="pct"/>
          </w:tcPr>
          <w:p w:rsidR="00A3387B" w:rsidRPr="009C5C54" w:rsidRDefault="00A3387B" w:rsidP="00C72823">
            <w:pPr>
              <w:pStyle w:val="Tabletext"/>
              <w:jc w:val="center"/>
              <w:rPr>
                <w:rStyle w:val="Small"/>
                <w:rFonts w:asciiTheme="majorHAnsi" w:hAnsiTheme="majorHAnsi" w:cstheme="majorHAnsi"/>
                <w:szCs w:val="20"/>
              </w:rPr>
            </w:pPr>
            <w:r w:rsidRPr="009C5C54">
              <w:rPr>
                <w:rFonts w:ascii="Calibri" w:hAnsi="Calibri"/>
              </w:rPr>
              <w:t>4</w:t>
            </w:r>
          </w:p>
        </w:tc>
        <w:tc>
          <w:tcPr>
            <w:tcW w:w="683" w:type="pct"/>
          </w:tcPr>
          <w:p w:rsidR="00A3387B" w:rsidRPr="009C5C54" w:rsidRDefault="00A3387B" w:rsidP="00C72823">
            <w:pPr>
              <w:pStyle w:val="Tabletext"/>
              <w:jc w:val="center"/>
            </w:pPr>
            <w:r w:rsidRPr="009C5C54">
              <w:t>$4,286.72</w:t>
            </w:r>
          </w:p>
        </w:tc>
      </w:tr>
      <w:tr w:rsidR="00A3387B" w:rsidRPr="009C5C54" w:rsidTr="00C72823">
        <w:trPr>
          <w:trHeight w:val="170"/>
        </w:trPr>
        <w:tc>
          <w:tcPr>
            <w:tcW w:w="2743" w:type="pct"/>
          </w:tcPr>
          <w:p w:rsidR="00A3387B" w:rsidRPr="009C5C54" w:rsidRDefault="00A3387B" w:rsidP="00C72823">
            <w:pPr>
              <w:pStyle w:val="Tabletext"/>
            </w:pPr>
            <w:r w:rsidRPr="009C5C54">
              <w:t>Triptorelin 22.5 mg for injection, 1 vial</w:t>
            </w:r>
          </w:p>
        </w:tc>
        <w:tc>
          <w:tcPr>
            <w:tcW w:w="881" w:type="pct"/>
          </w:tcPr>
          <w:p w:rsidR="00A3387B" w:rsidRPr="009C5C54" w:rsidRDefault="00A3387B" w:rsidP="00C72823">
            <w:pPr>
              <w:pStyle w:val="Tabletext"/>
              <w:jc w:val="center"/>
              <w:rPr>
                <w:rStyle w:val="Small"/>
                <w:rFonts w:asciiTheme="majorHAnsi" w:hAnsiTheme="majorHAnsi" w:cstheme="majorHAnsi"/>
                <w:szCs w:val="20"/>
              </w:rPr>
            </w:pPr>
            <w:r w:rsidRPr="009C5C54">
              <w:t>$1,690.87</w:t>
            </w:r>
          </w:p>
        </w:tc>
        <w:tc>
          <w:tcPr>
            <w:tcW w:w="694" w:type="pct"/>
          </w:tcPr>
          <w:p w:rsidR="00A3387B" w:rsidRPr="009C5C54" w:rsidRDefault="00A3387B" w:rsidP="00C72823">
            <w:pPr>
              <w:pStyle w:val="Tabletext"/>
              <w:jc w:val="center"/>
              <w:rPr>
                <w:rStyle w:val="Small"/>
                <w:rFonts w:asciiTheme="majorHAnsi" w:hAnsiTheme="majorHAnsi" w:cstheme="majorHAnsi"/>
                <w:szCs w:val="20"/>
              </w:rPr>
            </w:pPr>
            <w:r w:rsidRPr="009C5C54">
              <w:rPr>
                <w:rFonts w:ascii="Calibri" w:hAnsi="Calibri"/>
              </w:rPr>
              <w:t>2</w:t>
            </w:r>
          </w:p>
        </w:tc>
        <w:tc>
          <w:tcPr>
            <w:tcW w:w="683" w:type="pct"/>
          </w:tcPr>
          <w:p w:rsidR="00A3387B" w:rsidRPr="009C5C54" w:rsidRDefault="00A3387B" w:rsidP="00C72823">
            <w:pPr>
              <w:pStyle w:val="Tabletext"/>
              <w:jc w:val="center"/>
            </w:pPr>
            <w:r w:rsidRPr="009C5C54">
              <w:t>$3,381.74</w:t>
            </w:r>
          </w:p>
        </w:tc>
      </w:tr>
      <w:tr w:rsidR="00A3387B" w:rsidRPr="009C5C54" w:rsidTr="00C72823">
        <w:tc>
          <w:tcPr>
            <w:tcW w:w="4317" w:type="pct"/>
            <w:gridSpan w:val="3"/>
          </w:tcPr>
          <w:p w:rsidR="00A3387B" w:rsidRPr="009C5C54" w:rsidRDefault="00A3387B" w:rsidP="00C72823">
            <w:pPr>
              <w:pStyle w:val="Tabletext"/>
              <w:rPr>
                <w:rFonts w:ascii="Calibri" w:hAnsi="Calibri"/>
              </w:rPr>
            </w:pPr>
            <w:r w:rsidRPr="009C5C54">
              <w:t>Annual savings without cost offsets</w:t>
            </w:r>
          </w:p>
        </w:tc>
        <w:tc>
          <w:tcPr>
            <w:tcW w:w="683" w:type="pct"/>
          </w:tcPr>
          <w:p w:rsidR="00A3387B" w:rsidRPr="009C5C54" w:rsidRDefault="00A3387B" w:rsidP="00C72823">
            <w:pPr>
              <w:pStyle w:val="Tabletext"/>
              <w:jc w:val="center"/>
            </w:pPr>
            <w:r w:rsidRPr="009C5C54">
              <w:t>$904.98</w:t>
            </w:r>
          </w:p>
        </w:tc>
      </w:tr>
      <w:tr w:rsidR="00A3387B" w:rsidRPr="009C5C54" w:rsidTr="00C72823">
        <w:tc>
          <w:tcPr>
            <w:tcW w:w="4317" w:type="pct"/>
            <w:gridSpan w:val="3"/>
          </w:tcPr>
          <w:p w:rsidR="00A3387B" w:rsidRPr="009C5C54" w:rsidRDefault="00A3387B" w:rsidP="00C72823">
            <w:pPr>
              <w:pStyle w:val="Tabletext"/>
            </w:pPr>
            <w:r w:rsidRPr="009C5C54">
              <w:t>Annual savings with cost offsets</w:t>
            </w:r>
          </w:p>
        </w:tc>
        <w:tc>
          <w:tcPr>
            <w:tcW w:w="683" w:type="pct"/>
          </w:tcPr>
          <w:p w:rsidR="00A3387B" w:rsidRPr="009C5C54" w:rsidRDefault="00A3387B" w:rsidP="00C72823">
            <w:pPr>
              <w:pStyle w:val="Tabletext"/>
              <w:jc w:val="center"/>
              <w:rPr>
                <w:b/>
                <w:bCs/>
              </w:rPr>
            </w:pPr>
            <w:r w:rsidRPr="009C5C54">
              <w:rPr>
                <w:b/>
                <w:bCs/>
              </w:rPr>
              <w:t>$1,101.14</w:t>
            </w:r>
          </w:p>
        </w:tc>
      </w:tr>
    </w:tbl>
    <w:p w:rsidR="00A3387B" w:rsidRPr="009C5C54" w:rsidRDefault="00A3387B" w:rsidP="00A3387B">
      <w:pPr>
        <w:pStyle w:val="TableFigureFooter"/>
      </w:pPr>
      <w:r w:rsidRPr="009C5C54">
        <w:t>Source: Table 3.3.1, p99 of the submission.</w:t>
      </w:r>
    </w:p>
    <w:p w:rsidR="00A3387B" w:rsidRPr="009C5C54" w:rsidRDefault="00A3387B" w:rsidP="00A3387B">
      <w:pPr>
        <w:pStyle w:val="TableFigureFooter"/>
        <w:spacing w:after="0"/>
      </w:pPr>
      <w:r w:rsidRPr="009C5C54">
        <w:t xml:space="preserve">AEMP = </w:t>
      </w:r>
      <w:r w:rsidR="00C375BD" w:rsidRPr="009C5C54">
        <w:t xml:space="preserve">Approved </w:t>
      </w:r>
      <w:r w:rsidRPr="009C5C54">
        <w:t>ex-manufacturer price; DPMQ = dispensed price per maximum quantity; mg = milligram.</w:t>
      </w:r>
    </w:p>
    <w:p w:rsidR="00A3387B" w:rsidRPr="009C5C54" w:rsidRDefault="00A3387B" w:rsidP="00A3387B">
      <w:pPr>
        <w:pStyle w:val="TableFigureFooter"/>
        <w:spacing w:after="0"/>
      </w:pPr>
    </w:p>
    <w:p w:rsidR="00A3387B" w:rsidRPr="009C5C54" w:rsidRDefault="00B86916" w:rsidP="00A3387B">
      <w:pPr>
        <w:pStyle w:val="3-BodyText"/>
      </w:pPr>
      <w:r w:rsidRPr="009C5C54">
        <w:rPr>
          <w:iCs/>
        </w:rPr>
        <w:t>While the claimed offsets may not be realised in practice, the ESC noted that the listing of triptorelin would be cost saving even without the claimed offsets in the cost minimisation analysis as the requested price was based on the trip</w:t>
      </w:r>
      <w:r w:rsidR="00F6744B" w:rsidRPr="009C5C54">
        <w:rPr>
          <w:iCs/>
        </w:rPr>
        <w:t>t</w:t>
      </w:r>
      <w:r w:rsidRPr="009C5C54">
        <w:rPr>
          <w:iCs/>
        </w:rPr>
        <w:t xml:space="preserve">orelin price for prostate cancer </w:t>
      </w:r>
      <w:r w:rsidR="00BA3F26" w:rsidRPr="009C5C54">
        <w:rPr>
          <w:iCs/>
        </w:rPr>
        <w:t>which is</w:t>
      </w:r>
      <w:r w:rsidRPr="009C5C54">
        <w:rPr>
          <w:iCs/>
        </w:rPr>
        <w:t xml:space="preserve"> less than the cost of leuprorelin for CPP.</w:t>
      </w:r>
    </w:p>
    <w:p w:rsidR="00A3387B" w:rsidRPr="009C5C54" w:rsidRDefault="00A3387B" w:rsidP="00A3387B">
      <w:pPr>
        <w:pStyle w:val="4-SubsectionHeading"/>
      </w:pPr>
      <w:bookmarkStart w:id="25" w:name="_Toc22897646"/>
      <w:bookmarkStart w:id="26" w:name="_Toc72247597"/>
      <w:r w:rsidRPr="009C5C54">
        <w:t>Drug cost/patient/year</w:t>
      </w:r>
      <w:bookmarkStart w:id="27" w:name="_GoBack"/>
      <w:bookmarkEnd w:id="25"/>
      <w:bookmarkEnd w:id="26"/>
      <w:bookmarkEnd w:id="27"/>
    </w:p>
    <w:p w:rsidR="003971D3" w:rsidRPr="009C5C54" w:rsidRDefault="003971D3" w:rsidP="003971D3">
      <w:pPr>
        <w:pStyle w:val="3-BodyText"/>
        <w:rPr>
          <w:snapToGrid/>
        </w:rPr>
      </w:pPr>
      <w:r w:rsidRPr="009C5C54">
        <w:t>Over one year, triptorelin will cost $3,381.74 (AEMP of $1,690.87 x 2 injections) compared to $4,286.72 for leuprorelin (AEMP of $1,071.68 x 4 injections), as outlined in Table 7 below.</w:t>
      </w:r>
    </w:p>
    <w:p w:rsidR="00A3387B" w:rsidRPr="009C5C54" w:rsidRDefault="00A3387B" w:rsidP="00A3387B">
      <w:pPr>
        <w:pStyle w:val="TableFigureHeading"/>
        <w:rPr>
          <w:rStyle w:val="CommentReference"/>
          <w:b/>
          <w:szCs w:val="24"/>
        </w:rPr>
      </w:pPr>
      <w:r w:rsidRPr="009C5C54">
        <w:rPr>
          <w:rStyle w:val="CommentReference"/>
          <w:b/>
          <w:szCs w:val="24"/>
        </w:rPr>
        <w:t xml:space="preserve">Table </w:t>
      </w:r>
      <w:r w:rsidR="009E4996" w:rsidRPr="009C5C54">
        <w:rPr>
          <w:rStyle w:val="CommentReference"/>
          <w:b/>
          <w:szCs w:val="24"/>
        </w:rPr>
        <w:t>7</w:t>
      </w:r>
      <w:r w:rsidRPr="009C5C54">
        <w:rPr>
          <w:rStyle w:val="CommentReference"/>
          <w:b/>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34"/>
        <w:gridCol w:w="1280"/>
        <w:gridCol w:w="1261"/>
        <w:gridCol w:w="1261"/>
      </w:tblGrid>
      <w:tr w:rsidR="00A3387B" w:rsidRPr="009C5C54" w:rsidTr="00C72823">
        <w:trPr>
          <w:cantSplit/>
          <w:tblHeader/>
          <w:jc w:val="center"/>
        </w:trPr>
        <w:tc>
          <w:tcPr>
            <w:tcW w:w="815" w:type="pct"/>
            <w:shd w:val="clear" w:color="auto" w:fill="auto"/>
            <w:vAlign w:val="center"/>
          </w:tcPr>
          <w:p w:rsidR="00A3387B" w:rsidRPr="009C5C54" w:rsidRDefault="00A3387B" w:rsidP="00C72823">
            <w:pPr>
              <w:pStyle w:val="In-tableHeading"/>
              <w:jc w:val="center"/>
              <w:rPr>
                <w:lang w:val="en-AU"/>
              </w:rPr>
            </w:pPr>
          </w:p>
        </w:tc>
        <w:tc>
          <w:tcPr>
            <w:tcW w:w="697" w:type="pct"/>
            <w:shd w:val="clear" w:color="auto" w:fill="auto"/>
            <w:vAlign w:val="center"/>
          </w:tcPr>
          <w:p w:rsidR="00A3387B" w:rsidRPr="009C5C54" w:rsidRDefault="00A3387B" w:rsidP="00C72823">
            <w:pPr>
              <w:pStyle w:val="In-tableHeading"/>
              <w:jc w:val="center"/>
              <w:rPr>
                <w:lang w:val="en-AU"/>
              </w:rPr>
            </w:pPr>
            <w:r w:rsidRPr="009C5C54">
              <w:rPr>
                <w:lang w:val="en-AU"/>
              </w:rPr>
              <w:t>Triptorelin</w:t>
            </w:r>
          </w:p>
          <w:p w:rsidR="00A3387B" w:rsidRPr="009C5C54" w:rsidRDefault="00A3387B" w:rsidP="00C72823">
            <w:pPr>
              <w:pStyle w:val="In-tableHeading"/>
              <w:jc w:val="center"/>
              <w:rPr>
                <w:lang w:val="en-AU"/>
              </w:rPr>
            </w:pPr>
            <w:r w:rsidRPr="009C5C54">
              <w:rPr>
                <w:lang w:val="en-AU"/>
              </w:rPr>
              <w:t xml:space="preserve">Trial </w:t>
            </w:r>
          </w:p>
        </w:tc>
        <w:tc>
          <w:tcPr>
            <w:tcW w:w="696" w:type="pct"/>
            <w:shd w:val="clear" w:color="auto" w:fill="auto"/>
            <w:vAlign w:val="center"/>
          </w:tcPr>
          <w:p w:rsidR="00A3387B" w:rsidRPr="009C5C54" w:rsidRDefault="00A3387B" w:rsidP="00C72823">
            <w:pPr>
              <w:pStyle w:val="In-tableHeading"/>
              <w:jc w:val="center"/>
              <w:rPr>
                <w:lang w:val="en-AU"/>
              </w:rPr>
            </w:pPr>
            <w:r w:rsidRPr="009C5C54">
              <w:rPr>
                <w:lang w:val="en-AU"/>
              </w:rPr>
              <w:t>Triptorelin</w:t>
            </w:r>
          </w:p>
          <w:p w:rsidR="00A3387B" w:rsidRPr="009C5C54" w:rsidRDefault="00A3387B" w:rsidP="00C72823">
            <w:pPr>
              <w:pStyle w:val="In-tableHeading"/>
              <w:jc w:val="center"/>
              <w:rPr>
                <w:lang w:val="en-AU"/>
              </w:rPr>
            </w:pPr>
            <w:r w:rsidRPr="009C5C54">
              <w:rPr>
                <w:lang w:val="en-AU"/>
              </w:rPr>
              <w:t>CMA</w:t>
            </w:r>
          </w:p>
        </w:tc>
        <w:tc>
          <w:tcPr>
            <w:tcW w:w="684" w:type="pct"/>
            <w:shd w:val="clear" w:color="auto" w:fill="auto"/>
            <w:vAlign w:val="center"/>
          </w:tcPr>
          <w:p w:rsidR="00A3387B" w:rsidRPr="009C5C54" w:rsidRDefault="00A3387B" w:rsidP="00C72823">
            <w:pPr>
              <w:pStyle w:val="In-tableHeading"/>
              <w:jc w:val="center"/>
              <w:rPr>
                <w:lang w:val="en-AU"/>
              </w:rPr>
            </w:pPr>
            <w:r w:rsidRPr="009C5C54">
              <w:rPr>
                <w:lang w:val="en-AU"/>
              </w:rPr>
              <w:t>Triptorelin</w:t>
            </w:r>
          </w:p>
          <w:p w:rsidR="00A3387B" w:rsidRPr="009C5C54" w:rsidRDefault="00A3387B" w:rsidP="00C72823">
            <w:pPr>
              <w:pStyle w:val="In-tableHeading"/>
              <w:jc w:val="center"/>
              <w:rPr>
                <w:lang w:val="en-AU"/>
              </w:rPr>
            </w:pPr>
            <w:r w:rsidRPr="009C5C54">
              <w:rPr>
                <w:lang w:val="en-AU"/>
              </w:rPr>
              <w:t>Financial estimates</w:t>
            </w:r>
          </w:p>
        </w:tc>
        <w:tc>
          <w:tcPr>
            <w:tcW w:w="710" w:type="pct"/>
            <w:shd w:val="clear" w:color="auto" w:fill="auto"/>
            <w:vAlign w:val="center"/>
          </w:tcPr>
          <w:p w:rsidR="00A3387B" w:rsidRPr="009C5C54" w:rsidRDefault="00A3387B" w:rsidP="00C72823">
            <w:pPr>
              <w:pStyle w:val="In-tableHeading"/>
              <w:jc w:val="center"/>
              <w:rPr>
                <w:lang w:val="en-AU"/>
              </w:rPr>
            </w:pPr>
            <w:r w:rsidRPr="009C5C54">
              <w:rPr>
                <w:lang w:val="en-AU"/>
              </w:rPr>
              <w:t>Leuprorelin</w:t>
            </w:r>
          </w:p>
          <w:p w:rsidR="00A3387B" w:rsidRPr="009C5C54" w:rsidRDefault="00A3387B" w:rsidP="00C72823">
            <w:pPr>
              <w:pStyle w:val="In-tableHeading"/>
              <w:jc w:val="center"/>
              <w:rPr>
                <w:lang w:val="en-AU"/>
              </w:rPr>
            </w:pPr>
            <w:r w:rsidRPr="009C5C54">
              <w:rPr>
                <w:lang w:val="en-AU"/>
              </w:rPr>
              <w:t>Trial</w:t>
            </w:r>
          </w:p>
        </w:tc>
        <w:tc>
          <w:tcPr>
            <w:tcW w:w="699" w:type="pct"/>
            <w:shd w:val="clear" w:color="auto" w:fill="auto"/>
            <w:vAlign w:val="center"/>
          </w:tcPr>
          <w:p w:rsidR="00A3387B" w:rsidRPr="009C5C54" w:rsidRDefault="00A3387B" w:rsidP="00C72823">
            <w:pPr>
              <w:pStyle w:val="In-tableHeading"/>
              <w:jc w:val="center"/>
              <w:rPr>
                <w:lang w:val="en-AU"/>
              </w:rPr>
            </w:pPr>
            <w:r w:rsidRPr="009C5C54">
              <w:rPr>
                <w:lang w:val="en-AU"/>
              </w:rPr>
              <w:t>Leuprorelin</w:t>
            </w:r>
          </w:p>
          <w:p w:rsidR="00A3387B" w:rsidRPr="009C5C54" w:rsidRDefault="00A3387B" w:rsidP="00C72823">
            <w:pPr>
              <w:pStyle w:val="In-tableHeading"/>
              <w:jc w:val="center"/>
              <w:rPr>
                <w:lang w:val="en-AU"/>
              </w:rPr>
            </w:pPr>
            <w:r w:rsidRPr="009C5C54">
              <w:rPr>
                <w:lang w:val="en-AU"/>
              </w:rPr>
              <w:t>CMA</w:t>
            </w:r>
          </w:p>
        </w:tc>
        <w:tc>
          <w:tcPr>
            <w:tcW w:w="699" w:type="pct"/>
          </w:tcPr>
          <w:p w:rsidR="00A3387B" w:rsidRPr="009C5C54" w:rsidRDefault="00A3387B" w:rsidP="00C72823">
            <w:pPr>
              <w:pStyle w:val="In-tableHeading"/>
              <w:jc w:val="center"/>
              <w:rPr>
                <w:lang w:val="en-AU"/>
              </w:rPr>
            </w:pPr>
            <w:r w:rsidRPr="009C5C54">
              <w:rPr>
                <w:lang w:val="en-AU"/>
              </w:rPr>
              <w:t>Leuprorelin</w:t>
            </w:r>
          </w:p>
          <w:p w:rsidR="00A3387B" w:rsidRPr="009C5C54" w:rsidRDefault="00A3387B" w:rsidP="00C72823">
            <w:pPr>
              <w:pStyle w:val="In-tableHeading"/>
              <w:jc w:val="center"/>
              <w:rPr>
                <w:lang w:val="en-AU"/>
              </w:rPr>
            </w:pPr>
            <w:r w:rsidRPr="009C5C54">
              <w:rPr>
                <w:lang w:val="en-AU"/>
              </w:rPr>
              <w:t>Financial estimates</w:t>
            </w:r>
          </w:p>
        </w:tc>
      </w:tr>
      <w:tr w:rsidR="00A3387B" w:rsidRPr="009C5C54" w:rsidTr="00C72823">
        <w:trPr>
          <w:cantSplit/>
          <w:jc w:val="center"/>
        </w:trPr>
        <w:tc>
          <w:tcPr>
            <w:tcW w:w="815" w:type="pct"/>
            <w:shd w:val="clear" w:color="auto" w:fill="auto"/>
            <w:vAlign w:val="center"/>
          </w:tcPr>
          <w:p w:rsidR="00A3387B" w:rsidRPr="009C5C54" w:rsidRDefault="00A3387B" w:rsidP="00C72823">
            <w:pPr>
              <w:pStyle w:val="TableText0"/>
            </w:pPr>
            <w:r w:rsidRPr="009C5C54">
              <w:t>Dose</w:t>
            </w:r>
          </w:p>
        </w:tc>
        <w:tc>
          <w:tcPr>
            <w:tcW w:w="2077" w:type="pct"/>
            <w:gridSpan w:val="3"/>
            <w:shd w:val="clear" w:color="auto" w:fill="auto"/>
            <w:vAlign w:val="center"/>
          </w:tcPr>
          <w:p w:rsidR="00A3387B" w:rsidRPr="009C5C54" w:rsidRDefault="00A3387B" w:rsidP="00C72823">
            <w:pPr>
              <w:pStyle w:val="TableText0"/>
              <w:jc w:val="center"/>
              <w:rPr>
                <w:b/>
              </w:rPr>
            </w:pPr>
            <w:r w:rsidRPr="009C5C54">
              <w:rPr>
                <w:bCs w:val="0"/>
              </w:rPr>
              <w:t>22.5mg every 6 months</w:t>
            </w:r>
          </w:p>
        </w:tc>
        <w:tc>
          <w:tcPr>
            <w:tcW w:w="2108" w:type="pct"/>
            <w:gridSpan w:val="3"/>
            <w:shd w:val="clear" w:color="auto" w:fill="auto"/>
            <w:vAlign w:val="center"/>
          </w:tcPr>
          <w:p w:rsidR="00A3387B" w:rsidRPr="009C5C54" w:rsidRDefault="00A3387B" w:rsidP="00C72823">
            <w:pPr>
              <w:pStyle w:val="TableText0"/>
              <w:jc w:val="center"/>
              <w:rPr>
                <w:b/>
              </w:rPr>
            </w:pPr>
            <w:r w:rsidRPr="009C5C54">
              <w:rPr>
                <w:bCs w:val="0"/>
              </w:rPr>
              <w:t>30mg every 3 months</w:t>
            </w:r>
          </w:p>
        </w:tc>
      </w:tr>
      <w:tr w:rsidR="00A3387B" w:rsidRPr="009C5C54" w:rsidTr="00C72823">
        <w:trPr>
          <w:cantSplit/>
          <w:jc w:val="center"/>
        </w:trPr>
        <w:tc>
          <w:tcPr>
            <w:tcW w:w="815" w:type="pct"/>
            <w:shd w:val="clear" w:color="auto" w:fill="auto"/>
            <w:vAlign w:val="center"/>
          </w:tcPr>
          <w:p w:rsidR="00A3387B" w:rsidRPr="009C5C54" w:rsidRDefault="00A3387B" w:rsidP="00C72823">
            <w:pPr>
              <w:pStyle w:val="TableText0"/>
            </w:pPr>
            <w:r w:rsidRPr="009C5C54">
              <w:t>Cost/patient/year</w:t>
            </w:r>
          </w:p>
        </w:tc>
        <w:tc>
          <w:tcPr>
            <w:tcW w:w="697" w:type="pct"/>
            <w:shd w:val="clear" w:color="auto" w:fill="auto"/>
            <w:vAlign w:val="center"/>
          </w:tcPr>
          <w:p w:rsidR="00A3387B" w:rsidRPr="009C5C54" w:rsidRDefault="00A3387B" w:rsidP="00C72823">
            <w:pPr>
              <w:pStyle w:val="TableText0"/>
              <w:jc w:val="center"/>
            </w:pPr>
            <w:r w:rsidRPr="009C5C54">
              <w:t>$3,381.74*</w:t>
            </w:r>
          </w:p>
        </w:tc>
        <w:tc>
          <w:tcPr>
            <w:tcW w:w="696" w:type="pct"/>
            <w:shd w:val="clear" w:color="auto" w:fill="auto"/>
            <w:vAlign w:val="center"/>
          </w:tcPr>
          <w:p w:rsidR="00A3387B" w:rsidRPr="009C5C54" w:rsidRDefault="00A3387B" w:rsidP="00C72823">
            <w:pPr>
              <w:pStyle w:val="TableText0"/>
              <w:jc w:val="center"/>
            </w:pPr>
            <w:r w:rsidRPr="009C5C54">
              <w:t>$3,381.74*</w:t>
            </w:r>
          </w:p>
        </w:tc>
        <w:tc>
          <w:tcPr>
            <w:tcW w:w="684" w:type="pct"/>
            <w:shd w:val="clear" w:color="auto" w:fill="auto"/>
            <w:vAlign w:val="center"/>
          </w:tcPr>
          <w:p w:rsidR="00A3387B" w:rsidRPr="009C5C54" w:rsidRDefault="00A3387B" w:rsidP="00C72823">
            <w:pPr>
              <w:pStyle w:val="TableText0"/>
              <w:jc w:val="center"/>
            </w:pPr>
            <w:r w:rsidRPr="009C5C54">
              <w:t>$3,678.56**</w:t>
            </w:r>
          </w:p>
        </w:tc>
        <w:tc>
          <w:tcPr>
            <w:tcW w:w="710" w:type="pct"/>
            <w:shd w:val="clear" w:color="auto" w:fill="auto"/>
            <w:vAlign w:val="center"/>
          </w:tcPr>
          <w:p w:rsidR="00A3387B" w:rsidRPr="009C5C54" w:rsidRDefault="00A3387B" w:rsidP="00C72823">
            <w:pPr>
              <w:pStyle w:val="TableText0"/>
              <w:jc w:val="center"/>
            </w:pPr>
            <w:r w:rsidRPr="009C5C54">
              <w:t>$4,286.72*</w:t>
            </w:r>
          </w:p>
        </w:tc>
        <w:tc>
          <w:tcPr>
            <w:tcW w:w="699" w:type="pct"/>
            <w:shd w:val="clear" w:color="auto" w:fill="auto"/>
            <w:vAlign w:val="center"/>
          </w:tcPr>
          <w:p w:rsidR="00A3387B" w:rsidRPr="009C5C54" w:rsidRDefault="00A3387B" w:rsidP="00C72823">
            <w:pPr>
              <w:pStyle w:val="TableText0"/>
              <w:jc w:val="center"/>
            </w:pPr>
            <w:r w:rsidRPr="009C5C54">
              <w:t>$4,286.72*</w:t>
            </w:r>
          </w:p>
        </w:tc>
        <w:tc>
          <w:tcPr>
            <w:tcW w:w="699" w:type="pct"/>
          </w:tcPr>
          <w:p w:rsidR="00A3387B" w:rsidRPr="009C5C54" w:rsidRDefault="00A3387B" w:rsidP="00C72823">
            <w:pPr>
              <w:pStyle w:val="TableText0"/>
              <w:jc w:val="center"/>
            </w:pPr>
            <w:r w:rsidRPr="009C5C54">
              <w:t>$4,756.52</w:t>
            </w:r>
            <w:r w:rsidR="00BA6652">
              <w:t>**</w:t>
            </w:r>
          </w:p>
        </w:tc>
      </w:tr>
    </w:tbl>
    <w:p w:rsidR="00A3387B" w:rsidRPr="009C5C54" w:rsidRDefault="00A3387B" w:rsidP="00A3387B">
      <w:pPr>
        <w:pStyle w:val="TableFigureFooter"/>
      </w:pPr>
      <w:r w:rsidRPr="009C5C54">
        <w:t>Source: Table 3.3.1, p99 of the submission and “Diphereline Section 4.xlsx”</w:t>
      </w:r>
    </w:p>
    <w:p w:rsidR="00A3387B" w:rsidRPr="009C5C54" w:rsidRDefault="00A3387B" w:rsidP="00544E24">
      <w:pPr>
        <w:pStyle w:val="TableFigureFooter"/>
        <w:tabs>
          <w:tab w:val="left" w:pos="284"/>
        </w:tabs>
      </w:pPr>
      <w:r w:rsidRPr="009C5C54">
        <w:t>*</w:t>
      </w:r>
      <w:r w:rsidR="00544E24" w:rsidRPr="009C5C54">
        <w:tab/>
      </w:r>
      <w:r w:rsidRPr="009C5C54">
        <w:t>Number of injections times the AEMP</w:t>
      </w:r>
    </w:p>
    <w:p w:rsidR="00A3387B" w:rsidRPr="009C5C54" w:rsidRDefault="00A3387B" w:rsidP="00544E24">
      <w:pPr>
        <w:pStyle w:val="TableFigureFooter"/>
        <w:tabs>
          <w:tab w:val="left" w:pos="284"/>
        </w:tabs>
      </w:pPr>
      <w:r w:rsidRPr="009C5C54">
        <w:t>**</w:t>
      </w:r>
      <w:r w:rsidR="00544E24" w:rsidRPr="009C5C54">
        <w:tab/>
      </w:r>
      <w:r w:rsidRPr="009C5C54">
        <w:t>Number of injections times the DPMQ</w:t>
      </w:r>
    </w:p>
    <w:p w:rsidR="00A3387B" w:rsidRPr="009C5C54" w:rsidRDefault="00A3387B" w:rsidP="00A3387B">
      <w:pPr>
        <w:pStyle w:val="4-SubsectionHeading"/>
      </w:pPr>
      <w:bookmarkStart w:id="28" w:name="_Toc22897647"/>
      <w:bookmarkStart w:id="29" w:name="_Toc72247598"/>
      <w:r w:rsidRPr="009C5C54">
        <w:t>Estimated PBS usage &amp; financial implications</w:t>
      </w:r>
      <w:bookmarkEnd w:id="28"/>
      <w:bookmarkEnd w:id="29"/>
    </w:p>
    <w:p w:rsidR="00A3387B" w:rsidRPr="009C5C54" w:rsidRDefault="00A3387B" w:rsidP="00A3387B">
      <w:pPr>
        <w:pStyle w:val="3-BodyText"/>
      </w:pPr>
      <w:r w:rsidRPr="009C5C54">
        <w:t xml:space="preserve">This submission </w:t>
      </w:r>
      <w:r w:rsidR="000B7197" w:rsidRPr="009C5C54">
        <w:t>was not</w:t>
      </w:r>
      <w:r w:rsidRPr="009C5C54">
        <w:t xml:space="preserve"> considered by DUSC. </w:t>
      </w:r>
    </w:p>
    <w:p w:rsidR="00A3387B" w:rsidRPr="009C5C54" w:rsidRDefault="009E4996" w:rsidP="00A3387B">
      <w:pPr>
        <w:pStyle w:val="3-BodyText"/>
      </w:pPr>
      <w:r w:rsidRPr="009C5C54">
        <w:rPr>
          <w:rStyle w:val="CommentReference"/>
          <w:rFonts w:asciiTheme="minorHAnsi" w:hAnsiTheme="minorHAnsi"/>
          <w:b w:val="0"/>
          <w:sz w:val="24"/>
          <w:szCs w:val="24"/>
        </w:rPr>
        <w:t>Table 8</w:t>
      </w:r>
      <w:r w:rsidR="00A3387B" w:rsidRPr="009C5C54">
        <w:t xml:space="preserve"> presents the data sources and parameter values in the utilisation estimates.</w:t>
      </w:r>
    </w:p>
    <w:p w:rsidR="00A3387B" w:rsidRPr="009C5C54" w:rsidRDefault="00A3387B" w:rsidP="00A3387B">
      <w:pPr>
        <w:pStyle w:val="TableFigureHeading"/>
        <w:rPr>
          <w:rStyle w:val="CommentReference"/>
          <w:b/>
          <w:szCs w:val="24"/>
        </w:rPr>
      </w:pPr>
      <w:bookmarkStart w:id="30" w:name="_Ref71282537"/>
      <w:r w:rsidRPr="009C5C54">
        <w:rPr>
          <w:rStyle w:val="CommentReference"/>
          <w:b/>
          <w:szCs w:val="24"/>
        </w:rPr>
        <w:t xml:space="preserve">Table </w:t>
      </w:r>
      <w:r w:rsidR="009E4996" w:rsidRPr="009C5C54">
        <w:rPr>
          <w:rStyle w:val="CommentReference"/>
          <w:b/>
          <w:szCs w:val="24"/>
        </w:rPr>
        <w:t>8</w:t>
      </w:r>
      <w:bookmarkEnd w:id="30"/>
      <w:r w:rsidRPr="009C5C54">
        <w:rPr>
          <w:rStyle w:val="CommentReference"/>
          <w:b/>
          <w:szCs w:val="24"/>
        </w:rPr>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417"/>
        <w:gridCol w:w="1843"/>
        <w:gridCol w:w="3940"/>
      </w:tblGrid>
      <w:tr w:rsidR="00A3387B" w:rsidRPr="009C5C54" w:rsidTr="00A077D6">
        <w:trPr>
          <w:tblHeader/>
        </w:trPr>
        <w:tc>
          <w:tcPr>
            <w:tcW w:w="1980" w:type="dxa"/>
            <w:vAlign w:val="center"/>
          </w:tcPr>
          <w:p w:rsidR="00A3387B" w:rsidRPr="009C5C54" w:rsidRDefault="00A3387B" w:rsidP="008E1FE9">
            <w:pPr>
              <w:pStyle w:val="In-tableHeading"/>
              <w:jc w:val="center"/>
              <w:rPr>
                <w:lang w:val="en-AU"/>
              </w:rPr>
            </w:pPr>
            <w:r w:rsidRPr="009C5C54">
              <w:rPr>
                <w:lang w:val="en-AU"/>
              </w:rPr>
              <w:t>Data</w:t>
            </w:r>
          </w:p>
        </w:tc>
        <w:tc>
          <w:tcPr>
            <w:tcW w:w="1417" w:type="dxa"/>
            <w:vAlign w:val="center"/>
          </w:tcPr>
          <w:p w:rsidR="00A3387B" w:rsidRPr="009C5C54" w:rsidRDefault="00A3387B" w:rsidP="008E1FE9">
            <w:pPr>
              <w:pStyle w:val="In-tableHeading"/>
              <w:jc w:val="center"/>
              <w:rPr>
                <w:lang w:val="en-AU"/>
              </w:rPr>
            </w:pPr>
            <w:r w:rsidRPr="009C5C54">
              <w:rPr>
                <w:lang w:val="en-AU"/>
              </w:rPr>
              <w:t>Value</w:t>
            </w:r>
          </w:p>
        </w:tc>
        <w:tc>
          <w:tcPr>
            <w:tcW w:w="1843" w:type="dxa"/>
            <w:vAlign w:val="center"/>
          </w:tcPr>
          <w:p w:rsidR="00A3387B" w:rsidRPr="009C5C54" w:rsidRDefault="00A3387B" w:rsidP="008E1FE9">
            <w:pPr>
              <w:pStyle w:val="In-tableHeading"/>
              <w:jc w:val="center"/>
              <w:rPr>
                <w:lang w:val="en-AU"/>
              </w:rPr>
            </w:pPr>
            <w:r w:rsidRPr="009C5C54">
              <w:rPr>
                <w:lang w:val="en-AU"/>
              </w:rPr>
              <w:t>Source</w:t>
            </w:r>
          </w:p>
        </w:tc>
        <w:tc>
          <w:tcPr>
            <w:tcW w:w="3940" w:type="dxa"/>
            <w:vAlign w:val="center"/>
          </w:tcPr>
          <w:p w:rsidR="00A3387B" w:rsidRPr="009C5C54" w:rsidRDefault="00A3387B" w:rsidP="008E1FE9">
            <w:pPr>
              <w:pStyle w:val="In-tableHeading"/>
              <w:jc w:val="center"/>
              <w:rPr>
                <w:lang w:val="en-AU"/>
              </w:rPr>
            </w:pPr>
            <w:r w:rsidRPr="009C5C54">
              <w:rPr>
                <w:lang w:val="en-AU"/>
              </w:rPr>
              <w:t>Comment</w:t>
            </w:r>
          </w:p>
        </w:tc>
      </w:tr>
      <w:tr w:rsidR="00A3387B" w:rsidRPr="009C5C54" w:rsidTr="00C72823">
        <w:tc>
          <w:tcPr>
            <w:tcW w:w="9180" w:type="dxa"/>
            <w:gridSpan w:val="4"/>
            <w:vAlign w:val="center"/>
          </w:tcPr>
          <w:p w:rsidR="00A3387B" w:rsidRPr="009C5C54" w:rsidRDefault="00A3387B" w:rsidP="008E1FE9">
            <w:pPr>
              <w:pStyle w:val="In-tableHeading"/>
              <w:rPr>
                <w:lang w:val="en-AU"/>
              </w:rPr>
            </w:pPr>
            <w:r w:rsidRPr="009C5C54">
              <w:rPr>
                <w:lang w:val="en-AU"/>
              </w:rPr>
              <w:t>Eligible population</w:t>
            </w:r>
          </w:p>
        </w:tc>
      </w:tr>
      <w:tr w:rsidR="00A3387B" w:rsidRPr="009C5C54" w:rsidTr="00A077D6">
        <w:tc>
          <w:tcPr>
            <w:tcW w:w="1980" w:type="dxa"/>
            <w:vAlign w:val="center"/>
          </w:tcPr>
          <w:p w:rsidR="00A3387B" w:rsidRPr="009C5C54" w:rsidRDefault="00A3387B" w:rsidP="008E1FE9">
            <w:pPr>
              <w:pStyle w:val="TableText0"/>
            </w:pPr>
            <w:r w:rsidRPr="009C5C54">
              <w:t>Proportion applicable to indication</w:t>
            </w:r>
            <w:r w:rsidR="00605BA9" w:rsidRPr="009C5C54">
              <w:t>, based on PBS listings of triptorelin for CPP</w:t>
            </w:r>
          </w:p>
        </w:tc>
        <w:tc>
          <w:tcPr>
            <w:tcW w:w="1417" w:type="dxa"/>
            <w:vAlign w:val="center"/>
          </w:tcPr>
          <w:p w:rsidR="00A3387B" w:rsidRPr="009C5C54" w:rsidRDefault="00A3387B" w:rsidP="008E1FE9">
            <w:pPr>
              <w:pStyle w:val="TableText0"/>
              <w:jc w:val="center"/>
            </w:pPr>
            <w:r w:rsidRPr="009C5C54">
              <w:t>100%</w:t>
            </w:r>
          </w:p>
        </w:tc>
        <w:tc>
          <w:tcPr>
            <w:tcW w:w="1843" w:type="dxa"/>
            <w:vAlign w:val="center"/>
          </w:tcPr>
          <w:p w:rsidR="00A3387B" w:rsidRPr="009C5C54" w:rsidRDefault="00A3387B" w:rsidP="008E1FE9">
            <w:pPr>
              <w:pStyle w:val="TableText0"/>
            </w:pPr>
            <w:r w:rsidRPr="009C5C54">
              <w:t>Market data</w:t>
            </w:r>
          </w:p>
        </w:tc>
        <w:tc>
          <w:tcPr>
            <w:tcW w:w="3940" w:type="dxa"/>
            <w:vAlign w:val="center"/>
          </w:tcPr>
          <w:p w:rsidR="00A3387B" w:rsidRPr="009C5C54" w:rsidRDefault="00A3387B" w:rsidP="008E1FE9">
            <w:pPr>
              <w:pStyle w:val="TableText0"/>
              <w:rPr>
                <w:iCs/>
              </w:rPr>
            </w:pPr>
            <w:r w:rsidRPr="009C5C54">
              <w:rPr>
                <w:iCs/>
              </w:rPr>
              <w:t xml:space="preserve">This would not account for a possibly slightly larger market of triptorelin patients due to the wider allowable age range to initiate treatment. </w:t>
            </w:r>
          </w:p>
        </w:tc>
      </w:tr>
      <w:tr w:rsidR="00A3387B" w:rsidRPr="009C5C54" w:rsidTr="00A077D6">
        <w:tc>
          <w:tcPr>
            <w:tcW w:w="1980" w:type="dxa"/>
            <w:vAlign w:val="center"/>
          </w:tcPr>
          <w:p w:rsidR="00A3387B" w:rsidRPr="009C5C54" w:rsidRDefault="00A3387B" w:rsidP="008E1FE9">
            <w:pPr>
              <w:pStyle w:val="TableText0"/>
            </w:pPr>
            <w:r w:rsidRPr="009C5C54">
              <w:t>Market share</w:t>
            </w:r>
          </w:p>
        </w:tc>
        <w:tc>
          <w:tcPr>
            <w:tcW w:w="1417" w:type="dxa"/>
            <w:vAlign w:val="center"/>
          </w:tcPr>
          <w:p w:rsidR="00A3387B" w:rsidRPr="009C5C54" w:rsidRDefault="00A3387B" w:rsidP="008E1FE9">
            <w:pPr>
              <w:pStyle w:val="TableText0"/>
              <w:jc w:val="center"/>
            </w:pPr>
            <w:r w:rsidRPr="009C5C54">
              <w:t>78.75%</w:t>
            </w:r>
          </w:p>
        </w:tc>
        <w:tc>
          <w:tcPr>
            <w:tcW w:w="1843" w:type="dxa"/>
            <w:vAlign w:val="center"/>
          </w:tcPr>
          <w:p w:rsidR="00A3387B" w:rsidRPr="009C5C54" w:rsidRDefault="00A3387B" w:rsidP="008E1FE9">
            <w:pPr>
              <w:pStyle w:val="TableText0"/>
            </w:pPr>
            <w:r w:rsidRPr="009C5C54">
              <w:t>Advisory board</w:t>
            </w:r>
          </w:p>
        </w:tc>
        <w:tc>
          <w:tcPr>
            <w:tcW w:w="3940" w:type="dxa"/>
            <w:vAlign w:val="center"/>
          </w:tcPr>
          <w:p w:rsidR="00A3387B" w:rsidRPr="009C5C54" w:rsidRDefault="00A3387B" w:rsidP="008E1FE9">
            <w:pPr>
              <w:pStyle w:val="TableText0"/>
              <w:rPr>
                <w:iCs/>
              </w:rPr>
            </w:pPr>
            <w:r w:rsidRPr="009C5C54">
              <w:rPr>
                <w:iCs/>
              </w:rPr>
              <w:t xml:space="preserve">This estimate is difficult to evaluate due to the various factors involved in individual patient preferences for this condition. </w:t>
            </w:r>
          </w:p>
        </w:tc>
      </w:tr>
      <w:tr w:rsidR="00A3387B" w:rsidRPr="009C5C54" w:rsidTr="00C72823">
        <w:tc>
          <w:tcPr>
            <w:tcW w:w="9180" w:type="dxa"/>
            <w:gridSpan w:val="4"/>
            <w:vAlign w:val="center"/>
          </w:tcPr>
          <w:p w:rsidR="00A3387B" w:rsidRPr="009C5C54" w:rsidRDefault="00A3387B" w:rsidP="008E1FE9">
            <w:pPr>
              <w:pStyle w:val="TableText0"/>
              <w:rPr>
                <w:b/>
              </w:rPr>
            </w:pPr>
            <w:r w:rsidRPr="009C5C54">
              <w:rPr>
                <w:b/>
              </w:rPr>
              <w:t>Costs</w:t>
            </w:r>
          </w:p>
        </w:tc>
      </w:tr>
      <w:tr w:rsidR="00A3387B" w:rsidRPr="009C5C54" w:rsidTr="00A077D6">
        <w:tc>
          <w:tcPr>
            <w:tcW w:w="1980" w:type="dxa"/>
            <w:vAlign w:val="center"/>
          </w:tcPr>
          <w:p w:rsidR="00A3387B" w:rsidRPr="009C5C54" w:rsidRDefault="00A3387B" w:rsidP="008E1FE9">
            <w:pPr>
              <w:pStyle w:val="TableText0"/>
            </w:pPr>
            <w:r w:rsidRPr="009C5C54">
              <w:t>Appointments</w:t>
            </w:r>
          </w:p>
        </w:tc>
        <w:tc>
          <w:tcPr>
            <w:tcW w:w="1417" w:type="dxa"/>
            <w:vAlign w:val="center"/>
          </w:tcPr>
          <w:p w:rsidR="00A3387B" w:rsidRPr="009C5C54" w:rsidRDefault="00A3387B" w:rsidP="008E1FE9">
            <w:pPr>
              <w:pStyle w:val="TableText0"/>
              <w:jc w:val="center"/>
            </w:pPr>
            <w:r w:rsidRPr="009C5C54">
              <w:t>$83.00</w:t>
            </w:r>
          </w:p>
        </w:tc>
        <w:tc>
          <w:tcPr>
            <w:tcW w:w="1843" w:type="dxa"/>
            <w:vAlign w:val="center"/>
          </w:tcPr>
          <w:p w:rsidR="00A3387B" w:rsidRPr="009C5C54" w:rsidRDefault="00A3387B" w:rsidP="008E1FE9">
            <w:pPr>
              <w:pStyle w:val="TableText0"/>
            </w:pPr>
            <w:r w:rsidRPr="009C5C54">
              <w:t xml:space="preserve">Weighted average of MBS Item 116 and 133 </w:t>
            </w:r>
          </w:p>
        </w:tc>
        <w:tc>
          <w:tcPr>
            <w:tcW w:w="3940" w:type="dxa"/>
            <w:vMerge w:val="restart"/>
            <w:vAlign w:val="center"/>
          </w:tcPr>
          <w:p w:rsidR="00A3387B" w:rsidRPr="009C5C54" w:rsidRDefault="00A3387B" w:rsidP="008E1FE9">
            <w:pPr>
              <w:pStyle w:val="TableText0"/>
              <w:rPr>
                <w:iCs/>
              </w:rPr>
            </w:pPr>
            <w:r w:rsidRPr="009C5C54">
              <w:rPr>
                <w:iCs/>
              </w:rPr>
              <w:t>The submission calculated MBS costs consistently with the cost minimisation analysis. Overall</w:t>
            </w:r>
            <w:r w:rsidR="00A077D6" w:rsidRPr="009C5C54">
              <w:rPr>
                <w:iCs/>
              </w:rPr>
              <w:t>,</w:t>
            </w:r>
            <w:r w:rsidRPr="009C5C54">
              <w:rPr>
                <w:iCs/>
              </w:rPr>
              <w:t xml:space="preserve"> these offsets were </w:t>
            </w:r>
            <w:r w:rsidR="00A077D6" w:rsidRPr="009C5C54">
              <w:rPr>
                <w:iCs/>
              </w:rPr>
              <w:t>likely</w:t>
            </w:r>
            <w:r w:rsidRPr="009C5C54">
              <w:rPr>
                <w:iCs/>
              </w:rPr>
              <w:t xml:space="preserve"> overestimated. </w:t>
            </w:r>
          </w:p>
        </w:tc>
      </w:tr>
      <w:tr w:rsidR="00A3387B" w:rsidRPr="009C5C54" w:rsidTr="00A077D6">
        <w:tc>
          <w:tcPr>
            <w:tcW w:w="1980" w:type="dxa"/>
            <w:vAlign w:val="center"/>
          </w:tcPr>
          <w:p w:rsidR="00A3387B" w:rsidRPr="009C5C54" w:rsidRDefault="00A3387B" w:rsidP="008E1FE9">
            <w:pPr>
              <w:pStyle w:val="TableText0"/>
            </w:pPr>
            <w:r w:rsidRPr="009C5C54">
              <w:t>Biochemical tests</w:t>
            </w:r>
          </w:p>
        </w:tc>
        <w:tc>
          <w:tcPr>
            <w:tcW w:w="1417" w:type="dxa"/>
            <w:vAlign w:val="center"/>
          </w:tcPr>
          <w:p w:rsidR="00A3387B" w:rsidRPr="009C5C54" w:rsidRDefault="00A3387B" w:rsidP="008E1FE9">
            <w:pPr>
              <w:pStyle w:val="TableText0"/>
              <w:jc w:val="center"/>
            </w:pPr>
            <w:r w:rsidRPr="009C5C54">
              <w:t>$30.50</w:t>
            </w:r>
          </w:p>
        </w:tc>
        <w:tc>
          <w:tcPr>
            <w:tcW w:w="1843" w:type="dxa"/>
            <w:vAlign w:val="center"/>
          </w:tcPr>
          <w:p w:rsidR="00A3387B" w:rsidRPr="009C5C54" w:rsidRDefault="00A3387B" w:rsidP="008E1FE9">
            <w:pPr>
              <w:pStyle w:val="TableText0"/>
            </w:pPr>
            <w:r w:rsidRPr="009C5C54">
              <w:t>MBS Item 66695</w:t>
            </w:r>
          </w:p>
        </w:tc>
        <w:tc>
          <w:tcPr>
            <w:tcW w:w="3940" w:type="dxa"/>
            <w:vMerge/>
            <w:vAlign w:val="center"/>
          </w:tcPr>
          <w:p w:rsidR="00A3387B" w:rsidRPr="009C5C54" w:rsidRDefault="00A3387B" w:rsidP="008E1FE9">
            <w:pPr>
              <w:pStyle w:val="TableText0"/>
            </w:pPr>
          </w:p>
        </w:tc>
      </w:tr>
    </w:tbl>
    <w:p w:rsidR="00A3387B" w:rsidRPr="009C5C54" w:rsidRDefault="00A3387B" w:rsidP="008E1FE9">
      <w:pPr>
        <w:pStyle w:val="TableFigureFooter"/>
        <w:keepNext/>
      </w:pPr>
      <w:r w:rsidRPr="009C5C54">
        <w:t xml:space="preserve">Source: Table s 4.1.1 and 4.1.2, p102 of the submission. </w:t>
      </w:r>
    </w:p>
    <w:p w:rsidR="00A3387B" w:rsidRPr="009C5C54" w:rsidRDefault="00A3387B" w:rsidP="00A3387B">
      <w:pPr>
        <w:pStyle w:val="TableFigureFooter"/>
        <w:spacing w:after="240"/>
        <w:rPr>
          <w:szCs w:val="20"/>
        </w:rPr>
      </w:pPr>
      <w:r w:rsidRPr="009C5C54">
        <w:rPr>
          <w:szCs w:val="20"/>
        </w:rPr>
        <w:t>Drug utilisation sub-committee = DUSC</w:t>
      </w:r>
      <w:r w:rsidR="006979ED" w:rsidRPr="009C5C54">
        <w:rPr>
          <w:szCs w:val="20"/>
        </w:rPr>
        <w:t>; Medicare</w:t>
      </w:r>
      <w:r w:rsidRPr="009C5C54">
        <w:rPr>
          <w:szCs w:val="20"/>
        </w:rPr>
        <w:t xml:space="preserve"> Benefits Schedule = MBS</w:t>
      </w:r>
      <w:r w:rsidR="006979ED" w:rsidRPr="009C5C54">
        <w:rPr>
          <w:szCs w:val="20"/>
        </w:rPr>
        <w:t>; Pharmaceutical</w:t>
      </w:r>
      <w:r w:rsidRPr="009C5C54">
        <w:rPr>
          <w:szCs w:val="20"/>
        </w:rPr>
        <w:t xml:space="preserve"> Benefits Scheme = PBS</w:t>
      </w:r>
    </w:p>
    <w:p w:rsidR="00A3387B" w:rsidRPr="009C5C54" w:rsidRDefault="00A3387B" w:rsidP="00A3387B">
      <w:pPr>
        <w:pStyle w:val="3-BodyText"/>
        <w:rPr>
          <w:iCs/>
        </w:rPr>
      </w:pPr>
      <w:r w:rsidRPr="009C5C54">
        <w:rPr>
          <w:iCs/>
        </w:rPr>
        <w:t>The slightly broader age in the restriction for triptorelin could potentially broaden the market beyond the current leuprorelin market. It is unclear to what extent this would be observed in practice, but given the rarity of the condition, it is unlikely this would substantially affect financial estimates.</w:t>
      </w:r>
    </w:p>
    <w:p w:rsidR="00A3387B" w:rsidRPr="009C5C54" w:rsidRDefault="00A3387B" w:rsidP="00A3387B">
      <w:pPr>
        <w:pStyle w:val="3-BodyText"/>
      </w:pPr>
      <w:r w:rsidRPr="009C5C54">
        <w:rPr>
          <w:iCs/>
        </w:rPr>
        <w:t>As with the CMA, cost offsets were likely overestimated.</w:t>
      </w:r>
    </w:p>
    <w:p w:rsidR="00A3387B" w:rsidRPr="009C5C54" w:rsidRDefault="009E4996" w:rsidP="00A3387B">
      <w:pPr>
        <w:pStyle w:val="3-BodyText"/>
      </w:pPr>
      <w:r w:rsidRPr="009C5C54">
        <w:rPr>
          <w:rStyle w:val="CommentReference"/>
          <w:rFonts w:asciiTheme="minorHAnsi" w:hAnsiTheme="minorHAnsi"/>
          <w:b w:val="0"/>
          <w:sz w:val="24"/>
          <w:szCs w:val="24"/>
        </w:rPr>
        <w:t>Table 9</w:t>
      </w:r>
      <w:r w:rsidR="00A3387B" w:rsidRPr="009C5C54">
        <w:t xml:space="preserve"> presents estimated use and financial implications. </w:t>
      </w:r>
    </w:p>
    <w:p w:rsidR="00A3387B" w:rsidRPr="009C5C54" w:rsidRDefault="00A3387B" w:rsidP="00A3387B">
      <w:pPr>
        <w:pStyle w:val="TableFigureHeading"/>
      </w:pPr>
      <w:bookmarkStart w:id="31" w:name="_Ref71296472"/>
      <w:r w:rsidRPr="009C5C54">
        <w:rPr>
          <w:rStyle w:val="CommentReference"/>
          <w:b/>
          <w:szCs w:val="24"/>
        </w:rPr>
        <w:t xml:space="preserve">Table </w:t>
      </w:r>
      <w:r w:rsidR="009E4996" w:rsidRPr="009C5C54">
        <w:rPr>
          <w:rStyle w:val="CommentReference"/>
          <w:b/>
          <w:szCs w:val="24"/>
        </w:rPr>
        <w:t>9</w:t>
      </w:r>
      <w:bookmarkEnd w:id="31"/>
      <w:r w:rsidRPr="009C5C54">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A3387B" w:rsidRPr="009C5C54" w:rsidTr="00C72823">
        <w:trPr>
          <w:tblHeader/>
        </w:trPr>
        <w:tc>
          <w:tcPr>
            <w:tcW w:w="1116" w:type="pct"/>
            <w:shd w:val="clear" w:color="auto" w:fill="auto"/>
            <w:vAlign w:val="center"/>
          </w:tcPr>
          <w:p w:rsidR="00A3387B" w:rsidRPr="009C5C54" w:rsidRDefault="00A3387B" w:rsidP="00C72823">
            <w:pPr>
              <w:pStyle w:val="In-tableHeading"/>
              <w:jc w:val="center"/>
              <w:rPr>
                <w:lang w:val="en-AU"/>
              </w:rPr>
            </w:pPr>
          </w:p>
        </w:tc>
        <w:tc>
          <w:tcPr>
            <w:tcW w:w="647" w:type="pct"/>
            <w:shd w:val="clear" w:color="auto" w:fill="auto"/>
            <w:vAlign w:val="center"/>
          </w:tcPr>
          <w:p w:rsidR="00A3387B" w:rsidRPr="009C5C54" w:rsidRDefault="00A3387B" w:rsidP="00C72823">
            <w:pPr>
              <w:pStyle w:val="In-tableHeading"/>
              <w:jc w:val="center"/>
              <w:rPr>
                <w:lang w:val="en-AU"/>
              </w:rPr>
            </w:pPr>
            <w:r w:rsidRPr="009C5C54">
              <w:rPr>
                <w:lang w:val="en-AU"/>
              </w:rPr>
              <w:t>Year 1</w:t>
            </w:r>
          </w:p>
        </w:tc>
        <w:tc>
          <w:tcPr>
            <w:tcW w:w="647" w:type="pct"/>
            <w:shd w:val="clear" w:color="auto" w:fill="auto"/>
            <w:vAlign w:val="center"/>
          </w:tcPr>
          <w:p w:rsidR="00A3387B" w:rsidRPr="009C5C54" w:rsidRDefault="00A3387B" w:rsidP="00C72823">
            <w:pPr>
              <w:pStyle w:val="In-tableHeading"/>
              <w:jc w:val="center"/>
              <w:rPr>
                <w:lang w:val="en-AU"/>
              </w:rPr>
            </w:pPr>
            <w:r w:rsidRPr="009C5C54">
              <w:rPr>
                <w:lang w:val="en-AU"/>
              </w:rPr>
              <w:t>Year 2</w:t>
            </w:r>
          </w:p>
        </w:tc>
        <w:tc>
          <w:tcPr>
            <w:tcW w:w="647" w:type="pct"/>
            <w:shd w:val="clear" w:color="auto" w:fill="auto"/>
            <w:vAlign w:val="center"/>
          </w:tcPr>
          <w:p w:rsidR="00A3387B" w:rsidRPr="009C5C54" w:rsidRDefault="00A3387B" w:rsidP="00C72823">
            <w:pPr>
              <w:pStyle w:val="In-tableHeading"/>
              <w:jc w:val="center"/>
              <w:rPr>
                <w:lang w:val="en-AU"/>
              </w:rPr>
            </w:pPr>
            <w:r w:rsidRPr="009C5C54">
              <w:rPr>
                <w:lang w:val="en-AU"/>
              </w:rPr>
              <w:t>Year 3</w:t>
            </w:r>
          </w:p>
        </w:tc>
        <w:tc>
          <w:tcPr>
            <w:tcW w:w="647" w:type="pct"/>
            <w:shd w:val="clear" w:color="auto" w:fill="auto"/>
            <w:vAlign w:val="center"/>
          </w:tcPr>
          <w:p w:rsidR="00A3387B" w:rsidRPr="009C5C54" w:rsidRDefault="00A3387B" w:rsidP="00C72823">
            <w:pPr>
              <w:pStyle w:val="In-tableHeading"/>
              <w:jc w:val="center"/>
              <w:rPr>
                <w:lang w:val="en-AU"/>
              </w:rPr>
            </w:pPr>
            <w:r w:rsidRPr="009C5C54">
              <w:rPr>
                <w:lang w:val="en-AU"/>
              </w:rPr>
              <w:t>Year 4</w:t>
            </w:r>
          </w:p>
        </w:tc>
        <w:tc>
          <w:tcPr>
            <w:tcW w:w="647" w:type="pct"/>
            <w:shd w:val="clear" w:color="auto" w:fill="auto"/>
            <w:vAlign w:val="center"/>
          </w:tcPr>
          <w:p w:rsidR="00A3387B" w:rsidRPr="009C5C54" w:rsidRDefault="00A3387B" w:rsidP="00C72823">
            <w:pPr>
              <w:pStyle w:val="In-tableHeading"/>
              <w:jc w:val="center"/>
              <w:rPr>
                <w:lang w:val="en-AU"/>
              </w:rPr>
            </w:pPr>
            <w:r w:rsidRPr="009C5C54">
              <w:rPr>
                <w:lang w:val="en-AU"/>
              </w:rPr>
              <w:t>Year 5</w:t>
            </w:r>
          </w:p>
        </w:tc>
        <w:tc>
          <w:tcPr>
            <w:tcW w:w="649" w:type="pct"/>
          </w:tcPr>
          <w:p w:rsidR="00A3387B" w:rsidRPr="009C5C54" w:rsidRDefault="00A3387B" w:rsidP="00C72823">
            <w:pPr>
              <w:pStyle w:val="In-tableHeading"/>
              <w:jc w:val="center"/>
              <w:rPr>
                <w:lang w:val="en-AU"/>
              </w:rPr>
            </w:pPr>
            <w:r w:rsidRPr="009C5C54">
              <w:rPr>
                <w:lang w:val="en-AU"/>
              </w:rPr>
              <w:t>Year 6</w:t>
            </w:r>
          </w:p>
        </w:tc>
      </w:tr>
      <w:tr w:rsidR="00A3387B" w:rsidRPr="009C5C54" w:rsidTr="00C72823">
        <w:tc>
          <w:tcPr>
            <w:tcW w:w="5000" w:type="pct"/>
            <w:gridSpan w:val="7"/>
            <w:shd w:val="clear" w:color="auto" w:fill="auto"/>
            <w:vAlign w:val="center"/>
          </w:tcPr>
          <w:p w:rsidR="00A3387B" w:rsidRPr="009C5C54" w:rsidRDefault="00A3387B" w:rsidP="00C72823">
            <w:pPr>
              <w:pStyle w:val="In-tableHeading"/>
              <w:rPr>
                <w:bCs/>
                <w:color w:val="000000"/>
                <w:lang w:val="en-AU"/>
              </w:rPr>
            </w:pPr>
            <w:r w:rsidRPr="009C5C54">
              <w:rPr>
                <w:bCs/>
                <w:color w:val="000000"/>
                <w:lang w:val="en-AU"/>
              </w:rPr>
              <w:t>Estimated extent of use</w:t>
            </w:r>
          </w:p>
        </w:tc>
      </w:tr>
      <w:tr w:rsidR="00A3387B" w:rsidRPr="009C5C54" w:rsidTr="00A077D6">
        <w:tc>
          <w:tcPr>
            <w:tcW w:w="1116" w:type="pct"/>
            <w:shd w:val="clear" w:color="auto" w:fill="auto"/>
            <w:vAlign w:val="center"/>
          </w:tcPr>
          <w:p w:rsidR="00A3387B" w:rsidRPr="009C5C54" w:rsidRDefault="00A3387B" w:rsidP="00C72823">
            <w:pPr>
              <w:pStyle w:val="TableText0"/>
              <w:rPr>
                <w:rFonts w:ascii="Times" w:hAnsi="Times"/>
              </w:rPr>
            </w:pPr>
            <w:r w:rsidRPr="009C5C54">
              <w:t>Number of scripts dispensed</w:t>
            </w:r>
          </w:p>
        </w:tc>
        <w:tc>
          <w:tcPr>
            <w:tcW w:w="647" w:type="pct"/>
            <w:shd w:val="clear" w:color="auto" w:fill="auto"/>
            <w:vAlign w:val="center"/>
          </w:tcPr>
          <w:p w:rsidR="00A3387B" w:rsidRPr="00BF68E0" w:rsidRDefault="00BF68E0" w:rsidP="00A077D6">
            <w:pPr>
              <w:pStyle w:val="TableText0"/>
              <w:jc w:val="center"/>
              <w:rPr>
                <w:bCs w:val="0"/>
                <w:color w:val="000000"/>
                <w:vertAlign w:val="superscript"/>
              </w:rPr>
            </w:pPr>
            <w:r>
              <w:rPr>
                <w:bCs w:val="0"/>
                <w:noProof/>
                <w:color w:val="000000"/>
                <w:highlight w:val="black"/>
              </w:rPr>
              <w:t>'''''''''''''''</w:t>
            </w:r>
            <w:r w:rsidR="00F22F66" w:rsidRPr="00F22F66">
              <w:rPr>
                <w:bCs w:val="0"/>
                <w:vertAlign w:val="superscript"/>
              </w:rPr>
              <w:t>1</w:t>
            </w:r>
          </w:p>
        </w:tc>
        <w:tc>
          <w:tcPr>
            <w:tcW w:w="647" w:type="pct"/>
            <w:shd w:val="clear" w:color="auto" w:fill="auto"/>
            <w:vAlign w:val="center"/>
          </w:tcPr>
          <w:p w:rsidR="00A3387B" w:rsidRPr="00BF68E0" w:rsidRDefault="00BF68E0" w:rsidP="00A077D6">
            <w:pPr>
              <w:pStyle w:val="TableText0"/>
              <w:jc w:val="center"/>
              <w:rPr>
                <w:bCs w:val="0"/>
                <w:color w:val="000000"/>
              </w:rPr>
            </w:pPr>
            <w:r>
              <w:rPr>
                <w:bCs w:val="0"/>
                <w:noProof/>
                <w:color w:val="000000"/>
                <w:highlight w:val="black"/>
              </w:rPr>
              <w:t>''''''''''''''</w:t>
            </w:r>
            <w:r w:rsidR="00F22F66" w:rsidRPr="00F22F66">
              <w:rPr>
                <w:bCs w:val="0"/>
                <w:vertAlign w:val="superscript"/>
              </w:rPr>
              <w:t>1</w:t>
            </w:r>
          </w:p>
        </w:tc>
        <w:tc>
          <w:tcPr>
            <w:tcW w:w="647" w:type="pct"/>
            <w:shd w:val="clear" w:color="auto" w:fill="auto"/>
            <w:vAlign w:val="center"/>
          </w:tcPr>
          <w:p w:rsidR="00A3387B" w:rsidRPr="00BF68E0" w:rsidRDefault="00BF68E0" w:rsidP="00A077D6">
            <w:pPr>
              <w:pStyle w:val="TableText0"/>
              <w:jc w:val="center"/>
              <w:rPr>
                <w:bCs w:val="0"/>
                <w:color w:val="000000"/>
              </w:rPr>
            </w:pPr>
            <w:r>
              <w:rPr>
                <w:bCs w:val="0"/>
                <w:noProof/>
                <w:color w:val="000000"/>
                <w:highlight w:val="black"/>
              </w:rPr>
              <w:t>'''''''''''''</w:t>
            </w:r>
            <w:r w:rsidR="00F22F66" w:rsidRPr="00F22F66">
              <w:rPr>
                <w:bCs w:val="0"/>
                <w:vertAlign w:val="superscript"/>
              </w:rPr>
              <w:t>1</w:t>
            </w:r>
          </w:p>
        </w:tc>
        <w:tc>
          <w:tcPr>
            <w:tcW w:w="647" w:type="pct"/>
            <w:shd w:val="clear" w:color="auto" w:fill="auto"/>
            <w:vAlign w:val="center"/>
          </w:tcPr>
          <w:p w:rsidR="00A3387B" w:rsidRPr="00BF68E0" w:rsidRDefault="00BF68E0" w:rsidP="00A077D6">
            <w:pPr>
              <w:pStyle w:val="TableText0"/>
              <w:jc w:val="center"/>
              <w:rPr>
                <w:bCs w:val="0"/>
                <w:color w:val="000000"/>
              </w:rPr>
            </w:pPr>
            <w:r>
              <w:rPr>
                <w:bCs w:val="0"/>
                <w:noProof/>
                <w:color w:val="000000"/>
                <w:highlight w:val="black"/>
              </w:rPr>
              <w:t>''''''''''''''</w:t>
            </w:r>
            <w:r w:rsidR="00F22F66" w:rsidRPr="00F22F66">
              <w:rPr>
                <w:bCs w:val="0"/>
                <w:vertAlign w:val="superscript"/>
              </w:rPr>
              <w:t>1</w:t>
            </w:r>
          </w:p>
        </w:tc>
        <w:tc>
          <w:tcPr>
            <w:tcW w:w="647" w:type="pct"/>
            <w:shd w:val="clear" w:color="auto" w:fill="auto"/>
            <w:vAlign w:val="center"/>
          </w:tcPr>
          <w:p w:rsidR="00A3387B" w:rsidRPr="00BF68E0" w:rsidRDefault="00BF68E0" w:rsidP="00A077D6">
            <w:pPr>
              <w:pStyle w:val="TableText0"/>
              <w:jc w:val="center"/>
              <w:rPr>
                <w:bCs w:val="0"/>
                <w:color w:val="000000"/>
              </w:rPr>
            </w:pPr>
            <w:r>
              <w:rPr>
                <w:bCs w:val="0"/>
                <w:noProof/>
                <w:color w:val="000000"/>
                <w:highlight w:val="black"/>
              </w:rPr>
              <w:t>''''''''''''''</w:t>
            </w:r>
            <w:r w:rsidR="00F22F66" w:rsidRPr="00F22F66">
              <w:rPr>
                <w:bCs w:val="0"/>
                <w:vertAlign w:val="superscript"/>
              </w:rPr>
              <w:t>1</w:t>
            </w:r>
          </w:p>
        </w:tc>
        <w:tc>
          <w:tcPr>
            <w:tcW w:w="649" w:type="pct"/>
            <w:vAlign w:val="center"/>
          </w:tcPr>
          <w:p w:rsidR="00A3387B" w:rsidRPr="00BF68E0" w:rsidRDefault="00BF68E0" w:rsidP="00A077D6">
            <w:pPr>
              <w:pStyle w:val="TableText0"/>
              <w:jc w:val="center"/>
              <w:rPr>
                <w:bCs w:val="0"/>
                <w:color w:val="000000"/>
              </w:rPr>
            </w:pPr>
            <w:r>
              <w:rPr>
                <w:bCs w:val="0"/>
                <w:noProof/>
                <w:color w:val="000000"/>
                <w:highlight w:val="black"/>
              </w:rPr>
              <w:t>'''''''''''''</w:t>
            </w:r>
            <w:r w:rsidR="00F22F66" w:rsidRPr="00F22F66">
              <w:rPr>
                <w:bCs w:val="0"/>
                <w:vertAlign w:val="superscript"/>
              </w:rPr>
              <w:t>1</w:t>
            </w:r>
          </w:p>
        </w:tc>
      </w:tr>
      <w:tr w:rsidR="00A3387B" w:rsidRPr="009C5C54" w:rsidTr="00C72823">
        <w:tc>
          <w:tcPr>
            <w:tcW w:w="5000" w:type="pct"/>
            <w:gridSpan w:val="7"/>
            <w:shd w:val="clear" w:color="auto" w:fill="auto"/>
            <w:vAlign w:val="center"/>
          </w:tcPr>
          <w:p w:rsidR="00A3387B" w:rsidRPr="009C5C54" w:rsidRDefault="00A3387B" w:rsidP="00C72823">
            <w:pPr>
              <w:pStyle w:val="In-tableHeading"/>
              <w:rPr>
                <w:lang w:val="en-AU"/>
              </w:rPr>
            </w:pPr>
            <w:r w:rsidRPr="009C5C54">
              <w:rPr>
                <w:lang w:val="en-AU"/>
              </w:rPr>
              <w:t>Estimated financial implications of triptorelin</w:t>
            </w:r>
          </w:p>
        </w:tc>
      </w:tr>
      <w:tr w:rsidR="00A3387B" w:rsidRPr="009C5C54" w:rsidTr="00C72823">
        <w:tc>
          <w:tcPr>
            <w:tcW w:w="1116" w:type="pct"/>
            <w:shd w:val="clear" w:color="auto" w:fill="auto"/>
            <w:vAlign w:val="center"/>
          </w:tcPr>
          <w:p w:rsidR="00A3387B" w:rsidRPr="009C5C54" w:rsidRDefault="00A3387B" w:rsidP="00C72823">
            <w:pPr>
              <w:pStyle w:val="TableText0"/>
              <w:rPr>
                <w:sz w:val="19"/>
                <w:szCs w:val="19"/>
              </w:rPr>
            </w:pPr>
            <w:r w:rsidRPr="009C5C54">
              <w:rPr>
                <w:sz w:val="19"/>
                <w:szCs w:val="19"/>
              </w:rPr>
              <w:t>Cost to PBS less copayments</w:t>
            </w:r>
          </w:p>
        </w:tc>
        <w:tc>
          <w:tcPr>
            <w:tcW w:w="647" w:type="pct"/>
            <w:shd w:val="clear" w:color="auto" w:fill="auto"/>
            <w:vAlign w:val="center"/>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9" w:type="pct"/>
            <w:vAlign w:val="center"/>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r>
      <w:tr w:rsidR="00A3387B" w:rsidRPr="009C5C54" w:rsidTr="00C72823">
        <w:tc>
          <w:tcPr>
            <w:tcW w:w="5000" w:type="pct"/>
            <w:gridSpan w:val="7"/>
            <w:shd w:val="clear" w:color="auto" w:fill="auto"/>
            <w:vAlign w:val="center"/>
          </w:tcPr>
          <w:p w:rsidR="00A3387B" w:rsidRPr="009C5C54" w:rsidRDefault="00A3387B" w:rsidP="00C72823">
            <w:pPr>
              <w:pStyle w:val="TableText0"/>
              <w:rPr>
                <w:b/>
                <w:bCs w:val="0"/>
              </w:rPr>
            </w:pPr>
            <w:r w:rsidRPr="009C5C54">
              <w:rPr>
                <w:b/>
                <w:bCs w:val="0"/>
              </w:rPr>
              <w:t>Estimated financial implications for leuprorelin</w:t>
            </w:r>
          </w:p>
        </w:tc>
      </w:tr>
      <w:tr w:rsidR="00A3387B" w:rsidRPr="009C5C54" w:rsidTr="00A077D6">
        <w:tc>
          <w:tcPr>
            <w:tcW w:w="1116" w:type="pct"/>
            <w:shd w:val="clear" w:color="auto" w:fill="auto"/>
            <w:vAlign w:val="center"/>
          </w:tcPr>
          <w:p w:rsidR="00A3387B" w:rsidRPr="009C5C54" w:rsidRDefault="00A3387B" w:rsidP="00C72823">
            <w:pPr>
              <w:pStyle w:val="TableText0"/>
              <w:rPr>
                <w:sz w:val="19"/>
                <w:szCs w:val="19"/>
              </w:rPr>
            </w:pPr>
            <w:r w:rsidRPr="009C5C54">
              <w:rPr>
                <w:sz w:val="19"/>
                <w:szCs w:val="19"/>
              </w:rPr>
              <w:t>Cost to PBS/RPBS less copayments</w:t>
            </w:r>
          </w:p>
        </w:tc>
        <w:tc>
          <w:tcPr>
            <w:tcW w:w="647" w:type="pct"/>
            <w:shd w:val="clear" w:color="auto" w:fill="auto"/>
            <w:vAlign w:val="center"/>
          </w:tcPr>
          <w:p w:rsidR="00A3387B" w:rsidRPr="009C5C54" w:rsidRDefault="00A3387B" w:rsidP="00A077D6">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A077D6">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A077D6">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A077D6">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vAlign w:val="center"/>
          </w:tcPr>
          <w:p w:rsidR="00A3387B" w:rsidRPr="009C5C54" w:rsidRDefault="00A3387B" w:rsidP="00A077D6">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9" w:type="pct"/>
            <w:vAlign w:val="center"/>
          </w:tcPr>
          <w:p w:rsidR="00A3387B" w:rsidRPr="009C5C54" w:rsidRDefault="00A3387B" w:rsidP="00A077D6">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r>
      <w:tr w:rsidR="00A3387B" w:rsidRPr="009C5C54" w:rsidTr="00C72823">
        <w:tc>
          <w:tcPr>
            <w:tcW w:w="5000" w:type="pct"/>
            <w:gridSpan w:val="7"/>
            <w:shd w:val="clear" w:color="auto" w:fill="auto"/>
            <w:vAlign w:val="center"/>
          </w:tcPr>
          <w:p w:rsidR="00A3387B" w:rsidRPr="009C5C54" w:rsidRDefault="00A3387B" w:rsidP="00C72823">
            <w:pPr>
              <w:pStyle w:val="In-tableHeading"/>
              <w:rPr>
                <w:lang w:val="en-AU"/>
              </w:rPr>
            </w:pPr>
            <w:r w:rsidRPr="009C5C54">
              <w:rPr>
                <w:lang w:val="en-AU"/>
              </w:rPr>
              <w:t>Net financial implications</w:t>
            </w:r>
          </w:p>
        </w:tc>
      </w:tr>
      <w:tr w:rsidR="00A3387B" w:rsidRPr="009C5C54" w:rsidTr="00C72823">
        <w:tc>
          <w:tcPr>
            <w:tcW w:w="1116" w:type="pct"/>
            <w:shd w:val="clear" w:color="auto" w:fill="auto"/>
            <w:vAlign w:val="center"/>
          </w:tcPr>
          <w:p w:rsidR="00A3387B" w:rsidRPr="009C5C54" w:rsidRDefault="00A3387B" w:rsidP="00C72823">
            <w:pPr>
              <w:pStyle w:val="TableText0"/>
              <w:rPr>
                <w:sz w:val="19"/>
                <w:szCs w:val="19"/>
              </w:rPr>
            </w:pPr>
            <w:r w:rsidRPr="009C5C54">
              <w:rPr>
                <w:sz w:val="19"/>
                <w:szCs w:val="19"/>
              </w:rPr>
              <w:t>Net cost to PBS</w:t>
            </w:r>
          </w:p>
        </w:tc>
        <w:tc>
          <w:tcPr>
            <w:tcW w:w="647" w:type="pct"/>
            <w:shd w:val="clear" w:color="auto" w:fill="auto"/>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c>
          <w:tcPr>
            <w:tcW w:w="649" w:type="pct"/>
          </w:tcPr>
          <w:p w:rsidR="00A3387B" w:rsidRPr="009C5C54" w:rsidRDefault="00A3387B" w:rsidP="00C72823">
            <w:pPr>
              <w:pStyle w:val="TableText0"/>
              <w:jc w:val="center"/>
              <w:rPr>
                <w:bCs w:val="0"/>
              </w:rPr>
            </w:pPr>
            <w:r w:rsidRPr="009C5C54">
              <w:rPr>
                <w:bCs w:val="0"/>
              </w:rPr>
              <w:t>-$</w:t>
            </w:r>
            <w:r w:rsidR="00BF68E0">
              <w:rPr>
                <w:bCs w:val="0"/>
                <w:noProof/>
                <w:color w:val="000000"/>
                <w:highlight w:val="black"/>
              </w:rPr>
              <w:t>'''''''''''''''''''''</w:t>
            </w:r>
            <w:r w:rsidR="00F22F66">
              <w:rPr>
                <w:bCs w:val="0"/>
                <w:vertAlign w:val="superscript"/>
              </w:rPr>
              <w:t>2</w:t>
            </w:r>
          </w:p>
        </w:tc>
      </w:tr>
      <w:tr w:rsidR="00A3387B" w:rsidRPr="009C5C54" w:rsidTr="00C72823">
        <w:tc>
          <w:tcPr>
            <w:tcW w:w="1116" w:type="pct"/>
            <w:shd w:val="clear" w:color="auto" w:fill="auto"/>
            <w:vAlign w:val="center"/>
          </w:tcPr>
          <w:p w:rsidR="00A3387B" w:rsidRPr="009C5C54" w:rsidRDefault="00A3387B" w:rsidP="00C72823">
            <w:pPr>
              <w:pStyle w:val="TableText0"/>
              <w:rPr>
                <w:rFonts w:ascii="Times" w:hAnsi="Times"/>
              </w:rPr>
            </w:pPr>
            <w:r w:rsidRPr="009C5C54">
              <w:rPr>
                <w:sz w:val="19"/>
                <w:szCs w:val="19"/>
              </w:rPr>
              <w:t>Net cost to MBS</w:t>
            </w:r>
          </w:p>
        </w:tc>
        <w:tc>
          <w:tcPr>
            <w:tcW w:w="647" w:type="pct"/>
            <w:shd w:val="clear" w:color="auto" w:fill="auto"/>
          </w:tcPr>
          <w:p w:rsidR="00A3387B" w:rsidRPr="009C5C54" w:rsidRDefault="00A3387B" w:rsidP="00C72823">
            <w:pPr>
              <w:pStyle w:val="TableText0"/>
              <w:jc w:val="center"/>
            </w:pPr>
            <w:r w:rsidRPr="009C5C54">
              <w:t>-$</w:t>
            </w:r>
            <w:r w:rsidR="00BF68E0">
              <w:rPr>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t>-$</w:t>
            </w:r>
            <w:r w:rsidR="00BF68E0">
              <w:rPr>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t>-$</w:t>
            </w:r>
            <w:r w:rsidR="00BF68E0">
              <w:rPr>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t>-$</w:t>
            </w:r>
            <w:r w:rsidR="00BF68E0">
              <w:rPr>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t>-$</w:t>
            </w:r>
            <w:r w:rsidR="00BF68E0">
              <w:rPr>
                <w:noProof/>
                <w:color w:val="000000"/>
                <w:highlight w:val="black"/>
              </w:rPr>
              <w:t>'''''''''''''''''</w:t>
            </w:r>
            <w:r w:rsidR="00F22F66">
              <w:rPr>
                <w:bCs w:val="0"/>
                <w:vertAlign w:val="superscript"/>
              </w:rPr>
              <w:t>2</w:t>
            </w:r>
          </w:p>
        </w:tc>
        <w:tc>
          <w:tcPr>
            <w:tcW w:w="649" w:type="pct"/>
          </w:tcPr>
          <w:p w:rsidR="00A3387B" w:rsidRPr="009C5C54" w:rsidRDefault="00A3387B" w:rsidP="00C72823">
            <w:pPr>
              <w:pStyle w:val="TableText0"/>
              <w:jc w:val="center"/>
            </w:pPr>
            <w:r w:rsidRPr="009C5C54">
              <w:t>-$</w:t>
            </w:r>
            <w:r w:rsidR="00BF68E0">
              <w:rPr>
                <w:noProof/>
                <w:color w:val="000000"/>
                <w:highlight w:val="black"/>
              </w:rPr>
              <w:t>''''''''''''''''</w:t>
            </w:r>
            <w:r w:rsidR="00F22F66">
              <w:rPr>
                <w:bCs w:val="0"/>
                <w:vertAlign w:val="superscript"/>
              </w:rPr>
              <w:t>2</w:t>
            </w:r>
          </w:p>
        </w:tc>
      </w:tr>
      <w:tr w:rsidR="00A3387B" w:rsidRPr="009C5C54" w:rsidTr="00C72823">
        <w:tc>
          <w:tcPr>
            <w:tcW w:w="1116" w:type="pct"/>
            <w:shd w:val="clear" w:color="auto" w:fill="auto"/>
            <w:vAlign w:val="center"/>
          </w:tcPr>
          <w:p w:rsidR="00A3387B" w:rsidRPr="009C5C54" w:rsidRDefault="00A3387B" w:rsidP="00C72823">
            <w:pPr>
              <w:pStyle w:val="TableText0"/>
              <w:rPr>
                <w:sz w:val="19"/>
                <w:szCs w:val="19"/>
              </w:rPr>
            </w:pPr>
            <w:r w:rsidRPr="009C5C54">
              <w:rPr>
                <w:sz w:val="19"/>
                <w:szCs w:val="19"/>
              </w:rPr>
              <w:t>Net cost to MBS/PBS</w:t>
            </w:r>
          </w:p>
        </w:tc>
        <w:tc>
          <w:tcPr>
            <w:tcW w:w="647" w:type="pct"/>
            <w:shd w:val="clear" w:color="auto" w:fill="auto"/>
          </w:tcPr>
          <w:p w:rsidR="00A3387B" w:rsidRPr="009C5C54" w:rsidRDefault="00A3387B" w:rsidP="00C72823">
            <w:pPr>
              <w:pStyle w:val="TableText0"/>
              <w:jc w:val="center"/>
            </w:pPr>
            <w:r w:rsidRPr="009C5C54">
              <w:rPr>
                <w:b/>
              </w:rPr>
              <w:t>-$</w:t>
            </w:r>
            <w:r w:rsidR="00BF68E0">
              <w:rPr>
                <w:b/>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rPr>
                <w:b/>
              </w:rPr>
              <w:t>-$</w:t>
            </w:r>
            <w:r w:rsidR="00BF68E0">
              <w:rPr>
                <w:b/>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rPr>
                <w:b/>
              </w:rPr>
              <w:t>-$</w:t>
            </w:r>
            <w:r w:rsidR="00BF68E0">
              <w:rPr>
                <w:b/>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rPr>
                <w:b/>
              </w:rPr>
              <w:t>-$</w:t>
            </w:r>
            <w:r w:rsidR="00BF68E0">
              <w:rPr>
                <w:b/>
                <w:noProof/>
                <w:color w:val="000000"/>
                <w:highlight w:val="black"/>
              </w:rPr>
              <w:t>''''''''''''''</w:t>
            </w:r>
            <w:r w:rsidR="00F22F66">
              <w:rPr>
                <w:bCs w:val="0"/>
                <w:vertAlign w:val="superscript"/>
              </w:rPr>
              <w:t>2</w:t>
            </w:r>
          </w:p>
        </w:tc>
        <w:tc>
          <w:tcPr>
            <w:tcW w:w="647" w:type="pct"/>
            <w:shd w:val="clear" w:color="auto" w:fill="auto"/>
          </w:tcPr>
          <w:p w:rsidR="00A3387B" w:rsidRPr="009C5C54" w:rsidRDefault="00A3387B" w:rsidP="00C72823">
            <w:pPr>
              <w:pStyle w:val="TableText0"/>
              <w:jc w:val="center"/>
            </w:pPr>
            <w:r w:rsidRPr="009C5C54">
              <w:rPr>
                <w:b/>
              </w:rPr>
              <w:t>-$</w:t>
            </w:r>
            <w:r w:rsidR="00BF68E0">
              <w:rPr>
                <w:b/>
                <w:noProof/>
                <w:color w:val="000000"/>
                <w:highlight w:val="black"/>
              </w:rPr>
              <w:t>'''''''''''''''</w:t>
            </w:r>
            <w:r w:rsidR="00F22F66">
              <w:rPr>
                <w:bCs w:val="0"/>
                <w:vertAlign w:val="superscript"/>
              </w:rPr>
              <w:t>2</w:t>
            </w:r>
          </w:p>
        </w:tc>
        <w:tc>
          <w:tcPr>
            <w:tcW w:w="649" w:type="pct"/>
          </w:tcPr>
          <w:p w:rsidR="00A3387B" w:rsidRPr="009C5C54" w:rsidRDefault="00A3387B" w:rsidP="00C72823">
            <w:pPr>
              <w:pStyle w:val="TableText0"/>
              <w:jc w:val="center"/>
            </w:pPr>
            <w:r w:rsidRPr="009C5C54">
              <w:rPr>
                <w:b/>
              </w:rPr>
              <w:t>-$</w:t>
            </w:r>
            <w:r w:rsidR="00BF68E0">
              <w:rPr>
                <w:b/>
                <w:noProof/>
                <w:color w:val="000000"/>
                <w:highlight w:val="black"/>
              </w:rPr>
              <w:t>'''''''''''''''</w:t>
            </w:r>
            <w:r w:rsidR="00F22F66">
              <w:rPr>
                <w:bCs w:val="0"/>
                <w:vertAlign w:val="superscript"/>
              </w:rPr>
              <w:t>2</w:t>
            </w:r>
          </w:p>
        </w:tc>
      </w:tr>
    </w:tbl>
    <w:p w:rsidR="00A3387B" w:rsidRPr="009C5C54" w:rsidRDefault="00A3387B" w:rsidP="00A3387B">
      <w:pPr>
        <w:pStyle w:val="TableFigureFooter"/>
        <w:spacing w:after="0"/>
      </w:pPr>
      <w:r w:rsidRPr="009C5C54">
        <w:t xml:space="preserve">Source: Tables 4.2.3 4.2.4, and </w:t>
      </w:r>
      <w:r w:rsidRPr="009C5C54">
        <w:rPr>
          <w:color w:val="000000" w:themeColor="text1"/>
        </w:rPr>
        <w:t xml:space="preserve">Table 4.2.7, p104, </w:t>
      </w:r>
      <w:r w:rsidRPr="009C5C54">
        <w:t>Table 4.3.4, p105, Table 4.4.1, p106, Table 4.5.3, p108 and Table 4.5.4, p108 of the submission.</w:t>
      </w:r>
    </w:p>
    <w:p w:rsidR="00A3387B" w:rsidRPr="009C5C54" w:rsidRDefault="00A3387B" w:rsidP="00A3387B">
      <w:pPr>
        <w:pStyle w:val="TableFigureFooter"/>
        <w:spacing w:after="0"/>
      </w:pPr>
      <w:r w:rsidRPr="009C5C54">
        <w:t>MBS = Medicare Benefits Schedule; PBS = Pharmaceutical Benefits Scheme; RPBS = Repatriation Pharmaceutical Benefits Scheme</w:t>
      </w:r>
    </w:p>
    <w:p w:rsidR="00F22F66" w:rsidRPr="009A6D58" w:rsidRDefault="00F22F66" w:rsidP="00F22F6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rsidR="00F22F66" w:rsidRPr="009A6D58" w:rsidRDefault="00F22F66" w:rsidP="00F22F6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22F66">
        <w:rPr>
          <w:rFonts w:ascii="Arial Narrow" w:hAnsi="Arial Narrow"/>
          <w:i/>
          <w:sz w:val="18"/>
          <w:szCs w:val="18"/>
        </w:rPr>
        <w:t>500 to &lt; 5,000</w:t>
      </w:r>
    </w:p>
    <w:p w:rsidR="00F22F66" w:rsidRPr="009A6D58" w:rsidRDefault="00F22F66" w:rsidP="00325411">
      <w:pPr>
        <w:spacing w:after="24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22F66">
        <w:rPr>
          <w:rFonts w:ascii="Arial Narrow" w:hAnsi="Arial Narrow"/>
          <w:i/>
          <w:sz w:val="18"/>
          <w:szCs w:val="18"/>
        </w:rPr>
        <w:t>$0 to &lt; $10 million</w:t>
      </w:r>
    </w:p>
    <w:p w:rsidR="00A3387B" w:rsidRPr="009C5C54" w:rsidRDefault="00A3387B" w:rsidP="00A3387B">
      <w:pPr>
        <w:pStyle w:val="3-BodyText"/>
      </w:pPr>
      <w:r w:rsidRPr="009C5C54">
        <w:t xml:space="preserve">The submission estimated a total </w:t>
      </w:r>
      <w:r w:rsidR="00325411">
        <w:t xml:space="preserve">net cost </w:t>
      </w:r>
      <w:r w:rsidRPr="009C5C54">
        <w:t xml:space="preserve">saving to the PBS over the first 6 years of listing. Though cost-offsets were likely overestimated, it remained unlikely that </w:t>
      </w:r>
      <w:r w:rsidR="00BA6652">
        <w:t xml:space="preserve">listing of </w:t>
      </w:r>
      <w:r w:rsidRPr="009C5C54">
        <w:t>triptorelin</w:t>
      </w:r>
      <w:r w:rsidR="00BA6652">
        <w:t xml:space="preserve"> for CPP</w:t>
      </w:r>
      <w:r w:rsidRPr="009C5C54">
        <w:t xml:space="preserve"> would </w:t>
      </w:r>
      <w:r w:rsidR="00BA6652">
        <w:t>result in a cost to government</w:t>
      </w:r>
      <w:r w:rsidRPr="009C5C54">
        <w:t>.</w:t>
      </w:r>
    </w:p>
    <w:p w:rsidR="0034449D" w:rsidRPr="009C5C54" w:rsidRDefault="0034449D" w:rsidP="0034449D">
      <w:pPr>
        <w:ind w:firstLine="709"/>
        <w:rPr>
          <w:rFonts w:asciiTheme="minorHAnsi" w:hAnsiTheme="minorHAnsi"/>
          <w:i/>
        </w:rPr>
      </w:pPr>
      <w:r w:rsidRPr="009C5C54">
        <w:rPr>
          <w:rFonts w:asciiTheme="minorHAnsi" w:hAnsiTheme="minorHAnsi"/>
          <w:i/>
        </w:rPr>
        <w:t>For more detail on PBAC’s view, see section 7 PBAC outcome.</w:t>
      </w:r>
    </w:p>
    <w:p w:rsidR="0034449D" w:rsidRPr="009C5C54" w:rsidRDefault="0034449D">
      <w:pPr>
        <w:jc w:val="left"/>
      </w:pPr>
    </w:p>
    <w:p w:rsidR="0034449D" w:rsidRPr="009C5C54" w:rsidRDefault="0034449D" w:rsidP="001C66D2">
      <w:pPr>
        <w:keepNext/>
        <w:widowControl w:val="0"/>
        <w:numPr>
          <w:ilvl w:val="0"/>
          <w:numId w:val="1"/>
        </w:numPr>
        <w:spacing w:before="240" w:after="120"/>
        <w:outlineLvl w:val="0"/>
        <w:rPr>
          <w:rFonts w:asciiTheme="minorHAnsi" w:hAnsiTheme="minorHAnsi"/>
          <w:b/>
          <w:bCs/>
          <w:snapToGrid w:val="0"/>
          <w:sz w:val="32"/>
        </w:rPr>
      </w:pPr>
      <w:r w:rsidRPr="009C5C54">
        <w:rPr>
          <w:rFonts w:asciiTheme="minorHAnsi" w:hAnsiTheme="minorHAnsi"/>
          <w:b/>
          <w:bCs/>
          <w:snapToGrid w:val="0"/>
          <w:sz w:val="32"/>
        </w:rPr>
        <w:t>PBAC Outcome</w:t>
      </w:r>
    </w:p>
    <w:p w:rsidR="0034449D" w:rsidRPr="009C5C54" w:rsidRDefault="0034449D"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The PBAC recommended the</w:t>
      </w:r>
      <w:r w:rsidR="00D7053F" w:rsidRPr="009C5C54">
        <w:rPr>
          <w:rFonts w:asciiTheme="minorHAnsi" w:hAnsiTheme="minorHAnsi"/>
          <w:bCs/>
          <w:snapToGrid w:val="0"/>
        </w:rPr>
        <w:t xml:space="preserve"> General Schedule, Restricted Benefit</w:t>
      </w:r>
      <w:r w:rsidRPr="009C5C54">
        <w:rPr>
          <w:rFonts w:asciiTheme="minorHAnsi" w:hAnsiTheme="minorHAnsi"/>
          <w:bCs/>
          <w:snapToGrid w:val="0"/>
        </w:rPr>
        <w:t xml:space="preserve"> listing of </w:t>
      </w:r>
      <w:r w:rsidR="00D7053F" w:rsidRPr="009C5C54">
        <w:rPr>
          <w:rFonts w:asciiTheme="minorHAnsi" w:hAnsiTheme="minorHAnsi"/>
          <w:bCs/>
          <w:snapToGrid w:val="0"/>
        </w:rPr>
        <w:t>triptorelin for the treatment of central precocious puberty (CPP). In making this recommendation, the PBAC considered the evidence presented supported a conclusion that triptorelin is of non-inferior comparative efficacy and safety to leuprorelin for the management of CPP.</w:t>
      </w:r>
    </w:p>
    <w:p w:rsidR="0034449D" w:rsidRPr="009C5C54" w:rsidRDefault="004D1D3B" w:rsidP="00D7053F">
      <w:pPr>
        <w:pStyle w:val="3-BodyText"/>
        <w:rPr>
          <w:bCs/>
        </w:rPr>
      </w:pPr>
      <w:r w:rsidRPr="009C5C54">
        <w:rPr>
          <w:bCs/>
        </w:rPr>
        <w:t>The Committee</w:t>
      </w:r>
      <w:r w:rsidR="00D7053F" w:rsidRPr="009C5C54">
        <w:rPr>
          <w:bCs/>
        </w:rPr>
        <w:t xml:space="preserve"> advised the equi-effective doses were 2 injections of triptorelin (22.5</w:t>
      </w:r>
      <w:r w:rsidR="008E4D06">
        <w:rPr>
          <w:bCs/>
        </w:rPr>
        <w:t> </w:t>
      </w:r>
      <w:r w:rsidR="00D7053F" w:rsidRPr="009C5C54">
        <w:rPr>
          <w:bCs/>
        </w:rPr>
        <w:t>mg)</w:t>
      </w:r>
      <w:r w:rsidR="00C45D5C" w:rsidRPr="009C5C54">
        <w:rPr>
          <w:bCs/>
        </w:rPr>
        <w:t xml:space="preserve"> </w:t>
      </w:r>
      <w:r w:rsidR="001A2261">
        <w:rPr>
          <w:bCs/>
        </w:rPr>
        <w:t xml:space="preserve">over one year </w:t>
      </w:r>
      <w:r w:rsidR="00C45D5C" w:rsidRPr="009C5C54">
        <w:rPr>
          <w:bCs/>
        </w:rPr>
        <w:t>at 6</w:t>
      </w:r>
      <w:r w:rsidR="00D7053F" w:rsidRPr="009C5C54">
        <w:rPr>
          <w:bCs/>
        </w:rPr>
        <w:t>-monthly intervals = 4 injections of leuprorelin (30</w:t>
      </w:r>
      <w:r w:rsidR="008E4D06">
        <w:rPr>
          <w:bCs/>
        </w:rPr>
        <w:t> </w:t>
      </w:r>
      <w:r w:rsidR="00D7053F" w:rsidRPr="009C5C54">
        <w:rPr>
          <w:bCs/>
        </w:rPr>
        <w:t>mg)</w:t>
      </w:r>
      <w:r w:rsidR="00C45D5C" w:rsidRPr="009C5C54">
        <w:rPr>
          <w:bCs/>
        </w:rPr>
        <w:t xml:space="preserve"> </w:t>
      </w:r>
      <w:r w:rsidR="005E3554">
        <w:rPr>
          <w:bCs/>
        </w:rPr>
        <w:t xml:space="preserve">over one year </w:t>
      </w:r>
      <w:r w:rsidR="00C45D5C" w:rsidRPr="009C5C54">
        <w:rPr>
          <w:bCs/>
        </w:rPr>
        <w:t>at 3-monthly intervals</w:t>
      </w:r>
      <w:r w:rsidR="00D7053F" w:rsidRPr="009C5C54">
        <w:rPr>
          <w:bCs/>
        </w:rPr>
        <w:t>.</w:t>
      </w:r>
    </w:p>
    <w:p w:rsidR="00E127B6" w:rsidRPr="009C5C54" w:rsidRDefault="00E127B6" w:rsidP="00E127B6">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The PBAC considered the nominated comparator of leuprorelin was appropriate.</w:t>
      </w:r>
    </w:p>
    <w:p w:rsidR="0034449D" w:rsidRPr="009C5C54" w:rsidRDefault="00C45D5C"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PBAC noted the clinical evidence for both triptorelin and leuprorelin were open label studies and only a naïve comparison of these two agents was presented; however considered that the clinical place of </w:t>
      </w:r>
      <w:r w:rsidR="00EC2C9A" w:rsidRPr="009C5C54">
        <w:rPr>
          <w:rFonts w:asciiTheme="minorHAnsi" w:hAnsiTheme="minorHAnsi"/>
          <w:bCs/>
          <w:snapToGrid w:val="0"/>
        </w:rPr>
        <w:t>gonadotropin releasing hormone (</w:t>
      </w:r>
      <w:r w:rsidRPr="009C5C54">
        <w:rPr>
          <w:rFonts w:asciiTheme="minorHAnsi" w:hAnsiTheme="minorHAnsi"/>
          <w:bCs/>
          <w:snapToGrid w:val="0"/>
        </w:rPr>
        <w:t>GnRH</w:t>
      </w:r>
      <w:r w:rsidR="00EC2C9A" w:rsidRPr="009C5C54">
        <w:rPr>
          <w:rFonts w:asciiTheme="minorHAnsi" w:hAnsiTheme="minorHAnsi"/>
          <w:bCs/>
          <w:snapToGrid w:val="0"/>
        </w:rPr>
        <w:t>)</w:t>
      </w:r>
      <w:r w:rsidRPr="009C5C54">
        <w:rPr>
          <w:rFonts w:asciiTheme="minorHAnsi" w:hAnsiTheme="minorHAnsi"/>
          <w:bCs/>
          <w:snapToGrid w:val="0"/>
        </w:rPr>
        <w:t xml:space="preserve"> </w:t>
      </w:r>
      <w:r w:rsidR="0088659B" w:rsidRPr="009C5C54">
        <w:rPr>
          <w:rFonts w:asciiTheme="minorHAnsi" w:hAnsiTheme="minorHAnsi"/>
          <w:bCs/>
          <w:snapToGrid w:val="0"/>
        </w:rPr>
        <w:t>analogue</w:t>
      </w:r>
      <w:r w:rsidRPr="009C5C54">
        <w:rPr>
          <w:rFonts w:asciiTheme="minorHAnsi" w:hAnsiTheme="minorHAnsi"/>
          <w:bCs/>
          <w:snapToGrid w:val="0"/>
        </w:rPr>
        <w:t xml:space="preserve">s in the management of CPP was well established and </w:t>
      </w:r>
      <w:r w:rsidR="00F51450" w:rsidRPr="009C5C54">
        <w:rPr>
          <w:rFonts w:asciiTheme="minorHAnsi" w:hAnsiTheme="minorHAnsi"/>
          <w:bCs/>
          <w:snapToGrid w:val="0"/>
        </w:rPr>
        <w:t xml:space="preserve">considered </w:t>
      </w:r>
      <w:r w:rsidRPr="009C5C54">
        <w:rPr>
          <w:rFonts w:asciiTheme="minorHAnsi" w:hAnsiTheme="minorHAnsi"/>
          <w:bCs/>
          <w:snapToGrid w:val="0"/>
        </w:rPr>
        <w:t xml:space="preserve">that the evidence presented was </w:t>
      </w:r>
      <w:r w:rsidR="004D1D3B" w:rsidRPr="009C5C54">
        <w:rPr>
          <w:rFonts w:asciiTheme="minorHAnsi" w:hAnsiTheme="minorHAnsi"/>
          <w:bCs/>
          <w:snapToGrid w:val="0"/>
        </w:rPr>
        <w:t xml:space="preserve">adequate given the rarity of the </w:t>
      </w:r>
      <w:r w:rsidR="00D21656" w:rsidRPr="009C5C54">
        <w:rPr>
          <w:rFonts w:asciiTheme="minorHAnsi" w:hAnsiTheme="minorHAnsi"/>
          <w:bCs/>
          <w:snapToGrid w:val="0"/>
        </w:rPr>
        <w:t xml:space="preserve">condition </w:t>
      </w:r>
      <w:r w:rsidR="004D1D3B" w:rsidRPr="009C5C54">
        <w:rPr>
          <w:rFonts w:asciiTheme="minorHAnsi" w:hAnsiTheme="minorHAnsi"/>
          <w:bCs/>
          <w:snapToGrid w:val="0"/>
        </w:rPr>
        <w:t>and in the context of the established clinical place of these therapies.</w:t>
      </w:r>
    </w:p>
    <w:p w:rsidR="004D1D3B" w:rsidRPr="009C5C54" w:rsidRDefault="004D1D3B"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Based on the evidence presented, the PBAC considered that triptorelin is likely to be of similar comparative efficacy to leuprorelin for the management of CPP, and considered the justification </w:t>
      </w:r>
      <w:r w:rsidR="00F51450" w:rsidRPr="009C5C54">
        <w:rPr>
          <w:rFonts w:asciiTheme="minorHAnsi" w:hAnsiTheme="minorHAnsi"/>
          <w:bCs/>
          <w:snapToGrid w:val="0"/>
        </w:rPr>
        <w:t xml:space="preserve">provided in the submission </w:t>
      </w:r>
      <w:r w:rsidRPr="009C5C54">
        <w:rPr>
          <w:rFonts w:asciiTheme="minorHAnsi" w:hAnsiTheme="minorHAnsi"/>
          <w:bCs/>
          <w:snapToGrid w:val="0"/>
        </w:rPr>
        <w:t>for three patients who failed to achieve luteinizing hormone (LH)</w:t>
      </w:r>
      <w:r w:rsidR="007925E0" w:rsidRPr="009C5C54">
        <w:rPr>
          <w:rFonts w:asciiTheme="minorHAnsi" w:hAnsiTheme="minorHAnsi"/>
          <w:bCs/>
          <w:snapToGrid w:val="0"/>
        </w:rPr>
        <w:t xml:space="preserve"> </w:t>
      </w:r>
      <w:r w:rsidRPr="009C5C54">
        <w:rPr>
          <w:rFonts w:asciiTheme="minorHAnsi" w:hAnsiTheme="minorHAnsi"/>
          <w:bCs/>
          <w:snapToGrid w:val="0"/>
        </w:rPr>
        <w:t xml:space="preserve">suppression at 6 months outlined in paragraph </w:t>
      </w:r>
      <w:r w:rsidRPr="00B948DF">
        <w:rPr>
          <w:rFonts w:asciiTheme="minorHAnsi" w:hAnsiTheme="minorHAnsi"/>
          <w:bCs/>
          <w:snapToGrid w:val="0"/>
        </w:rPr>
        <w:t>6.8 were reasonable</w:t>
      </w:r>
      <w:r w:rsidRPr="009C5C54">
        <w:rPr>
          <w:rFonts w:asciiTheme="minorHAnsi" w:hAnsiTheme="minorHAnsi"/>
          <w:bCs/>
          <w:snapToGrid w:val="0"/>
        </w:rPr>
        <w:t>.</w:t>
      </w:r>
    </w:p>
    <w:p w:rsidR="0034449D" w:rsidRPr="009C5C54" w:rsidRDefault="004D1D3B"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PBAC also considered, based on the evidence presented, that triptorelin is of non-inferior comparative safety to leuprorelin for the management of CPP. The Committee noted there was a numerical trend favouring triptorelin in terms of adverse events, however given the risk of bias in both studies and the established risk/benefit profile of GnRH </w:t>
      </w:r>
      <w:r w:rsidR="0088659B" w:rsidRPr="009C5C54">
        <w:rPr>
          <w:rFonts w:asciiTheme="minorHAnsi" w:hAnsiTheme="minorHAnsi"/>
          <w:bCs/>
          <w:snapToGrid w:val="0"/>
        </w:rPr>
        <w:t>analogue</w:t>
      </w:r>
      <w:r w:rsidRPr="009C5C54">
        <w:rPr>
          <w:rFonts w:asciiTheme="minorHAnsi" w:hAnsiTheme="minorHAnsi"/>
          <w:bCs/>
          <w:snapToGrid w:val="0"/>
        </w:rPr>
        <w:t>s considered</w:t>
      </w:r>
      <w:r w:rsidR="00AE5F1A" w:rsidRPr="009C5C54">
        <w:rPr>
          <w:rFonts w:asciiTheme="minorHAnsi" w:hAnsiTheme="minorHAnsi"/>
          <w:bCs/>
          <w:snapToGrid w:val="0"/>
        </w:rPr>
        <w:t xml:space="preserve"> a claim of non-inferior comparative safety was reasonable.</w:t>
      </w:r>
    </w:p>
    <w:p w:rsidR="0034449D" w:rsidRPr="009C5C54" w:rsidRDefault="00EC2C9A" w:rsidP="00E127B6">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PBAC considered the differences in age ranges between triptorelin and leuprorelin in the </w:t>
      </w:r>
      <w:r w:rsidR="000E41C4" w:rsidRPr="009C5C54">
        <w:rPr>
          <w:rFonts w:asciiTheme="minorHAnsi" w:hAnsiTheme="minorHAnsi"/>
          <w:bCs/>
          <w:snapToGrid w:val="0"/>
        </w:rPr>
        <w:t xml:space="preserve">registration studies </w:t>
      </w:r>
      <w:r w:rsidRPr="009C5C54">
        <w:rPr>
          <w:rFonts w:asciiTheme="minorHAnsi" w:hAnsiTheme="minorHAnsi"/>
          <w:bCs/>
          <w:snapToGrid w:val="0"/>
        </w:rPr>
        <w:t xml:space="preserve">were unlikely to substantially impact clinical practice and it was reasonable for the restrictions for each to reflect the </w:t>
      </w:r>
      <w:r w:rsidR="000E41C4" w:rsidRPr="009C5C54">
        <w:rPr>
          <w:rFonts w:asciiTheme="minorHAnsi" w:hAnsiTheme="minorHAnsi"/>
          <w:bCs/>
          <w:snapToGrid w:val="0"/>
        </w:rPr>
        <w:t xml:space="preserve">upper subject age ranges in the </w:t>
      </w:r>
      <w:r w:rsidRPr="009C5C54">
        <w:rPr>
          <w:rFonts w:asciiTheme="minorHAnsi" w:hAnsiTheme="minorHAnsi"/>
          <w:bCs/>
          <w:snapToGrid w:val="0"/>
        </w:rPr>
        <w:t>TGA registration</w:t>
      </w:r>
      <w:r w:rsidR="000E41C4" w:rsidRPr="009C5C54">
        <w:rPr>
          <w:rFonts w:asciiTheme="minorHAnsi" w:hAnsiTheme="minorHAnsi"/>
          <w:bCs/>
          <w:snapToGrid w:val="0"/>
        </w:rPr>
        <w:t xml:space="preserve"> studies</w:t>
      </w:r>
      <w:r w:rsidRPr="009C5C54">
        <w:rPr>
          <w:rFonts w:asciiTheme="minorHAnsi" w:hAnsiTheme="minorHAnsi"/>
          <w:bCs/>
          <w:snapToGrid w:val="0"/>
        </w:rPr>
        <w:t xml:space="preserve">. Furthermore, the </w:t>
      </w:r>
      <w:r w:rsidR="007925E0" w:rsidRPr="009C5C54">
        <w:rPr>
          <w:rFonts w:asciiTheme="minorHAnsi" w:hAnsiTheme="minorHAnsi"/>
          <w:bCs/>
          <w:snapToGrid w:val="0"/>
        </w:rPr>
        <w:t xml:space="preserve">PBAC </w:t>
      </w:r>
      <w:r w:rsidRPr="009C5C54">
        <w:rPr>
          <w:rFonts w:asciiTheme="minorHAnsi" w:hAnsiTheme="minorHAnsi"/>
          <w:bCs/>
          <w:snapToGrid w:val="0"/>
        </w:rPr>
        <w:t xml:space="preserve">also considered it was reasonable </w:t>
      </w:r>
      <w:r w:rsidR="007925E0" w:rsidRPr="009C5C54">
        <w:rPr>
          <w:rFonts w:asciiTheme="minorHAnsi" w:hAnsiTheme="minorHAnsi"/>
          <w:bCs/>
          <w:snapToGrid w:val="0"/>
        </w:rPr>
        <w:t xml:space="preserve">to </w:t>
      </w:r>
      <w:r w:rsidRPr="009C5C54">
        <w:rPr>
          <w:rFonts w:asciiTheme="minorHAnsi" w:hAnsiTheme="minorHAnsi"/>
          <w:bCs/>
          <w:snapToGrid w:val="0"/>
        </w:rPr>
        <w:t xml:space="preserve">allow flexibility in the restriction for switching between GnRH </w:t>
      </w:r>
      <w:r w:rsidR="0088659B" w:rsidRPr="009C5C54">
        <w:rPr>
          <w:rFonts w:asciiTheme="minorHAnsi" w:hAnsiTheme="minorHAnsi"/>
          <w:bCs/>
          <w:snapToGrid w:val="0"/>
        </w:rPr>
        <w:t>analogue</w:t>
      </w:r>
      <w:r w:rsidRPr="009C5C54">
        <w:rPr>
          <w:rFonts w:asciiTheme="minorHAnsi" w:hAnsiTheme="minorHAnsi"/>
          <w:bCs/>
          <w:snapToGrid w:val="0"/>
        </w:rPr>
        <w:t xml:space="preserve">s in continuing therapy as clinically appropriate. The PBAC </w:t>
      </w:r>
      <w:r w:rsidR="003E60B9">
        <w:rPr>
          <w:rFonts w:asciiTheme="minorHAnsi" w:hAnsiTheme="minorHAnsi"/>
          <w:bCs/>
          <w:snapToGrid w:val="0"/>
        </w:rPr>
        <w:t xml:space="preserve">considered it was reasonable to add a ‘grandfather’ restriction </w:t>
      </w:r>
      <w:r w:rsidR="00C615D8" w:rsidRPr="009C5C54">
        <w:rPr>
          <w:rFonts w:asciiTheme="minorHAnsi" w:hAnsiTheme="minorHAnsi"/>
          <w:bCs/>
          <w:snapToGrid w:val="0"/>
        </w:rPr>
        <w:t>for 12 months</w:t>
      </w:r>
      <w:r w:rsidRPr="009C5C54">
        <w:rPr>
          <w:rFonts w:asciiTheme="minorHAnsi" w:hAnsiTheme="minorHAnsi"/>
          <w:bCs/>
          <w:snapToGrid w:val="0"/>
        </w:rPr>
        <w:t xml:space="preserve"> to allow patients to transition from the planned patient familiarisation program</w:t>
      </w:r>
      <w:r w:rsidR="007925E0" w:rsidRPr="009C5C54">
        <w:rPr>
          <w:rFonts w:asciiTheme="minorHAnsi" w:hAnsiTheme="minorHAnsi"/>
          <w:bCs/>
          <w:snapToGrid w:val="0"/>
        </w:rPr>
        <w:t xml:space="preserve">. The PBAC considered it was appropriate to remove </w:t>
      </w:r>
      <w:r w:rsidRPr="009C5C54">
        <w:rPr>
          <w:rFonts w:asciiTheme="minorHAnsi" w:hAnsiTheme="minorHAnsi"/>
          <w:bCs/>
          <w:snapToGrid w:val="0"/>
        </w:rPr>
        <w:t>the grandfather restriction for leuprorelin which has been in place since 2015.</w:t>
      </w:r>
    </w:p>
    <w:p w:rsidR="0034449D" w:rsidRPr="009C5C54" w:rsidRDefault="00E127B6"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w:t>
      </w:r>
      <w:r w:rsidR="00997EA9" w:rsidRPr="009C5C54">
        <w:rPr>
          <w:rFonts w:asciiTheme="minorHAnsi" w:hAnsiTheme="minorHAnsi"/>
          <w:bCs/>
          <w:snapToGrid w:val="0"/>
        </w:rPr>
        <w:t>Committee</w:t>
      </w:r>
      <w:r w:rsidRPr="009C5C54">
        <w:rPr>
          <w:rFonts w:asciiTheme="minorHAnsi" w:hAnsiTheme="minorHAnsi"/>
          <w:bCs/>
          <w:snapToGrid w:val="0"/>
        </w:rPr>
        <w:t xml:space="preserve"> noted that the submission requested listing of triptorelin </w:t>
      </w:r>
      <w:r w:rsidR="00A53AF5" w:rsidRPr="009C5C54">
        <w:rPr>
          <w:rFonts w:asciiTheme="minorHAnsi" w:hAnsiTheme="minorHAnsi"/>
          <w:bCs/>
          <w:snapToGrid w:val="0"/>
        </w:rPr>
        <w:t>at a lower price than the current listing of leuprorelin</w:t>
      </w:r>
      <w:r w:rsidRPr="009C5C54">
        <w:rPr>
          <w:rFonts w:asciiTheme="minorHAnsi" w:hAnsiTheme="minorHAnsi"/>
          <w:bCs/>
          <w:snapToGrid w:val="0"/>
        </w:rPr>
        <w:t xml:space="preserve">. The Committee considered the claimed additional offsets for reduced MBS costs due to reduced testing and healthcare professional attendances were poorly justified and </w:t>
      </w:r>
      <w:r w:rsidR="007925E0" w:rsidRPr="009C5C54">
        <w:rPr>
          <w:rFonts w:asciiTheme="minorHAnsi" w:hAnsiTheme="minorHAnsi"/>
          <w:bCs/>
          <w:snapToGrid w:val="0"/>
        </w:rPr>
        <w:t xml:space="preserve">likely </w:t>
      </w:r>
      <w:r w:rsidRPr="009C5C54">
        <w:rPr>
          <w:rFonts w:asciiTheme="minorHAnsi" w:hAnsiTheme="minorHAnsi"/>
          <w:bCs/>
          <w:snapToGrid w:val="0"/>
        </w:rPr>
        <w:t>overestimated</w:t>
      </w:r>
      <w:r w:rsidR="006054B8" w:rsidRPr="009C5C54">
        <w:rPr>
          <w:rFonts w:asciiTheme="minorHAnsi" w:hAnsiTheme="minorHAnsi"/>
          <w:bCs/>
          <w:snapToGrid w:val="0"/>
        </w:rPr>
        <w:t>.</w:t>
      </w:r>
    </w:p>
    <w:p w:rsidR="0034449D" w:rsidRPr="009C5C54" w:rsidRDefault="004801F2" w:rsidP="0034449D">
      <w:pPr>
        <w:widowControl w:val="0"/>
        <w:numPr>
          <w:ilvl w:val="1"/>
          <w:numId w:val="1"/>
        </w:numPr>
        <w:spacing w:after="120"/>
      </w:pPr>
      <w:r w:rsidRPr="009C5C54">
        <w:rPr>
          <w:rFonts w:asciiTheme="minorHAnsi" w:hAnsiTheme="minorHAnsi"/>
          <w:bCs/>
          <w:snapToGrid w:val="0"/>
        </w:rPr>
        <w:t xml:space="preserve">The PBAC considered the likely uptake of triptorelin was uncertain as the incidence of CPP is low and </w:t>
      </w:r>
      <w:r w:rsidR="00997EA9" w:rsidRPr="009C5C54">
        <w:rPr>
          <w:rFonts w:asciiTheme="minorHAnsi" w:hAnsiTheme="minorHAnsi"/>
          <w:bCs/>
          <w:snapToGrid w:val="0"/>
        </w:rPr>
        <w:t>prevalent patients are</w:t>
      </w:r>
      <w:r w:rsidRPr="009C5C54">
        <w:rPr>
          <w:rFonts w:asciiTheme="minorHAnsi" w:hAnsiTheme="minorHAnsi"/>
          <w:bCs/>
          <w:snapToGrid w:val="0"/>
        </w:rPr>
        <w:t xml:space="preserve"> likely already treated with </w:t>
      </w:r>
      <w:r w:rsidR="00DB0655" w:rsidRPr="009C5C54">
        <w:rPr>
          <w:rFonts w:asciiTheme="minorHAnsi" w:hAnsiTheme="minorHAnsi"/>
          <w:bCs/>
          <w:snapToGrid w:val="0"/>
        </w:rPr>
        <w:t>leuprorelin but</w:t>
      </w:r>
      <w:r w:rsidR="00AE5F1A" w:rsidRPr="009C5C54">
        <w:rPr>
          <w:rFonts w:asciiTheme="minorHAnsi" w:hAnsiTheme="minorHAnsi"/>
          <w:bCs/>
          <w:snapToGrid w:val="0"/>
        </w:rPr>
        <w:t xml:space="preserve"> noted that as triptorelin is less costly than leuprorelin, the listing will be cost saving</w:t>
      </w:r>
      <w:r w:rsidRPr="009C5C54">
        <w:rPr>
          <w:rFonts w:asciiTheme="minorHAnsi" w:hAnsiTheme="minorHAnsi"/>
          <w:bCs/>
          <w:snapToGrid w:val="0"/>
        </w:rPr>
        <w:t xml:space="preserve">. </w:t>
      </w:r>
    </w:p>
    <w:p w:rsidR="0034449D" w:rsidRPr="009C5C54" w:rsidRDefault="0034449D"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PBAC advised that </w:t>
      </w:r>
      <w:r w:rsidR="004801F2" w:rsidRPr="009C5C54">
        <w:rPr>
          <w:rFonts w:asciiTheme="minorHAnsi" w:hAnsiTheme="minorHAnsi"/>
          <w:bCs/>
          <w:snapToGrid w:val="0"/>
        </w:rPr>
        <w:t>triptorelin</w:t>
      </w:r>
      <w:r w:rsidRPr="009C5C54">
        <w:rPr>
          <w:rFonts w:asciiTheme="minorHAnsi" w:hAnsiTheme="minorHAnsi"/>
          <w:bCs/>
          <w:snapToGrid w:val="0"/>
        </w:rPr>
        <w:t xml:space="preserve"> is</w:t>
      </w:r>
      <w:r w:rsidR="004801F2" w:rsidRPr="009C5C54">
        <w:rPr>
          <w:rFonts w:asciiTheme="minorHAnsi" w:hAnsiTheme="minorHAnsi"/>
          <w:bCs/>
          <w:snapToGrid w:val="0"/>
        </w:rPr>
        <w:t xml:space="preserve"> </w:t>
      </w:r>
      <w:r w:rsidRPr="009C5C54">
        <w:rPr>
          <w:rFonts w:asciiTheme="minorHAnsi" w:hAnsiTheme="minorHAnsi"/>
          <w:bCs/>
          <w:snapToGrid w:val="0"/>
        </w:rPr>
        <w:t>not suitable for prescribing by nurse practitioners</w:t>
      </w:r>
      <w:r w:rsidR="004801F2" w:rsidRPr="009C5C54">
        <w:rPr>
          <w:rFonts w:asciiTheme="minorHAnsi" w:hAnsiTheme="minorHAnsi"/>
          <w:bCs/>
          <w:snapToGrid w:val="0"/>
        </w:rPr>
        <w:t xml:space="preserve"> for the management of CPP, consistent with the listing of leuprorelin for the same indication.</w:t>
      </w:r>
    </w:p>
    <w:p w:rsidR="0034449D" w:rsidRPr="009C5C54" w:rsidRDefault="0034449D"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 xml:space="preserve">The PBAC </w:t>
      </w:r>
      <w:r w:rsidR="000E41C4" w:rsidRPr="009C5C54">
        <w:rPr>
          <w:rFonts w:asciiTheme="minorHAnsi" w:hAnsiTheme="minorHAnsi"/>
          <w:bCs/>
          <w:snapToGrid w:val="0"/>
        </w:rPr>
        <w:t xml:space="preserve">recommended </w:t>
      </w:r>
      <w:r w:rsidRPr="009C5C54">
        <w:rPr>
          <w:rFonts w:asciiTheme="minorHAnsi" w:hAnsiTheme="minorHAnsi"/>
          <w:bCs/>
          <w:snapToGrid w:val="0"/>
        </w:rPr>
        <w:t xml:space="preserve">the </w:t>
      </w:r>
      <w:r w:rsidR="000E41C4" w:rsidRPr="009C5C54">
        <w:rPr>
          <w:rFonts w:asciiTheme="minorHAnsi" w:hAnsiTheme="minorHAnsi"/>
          <w:bCs/>
          <w:snapToGrid w:val="0"/>
        </w:rPr>
        <w:t xml:space="preserve">following </w:t>
      </w:r>
      <w:r w:rsidRPr="009C5C54">
        <w:rPr>
          <w:rFonts w:asciiTheme="minorHAnsi" w:hAnsiTheme="minorHAnsi"/>
          <w:bCs/>
          <w:snapToGrid w:val="0"/>
        </w:rPr>
        <w:t xml:space="preserve">flow-on </w:t>
      </w:r>
      <w:r w:rsidR="00CC7E08" w:rsidRPr="009C5C54">
        <w:rPr>
          <w:rFonts w:asciiTheme="minorHAnsi" w:hAnsiTheme="minorHAnsi"/>
          <w:bCs/>
          <w:snapToGrid w:val="0"/>
        </w:rPr>
        <w:t>restriction changes:</w:t>
      </w:r>
      <w:r w:rsidRPr="009C5C54">
        <w:rPr>
          <w:rFonts w:asciiTheme="minorHAnsi" w:hAnsiTheme="minorHAnsi"/>
          <w:bCs/>
          <w:snapToGrid w:val="0"/>
        </w:rPr>
        <w:t xml:space="preserve"> </w:t>
      </w:r>
    </w:p>
    <w:p w:rsidR="00DB0655" w:rsidRDefault="00DB0655" w:rsidP="001C66D2">
      <w:pPr>
        <w:pStyle w:val="ListParagraph"/>
        <w:widowControl w:val="0"/>
        <w:numPr>
          <w:ilvl w:val="0"/>
          <w:numId w:val="18"/>
        </w:numPr>
        <w:spacing w:after="0"/>
        <w:contextualSpacing/>
        <w:rPr>
          <w:bCs/>
        </w:rPr>
      </w:pPr>
      <w:r>
        <w:rPr>
          <w:bCs/>
        </w:rPr>
        <w:t>Add a clause to both leuprorelin and triptorelin CPP listings to the effect of, ‘</w:t>
      </w:r>
      <w:r>
        <w:t>Patient must be undergoing treatment with this drug as the sole PBS-subsidised GnRH for this PBS-indication’;</w:t>
      </w:r>
    </w:p>
    <w:p w:rsidR="0034449D" w:rsidRPr="009C5C54" w:rsidRDefault="004801F2" w:rsidP="001C66D2">
      <w:pPr>
        <w:pStyle w:val="ListParagraph"/>
        <w:widowControl w:val="0"/>
        <w:numPr>
          <w:ilvl w:val="0"/>
          <w:numId w:val="18"/>
        </w:numPr>
        <w:spacing w:after="0"/>
        <w:contextualSpacing/>
        <w:rPr>
          <w:bCs/>
        </w:rPr>
      </w:pPr>
      <w:r w:rsidRPr="009C5C54">
        <w:rPr>
          <w:bCs/>
        </w:rPr>
        <w:t>Remove the existing grandfather restriction from the listing of leuprorelin (11960L)</w:t>
      </w:r>
      <w:r w:rsidR="000E41C4" w:rsidRPr="009C5C54">
        <w:rPr>
          <w:bCs/>
        </w:rPr>
        <w:t xml:space="preserve"> as this now older than 12 months</w:t>
      </w:r>
      <w:r w:rsidRPr="009C5C54">
        <w:rPr>
          <w:bCs/>
        </w:rPr>
        <w:t>; and</w:t>
      </w:r>
    </w:p>
    <w:p w:rsidR="000E41C4" w:rsidRPr="009C5C54" w:rsidRDefault="00CC7E08" w:rsidP="00CC7E08">
      <w:pPr>
        <w:pStyle w:val="ListParagraph"/>
        <w:widowControl w:val="0"/>
        <w:numPr>
          <w:ilvl w:val="0"/>
          <w:numId w:val="18"/>
        </w:numPr>
        <w:spacing w:after="0"/>
        <w:contextualSpacing/>
        <w:rPr>
          <w:bCs/>
        </w:rPr>
      </w:pPr>
      <w:r w:rsidRPr="009C5C54">
        <w:rPr>
          <w:bCs/>
        </w:rPr>
        <w:t xml:space="preserve">Replace the </w:t>
      </w:r>
      <w:r w:rsidR="000E41C4" w:rsidRPr="009C5C54">
        <w:rPr>
          <w:bCs/>
        </w:rPr>
        <w:t xml:space="preserve">clinical criterion </w:t>
      </w:r>
      <w:r w:rsidRPr="009C5C54">
        <w:rPr>
          <w:bCs/>
        </w:rPr>
        <w:t>‘</w:t>
      </w:r>
      <w:r w:rsidRPr="00092ECE">
        <w:rPr>
          <w:bCs/>
          <w:i/>
          <w:iCs/>
        </w:rPr>
        <w:t>Patient must have previously been issued with an authority prescription for this drug for this condition</w:t>
      </w:r>
      <w:r w:rsidRPr="009C5C54">
        <w:rPr>
          <w:bCs/>
        </w:rPr>
        <w:t>’ with ‘</w:t>
      </w:r>
      <w:r w:rsidRPr="00092ECE">
        <w:rPr>
          <w:bCs/>
          <w:i/>
          <w:iCs/>
        </w:rPr>
        <w:t>Patient must have previously been issued with a</w:t>
      </w:r>
      <w:r w:rsidR="00092ECE" w:rsidRPr="00092ECE">
        <w:rPr>
          <w:bCs/>
          <w:i/>
          <w:iCs/>
        </w:rPr>
        <w:t xml:space="preserve"> </w:t>
      </w:r>
      <w:r w:rsidR="000E41C4" w:rsidRPr="00092ECE">
        <w:rPr>
          <w:bCs/>
          <w:i/>
          <w:iCs/>
        </w:rPr>
        <w:t>PBS</w:t>
      </w:r>
      <w:r w:rsidRPr="00092ECE">
        <w:rPr>
          <w:bCs/>
          <w:i/>
          <w:iCs/>
        </w:rPr>
        <w:t xml:space="preserve"> prescription for a gonadotropin releasing hormone analogue for this condition</w:t>
      </w:r>
      <w:r w:rsidRPr="009C5C54">
        <w:rPr>
          <w:bCs/>
        </w:rPr>
        <w:t xml:space="preserve">’ to allow treatment switching between GnRH </w:t>
      </w:r>
      <w:r w:rsidR="0088659B" w:rsidRPr="009C5C54">
        <w:rPr>
          <w:bCs/>
        </w:rPr>
        <w:t>analogue</w:t>
      </w:r>
      <w:r w:rsidRPr="009C5C54">
        <w:rPr>
          <w:bCs/>
        </w:rPr>
        <w:t>s</w:t>
      </w:r>
      <w:r w:rsidR="000E41C4" w:rsidRPr="009C5C54">
        <w:rPr>
          <w:bCs/>
        </w:rPr>
        <w:t>; and</w:t>
      </w:r>
    </w:p>
    <w:p w:rsidR="0034449D" w:rsidRPr="009C5C54" w:rsidRDefault="000E41C4" w:rsidP="00F47FE6">
      <w:pPr>
        <w:pStyle w:val="ListParagraph"/>
        <w:widowControl w:val="0"/>
        <w:numPr>
          <w:ilvl w:val="0"/>
          <w:numId w:val="18"/>
        </w:numPr>
        <w:ind w:left="1434" w:hanging="357"/>
        <w:rPr>
          <w:bCs/>
        </w:rPr>
      </w:pPr>
      <w:r w:rsidRPr="009C5C54">
        <w:rPr>
          <w:bCs/>
        </w:rPr>
        <w:t>Clarify that the Treatment Phase is for continuing treatment with this drug or switching G</w:t>
      </w:r>
      <w:r w:rsidR="00180D1F" w:rsidRPr="009C5C54">
        <w:rPr>
          <w:bCs/>
        </w:rPr>
        <w:t>n</w:t>
      </w:r>
      <w:r w:rsidRPr="009C5C54">
        <w:rPr>
          <w:bCs/>
        </w:rPr>
        <w:t>RH analogue treatment</w:t>
      </w:r>
    </w:p>
    <w:p w:rsidR="0034449D" w:rsidRPr="009C5C54" w:rsidRDefault="0034449D" w:rsidP="00CC7E08">
      <w:pPr>
        <w:widowControl w:val="0"/>
        <w:numPr>
          <w:ilvl w:val="1"/>
          <w:numId w:val="1"/>
        </w:numPr>
        <w:spacing w:after="120"/>
      </w:pPr>
      <w:r w:rsidRPr="009C5C54">
        <w:rPr>
          <w:rFonts w:asciiTheme="minorHAnsi" w:hAnsiTheme="minorHAnsi" w:cstheme="minorHAnsi"/>
        </w:rPr>
        <w:t xml:space="preserve">The PBAC noted that its recommendation was on a cost-minimisation basis and advised that, because </w:t>
      </w:r>
      <w:r w:rsidR="00644151" w:rsidRPr="009C5C54">
        <w:rPr>
          <w:rFonts w:asciiTheme="minorHAnsi" w:hAnsiTheme="minorHAnsi" w:cstheme="minorHAnsi"/>
        </w:rPr>
        <w:t xml:space="preserve">triptorelin </w:t>
      </w:r>
      <w:r w:rsidRPr="009C5C54">
        <w:rPr>
          <w:rFonts w:asciiTheme="minorHAnsi" w:hAnsiTheme="minorHAnsi" w:cstheme="minorHAnsi"/>
        </w:rPr>
        <w:t>is not expected to provide a substantial</w:t>
      </w:r>
      <w:r w:rsidRPr="009C5C54">
        <w:rPr>
          <w:rFonts w:asciiTheme="minorHAnsi" w:hAnsiTheme="minorHAnsi"/>
          <w:bCs/>
        </w:rPr>
        <w:t xml:space="preserve"> and clinically relevant improvement in efficacy, or reduction of toxicity, ove</w:t>
      </w:r>
      <w:r w:rsidR="00644151" w:rsidRPr="009C5C54">
        <w:rPr>
          <w:rFonts w:asciiTheme="minorHAnsi" w:hAnsiTheme="minorHAnsi"/>
          <w:bCs/>
        </w:rPr>
        <w:t>r leuprorelin</w:t>
      </w:r>
      <w:r w:rsidRPr="009C5C54">
        <w:rPr>
          <w:rFonts w:asciiTheme="minorHAnsi" w:hAnsiTheme="minorHAnsi"/>
          <w:bCs/>
        </w:rPr>
        <w:t xml:space="preserve">, or not expected to address a high and urgent unmet clinical need given the presence of an alternative therapy, the criteria prescribed by the </w:t>
      </w:r>
      <w:r w:rsidRPr="009C5C54">
        <w:rPr>
          <w:rFonts w:asciiTheme="minorHAnsi" w:hAnsiTheme="minorHAnsi"/>
          <w:bCs/>
          <w:i/>
        </w:rPr>
        <w:t>National Health (Pharmaceuticals and Vaccines – Cost Recovery) Regulations 2009</w:t>
      </w:r>
      <w:r w:rsidRPr="009C5C54">
        <w:rPr>
          <w:rFonts w:asciiTheme="minorHAnsi" w:hAnsiTheme="minorHAnsi"/>
          <w:bCs/>
        </w:rPr>
        <w:t xml:space="preserve"> for Pricing Pathway A were not met.</w:t>
      </w:r>
    </w:p>
    <w:p w:rsidR="0034449D" w:rsidRPr="009C5C54" w:rsidRDefault="0034449D" w:rsidP="0034449D">
      <w:pPr>
        <w:widowControl w:val="0"/>
        <w:numPr>
          <w:ilvl w:val="1"/>
          <w:numId w:val="1"/>
        </w:numPr>
        <w:spacing w:after="120"/>
        <w:rPr>
          <w:rFonts w:asciiTheme="minorHAnsi" w:hAnsiTheme="minorHAnsi"/>
          <w:bCs/>
          <w:snapToGrid w:val="0"/>
        </w:rPr>
      </w:pPr>
      <w:r w:rsidRPr="009C5C54">
        <w:rPr>
          <w:rFonts w:asciiTheme="minorHAnsi" w:hAnsiTheme="minorHAnsi"/>
          <w:bCs/>
          <w:snapToGrid w:val="0"/>
        </w:rPr>
        <w:t>The PBAC noted that this not eligible for an Independent Review</w:t>
      </w:r>
      <w:r w:rsidR="00CC7E08" w:rsidRPr="009C5C54">
        <w:rPr>
          <w:rFonts w:asciiTheme="minorHAnsi" w:hAnsiTheme="minorHAnsi"/>
          <w:bCs/>
          <w:snapToGrid w:val="0"/>
        </w:rPr>
        <w:t xml:space="preserve"> as it received a positive recommendation</w:t>
      </w:r>
      <w:r w:rsidRPr="009C5C54">
        <w:rPr>
          <w:rFonts w:asciiTheme="minorHAnsi" w:hAnsiTheme="minorHAnsi"/>
          <w:bCs/>
          <w:snapToGrid w:val="0"/>
        </w:rPr>
        <w:t xml:space="preserve">. </w:t>
      </w:r>
    </w:p>
    <w:p w:rsidR="0034449D" w:rsidRPr="009C5C54" w:rsidRDefault="0034449D" w:rsidP="0034449D">
      <w:pPr>
        <w:spacing w:before="240"/>
        <w:rPr>
          <w:rFonts w:asciiTheme="minorHAnsi" w:hAnsiTheme="minorHAnsi"/>
          <w:b/>
          <w:bCs/>
          <w:snapToGrid w:val="0"/>
        </w:rPr>
      </w:pPr>
      <w:r w:rsidRPr="009C5C54">
        <w:rPr>
          <w:rFonts w:asciiTheme="minorHAnsi" w:hAnsiTheme="minorHAnsi"/>
          <w:b/>
          <w:bCs/>
          <w:snapToGrid w:val="0"/>
        </w:rPr>
        <w:t>Outcome:</w:t>
      </w:r>
    </w:p>
    <w:p w:rsidR="0034449D" w:rsidRPr="009C5C54" w:rsidRDefault="0034449D" w:rsidP="0034449D">
      <w:pPr>
        <w:rPr>
          <w:rFonts w:asciiTheme="minorHAnsi" w:hAnsiTheme="minorHAnsi"/>
          <w:bCs/>
          <w:snapToGrid w:val="0"/>
        </w:rPr>
      </w:pPr>
      <w:r w:rsidRPr="009C5C54">
        <w:rPr>
          <w:rFonts w:asciiTheme="minorHAnsi" w:hAnsiTheme="minorHAnsi"/>
          <w:bCs/>
          <w:snapToGrid w:val="0"/>
        </w:rPr>
        <w:t>Recommended</w:t>
      </w:r>
    </w:p>
    <w:p w:rsidR="00C61C12" w:rsidRDefault="00C61C12">
      <w:pPr>
        <w:jc w:val="left"/>
        <w:rPr>
          <w:rFonts w:asciiTheme="minorHAnsi" w:hAnsiTheme="minorHAnsi"/>
          <w:b/>
          <w:bCs/>
          <w:snapToGrid w:val="0"/>
        </w:rPr>
      </w:pPr>
      <w:r>
        <w:rPr>
          <w:rFonts w:asciiTheme="minorHAnsi" w:hAnsiTheme="minorHAnsi"/>
          <w:b/>
          <w:bCs/>
          <w:snapToGrid w:val="0"/>
        </w:rPr>
        <w:br w:type="page"/>
      </w:r>
    </w:p>
    <w:p w:rsidR="0034449D" w:rsidRPr="00092ECE" w:rsidRDefault="0034449D" w:rsidP="0034449D">
      <w:pPr>
        <w:widowControl w:val="0"/>
        <w:numPr>
          <w:ilvl w:val="0"/>
          <w:numId w:val="1"/>
        </w:numPr>
        <w:spacing w:before="240" w:after="120"/>
        <w:rPr>
          <w:rFonts w:asciiTheme="minorHAnsi" w:hAnsiTheme="minorHAnsi"/>
          <w:b/>
          <w:bCs/>
          <w:iCs/>
          <w:snapToGrid w:val="0"/>
          <w:sz w:val="32"/>
        </w:rPr>
      </w:pPr>
      <w:r w:rsidRPr="009C5C54">
        <w:rPr>
          <w:rFonts w:asciiTheme="minorHAnsi" w:hAnsiTheme="minorHAnsi"/>
          <w:b/>
          <w:bCs/>
          <w:snapToGrid w:val="0"/>
          <w:sz w:val="32"/>
        </w:rPr>
        <w:t>Recommended listing</w:t>
      </w:r>
    </w:p>
    <w:p w:rsidR="0034449D" w:rsidRPr="009C5C54" w:rsidRDefault="0034449D" w:rsidP="00CC7E08">
      <w:pPr>
        <w:widowControl w:val="0"/>
        <w:numPr>
          <w:ilvl w:val="1"/>
          <w:numId w:val="1"/>
        </w:numPr>
        <w:spacing w:after="120"/>
        <w:contextualSpacing/>
        <w:rPr>
          <w:rFonts w:asciiTheme="minorHAnsi" w:hAnsiTheme="minorHAnsi"/>
          <w:b/>
          <w:bCs/>
          <w:snapToGrid w:val="0"/>
        </w:rPr>
      </w:pPr>
      <w:r w:rsidRPr="009C5C54">
        <w:rPr>
          <w:rFonts w:asciiTheme="minorHAnsi" w:hAnsiTheme="minorHAnsi"/>
          <w:bCs/>
          <w:snapToGrid w:val="0"/>
        </w:rPr>
        <w:t>Add</w:t>
      </w:r>
      <w:r w:rsidR="00092ECE">
        <w:rPr>
          <w:rFonts w:asciiTheme="minorHAnsi" w:hAnsiTheme="minorHAnsi"/>
          <w:bCs/>
          <w:snapToGrid w:val="0"/>
        </w:rPr>
        <w:t xml:space="preserve"> </w:t>
      </w:r>
      <w:r w:rsidR="003C621C" w:rsidRPr="009C5C54">
        <w:rPr>
          <w:rFonts w:asciiTheme="minorHAnsi" w:hAnsiTheme="minorHAnsi"/>
          <w:bCs/>
          <w:snapToGrid w:val="0"/>
        </w:rPr>
        <w:t>indication as follows</w:t>
      </w:r>
      <w:r w:rsidRPr="009C5C54">
        <w:rPr>
          <w:rFonts w:asciiTheme="minorHAnsi" w:hAnsiTheme="minorHAnsi"/>
          <w:bCs/>
          <w:snapToGrid w:val="0"/>
        </w:rPr>
        <w:t>:</w:t>
      </w:r>
    </w:p>
    <w:p w:rsidR="0034449D" w:rsidRPr="009C5C54" w:rsidRDefault="0034449D" w:rsidP="00CC7E08">
      <w:pPr>
        <w:widowControl w:val="0"/>
        <w:rPr>
          <w:rFonts w:asciiTheme="minorHAnsi" w:hAnsiTheme="minorHAnsi"/>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3"/>
        <w:gridCol w:w="7"/>
        <w:gridCol w:w="2551"/>
        <w:gridCol w:w="1276"/>
        <w:gridCol w:w="992"/>
        <w:gridCol w:w="992"/>
        <w:gridCol w:w="851"/>
        <w:gridCol w:w="1417"/>
      </w:tblGrid>
      <w:tr w:rsidR="00CC7E08" w:rsidRPr="009C5C54" w:rsidTr="003D73F1">
        <w:trPr>
          <w:cantSplit/>
          <w:trHeight w:val="471"/>
        </w:trPr>
        <w:tc>
          <w:tcPr>
            <w:tcW w:w="3539" w:type="dxa"/>
            <w:gridSpan w:val="4"/>
          </w:tcPr>
          <w:p w:rsidR="00CC7E08" w:rsidRPr="009C5C54" w:rsidRDefault="00CC7E08" w:rsidP="003D73F1">
            <w:pPr>
              <w:keepNext/>
              <w:ind w:left="-57"/>
              <w:rPr>
                <w:rFonts w:ascii="Arial Narrow" w:hAnsi="Arial Narrow"/>
                <w:b/>
                <w:bCs/>
                <w:sz w:val="20"/>
                <w:szCs w:val="20"/>
              </w:rPr>
            </w:pPr>
            <w:bookmarkStart w:id="32" w:name="_Hlk77603261"/>
            <w:r w:rsidRPr="009C5C54">
              <w:rPr>
                <w:rFonts w:ascii="Arial Narrow" w:hAnsi="Arial Narrow"/>
                <w:b/>
                <w:bCs/>
                <w:sz w:val="20"/>
                <w:szCs w:val="20"/>
              </w:rPr>
              <w:t>MEDICINAL PRODUCT</w:t>
            </w:r>
          </w:p>
          <w:p w:rsidR="00CC7E08" w:rsidRPr="009C5C54" w:rsidRDefault="00CC7E08" w:rsidP="003D73F1">
            <w:pPr>
              <w:keepNext/>
              <w:ind w:left="-57"/>
              <w:rPr>
                <w:rFonts w:ascii="Arial Narrow" w:hAnsi="Arial Narrow"/>
                <w:b/>
                <w:sz w:val="20"/>
                <w:szCs w:val="20"/>
              </w:rPr>
            </w:pPr>
            <w:r w:rsidRPr="009C5C54">
              <w:rPr>
                <w:rFonts w:ascii="Arial Narrow" w:hAnsi="Arial Narrow"/>
                <w:b/>
                <w:bCs/>
                <w:sz w:val="20"/>
                <w:szCs w:val="20"/>
              </w:rPr>
              <w:t>medicinal product pack</w:t>
            </w:r>
          </w:p>
        </w:tc>
        <w:tc>
          <w:tcPr>
            <w:tcW w:w="1276" w:type="dxa"/>
          </w:tcPr>
          <w:p w:rsidR="00CC7E08" w:rsidRPr="009C5C54" w:rsidRDefault="00CC7E08" w:rsidP="003D73F1">
            <w:pPr>
              <w:keepNext/>
              <w:ind w:left="-108"/>
              <w:jc w:val="center"/>
              <w:rPr>
                <w:rFonts w:ascii="Arial Narrow" w:hAnsi="Arial Narrow"/>
                <w:b/>
                <w:sz w:val="20"/>
                <w:szCs w:val="20"/>
              </w:rPr>
            </w:pPr>
            <w:r w:rsidRPr="009C5C54">
              <w:rPr>
                <w:rFonts w:ascii="Arial Narrow" w:hAnsi="Arial Narrow"/>
                <w:b/>
                <w:sz w:val="20"/>
                <w:szCs w:val="20"/>
              </w:rPr>
              <w:t>PBS item code</w:t>
            </w:r>
          </w:p>
        </w:tc>
        <w:tc>
          <w:tcPr>
            <w:tcW w:w="992" w:type="dxa"/>
          </w:tcPr>
          <w:p w:rsidR="00CC7E08" w:rsidRPr="009C5C54" w:rsidRDefault="00CC7E08" w:rsidP="003D73F1">
            <w:pPr>
              <w:keepNext/>
              <w:ind w:left="-108"/>
              <w:jc w:val="center"/>
              <w:rPr>
                <w:rFonts w:ascii="Arial Narrow" w:hAnsi="Arial Narrow"/>
                <w:b/>
                <w:sz w:val="20"/>
                <w:szCs w:val="20"/>
              </w:rPr>
            </w:pPr>
            <w:r w:rsidRPr="009C5C54">
              <w:rPr>
                <w:rFonts w:ascii="Arial Narrow" w:hAnsi="Arial Narrow"/>
                <w:b/>
                <w:sz w:val="20"/>
                <w:szCs w:val="20"/>
              </w:rPr>
              <w:t>Max. qty packs</w:t>
            </w:r>
          </w:p>
        </w:tc>
        <w:tc>
          <w:tcPr>
            <w:tcW w:w="992" w:type="dxa"/>
          </w:tcPr>
          <w:p w:rsidR="00CC7E08" w:rsidRPr="009C5C54" w:rsidRDefault="00CC7E08" w:rsidP="003D73F1">
            <w:pPr>
              <w:keepNext/>
              <w:ind w:left="-108"/>
              <w:jc w:val="center"/>
              <w:rPr>
                <w:rFonts w:ascii="Arial Narrow" w:hAnsi="Arial Narrow"/>
                <w:b/>
                <w:sz w:val="20"/>
                <w:szCs w:val="20"/>
              </w:rPr>
            </w:pPr>
            <w:r w:rsidRPr="009C5C54">
              <w:rPr>
                <w:rFonts w:ascii="Arial Narrow" w:hAnsi="Arial Narrow"/>
                <w:b/>
                <w:sz w:val="20"/>
                <w:szCs w:val="20"/>
              </w:rPr>
              <w:t>Max. qty units</w:t>
            </w:r>
          </w:p>
        </w:tc>
        <w:tc>
          <w:tcPr>
            <w:tcW w:w="851" w:type="dxa"/>
          </w:tcPr>
          <w:p w:rsidR="00CC7E08" w:rsidRPr="009C5C54" w:rsidRDefault="00CC7E08" w:rsidP="003D73F1">
            <w:pPr>
              <w:keepNext/>
              <w:ind w:left="-108"/>
              <w:jc w:val="center"/>
              <w:rPr>
                <w:rFonts w:ascii="Arial Narrow" w:hAnsi="Arial Narrow"/>
                <w:b/>
                <w:sz w:val="20"/>
                <w:szCs w:val="20"/>
              </w:rPr>
            </w:pPr>
            <w:r w:rsidRPr="009C5C54">
              <w:rPr>
                <w:rFonts w:ascii="Arial Narrow" w:hAnsi="Arial Narrow"/>
                <w:b/>
                <w:sz w:val="20"/>
                <w:szCs w:val="20"/>
              </w:rPr>
              <w:t>№.of</w:t>
            </w:r>
          </w:p>
          <w:p w:rsidR="00CC7E08" w:rsidRPr="009C5C54" w:rsidRDefault="00CC7E08" w:rsidP="003D73F1">
            <w:pPr>
              <w:keepNext/>
              <w:ind w:left="-108"/>
              <w:jc w:val="center"/>
              <w:rPr>
                <w:rFonts w:ascii="Arial Narrow" w:hAnsi="Arial Narrow"/>
                <w:b/>
                <w:sz w:val="20"/>
                <w:szCs w:val="20"/>
              </w:rPr>
            </w:pPr>
            <w:r w:rsidRPr="009C5C54">
              <w:rPr>
                <w:rFonts w:ascii="Arial Narrow" w:hAnsi="Arial Narrow"/>
                <w:b/>
                <w:sz w:val="20"/>
                <w:szCs w:val="20"/>
              </w:rPr>
              <w:t>Rpts</w:t>
            </w:r>
          </w:p>
        </w:tc>
        <w:tc>
          <w:tcPr>
            <w:tcW w:w="1417" w:type="dxa"/>
          </w:tcPr>
          <w:p w:rsidR="00CC7E08" w:rsidRPr="009C5C54" w:rsidRDefault="00CC7E08" w:rsidP="003D73F1">
            <w:pPr>
              <w:keepNext/>
              <w:rPr>
                <w:rFonts w:ascii="Arial Narrow" w:hAnsi="Arial Narrow"/>
                <w:b/>
                <w:sz w:val="20"/>
                <w:szCs w:val="20"/>
              </w:rPr>
            </w:pPr>
            <w:r w:rsidRPr="009C5C54">
              <w:rPr>
                <w:rFonts w:ascii="Arial Narrow" w:hAnsi="Arial Narrow"/>
                <w:b/>
                <w:sz w:val="20"/>
                <w:szCs w:val="20"/>
              </w:rPr>
              <w:t>Available brands</w:t>
            </w:r>
          </w:p>
        </w:tc>
      </w:tr>
      <w:tr w:rsidR="00CC7E08" w:rsidRPr="009C5C54" w:rsidTr="003D73F1">
        <w:trPr>
          <w:cantSplit/>
          <w:trHeight w:val="224"/>
        </w:trPr>
        <w:tc>
          <w:tcPr>
            <w:tcW w:w="9067" w:type="dxa"/>
            <w:gridSpan w:val="9"/>
          </w:tcPr>
          <w:p w:rsidR="00CC7E08" w:rsidRPr="009C5C54" w:rsidRDefault="00CC7E08" w:rsidP="003D73F1">
            <w:pPr>
              <w:keepNext/>
              <w:ind w:left="-57"/>
              <w:rPr>
                <w:rFonts w:ascii="Arial Narrow" w:hAnsi="Arial Narrow"/>
                <w:sz w:val="20"/>
                <w:szCs w:val="20"/>
              </w:rPr>
            </w:pPr>
            <w:r w:rsidRPr="009C5C54">
              <w:rPr>
                <w:rFonts w:ascii="Arial Narrow" w:hAnsi="Arial Narrow"/>
                <w:sz w:val="20"/>
                <w:szCs w:val="20"/>
              </w:rPr>
              <w:t>TRIPTORELIN</w:t>
            </w:r>
          </w:p>
        </w:tc>
      </w:tr>
      <w:tr w:rsidR="00CC7E08" w:rsidRPr="009C5C54" w:rsidTr="003D73F1">
        <w:trPr>
          <w:cantSplit/>
          <w:trHeight w:val="495"/>
        </w:trPr>
        <w:tc>
          <w:tcPr>
            <w:tcW w:w="3539" w:type="dxa"/>
            <w:gridSpan w:val="4"/>
          </w:tcPr>
          <w:p w:rsidR="00CC7E08" w:rsidRPr="009C5C54" w:rsidRDefault="00CC7E08" w:rsidP="003D73F1">
            <w:pPr>
              <w:keepNext/>
              <w:ind w:left="-57"/>
              <w:rPr>
                <w:rFonts w:ascii="Arial Narrow" w:hAnsi="Arial Narrow"/>
                <w:sz w:val="20"/>
                <w:szCs w:val="20"/>
              </w:rPr>
            </w:pPr>
            <w:r w:rsidRPr="009C5C54">
              <w:rPr>
                <w:rFonts w:ascii="Arial Narrow" w:hAnsi="Arial Narrow"/>
                <w:sz w:val="20"/>
                <w:szCs w:val="20"/>
              </w:rPr>
              <w:t>triptorelin 22.5 mg injection [1 vial] (&amp;) inert substance diluent [2 mL ampoule], 1 pack</w:t>
            </w:r>
          </w:p>
        </w:tc>
        <w:tc>
          <w:tcPr>
            <w:tcW w:w="1276" w:type="dxa"/>
          </w:tcPr>
          <w:p w:rsidR="00CC7E08" w:rsidRPr="009C5C54" w:rsidRDefault="00CC7E08" w:rsidP="003D73F1">
            <w:pPr>
              <w:keepNext/>
              <w:jc w:val="center"/>
              <w:rPr>
                <w:rFonts w:ascii="Arial Narrow" w:hAnsi="Arial Narrow"/>
                <w:sz w:val="20"/>
                <w:szCs w:val="20"/>
              </w:rPr>
            </w:pPr>
            <w:r w:rsidRPr="009C5C54">
              <w:rPr>
                <w:rFonts w:ascii="Arial Narrow" w:hAnsi="Arial Narrow"/>
                <w:sz w:val="20"/>
                <w:szCs w:val="20"/>
              </w:rPr>
              <w:t>NEW (1)</w:t>
            </w:r>
          </w:p>
        </w:tc>
        <w:tc>
          <w:tcPr>
            <w:tcW w:w="992" w:type="dxa"/>
          </w:tcPr>
          <w:p w:rsidR="00CC7E08" w:rsidRPr="009C5C54" w:rsidRDefault="00CC7E08" w:rsidP="003D73F1">
            <w:pPr>
              <w:keepNext/>
              <w:jc w:val="center"/>
              <w:rPr>
                <w:rFonts w:ascii="Arial Narrow" w:hAnsi="Arial Narrow"/>
                <w:sz w:val="20"/>
                <w:szCs w:val="20"/>
              </w:rPr>
            </w:pPr>
            <w:r w:rsidRPr="009C5C54">
              <w:rPr>
                <w:rFonts w:ascii="Arial Narrow" w:hAnsi="Arial Narrow"/>
                <w:sz w:val="20"/>
                <w:szCs w:val="20"/>
              </w:rPr>
              <w:t>1</w:t>
            </w:r>
          </w:p>
        </w:tc>
        <w:tc>
          <w:tcPr>
            <w:tcW w:w="992" w:type="dxa"/>
          </w:tcPr>
          <w:p w:rsidR="00CC7E08" w:rsidRPr="009C5C54" w:rsidRDefault="00CC7E08" w:rsidP="003D73F1">
            <w:pPr>
              <w:keepNext/>
              <w:jc w:val="center"/>
              <w:rPr>
                <w:rFonts w:ascii="Arial Narrow" w:hAnsi="Arial Narrow"/>
                <w:sz w:val="20"/>
                <w:szCs w:val="20"/>
              </w:rPr>
            </w:pPr>
            <w:r w:rsidRPr="009C5C54">
              <w:rPr>
                <w:rFonts w:ascii="Arial Narrow" w:hAnsi="Arial Narrow"/>
                <w:sz w:val="20"/>
                <w:szCs w:val="20"/>
              </w:rPr>
              <w:t>1</w:t>
            </w:r>
          </w:p>
        </w:tc>
        <w:tc>
          <w:tcPr>
            <w:tcW w:w="851" w:type="dxa"/>
          </w:tcPr>
          <w:p w:rsidR="00CC7E08" w:rsidRPr="009C5C54" w:rsidRDefault="00CC7E08" w:rsidP="003D73F1">
            <w:pPr>
              <w:keepNext/>
              <w:jc w:val="center"/>
              <w:rPr>
                <w:rFonts w:ascii="Arial Narrow" w:hAnsi="Arial Narrow"/>
                <w:sz w:val="20"/>
                <w:szCs w:val="20"/>
              </w:rPr>
            </w:pPr>
            <w:r w:rsidRPr="009C5C54">
              <w:rPr>
                <w:rFonts w:ascii="Arial Narrow" w:hAnsi="Arial Narrow"/>
                <w:sz w:val="20"/>
                <w:szCs w:val="20"/>
              </w:rPr>
              <w:t>0</w:t>
            </w:r>
          </w:p>
        </w:tc>
        <w:tc>
          <w:tcPr>
            <w:tcW w:w="1417" w:type="dxa"/>
          </w:tcPr>
          <w:p w:rsidR="00CC7E08" w:rsidRPr="009C5C54" w:rsidRDefault="00CC7E08" w:rsidP="003D73F1">
            <w:pPr>
              <w:keepNext/>
              <w:rPr>
                <w:rFonts w:ascii="Arial Narrow" w:hAnsi="Arial Narrow"/>
                <w:sz w:val="20"/>
                <w:szCs w:val="20"/>
              </w:rPr>
            </w:pPr>
            <w:r w:rsidRPr="009C5C54">
              <w:rPr>
                <w:rFonts w:ascii="Arial Narrow" w:hAnsi="Arial Narrow"/>
                <w:sz w:val="20"/>
                <w:szCs w:val="20"/>
              </w:rPr>
              <w:t>Diphereline</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067" w:type="dxa"/>
            <w:gridSpan w:val="9"/>
            <w:tcBorders>
              <w:top w:val="single" w:sz="4" w:space="0" w:color="auto"/>
              <w:left w:val="single" w:sz="4" w:space="0" w:color="auto"/>
              <w:right w:val="single" w:sz="4" w:space="0" w:color="auto"/>
            </w:tcBorders>
          </w:tcPr>
          <w:p w:rsidR="00CC7E08" w:rsidRPr="009C5C54" w:rsidRDefault="00CC7E08" w:rsidP="003D73F1">
            <w:pPr>
              <w:rPr>
                <w:rFonts w:ascii="Arial Narrow" w:hAnsi="Arial Narrow"/>
                <w:b/>
                <w:sz w:val="20"/>
                <w:szCs w:val="20"/>
              </w:rPr>
            </w:pP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067" w:type="dxa"/>
            <w:gridSpan w:val="9"/>
            <w:tcBorders>
              <w:top w:val="single" w:sz="4" w:space="0" w:color="auto"/>
              <w:left w:val="single" w:sz="4" w:space="0" w:color="auto"/>
              <w:right w:val="single" w:sz="4" w:space="0" w:color="auto"/>
            </w:tcBorders>
          </w:tcPr>
          <w:p w:rsidR="00CC7E08" w:rsidRPr="009C5C54" w:rsidRDefault="00CC7E08" w:rsidP="003D73F1">
            <w:pPr>
              <w:ind w:left="57"/>
              <w:rPr>
                <w:rFonts w:ascii="Arial Narrow" w:hAnsi="Arial Narrow"/>
                <w:b/>
                <w:sz w:val="20"/>
                <w:szCs w:val="20"/>
              </w:rPr>
            </w:pPr>
            <w:r w:rsidRPr="009C5C54">
              <w:rPr>
                <w:rFonts w:ascii="Arial Narrow" w:hAnsi="Arial Narrow"/>
                <w:b/>
                <w:sz w:val="20"/>
                <w:szCs w:val="20"/>
              </w:rPr>
              <w:t>Restriction Summary / Treatment of Concept: [</w:t>
            </w:r>
            <w:r w:rsidR="003C621C" w:rsidRPr="009C5C54">
              <w:rPr>
                <w:rFonts w:ascii="Arial Narrow" w:hAnsi="Arial Narrow"/>
                <w:b/>
                <w:sz w:val="20"/>
                <w:szCs w:val="20"/>
              </w:rPr>
              <w:t>N</w:t>
            </w:r>
            <w:r w:rsidRPr="009C5C54">
              <w:rPr>
                <w:rFonts w:ascii="Arial Narrow" w:hAnsi="Arial Narrow"/>
                <w:b/>
                <w:sz w:val="20"/>
                <w:szCs w:val="20"/>
              </w:rPr>
              <w:t>ew</w:t>
            </w:r>
            <w:r w:rsidR="003C621C" w:rsidRPr="009C5C54">
              <w:rPr>
                <w:rFonts w:ascii="Arial Narrow" w:hAnsi="Arial Narrow"/>
                <w:b/>
                <w:sz w:val="20"/>
                <w:szCs w:val="20"/>
              </w:rPr>
              <w:t xml:space="preserve"> 1</w:t>
            </w:r>
            <w:r w:rsidRPr="009C5C54">
              <w:rPr>
                <w:rFonts w:ascii="Arial Narrow" w:hAnsi="Arial Narrow"/>
                <w:b/>
                <w:sz w:val="20"/>
                <w:szCs w:val="20"/>
              </w:rPr>
              <w:t xml:space="preserve">] </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rsidR="00CC7E08" w:rsidRPr="009C5C54" w:rsidRDefault="00CC7E08" w:rsidP="003D73F1">
            <w:pPr>
              <w:jc w:val="cente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rsidR="00CC7E08" w:rsidRPr="009C5C54" w:rsidRDefault="00CC7E08" w:rsidP="003D73F1">
            <w:pPr>
              <w:rPr>
                <w:rFonts w:ascii="Arial Narrow" w:hAnsi="Arial Narrow"/>
                <w:sz w:val="20"/>
                <w:szCs w:val="20"/>
              </w:rPr>
            </w:pPr>
            <w:r w:rsidRPr="009C5C54">
              <w:rPr>
                <w:rFonts w:ascii="Arial Narrow" w:hAnsi="Arial Narrow"/>
                <w:b/>
                <w:sz w:val="20"/>
                <w:szCs w:val="20"/>
              </w:rPr>
              <w:t xml:space="preserve">Category / Program:   </w:t>
            </w:r>
            <w:r w:rsidRPr="009C5C54">
              <w:rPr>
                <w:rFonts w:ascii="Arial Narrow" w:hAnsi="Arial Narrow"/>
                <w:sz w:val="20"/>
                <w:szCs w:val="20"/>
              </w:rPr>
              <w:t xml:space="preserve">GENERAL – General Schedule (Code GE) </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rsidR="00CC7E08" w:rsidRPr="009C5C54" w:rsidRDefault="00CC7E08" w:rsidP="003D73F1">
            <w:pP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rsidR="00CC7E08" w:rsidRPr="009C5C54" w:rsidRDefault="00CC7E08" w:rsidP="003D73F1">
            <w:pPr>
              <w:rPr>
                <w:rFonts w:ascii="Arial Narrow" w:hAnsi="Arial Narrow"/>
                <w:b/>
                <w:sz w:val="20"/>
                <w:szCs w:val="20"/>
              </w:rPr>
            </w:pPr>
            <w:r w:rsidRPr="009C5C54">
              <w:rPr>
                <w:rFonts w:ascii="Arial Narrow" w:hAnsi="Arial Narrow"/>
                <w:b/>
                <w:sz w:val="20"/>
                <w:szCs w:val="20"/>
              </w:rPr>
              <w:t xml:space="preserve">Prescriber type:   </w:t>
            </w:r>
            <w:r w:rsidRPr="009C5C54">
              <w:rPr>
                <w:rFonts w:ascii="Arial Narrow" w:hAnsi="Arial Narrow"/>
                <w:sz w:val="20"/>
                <w:szCs w:val="20"/>
              </w:rPr>
              <w:fldChar w:fldCharType="begin">
                <w:ffData>
                  <w:name w:val=""/>
                  <w:enabled/>
                  <w:calcOnExit w:val="0"/>
                  <w:checkBox>
                    <w:sizeAuto/>
                    <w:default w:val="1"/>
                  </w:checkBox>
                </w:ffData>
              </w:fldChar>
            </w:r>
            <w:r w:rsidRPr="009C5C54">
              <w:rPr>
                <w:rFonts w:ascii="Arial Narrow" w:hAnsi="Arial Narrow"/>
                <w:sz w:val="20"/>
                <w:szCs w:val="20"/>
              </w:rPr>
              <w:instrText xml:space="preserve"> FORMCHECKBOX </w:instrText>
            </w:r>
            <w:r w:rsidR="00C5539E">
              <w:rPr>
                <w:rFonts w:ascii="Arial Narrow" w:hAnsi="Arial Narrow"/>
                <w:sz w:val="20"/>
                <w:szCs w:val="20"/>
              </w:rPr>
            </w:r>
            <w:r w:rsidR="00C5539E">
              <w:rPr>
                <w:rFonts w:ascii="Arial Narrow" w:hAnsi="Arial Narrow"/>
                <w:sz w:val="20"/>
                <w:szCs w:val="20"/>
              </w:rPr>
              <w:fldChar w:fldCharType="separate"/>
            </w:r>
            <w:r w:rsidRPr="009C5C54">
              <w:rPr>
                <w:rFonts w:ascii="Arial Narrow" w:hAnsi="Arial Narrow"/>
                <w:sz w:val="20"/>
                <w:szCs w:val="20"/>
              </w:rPr>
              <w:fldChar w:fldCharType="end"/>
            </w:r>
            <w:r w:rsidRPr="009C5C54">
              <w:rPr>
                <w:rFonts w:ascii="Arial Narrow" w:hAnsi="Arial Narrow"/>
                <w:sz w:val="20"/>
                <w:szCs w:val="20"/>
              </w:rPr>
              <w:t xml:space="preserve"> Medical Practitioners    </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rPr>
          <w:trHeight w:val="186"/>
        </w:trPr>
        <w:tc>
          <w:tcPr>
            <w:tcW w:w="981" w:type="dxa"/>
            <w:gridSpan w:val="2"/>
            <w:vMerge/>
            <w:tcBorders>
              <w:left w:val="single" w:sz="4" w:space="0" w:color="auto"/>
              <w:bottom w:val="single" w:sz="4" w:space="0" w:color="auto"/>
              <w:right w:val="single" w:sz="4" w:space="0" w:color="auto"/>
            </w:tcBorders>
          </w:tcPr>
          <w:p w:rsidR="00CC7E08" w:rsidRPr="009C5C54" w:rsidRDefault="00CC7E08" w:rsidP="003D73F1">
            <w:pPr>
              <w:rPr>
                <w:rFonts w:ascii="Arial Narrow" w:hAnsi="Arial Narrow"/>
                <w:sz w:val="20"/>
                <w:szCs w:val="20"/>
              </w:rPr>
            </w:pPr>
          </w:p>
        </w:tc>
        <w:tc>
          <w:tcPr>
            <w:tcW w:w="8086" w:type="dxa"/>
            <w:gridSpan w:val="7"/>
            <w:tcBorders>
              <w:top w:val="single" w:sz="4" w:space="0" w:color="auto"/>
              <w:left w:val="single" w:sz="4" w:space="0" w:color="auto"/>
              <w:bottom w:val="single" w:sz="4" w:space="0" w:color="auto"/>
              <w:right w:val="single" w:sz="4" w:space="0" w:color="auto"/>
            </w:tcBorders>
          </w:tcPr>
          <w:p w:rsidR="00CC7E08" w:rsidRPr="009C5C54" w:rsidRDefault="00CC7E08" w:rsidP="003D73F1">
            <w:pPr>
              <w:rPr>
                <w:rFonts w:ascii="Arial Narrow" w:eastAsia="Calibri" w:hAnsi="Arial Narrow"/>
                <w:sz w:val="20"/>
                <w:szCs w:val="20"/>
              </w:rPr>
            </w:pPr>
            <w:r w:rsidRPr="009C5C54">
              <w:rPr>
                <w:rFonts w:ascii="Arial Narrow" w:hAnsi="Arial Narrow"/>
                <w:b/>
                <w:sz w:val="20"/>
                <w:szCs w:val="20"/>
              </w:rPr>
              <w:t xml:space="preserve">Restriction type: </w:t>
            </w:r>
            <w:r w:rsidRPr="009C5C54">
              <w:rPr>
                <w:rFonts w:ascii="Arial Narrow" w:eastAsia="Calibri" w:hAnsi="Arial Narrow"/>
                <w:sz w:val="20"/>
                <w:szCs w:val="20"/>
              </w:rPr>
              <w:fldChar w:fldCharType="begin">
                <w:ffData>
                  <w:name w:val="Check1"/>
                  <w:enabled/>
                  <w:calcOnExit w:val="0"/>
                  <w:checkBox>
                    <w:sizeAuto/>
                    <w:default w:val="1"/>
                  </w:checkBox>
                </w:ffData>
              </w:fldChar>
            </w:r>
            <w:r w:rsidRPr="009C5C54">
              <w:rPr>
                <w:rFonts w:ascii="Arial Narrow" w:eastAsia="Calibri" w:hAnsi="Arial Narrow"/>
                <w:sz w:val="20"/>
                <w:szCs w:val="20"/>
              </w:rPr>
              <w:instrText xml:space="preserve"> FORMCHECKBOX </w:instrText>
            </w:r>
            <w:r w:rsidR="00C5539E">
              <w:rPr>
                <w:rFonts w:ascii="Arial Narrow" w:eastAsia="Calibri" w:hAnsi="Arial Narrow"/>
                <w:sz w:val="20"/>
                <w:szCs w:val="20"/>
              </w:rPr>
            </w:r>
            <w:r w:rsidR="00C5539E">
              <w:rPr>
                <w:rFonts w:ascii="Arial Narrow" w:eastAsia="Calibri" w:hAnsi="Arial Narrow"/>
                <w:sz w:val="20"/>
                <w:szCs w:val="20"/>
              </w:rPr>
              <w:fldChar w:fldCharType="separate"/>
            </w:r>
            <w:r w:rsidRPr="009C5C54">
              <w:rPr>
                <w:rFonts w:ascii="Arial Narrow" w:eastAsia="Calibri" w:hAnsi="Arial Narrow"/>
                <w:sz w:val="20"/>
                <w:szCs w:val="20"/>
              </w:rPr>
              <w:fldChar w:fldCharType="end"/>
            </w:r>
            <w:r w:rsidRPr="009C5C54">
              <w:rPr>
                <w:rFonts w:ascii="Arial Narrow" w:eastAsia="Calibri" w:hAnsi="Arial Narrow"/>
                <w:sz w:val="20"/>
                <w:szCs w:val="20"/>
              </w:rPr>
              <w:t xml:space="preserve"> Restricted benefit</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Indication:</w:t>
            </w:r>
            <w:r w:rsidRPr="009C5C54">
              <w:rPr>
                <w:rFonts w:ascii="Arial Narrow" w:hAnsi="Arial Narrow"/>
                <w:sz w:val="20"/>
                <w:szCs w:val="20"/>
              </w:rPr>
              <w:t xml:space="preserve"> Central precocious puberty</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Treatment Phase:</w:t>
            </w:r>
            <w:r w:rsidRPr="009C5C54">
              <w:rPr>
                <w:rFonts w:ascii="Arial Narrow" w:hAnsi="Arial Narrow"/>
                <w:sz w:val="20"/>
                <w:szCs w:val="20"/>
              </w:rPr>
              <w:t xml:space="preserve"> Initial treatment</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Treatment criteria:</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sz w:val="20"/>
                <w:szCs w:val="20"/>
              </w:rPr>
              <w:t>Must be treated by a paediatric endocrinologist; or</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sz w:val="20"/>
                <w:szCs w:val="20"/>
              </w:rPr>
              <w:t>Must be treated by an endocrinologist specialising in paediatrics</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AND</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Population criteria:</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i/>
                <w:sz w:val="20"/>
                <w:szCs w:val="20"/>
              </w:rPr>
            </w:pPr>
          </w:p>
        </w:tc>
        <w:tc>
          <w:tcPr>
            <w:tcW w:w="8079" w:type="dxa"/>
            <w:gridSpan w:val="6"/>
            <w:vAlign w:val="center"/>
            <w:hideMark/>
          </w:tcPr>
          <w:p w:rsidR="00CC7E08" w:rsidRPr="009C5C54" w:rsidRDefault="00CC7E08" w:rsidP="003D73F1">
            <w:pPr>
              <w:rPr>
                <w:rFonts w:ascii="Arial Narrow" w:hAnsi="Arial Narrow"/>
                <w:i/>
                <w:sz w:val="20"/>
                <w:szCs w:val="20"/>
              </w:rPr>
            </w:pPr>
            <w:r w:rsidRPr="009C5C54">
              <w:rPr>
                <w:rFonts w:ascii="Arial Narrow" w:hAnsi="Arial Narrow"/>
                <w:i/>
                <w:sz w:val="20"/>
                <w:szCs w:val="20"/>
              </w:rPr>
              <w:t>Patient must be of an age that is prior to their 12</w:t>
            </w:r>
            <w:r w:rsidRPr="009C5C54">
              <w:rPr>
                <w:rFonts w:ascii="Arial Narrow" w:hAnsi="Arial Narrow"/>
                <w:i/>
                <w:sz w:val="20"/>
                <w:szCs w:val="20"/>
                <w:vertAlign w:val="superscript"/>
              </w:rPr>
              <w:t>th</w:t>
            </w:r>
            <w:r w:rsidRPr="009C5C54">
              <w:rPr>
                <w:rFonts w:ascii="Arial Narrow" w:hAnsi="Arial Narrow"/>
                <w:i/>
                <w:sz w:val="20"/>
                <w:szCs w:val="20"/>
              </w:rPr>
              <w:t xml:space="preserve"> birthday if female; or</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i/>
                <w:sz w:val="20"/>
                <w:szCs w:val="20"/>
              </w:rPr>
            </w:pPr>
          </w:p>
        </w:tc>
        <w:tc>
          <w:tcPr>
            <w:tcW w:w="8079" w:type="dxa"/>
            <w:gridSpan w:val="6"/>
            <w:vAlign w:val="center"/>
          </w:tcPr>
          <w:p w:rsidR="00CC7E08" w:rsidRPr="009C5C54" w:rsidRDefault="00CC7E08" w:rsidP="003D73F1">
            <w:pPr>
              <w:rPr>
                <w:rFonts w:ascii="Arial Narrow" w:hAnsi="Arial Narrow"/>
                <w:i/>
                <w:sz w:val="20"/>
                <w:szCs w:val="20"/>
              </w:rPr>
            </w:pPr>
            <w:r w:rsidRPr="009C5C54">
              <w:rPr>
                <w:rFonts w:ascii="Arial Narrow" w:hAnsi="Arial Narrow"/>
                <w:i/>
                <w:sz w:val="20"/>
                <w:szCs w:val="20"/>
              </w:rPr>
              <w:t>Patient must be of an age that is prior to their 13</w:t>
            </w:r>
            <w:r w:rsidRPr="009C5C54">
              <w:rPr>
                <w:rFonts w:ascii="Arial Narrow" w:hAnsi="Arial Narrow"/>
                <w:i/>
                <w:sz w:val="20"/>
                <w:szCs w:val="20"/>
                <w:vertAlign w:val="superscript"/>
              </w:rPr>
              <w:t>th</w:t>
            </w:r>
            <w:r w:rsidRPr="009C5C54">
              <w:rPr>
                <w:rFonts w:ascii="Arial Narrow" w:hAnsi="Arial Narrow"/>
                <w:i/>
                <w:sz w:val="20"/>
                <w:szCs w:val="20"/>
              </w:rPr>
              <w:t xml:space="preserve"> birthday if male</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AND</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sz w:val="20"/>
                <w:szCs w:val="20"/>
              </w:rPr>
            </w:pPr>
          </w:p>
        </w:tc>
        <w:tc>
          <w:tcPr>
            <w:tcW w:w="8079" w:type="dxa"/>
            <w:gridSpan w:val="6"/>
            <w:vAlign w:val="center"/>
            <w:hideMark/>
          </w:tcPr>
          <w:p w:rsidR="00CC7E08" w:rsidRPr="009C5C54" w:rsidRDefault="00CC7E08" w:rsidP="003D73F1">
            <w:pPr>
              <w:rPr>
                <w:rFonts w:ascii="Arial Narrow" w:hAnsi="Arial Narrow"/>
                <w:sz w:val="20"/>
                <w:szCs w:val="20"/>
              </w:rPr>
            </w:pPr>
            <w:r w:rsidRPr="009C5C54">
              <w:rPr>
                <w:rFonts w:ascii="Arial Narrow" w:hAnsi="Arial Narrow"/>
                <w:b/>
                <w:bCs/>
                <w:sz w:val="20"/>
                <w:szCs w:val="20"/>
              </w:rPr>
              <w:t>Population criteria:</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i/>
                <w:sz w:val="20"/>
                <w:szCs w:val="20"/>
              </w:rPr>
            </w:pPr>
          </w:p>
        </w:tc>
        <w:tc>
          <w:tcPr>
            <w:tcW w:w="8079" w:type="dxa"/>
            <w:gridSpan w:val="6"/>
            <w:vAlign w:val="center"/>
            <w:hideMark/>
          </w:tcPr>
          <w:p w:rsidR="00CC7E08" w:rsidRPr="009C5C54" w:rsidRDefault="00CC7E08" w:rsidP="003D73F1">
            <w:pPr>
              <w:rPr>
                <w:rFonts w:ascii="Arial Narrow" w:hAnsi="Arial Narrow"/>
                <w:i/>
                <w:sz w:val="20"/>
                <w:szCs w:val="20"/>
              </w:rPr>
            </w:pPr>
            <w:r w:rsidRPr="009C5C54">
              <w:rPr>
                <w:rFonts w:ascii="Arial Narrow" w:hAnsi="Arial Narrow"/>
                <w:i/>
                <w:sz w:val="20"/>
                <w:szCs w:val="20"/>
              </w:rPr>
              <w:t>Patient must have had onset of signs/symptoms of central precocious puberty prior to their 9</w:t>
            </w:r>
            <w:r w:rsidRPr="009C5C54">
              <w:rPr>
                <w:rFonts w:ascii="Arial Narrow" w:hAnsi="Arial Narrow"/>
                <w:i/>
                <w:sz w:val="20"/>
                <w:szCs w:val="20"/>
                <w:vertAlign w:val="superscript"/>
              </w:rPr>
              <w:t>th</w:t>
            </w:r>
            <w:r w:rsidRPr="009C5C54">
              <w:rPr>
                <w:rFonts w:ascii="Arial Narrow" w:hAnsi="Arial Narrow"/>
                <w:i/>
                <w:sz w:val="20"/>
                <w:szCs w:val="20"/>
              </w:rPr>
              <w:t xml:space="preserve"> birthday if female; or </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CC7E08" w:rsidRPr="009C5C54" w:rsidRDefault="00CC7E08" w:rsidP="003D73F1">
            <w:pPr>
              <w:jc w:val="center"/>
              <w:rPr>
                <w:rFonts w:ascii="Arial Narrow" w:hAnsi="Arial Narrow"/>
                <w:i/>
                <w:sz w:val="20"/>
                <w:szCs w:val="20"/>
              </w:rPr>
            </w:pPr>
          </w:p>
        </w:tc>
        <w:tc>
          <w:tcPr>
            <w:tcW w:w="8079" w:type="dxa"/>
            <w:gridSpan w:val="6"/>
            <w:vAlign w:val="center"/>
          </w:tcPr>
          <w:p w:rsidR="00CC7E08" w:rsidRPr="009C5C54" w:rsidRDefault="00CC7E08" w:rsidP="003D73F1">
            <w:pPr>
              <w:rPr>
                <w:rFonts w:ascii="Arial Narrow" w:hAnsi="Arial Narrow"/>
                <w:i/>
                <w:sz w:val="20"/>
                <w:szCs w:val="20"/>
              </w:rPr>
            </w:pPr>
            <w:r w:rsidRPr="009C5C54">
              <w:rPr>
                <w:rFonts w:ascii="Arial Narrow" w:hAnsi="Arial Narrow"/>
                <w:i/>
                <w:sz w:val="20"/>
                <w:szCs w:val="20"/>
              </w:rPr>
              <w:t>Patient must have had onset of signs/symptoms of central precocious puberty prior to their 10</w:t>
            </w:r>
            <w:r w:rsidRPr="009C5C54">
              <w:rPr>
                <w:rFonts w:ascii="Arial Narrow" w:hAnsi="Arial Narrow"/>
                <w:i/>
                <w:sz w:val="20"/>
                <w:szCs w:val="20"/>
                <w:vertAlign w:val="superscript"/>
              </w:rPr>
              <w:t>th</w:t>
            </w:r>
            <w:r w:rsidRPr="009C5C54">
              <w:rPr>
                <w:rFonts w:ascii="Arial Narrow" w:hAnsi="Arial Narrow"/>
                <w:i/>
                <w:sz w:val="20"/>
                <w:szCs w:val="20"/>
              </w:rPr>
              <w:t xml:space="preserve"> birthday if male;</w:t>
            </w: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067" w:type="dxa"/>
            <w:gridSpan w:val="9"/>
            <w:vAlign w:val="center"/>
          </w:tcPr>
          <w:p w:rsidR="00CC7E08" w:rsidRPr="009C5C54" w:rsidRDefault="00CC7E08" w:rsidP="003D73F1">
            <w:pPr>
              <w:rPr>
                <w:rFonts w:ascii="Arial Narrow" w:hAnsi="Arial Narrow"/>
                <w:sz w:val="20"/>
                <w:szCs w:val="20"/>
              </w:rPr>
            </w:pPr>
          </w:p>
          <w:p w:rsidR="00CC7E08" w:rsidRPr="009C5C54" w:rsidRDefault="00CC7E08" w:rsidP="003D73F1">
            <w:pPr>
              <w:rPr>
                <w:rFonts w:ascii="Arial Narrow" w:hAnsi="Arial Narrow"/>
                <w:sz w:val="20"/>
                <w:szCs w:val="20"/>
              </w:rPr>
            </w:pPr>
          </w:p>
        </w:tc>
      </w:tr>
      <w:tr w:rsidR="00CC7E08" w:rsidRPr="009C5C54" w:rsidTr="003D73F1">
        <w:tblPrEx>
          <w:tblCellMar>
            <w:top w:w="15" w:type="dxa"/>
            <w:left w:w="15" w:type="dxa"/>
            <w:bottom w:w="15" w:type="dxa"/>
            <w:right w:w="15" w:type="dxa"/>
          </w:tblCellMar>
          <w:tblLook w:val="04A0" w:firstRow="1" w:lastRow="0" w:firstColumn="1" w:lastColumn="0" w:noHBand="0" w:noVBand="1"/>
        </w:tblPrEx>
        <w:tc>
          <w:tcPr>
            <w:tcW w:w="9067" w:type="dxa"/>
            <w:gridSpan w:val="9"/>
            <w:tcBorders>
              <w:top w:val="single" w:sz="4" w:space="0" w:color="auto"/>
              <w:left w:val="single" w:sz="4" w:space="0" w:color="auto"/>
              <w:right w:val="single" w:sz="4" w:space="0" w:color="auto"/>
            </w:tcBorders>
          </w:tcPr>
          <w:p w:rsidR="00CC7E08" w:rsidRPr="009C5C54" w:rsidRDefault="00CC7E08" w:rsidP="003D73F1">
            <w:pPr>
              <w:keepNext/>
              <w:ind w:left="57"/>
              <w:rPr>
                <w:rFonts w:ascii="Arial Narrow" w:hAnsi="Arial Narrow"/>
                <w:b/>
                <w:sz w:val="20"/>
                <w:szCs w:val="20"/>
              </w:rPr>
            </w:pPr>
            <w:r w:rsidRPr="009C5C54">
              <w:rPr>
                <w:rFonts w:ascii="Arial Narrow" w:hAnsi="Arial Narrow"/>
                <w:b/>
                <w:sz w:val="20"/>
                <w:szCs w:val="20"/>
              </w:rPr>
              <w:t>Restriction Summary / Treatment of Concept: [</w:t>
            </w:r>
            <w:r w:rsidR="00612A58">
              <w:rPr>
                <w:rFonts w:ascii="Arial Narrow" w:hAnsi="Arial Narrow"/>
                <w:b/>
                <w:sz w:val="20"/>
                <w:szCs w:val="20"/>
              </w:rPr>
              <w:t>N</w:t>
            </w:r>
            <w:r w:rsidRPr="009C5C54">
              <w:rPr>
                <w:rFonts w:ascii="Arial Narrow" w:hAnsi="Arial Narrow"/>
                <w:b/>
                <w:sz w:val="20"/>
                <w:szCs w:val="20"/>
              </w:rPr>
              <w:t>ew</w:t>
            </w:r>
            <w:r w:rsidR="00612A58">
              <w:rPr>
                <w:rFonts w:ascii="Arial Narrow" w:hAnsi="Arial Narrow"/>
                <w:b/>
                <w:sz w:val="20"/>
                <w:szCs w:val="20"/>
              </w:rPr>
              <w:t xml:space="preserve"> 2</w:t>
            </w:r>
            <w:r w:rsidRPr="009C5C54">
              <w:rPr>
                <w:rFonts w:ascii="Arial Narrow" w:hAnsi="Arial Narrow"/>
                <w:b/>
                <w:sz w:val="20"/>
                <w:szCs w:val="20"/>
              </w:rPr>
              <w:t xml:space="preserve">] </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CC7E08" w:rsidRPr="009C5C54" w:rsidRDefault="00CC7E08" w:rsidP="003D73F1">
            <w:pPr>
              <w:keepNext/>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CC7E08" w:rsidRPr="009C5C54" w:rsidRDefault="00CC7E08" w:rsidP="003D73F1">
            <w:pPr>
              <w:keepNext/>
              <w:rPr>
                <w:rFonts w:ascii="Arial Narrow" w:hAnsi="Arial Narrow"/>
                <w:b/>
                <w:sz w:val="20"/>
                <w:szCs w:val="20"/>
              </w:rPr>
            </w:pPr>
            <w:r w:rsidRPr="009C5C54">
              <w:rPr>
                <w:rFonts w:ascii="Arial Narrow" w:hAnsi="Arial Narrow"/>
                <w:b/>
                <w:sz w:val="20"/>
                <w:szCs w:val="20"/>
              </w:rPr>
              <w:t xml:space="preserve">Indication: </w:t>
            </w:r>
            <w:r w:rsidRPr="009C5C54">
              <w:rPr>
                <w:rFonts w:ascii="Arial Narrow" w:hAnsi="Arial Narrow"/>
                <w:sz w:val="20"/>
                <w:szCs w:val="20"/>
              </w:rPr>
              <w:t>Central precocious puberty</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rPr>
          <w:trHeight w:val="268"/>
        </w:trPr>
        <w:tc>
          <w:tcPr>
            <w:tcW w:w="988" w:type="dxa"/>
            <w:gridSpan w:val="3"/>
            <w:tcBorders>
              <w:top w:val="single" w:sz="4" w:space="0" w:color="auto"/>
              <w:left w:val="single" w:sz="4" w:space="0" w:color="auto"/>
              <w:bottom w:val="single" w:sz="4" w:space="0" w:color="auto"/>
              <w:right w:val="single" w:sz="4" w:space="0" w:color="auto"/>
            </w:tcBorders>
            <w:vAlign w:val="center"/>
          </w:tcPr>
          <w:p w:rsidR="00CC7E08" w:rsidRPr="009C5C54" w:rsidRDefault="00CC7E08" w:rsidP="003D73F1">
            <w:pPr>
              <w:keepNext/>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CC7E08" w:rsidRPr="009C5C54" w:rsidRDefault="00CC7E08" w:rsidP="003D73F1">
            <w:pPr>
              <w:keepNext/>
              <w:rPr>
                <w:rFonts w:ascii="Arial Narrow" w:hAnsi="Arial Narrow"/>
                <w:b/>
                <w:sz w:val="20"/>
                <w:szCs w:val="20"/>
              </w:rPr>
            </w:pPr>
            <w:r w:rsidRPr="009C5C54">
              <w:rPr>
                <w:rFonts w:ascii="Arial Narrow" w:hAnsi="Arial Narrow"/>
                <w:b/>
                <w:sz w:val="20"/>
                <w:szCs w:val="20"/>
              </w:rPr>
              <w:t xml:space="preserve">Treatment Phase: </w:t>
            </w:r>
            <w:r w:rsidR="00A81CD0" w:rsidRPr="00327CB7">
              <w:rPr>
                <w:rFonts w:ascii="Arial Narrow" w:hAnsi="Arial Narrow"/>
                <w:bCs/>
                <w:sz w:val="20"/>
                <w:szCs w:val="20"/>
              </w:rPr>
              <w:t>Transitioning from non-PBS to PBS-subsidised treatment</w:t>
            </w:r>
            <w:r w:rsidRPr="009C5C54">
              <w:rPr>
                <w:rFonts w:ascii="Arial Narrow" w:hAnsi="Arial Narrow"/>
                <w:sz w:val="20"/>
                <w:szCs w:val="20"/>
              </w:rPr>
              <w:t xml:space="preserve"> </w:t>
            </w:r>
            <w:r w:rsidR="00A81CD0">
              <w:rPr>
                <w:rFonts w:ascii="Arial Narrow" w:hAnsi="Arial Narrow"/>
                <w:sz w:val="20"/>
                <w:szCs w:val="20"/>
              </w:rPr>
              <w:t>–</w:t>
            </w:r>
            <w:r w:rsidRPr="009C5C54">
              <w:rPr>
                <w:rFonts w:ascii="Arial Narrow" w:hAnsi="Arial Narrow"/>
                <w:sz w:val="20"/>
                <w:szCs w:val="20"/>
              </w:rPr>
              <w:t xml:space="preserve"> </w:t>
            </w:r>
            <w:r w:rsidR="00A81CD0">
              <w:rPr>
                <w:rFonts w:ascii="Arial Narrow" w:hAnsi="Arial Narrow"/>
                <w:sz w:val="20"/>
                <w:szCs w:val="20"/>
              </w:rPr>
              <w:t>‘G</w:t>
            </w:r>
            <w:r w:rsidRPr="009C5C54">
              <w:rPr>
                <w:rFonts w:ascii="Arial Narrow" w:hAnsi="Arial Narrow"/>
                <w:sz w:val="20"/>
                <w:szCs w:val="20"/>
              </w:rPr>
              <w:t>randfather</w:t>
            </w:r>
            <w:r w:rsidR="00A81CD0">
              <w:rPr>
                <w:rFonts w:ascii="Arial Narrow" w:hAnsi="Arial Narrow"/>
                <w:sz w:val="20"/>
                <w:szCs w:val="20"/>
              </w:rPr>
              <w:t xml:space="preserve">’ </w:t>
            </w:r>
            <w:r w:rsidR="00327CB7">
              <w:rPr>
                <w:rFonts w:ascii="Arial Narrow" w:hAnsi="Arial Narrow"/>
                <w:sz w:val="20"/>
                <w:szCs w:val="20"/>
              </w:rPr>
              <w:t>arrangements</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CC7E08" w:rsidRPr="009C5C54" w:rsidRDefault="00CC7E08" w:rsidP="003D73F1">
            <w:pPr>
              <w:keepNext/>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CC7E08" w:rsidRPr="009C5C54" w:rsidRDefault="00CC7E08" w:rsidP="003D73F1">
            <w:pPr>
              <w:keepNext/>
              <w:rPr>
                <w:rFonts w:ascii="Arial Narrow" w:hAnsi="Arial Narrow"/>
                <w:b/>
                <w:sz w:val="20"/>
                <w:szCs w:val="20"/>
              </w:rPr>
            </w:pPr>
            <w:r w:rsidRPr="009C5C54">
              <w:rPr>
                <w:rFonts w:ascii="Arial Narrow" w:hAnsi="Arial Narrow"/>
                <w:b/>
                <w:sz w:val="20"/>
                <w:szCs w:val="20"/>
              </w:rPr>
              <w:t>Clinical criteria:</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CC7E08" w:rsidRPr="009C5C54" w:rsidRDefault="00CC7E08" w:rsidP="003D73F1">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CC7E08" w:rsidRPr="009C5C54" w:rsidRDefault="00CC7E08" w:rsidP="003D73F1">
            <w:pPr>
              <w:rPr>
                <w:rFonts w:ascii="Arial Narrow" w:hAnsi="Arial Narrow"/>
                <w:sz w:val="20"/>
                <w:szCs w:val="20"/>
              </w:rPr>
            </w:pPr>
            <w:r w:rsidRPr="009C5C54">
              <w:rPr>
                <w:rFonts w:ascii="Arial Narrow" w:hAnsi="Arial Narrow"/>
                <w:sz w:val="20"/>
                <w:szCs w:val="20"/>
              </w:rPr>
              <w:t xml:space="preserve">Patient must </w:t>
            </w:r>
            <w:r w:rsidR="00327CB7">
              <w:rPr>
                <w:rFonts w:ascii="Arial Narrow" w:hAnsi="Arial Narrow"/>
                <w:sz w:val="20"/>
                <w:szCs w:val="20"/>
              </w:rPr>
              <w:t xml:space="preserve">be </w:t>
            </w:r>
            <w:r w:rsidRPr="009C5C54">
              <w:rPr>
                <w:rFonts w:ascii="Arial Narrow" w:hAnsi="Arial Narrow"/>
                <w:sz w:val="20"/>
                <w:szCs w:val="20"/>
              </w:rPr>
              <w:t>receiv</w:t>
            </w:r>
            <w:r w:rsidR="00327CB7">
              <w:rPr>
                <w:rFonts w:ascii="Arial Narrow" w:hAnsi="Arial Narrow"/>
                <w:sz w:val="20"/>
                <w:szCs w:val="20"/>
              </w:rPr>
              <w:t>ing</w:t>
            </w:r>
            <w:r w:rsidR="003E60B9">
              <w:rPr>
                <w:rFonts w:ascii="Arial Narrow" w:hAnsi="Arial Narrow"/>
                <w:sz w:val="20"/>
                <w:szCs w:val="20"/>
              </w:rPr>
              <w:t xml:space="preserve"> </w:t>
            </w:r>
            <w:r w:rsidRPr="009C5C54">
              <w:rPr>
                <w:rFonts w:ascii="Arial Narrow" w:hAnsi="Arial Narrow"/>
                <w:sz w:val="20"/>
                <w:szCs w:val="20"/>
              </w:rPr>
              <w:t xml:space="preserve">treatment with </w:t>
            </w:r>
            <w:r w:rsidR="00327CB7">
              <w:rPr>
                <w:rFonts w:ascii="Arial Narrow" w:hAnsi="Arial Narrow"/>
                <w:sz w:val="20"/>
                <w:szCs w:val="20"/>
              </w:rPr>
              <w:t xml:space="preserve">this drug </w:t>
            </w:r>
            <w:r w:rsidRPr="009C5C54">
              <w:rPr>
                <w:rFonts w:ascii="Arial Narrow" w:hAnsi="Arial Narrow"/>
                <w:sz w:val="20"/>
                <w:szCs w:val="20"/>
              </w:rPr>
              <w:t>for this condition prior to [</w:t>
            </w:r>
            <w:r w:rsidRPr="00327CB7">
              <w:rPr>
                <w:rFonts w:ascii="Arial Narrow" w:hAnsi="Arial Narrow"/>
                <w:i/>
                <w:iCs/>
                <w:sz w:val="20"/>
                <w:szCs w:val="20"/>
              </w:rPr>
              <w:t>1 Month 20XX – insert listing date here</w:t>
            </w:r>
            <w:r w:rsidRPr="009C5C54">
              <w:rPr>
                <w:rFonts w:ascii="Arial Narrow" w:hAnsi="Arial Narrow"/>
                <w:sz w:val="20"/>
                <w:szCs w:val="20"/>
              </w:rPr>
              <w:t>]</w:t>
            </w:r>
          </w:p>
        </w:tc>
      </w:tr>
      <w:tr w:rsidR="00CC7E08"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CC7E08" w:rsidRPr="009C5C54" w:rsidRDefault="00CC7E08" w:rsidP="003D73F1">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CC7E08" w:rsidRPr="009C5C54" w:rsidRDefault="00CC7E08" w:rsidP="003D73F1">
            <w:pPr>
              <w:rPr>
                <w:rFonts w:ascii="Arial Narrow" w:hAnsi="Arial Narrow"/>
                <w:b/>
                <w:sz w:val="20"/>
                <w:szCs w:val="20"/>
              </w:rPr>
            </w:pPr>
            <w:r w:rsidRPr="009C5C54">
              <w:rPr>
                <w:rFonts w:ascii="Arial Narrow" w:hAnsi="Arial Narrow"/>
                <w:b/>
                <w:sz w:val="20"/>
                <w:szCs w:val="20"/>
              </w:rPr>
              <w:t>AND</w:t>
            </w:r>
          </w:p>
        </w:tc>
      </w:tr>
      <w:tr w:rsidR="00327CB7" w:rsidRPr="009C5C54" w:rsidTr="003D73F1">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327CB7" w:rsidRPr="009C5C54" w:rsidRDefault="00327CB7" w:rsidP="00327CB7">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327CB7" w:rsidRPr="00327CB7" w:rsidRDefault="00327CB7" w:rsidP="00327CB7">
            <w:pPr>
              <w:rPr>
                <w:rFonts w:ascii="Arial Narrow" w:hAnsi="Arial Narrow"/>
                <w:bCs/>
                <w:sz w:val="20"/>
                <w:szCs w:val="20"/>
              </w:rPr>
            </w:pPr>
            <w:r w:rsidRPr="00327CB7">
              <w:rPr>
                <w:rFonts w:ascii="Arial Narrow" w:hAnsi="Arial Narrow"/>
                <w:bCs/>
                <w:sz w:val="20"/>
                <w:szCs w:val="20"/>
              </w:rPr>
              <w:t xml:space="preserve">Patient must </w:t>
            </w:r>
            <w:r>
              <w:rPr>
                <w:rFonts w:ascii="Arial Narrow" w:hAnsi="Arial Narrow"/>
                <w:bCs/>
                <w:sz w:val="20"/>
                <w:szCs w:val="20"/>
              </w:rPr>
              <w:t>have met each of: (i) experienced signs/symptoms of central precocious puberty prior to their 9</w:t>
            </w:r>
            <w:r w:rsidRPr="00327CB7">
              <w:rPr>
                <w:rFonts w:ascii="Arial Narrow" w:hAnsi="Arial Narrow"/>
                <w:bCs/>
                <w:sz w:val="20"/>
                <w:szCs w:val="20"/>
                <w:vertAlign w:val="superscript"/>
              </w:rPr>
              <w:t>th</w:t>
            </w:r>
            <w:r>
              <w:rPr>
                <w:rFonts w:ascii="Arial Narrow" w:hAnsi="Arial Narrow"/>
                <w:bCs/>
                <w:sz w:val="20"/>
                <w:szCs w:val="20"/>
              </w:rPr>
              <w:t xml:space="preserve"> birthday, (ii) initiated treatment with this drug prior to their 12</w:t>
            </w:r>
            <w:r w:rsidRPr="00327CB7">
              <w:rPr>
                <w:rFonts w:ascii="Arial Narrow" w:hAnsi="Arial Narrow"/>
                <w:bCs/>
                <w:sz w:val="20"/>
                <w:szCs w:val="20"/>
                <w:vertAlign w:val="superscript"/>
              </w:rPr>
              <w:t>th</w:t>
            </w:r>
            <w:r>
              <w:rPr>
                <w:rFonts w:ascii="Arial Narrow" w:hAnsi="Arial Narrow"/>
                <w:bCs/>
                <w:sz w:val="20"/>
                <w:szCs w:val="20"/>
              </w:rPr>
              <w:t xml:space="preserve"> birthday, if female; or</w:t>
            </w:r>
          </w:p>
        </w:tc>
      </w:tr>
      <w:tr w:rsidR="00327CB7" w:rsidRPr="009C5C54" w:rsidTr="003D73F1">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327CB7" w:rsidRPr="009C5C54" w:rsidRDefault="00327CB7" w:rsidP="00327CB7">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327CB7" w:rsidRPr="00327CB7" w:rsidRDefault="00327CB7" w:rsidP="00327CB7">
            <w:pPr>
              <w:rPr>
                <w:rFonts w:ascii="Arial Narrow" w:hAnsi="Arial Narrow"/>
                <w:bCs/>
                <w:sz w:val="20"/>
                <w:szCs w:val="20"/>
              </w:rPr>
            </w:pPr>
            <w:r>
              <w:rPr>
                <w:rFonts w:ascii="Arial Narrow" w:hAnsi="Arial Narrow"/>
                <w:bCs/>
                <w:sz w:val="20"/>
                <w:szCs w:val="20"/>
              </w:rPr>
              <w:t>Patient must have met each of: (i) experienced signs/symptoms</w:t>
            </w:r>
            <w:r w:rsidR="00AB2288">
              <w:rPr>
                <w:rFonts w:ascii="Arial Narrow" w:hAnsi="Arial Narrow"/>
                <w:bCs/>
                <w:sz w:val="20"/>
                <w:szCs w:val="20"/>
              </w:rPr>
              <w:t xml:space="preserve"> of central precocious puberty prior to their 10</w:t>
            </w:r>
            <w:r w:rsidR="00AB2288" w:rsidRPr="00AB2288">
              <w:rPr>
                <w:rFonts w:ascii="Arial Narrow" w:hAnsi="Arial Narrow"/>
                <w:bCs/>
                <w:sz w:val="20"/>
                <w:szCs w:val="20"/>
                <w:vertAlign w:val="superscript"/>
              </w:rPr>
              <w:t>th</w:t>
            </w:r>
            <w:r w:rsidR="00AB2288">
              <w:rPr>
                <w:rFonts w:ascii="Arial Narrow" w:hAnsi="Arial Narrow"/>
                <w:bCs/>
                <w:sz w:val="20"/>
                <w:szCs w:val="20"/>
              </w:rPr>
              <w:t xml:space="preserve"> birthday, (ii)</w:t>
            </w:r>
            <w:r>
              <w:rPr>
                <w:rFonts w:ascii="Arial Narrow" w:hAnsi="Arial Narrow"/>
                <w:bCs/>
                <w:sz w:val="20"/>
                <w:szCs w:val="20"/>
              </w:rPr>
              <w:t xml:space="preserve"> initiated</w:t>
            </w:r>
            <w:r w:rsidR="00AB2288">
              <w:rPr>
                <w:rFonts w:ascii="Arial Narrow" w:hAnsi="Arial Narrow"/>
                <w:bCs/>
                <w:sz w:val="20"/>
                <w:szCs w:val="20"/>
              </w:rPr>
              <w:t xml:space="preserve"> treatment</w:t>
            </w:r>
            <w:r>
              <w:rPr>
                <w:rFonts w:ascii="Arial Narrow" w:hAnsi="Arial Narrow"/>
                <w:bCs/>
                <w:sz w:val="20"/>
                <w:szCs w:val="20"/>
              </w:rPr>
              <w:t xml:space="preserve"> this drug prior to their 13</w:t>
            </w:r>
            <w:r w:rsidRPr="00327CB7">
              <w:rPr>
                <w:rFonts w:ascii="Arial Narrow" w:hAnsi="Arial Narrow"/>
                <w:bCs/>
                <w:sz w:val="20"/>
                <w:szCs w:val="20"/>
                <w:vertAlign w:val="superscript"/>
              </w:rPr>
              <w:t>th</w:t>
            </w:r>
            <w:r>
              <w:rPr>
                <w:rFonts w:ascii="Arial Narrow" w:hAnsi="Arial Narrow"/>
                <w:bCs/>
                <w:sz w:val="20"/>
                <w:szCs w:val="20"/>
              </w:rPr>
              <w:t xml:space="preserve"> birthday</w:t>
            </w:r>
            <w:r w:rsidR="00AB2288">
              <w:rPr>
                <w:rFonts w:ascii="Arial Narrow" w:hAnsi="Arial Narrow"/>
                <w:bCs/>
                <w:sz w:val="20"/>
                <w:szCs w:val="20"/>
              </w:rPr>
              <w:t>,</w:t>
            </w:r>
            <w:r>
              <w:rPr>
                <w:rFonts w:ascii="Arial Narrow" w:hAnsi="Arial Narrow"/>
                <w:bCs/>
                <w:sz w:val="20"/>
                <w:szCs w:val="20"/>
              </w:rPr>
              <w:t xml:space="preserve"> if male</w:t>
            </w:r>
          </w:p>
        </w:tc>
      </w:tr>
      <w:tr w:rsidR="00327CB7" w:rsidRPr="009C5C54" w:rsidTr="003D73F1">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327CB7" w:rsidRPr="009C5C54" w:rsidRDefault="00327CB7" w:rsidP="00327CB7">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327CB7" w:rsidRPr="009C5C54" w:rsidRDefault="00AB2288" w:rsidP="00327CB7">
            <w:pPr>
              <w:rPr>
                <w:rFonts w:ascii="Arial Narrow" w:hAnsi="Arial Narrow"/>
                <w:b/>
                <w:sz w:val="20"/>
                <w:szCs w:val="20"/>
              </w:rPr>
            </w:pPr>
            <w:r>
              <w:rPr>
                <w:rFonts w:ascii="Arial Narrow" w:hAnsi="Arial Narrow"/>
                <w:b/>
                <w:sz w:val="20"/>
                <w:szCs w:val="20"/>
              </w:rPr>
              <w:t>AND</w:t>
            </w:r>
          </w:p>
        </w:tc>
      </w:tr>
      <w:tr w:rsidR="00327CB7"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327CB7" w:rsidRPr="009C5C54" w:rsidRDefault="00327CB7" w:rsidP="00327CB7">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327CB7" w:rsidRPr="009C5C54" w:rsidRDefault="00327CB7" w:rsidP="00327CB7">
            <w:pPr>
              <w:rPr>
                <w:rFonts w:ascii="Arial Narrow" w:hAnsi="Arial Narrow"/>
                <w:b/>
                <w:sz w:val="20"/>
                <w:szCs w:val="20"/>
              </w:rPr>
            </w:pPr>
            <w:r w:rsidRPr="009C5C54">
              <w:rPr>
                <w:rFonts w:ascii="Arial Narrow" w:hAnsi="Arial Narrow"/>
                <w:b/>
                <w:sz w:val="20"/>
                <w:szCs w:val="20"/>
              </w:rPr>
              <w:t>Treatment criteria:</w:t>
            </w:r>
          </w:p>
        </w:tc>
      </w:tr>
      <w:tr w:rsidR="00327CB7"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327CB7" w:rsidRPr="009C5C54" w:rsidRDefault="00327CB7" w:rsidP="00327CB7">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327CB7" w:rsidRPr="009C5C54" w:rsidRDefault="00327CB7" w:rsidP="00327CB7">
            <w:pPr>
              <w:rPr>
                <w:rFonts w:ascii="Arial Narrow" w:hAnsi="Arial Narrow"/>
                <w:sz w:val="20"/>
                <w:szCs w:val="20"/>
              </w:rPr>
            </w:pPr>
            <w:r w:rsidRPr="009C5C54">
              <w:rPr>
                <w:rFonts w:ascii="Arial Narrow" w:hAnsi="Arial Narrow"/>
                <w:sz w:val="20"/>
                <w:szCs w:val="20"/>
              </w:rPr>
              <w:t>Must be treated by a paediatric endocrinologist; or</w:t>
            </w:r>
          </w:p>
        </w:tc>
      </w:tr>
      <w:tr w:rsidR="00327CB7" w:rsidRPr="009C5C54" w:rsidTr="005F49A8">
        <w:tblPrEx>
          <w:tblCellMar>
            <w:top w:w="15" w:type="dxa"/>
            <w:left w:w="15" w:type="dxa"/>
            <w:bottom w:w="15" w:type="dxa"/>
            <w:right w:w="15" w:type="dxa"/>
          </w:tblCellMar>
          <w:tblLook w:val="04A0" w:firstRow="1" w:lastRow="0" w:firstColumn="1" w:lastColumn="0" w:noHBand="0" w:noVBand="1"/>
        </w:tblPrEx>
        <w:tc>
          <w:tcPr>
            <w:tcW w:w="988" w:type="dxa"/>
            <w:gridSpan w:val="3"/>
            <w:tcBorders>
              <w:top w:val="single" w:sz="4" w:space="0" w:color="auto"/>
              <w:left w:val="single" w:sz="4" w:space="0" w:color="auto"/>
              <w:bottom w:val="single" w:sz="4" w:space="0" w:color="auto"/>
              <w:right w:val="single" w:sz="4" w:space="0" w:color="auto"/>
            </w:tcBorders>
            <w:vAlign w:val="center"/>
          </w:tcPr>
          <w:p w:rsidR="00327CB7" w:rsidRPr="009C5C54" w:rsidRDefault="00327CB7" w:rsidP="00327CB7">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327CB7" w:rsidRPr="009C5C54" w:rsidRDefault="00327CB7" w:rsidP="00327CB7">
            <w:pPr>
              <w:rPr>
                <w:rFonts w:ascii="Arial Narrow" w:hAnsi="Arial Narrow"/>
                <w:sz w:val="20"/>
                <w:szCs w:val="20"/>
              </w:rPr>
            </w:pPr>
            <w:r w:rsidRPr="009C5C54">
              <w:rPr>
                <w:rFonts w:ascii="Arial Narrow" w:hAnsi="Arial Narrow"/>
                <w:sz w:val="20"/>
                <w:szCs w:val="20"/>
              </w:rPr>
              <w:t>Must be treated by an endocrinologist specialising in paediatrics</w:t>
            </w:r>
            <w:r w:rsidR="00AB2288">
              <w:rPr>
                <w:rFonts w:ascii="Arial Narrow" w:hAnsi="Arial Narrow"/>
                <w:sz w:val="20"/>
                <w:szCs w:val="20"/>
              </w:rPr>
              <w:t>; or</w:t>
            </w:r>
          </w:p>
        </w:tc>
      </w:tr>
      <w:tr w:rsidR="00AB2288" w:rsidRPr="009C5C54" w:rsidTr="00AB2288">
        <w:tblPrEx>
          <w:tblCellMar>
            <w:top w:w="15" w:type="dxa"/>
            <w:left w:w="15" w:type="dxa"/>
            <w:bottom w:w="15" w:type="dxa"/>
            <w:right w:w="15" w:type="dxa"/>
          </w:tblCellMar>
          <w:tblLook w:val="04A0" w:firstRow="1" w:lastRow="0" w:firstColumn="1" w:lastColumn="0" w:noHBand="0" w:noVBand="1"/>
        </w:tblPrEx>
        <w:tc>
          <w:tcPr>
            <w:tcW w:w="988" w:type="dxa"/>
            <w:gridSpan w:val="3"/>
            <w:vAlign w:val="center"/>
          </w:tcPr>
          <w:p w:rsidR="00AB2288" w:rsidRPr="009C5C54" w:rsidRDefault="00AB2288" w:rsidP="00AB2288">
            <w:pPr>
              <w:jc w:val="center"/>
              <w:rPr>
                <w:rFonts w:ascii="Arial Narrow" w:hAnsi="Arial Narrow"/>
                <w:sz w:val="20"/>
                <w:szCs w:val="20"/>
              </w:rPr>
            </w:pPr>
          </w:p>
        </w:tc>
        <w:tc>
          <w:tcPr>
            <w:tcW w:w="8079" w:type="dxa"/>
            <w:gridSpan w:val="6"/>
            <w:vAlign w:val="center"/>
          </w:tcPr>
          <w:p w:rsidR="00AB2288" w:rsidRPr="009C5C54" w:rsidRDefault="00AB2288" w:rsidP="00AB2288">
            <w:pPr>
              <w:rPr>
                <w:rFonts w:ascii="Arial Narrow" w:hAnsi="Arial Narrow"/>
                <w:sz w:val="20"/>
                <w:szCs w:val="20"/>
              </w:rPr>
            </w:pPr>
            <w:r w:rsidRPr="009C5C54">
              <w:rPr>
                <w:rFonts w:ascii="Arial Narrow" w:hAnsi="Arial Narrow"/>
                <w:sz w:val="20"/>
                <w:szCs w:val="20"/>
              </w:rPr>
              <w:t>Must be treated by a medical practitioner who has consulted one of the above mentioned specialist types, with agreement reached that treatment continue with this drug on this occasion</w:t>
            </w:r>
          </w:p>
        </w:tc>
      </w:tr>
      <w:tr w:rsidR="00AB2288" w:rsidRPr="009C5C54" w:rsidTr="003D73F1">
        <w:tblPrEx>
          <w:tblCellMar>
            <w:top w:w="15" w:type="dxa"/>
            <w:left w:w="15" w:type="dxa"/>
            <w:bottom w:w="15" w:type="dxa"/>
            <w:right w:w="15" w:type="dxa"/>
          </w:tblCellMar>
          <w:tblLook w:val="04A0" w:firstRow="1" w:lastRow="0" w:firstColumn="1" w:lastColumn="0" w:noHBand="0" w:noVBand="1"/>
        </w:tblPrEx>
        <w:trPr>
          <w:trHeight w:val="396"/>
        </w:trPr>
        <w:tc>
          <w:tcPr>
            <w:tcW w:w="988" w:type="dxa"/>
            <w:gridSpan w:val="3"/>
          </w:tcPr>
          <w:p w:rsidR="00AB2288" w:rsidRPr="009C5C54" w:rsidRDefault="00AB2288" w:rsidP="00AB2288">
            <w:pPr>
              <w:jc w:val="center"/>
              <w:rPr>
                <w:rFonts w:ascii="Arial Narrow" w:hAnsi="Arial Narrow"/>
                <w:bCs/>
                <w:sz w:val="20"/>
                <w:szCs w:val="20"/>
              </w:rPr>
            </w:pPr>
          </w:p>
        </w:tc>
        <w:tc>
          <w:tcPr>
            <w:tcW w:w="8079" w:type="dxa"/>
            <w:gridSpan w:val="6"/>
          </w:tcPr>
          <w:p w:rsidR="00AB2288" w:rsidRPr="009C5C54" w:rsidRDefault="00AB2288" w:rsidP="00AB2288">
            <w:pPr>
              <w:rPr>
                <w:rFonts w:ascii="Arial Narrow" w:hAnsi="Arial Narrow"/>
                <w:b/>
                <w:bCs/>
                <w:sz w:val="20"/>
                <w:szCs w:val="20"/>
              </w:rPr>
            </w:pPr>
            <w:r w:rsidRPr="009C5C54">
              <w:rPr>
                <w:rFonts w:ascii="Arial Narrow" w:hAnsi="Arial Narrow"/>
                <w:b/>
                <w:bCs/>
                <w:sz w:val="20"/>
                <w:szCs w:val="20"/>
              </w:rPr>
              <w:t xml:space="preserve">Administrative advice: </w:t>
            </w:r>
            <w:r w:rsidRPr="009C5C54">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AB2288" w:rsidRPr="009C5C54" w:rsidTr="003D73F1">
        <w:tblPrEx>
          <w:tblCellMar>
            <w:top w:w="15" w:type="dxa"/>
            <w:left w:w="15" w:type="dxa"/>
            <w:bottom w:w="15" w:type="dxa"/>
            <w:right w:w="15" w:type="dxa"/>
          </w:tblCellMar>
          <w:tblLook w:val="04A0" w:firstRow="1" w:lastRow="0" w:firstColumn="1" w:lastColumn="0" w:noHBand="0" w:noVBand="1"/>
        </w:tblPrEx>
        <w:trPr>
          <w:trHeight w:val="320"/>
        </w:trPr>
        <w:tc>
          <w:tcPr>
            <w:tcW w:w="988" w:type="dxa"/>
            <w:gridSpan w:val="3"/>
          </w:tcPr>
          <w:p w:rsidR="00AB2288" w:rsidRPr="009C5C54" w:rsidRDefault="00AB2288" w:rsidP="00AB2288">
            <w:pPr>
              <w:jc w:val="center"/>
              <w:rPr>
                <w:rFonts w:ascii="Arial Narrow" w:hAnsi="Arial Narrow"/>
                <w:bCs/>
                <w:sz w:val="20"/>
                <w:szCs w:val="20"/>
              </w:rPr>
            </w:pPr>
          </w:p>
        </w:tc>
        <w:tc>
          <w:tcPr>
            <w:tcW w:w="8079" w:type="dxa"/>
            <w:gridSpan w:val="6"/>
          </w:tcPr>
          <w:p w:rsidR="00AB2288" w:rsidRPr="009C5C54" w:rsidRDefault="00AB2288" w:rsidP="00AB2288">
            <w:pPr>
              <w:ind w:left="-14"/>
              <w:rPr>
                <w:rFonts w:ascii="Arial Narrow" w:hAnsi="Arial Narrow"/>
                <w:b/>
                <w:bCs/>
                <w:sz w:val="20"/>
                <w:szCs w:val="20"/>
              </w:rPr>
            </w:pPr>
            <w:r w:rsidRPr="009C5C54">
              <w:rPr>
                <w:rFonts w:ascii="Arial Narrow" w:hAnsi="Arial Narrow"/>
                <w:b/>
                <w:bCs/>
                <w:sz w:val="20"/>
                <w:szCs w:val="20"/>
              </w:rPr>
              <w:t xml:space="preserve">Administrative advice: </w:t>
            </w:r>
            <w:r w:rsidRPr="009C5C54">
              <w:rPr>
                <w:rFonts w:ascii="Arial Narrow" w:hAnsi="Arial Narrow"/>
                <w:bCs/>
                <w:sz w:val="20"/>
                <w:szCs w:val="20"/>
              </w:rPr>
              <w:t>This grandfather restriction will cease to operate from 12 months after the date specified in the clinical criteria.</w:t>
            </w:r>
          </w:p>
        </w:tc>
      </w:tr>
      <w:tr w:rsidR="00AB2288" w:rsidRPr="009C5C54" w:rsidTr="003D73F1">
        <w:tblPrEx>
          <w:tblCellMar>
            <w:top w:w="15" w:type="dxa"/>
            <w:left w:w="15" w:type="dxa"/>
            <w:bottom w:w="15" w:type="dxa"/>
            <w:right w:w="15" w:type="dxa"/>
          </w:tblCellMar>
          <w:tblLook w:val="04A0" w:firstRow="1" w:lastRow="0" w:firstColumn="1" w:lastColumn="0" w:noHBand="0" w:noVBand="1"/>
        </w:tblPrEx>
        <w:tc>
          <w:tcPr>
            <w:tcW w:w="9067" w:type="dxa"/>
            <w:gridSpan w:val="9"/>
            <w:tcBorders>
              <w:top w:val="single" w:sz="4" w:space="0" w:color="auto"/>
              <w:left w:val="single" w:sz="4" w:space="0" w:color="auto"/>
              <w:bottom w:val="single" w:sz="4" w:space="0" w:color="auto"/>
              <w:right w:val="single" w:sz="4" w:space="0" w:color="auto"/>
            </w:tcBorders>
            <w:vAlign w:val="center"/>
          </w:tcPr>
          <w:p w:rsidR="00AB2288" w:rsidRPr="009C5C54" w:rsidRDefault="00AB2288" w:rsidP="00AB2288">
            <w:pPr>
              <w:rPr>
                <w:rFonts w:ascii="Arial Narrow" w:hAnsi="Arial Narrow"/>
                <w:sz w:val="20"/>
                <w:szCs w:val="20"/>
              </w:rPr>
            </w:pPr>
          </w:p>
          <w:p w:rsidR="00AB2288" w:rsidRPr="009C5C54" w:rsidRDefault="00AB2288" w:rsidP="00AB2288">
            <w:pPr>
              <w:rPr>
                <w:rFonts w:ascii="Arial Narrow" w:hAnsi="Arial Narrow"/>
                <w:sz w:val="20"/>
                <w:szCs w:val="20"/>
              </w:rPr>
            </w:pPr>
          </w:p>
        </w:tc>
      </w:tr>
      <w:tr w:rsidR="00AB2288" w:rsidRPr="009C5C54" w:rsidTr="003D73F1">
        <w:tblPrEx>
          <w:tblCellMar>
            <w:top w:w="15" w:type="dxa"/>
            <w:left w:w="15" w:type="dxa"/>
            <w:bottom w:w="15" w:type="dxa"/>
            <w:right w:w="15" w:type="dxa"/>
          </w:tblCellMar>
          <w:tblLook w:val="04A0" w:firstRow="1" w:lastRow="0" w:firstColumn="1" w:lastColumn="0" w:noHBand="0" w:noVBand="1"/>
        </w:tblPrEx>
        <w:tc>
          <w:tcPr>
            <w:tcW w:w="9067" w:type="dxa"/>
            <w:gridSpan w:val="9"/>
            <w:tcBorders>
              <w:top w:val="single" w:sz="4" w:space="0" w:color="auto"/>
              <w:left w:val="single" w:sz="4" w:space="0" w:color="auto"/>
              <w:right w:val="single" w:sz="4" w:space="0" w:color="auto"/>
            </w:tcBorders>
          </w:tcPr>
          <w:p w:rsidR="00AB2288" w:rsidRPr="009C5C54" w:rsidRDefault="00AB2288" w:rsidP="00AB2288">
            <w:pPr>
              <w:ind w:left="57"/>
              <w:rPr>
                <w:rFonts w:ascii="Arial Narrow" w:hAnsi="Arial Narrow"/>
                <w:b/>
                <w:sz w:val="20"/>
                <w:szCs w:val="20"/>
              </w:rPr>
            </w:pPr>
            <w:r w:rsidRPr="009C5C54">
              <w:rPr>
                <w:rFonts w:ascii="Arial Narrow" w:hAnsi="Arial Narrow"/>
                <w:b/>
                <w:sz w:val="20"/>
                <w:szCs w:val="20"/>
              </w:rPr>
              <w:t xml:space="preserve">Restriction Summary / Treatment of Concept: [New </w:t>
            </w:r>
            <w:r w:rsidR="00612A58">
              <w:rPr>
                <w:rFonts w:ascii="Arial Narrow" w:hAnsi="Arial Narrow"/>
                <w:b/>
                <w:sz w:val="20"/>
                <w:szCs w:val="20"/>
              </w:rPr>
              <w:t>3</w:t>
            </w:r>
            <w:r w:rsidRPr="009C5C54">
              <w:rPr>
                <w:rFonts w:ascii="Arial Narrow" w:hAnsi="Arial Narrow"/>
                <w:b/>
                <w:sz w:val="20"/>
                <w:szCs w:val="20"/>
              </w:rPr>
              <w:t xml:space="preserve">] </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b/>
                <w:bCs/>
                <w:sz w:val="20"/>
                <w:szCs w:val="20"/>
              </w:rPr>
              <w:t>Indication:</w:t>
            </w:r>
            <w:r w:rsidRPr="009C5C54">
              <w:rPr>
                <w:rFonts w:ascii="Arial Narrow" w:hAnsi="Arial Narrow"/>
                <w:sz w:val="20"/>
                <w:szCs w:val="20"/>
              </w:rPr>
              <w:t xml:space="preserve"> Central precocious puberty</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b/>
                <w:bCs/>
                <w:sz w:val="20"/>
                <w:szCs w:val="20"/>
              </w:rPr>
              <w:t>Treatment Phase:</w:t>
            </w:r>
            <w:r w:rsidRPr="009C5C54">
              <w:rPr>
                <w:rFonts w:ascii="Arial Narrow" w:hAnsi="Arial Narrow"/>
                <w:sz w:val="20"/>
                <w:szCs w:val="20"/>
              </w:rPr>
              <w:t xml:space="preserve"> Continuing treatment with this drug, or, switching gonadotropin releasing hormone analogue therapy</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b/>
                <w:bCs/>
                <w:sz w:val="20"/>
                <w:szCs w:val="20"/>
              </w:rPr>
              <w:t>Treatment criteria:</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sz w:val="20"/>
                <w:szCs w:val="20"/>
              </w:rPr>
              <w:t>Must be treated by at least one of: (i) a paediatric endocrinologist, (ii) an endocrinologist specialising in paediatrics; or</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sz w:val="20"/>
                <w:szCs w:val="20"/>
              </w:rPr>
              <w:t xml:space="preserve">Must be treated by a medical practitioner who has consulted one of the </w:t>
            </w:r>
            <w:r w:rsidR="003E60B9" w:rsidRPr="009C5C54">
              <w:rPr>
                <w:rFonts w:ascii="Arial Narrow" w:hAnsi="Arial Narrow"/>
                <w:sz w:val="20"/>
                <w:szCs w:val="20"/>
              </w:rPr>
              <w:t>above-mentioned</w:t>
            </w:r>
            <w:r w:rsidRPr="009C5C54">
              <w:rPr>
                <w:rFonts w:ascii="Arial Narrow" w:hAnsi="Arial Narrow"/>
                <w:sz w:val="20"/>
                <w:szCs w:val="20"/>
              </w:rPr>
              <w:t xml:space="preserve"> specialist types, with agreement reached that treatment continue with this drug on this occasion</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b/>
                <w:bCs/>
                <w:sz w:val="20"/>
                <w:szCs w:val="20"/>
              </w:rPr>
              <w:t>AND</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sz w:val="20"/>
                <w:szCs w:val="20"/>
              </w:rPr>
            </w:pPr>
            <w:r w:rsidRPr="009C5C54">
              <w:rPr>
                <w:rFonts w:ascii="Arial Narrow" w:hAnsi="Arial Narrow"/>
                <w:b/>
                <w:bCs/>
                <w:sz w:val="20"/>
                <w:szCs w:val="20"/>
              </w:rPr>
              <w:t>Treatment criteria:</w:t>
            </w:r>
          </w:p>
        </w:tc>
      </w:tr>
      <w:tr w:rsidR="00AB2288" w:rsidRPr="009C5C54" w:rsidTr="005F49A8">
        <w:tblPrEx>
          <w:tblCellMar>
            <w:top w:w="15" w:type="dxa"/>
            <w:left w:w="15" w:type="dxa"/>
            <w:bottom w:w="15" w:type="dxa"/>
            <w:right w:w="15" w:type="dxa"/>
          </w:tblCellMar>
          <w:tblLook w:val="04A0" w:firstRow="1" w:lastRow="0" w:firstColumn="1" w:lastColumn="0" w:noHBand="0" w:noVBand="1"/>
        </w:tblPrEx>
        <w:tc>
          <w:tcPr>
            <w:tcW w:w="968" w:type="dxa"/>
            <w:vAlign w:val="center"/>
          </w:tcPr>
          <w:p w:rsidR="00AB2288" w:rsidRPr="009C5C54" w:rsidRDefault="00AB2288" w:rsidP="00AB2288">
            <w:pPr>
              <w:jc w:val="center"/>
              <w:rPr>
                <w:rFonts w:ascii="Arial Narrow" w:hAnsi="Arial Narrow"/>
                <w:sz w:val="20"/>
                <w:szCs w:val="20"/>
              </w:rPr>
            </w:pPr>
          </w:p>
        </w:tc>
        <w:tc>
          <w:tcPr>
            <w:tcW w:w="8099" w:type="dxa"/>
            <w:gridSpan w:val="8"/>
            <w:vAlign w:val="center"/>
            <w:hideMark/>
          </w:tcPr>
          <w:p w:rsidR="00AB2288" w:rsidRPr="009C5C54" w:rsidRDefault="00AB2288" w:rsidP="00AB2288">
            <w:pPr>
              <w:rPr>
                <w:rFonts w:ascii="Arial Narrow" w:hAnsi="Arial Narrow"/>
                <w:i/>
                <w:sz w:val="20"/>
                <w:szCs w:val="20"/>
              </w:rPr>
            </w:pPr>
            <w:r w:rsidRPr="009C5C54">
              <w:rPr>
                <w:rFonts w:ascii="Arial Narrow" w:hAnsi="Arial Narrow"/>
                <w:i/>
                <w:sz w:val="20"/>
                <w:szCs w:val="20"/>
              </w:rPr>
              <w:t>Patient must be undergoing continuing treatment with a gonadotropin releasing hormone analogue initiated through the PBS for this PBS indication.</w:t>
            </w:r>
          </w:p>
        </w:tc>
      </w:tr>
      <w:bookmarkEnd w:id="32"/>
    </w:tbl>
    <w:p w:rsidR="00CC7E08" w:rsidRPr="009C5C54" w:rsidRDefault="00CC7E08" w:rsidP="00CC7E08">
      <w:pPr>
        <w:ind w:left="360"/>
      </w:pPr>
    </w:p>
    <w:p w:rsidR="00FD43D0" w:rsidRPr="006E5FC1" w:rsidRDefault="00FD43D0" w:rsidP="00FD43D0">
      <w:pPr>
        <w:rPr>
          <w:rFonts w:cs="Calibri"/>
          <w:b/>
          <w:i/>
          <w:iCs/>
        </w:rPr>
      </w:pPr>
      <w:r w:rsidRPr="006E5FC1">
        <w:rPr>
          <w:rFonts w:cs="Calibri"/>
          <w:b/>
          <w:i/>
          <w:iCs/>
        </w:rPr>
        <w:t>This restriction may be subject to further review. Should there be any changes made to the restriction the Sponsor will be informed.</w:t>
      </w:r>
    </w:p>
    <w:p w:rsidR="00FD43D0" w:rsidRPr="009C5C54" w:rsidRDefault="00FD43D0" w:rsidP="00CC7E08">
      <w:pPr>
        <w:ind w:left="360"/>
      </w:pPr>
    </w:p>
    <w:p w:rsidR="00CC7E08" w:rsidRPr="009C5C54" w:rsidRDefault="00CC7E08" w:rsidP="005F49A8">
      <w:pPr>
        <w:jc w:val="left"/>
        <w:rPr>
          <w:rFonts w:asciiTheme="minorHAnsi" w:hAnsiTheme="minorHAnsi" w:cstheme="minorHAnsi"/>
          <w:b/>
          <w:i/>
        </w:rPr>
      </w:pPr>
      <w:r w:rsidRPr="009C5C54">
        <w:rPr>
          <w:rFonts w:asciiTheme="minorHAnsi" w:hAnsiTheme="minorHAnsi" w:cstheme="minorHAnsi"/>
          <w:b/>
          <w:i/>
        </w:rPr>
        <w:t>Flow-on changes:</w:t>
      </w:r>
    </w:p>
    <w:p w:rsidR="00CC7E08" w:rsidRPr="009C5C54" w:rsidRDefault="00CC7E08" w:rsidP="003C621C">
      <w:pPr>
        <w:widowControl w:val="0"/>
        <w:numPr>
          <w:ilvl w:val="1"/>
          <w:numId w:val="1"/>
        </w:numPr>
        <w:spacing w:after="120"/>
        <w:contextualSpacing/>
        <w:rPr>
          <w:rFonts w:asciiTheme="minorHAnsi" w:hAnsiTheme="minorHAnsi"/>
          <w:bCs/>
          <w:snapToGrid w:val="0"/>
        </w:rPr>
      </w:pPr>
      <w:r w:rsidRPr="009C5C54">
        <w:rPr>
          <w:rFonts w:asciiTheme="minorHAnsi" w:hAnsiTheme="minorHAnsi"/>
          <w:bCs/>
          <w:snapToGrid w:val="0"/>
        </w:rPr>
        <w:t xml:space="preserve">Delete the leuprorelin ‘Grandfather’ listing </w:t>
      </w:r>
      <w:r w:rsidR="00B81930" w:rsidRPr="009C5C54">
        <w:rPr>
          <w:rFonts w:asciiTheme="minorHAnsi" w:hAnsiTheme="minorHAnsi"/>
          <w:bCs/>
          <w:snapToGrid w:val="0"/>
        </w:rPr>
        <w:t xml:space="preserve">(attached to PBS item code 11960L; Restriction Summary 6425) </w:t>
      </w:r>
      <w:r w:rsidRPr="009C5C54">
        <w:rPr>
          <w:rFonts w:asciiTheme="minorHAnsi" w:hAnsiTheme="minorHAnsi"/>
          <w:bCs/>
          <w:snapToGrid w:val="0"/>
        </w:rPr>
        <w:t>that is now more than 12 months old.</w:t>
      </w:r>
    </w:p>
    <w:p w:rsidR="003C621C" w:rsidRPr="009C5C54" w:rsidRDefault="003C621C" w:rsidP="003C621C">
      <w:pPr>
        <w:widowControl w:val="0"/>
        <w:spacing w:after="120"/>
        <w:ind w:left="720"/>
        <w:contextualSpacing/>
        <w:rPr>
          <w:rFonts w:asciiTheme="minorHAnsi" w:hAnsiTheme="minorHAnsi"/>
          <w:bCs/>
          <w:snapToGrid w:val="0"/>
        </w:rPr>
      </w:pPr>
    </w:p>
    <w:p w:rsidR="00C61C12" w:rsidRDefault="00B81930" w:rsidP="005F49A8">
      <w:pPr>
        <w:widowControl w:val="0"/>
        <w:numPr>
          <w:ilvl w:val="1"/>
          <w:numId w:val="1"/>
        </w:numPr>
        <w:spacing w:after="240"/>
        <w:rPr>
          <w:rFonts w:asciiTheme="minorHAnsi" w:hAnsiTheme="minorHAnsi" w:cstheme="minorHAnsi"/>
          <w:i/>
        </w:rPr>
      </w:pPr>
      <w:r w:rsidRPr="009C5C54">
        <w:rPr>
          <w:rFonts w:asciiTheme="minorHAnsi" w:hAnsiTheme="minorHAnsi" w:cstheme="minorHAnsi"/>
          <w:i/>
        </w:rPr>
        <w:t xml:space="preserve"> </w:t>
      </w:r>
      <w:r w:rsidR="00092ECE">
        <w:rPr>
          <w:rFonts w:asciiTheme="minorHAnsi" w:hAnsiTheme="minorHAnsi" w:cstheme="minorHAnsi"/>
          <w:i/>
        </w:rPr>
        <w:t>Align</w:t>
      </w:r>
      <w:r w:rsidRPr="009C5C54">
        <w:rPr>
          <w:rFonts w:asciiTheme="minorHAnsi" w:hAnsiTheme="minorHAnsi" w:cstheme="minorHAnsi"/>
          <w:i/>
        </w:rPr>
        <w:t xml:space="preserve"> leuprorelin’s continuing treatment restriction to triptorelin’s continuing treatment restriction </w:t>
      </w:r>
      <w:r w:rsidR="00EA798F" w:rsidRPr="009C5C54">
        <w:rPr>
          <w:rFonts w:asciiTheme="minorHAnsi" w:hAnsiTheme="minorHAnsi" w:cstheme="minorHAnsi"/>
          <w:i/>
        </w:rPr>
        <w:t xml:space="preserve">in central precocious puberty, </w:t>
      </w:r>
      <w:r w:rsidRPr="009C5C54">
        <w:rPr>
          <w:rFonts w:asciiTheme="minorHAnsi" w:hAnsiTheme="minorHAnsi" w:cstheme="minorHAnsi"/>
          <w:i/>
        </w:rPr>
        <w:t>as follows</w:t>
      </w:r>
      <w:r w:rsidR="00EA798F" w:rsidRPr="009C5C54">
        <w:rPr>
          <w:rFonts w:asciiTheme="minorHAnsi" w:hAnsiTheme="minorHAnsi" w:cstheme="minorHAnsi"/>
          <w:i/>
        </w:rPr>
        <w:t>:</w:t>
      </w:r>
    </w:p>
    <w:p w:rsidR="00C61C12" w:rsidRDefault="00C61C12">
      <w:pPr>
        <w:jc w:val="left"/>
        <w:rPr>
          <w:rFonts w:asciiTheme="minorHAnsi" w:hAnsiTheme="minorHAnsi" w:cstheme="minorHAnsi"/>
          <w:i/>
        </w:rPr>
      </w:pPr>
      <w:r>
        <w:rPr>
          <w:rFonts w:asciiTheme="minorHAnsi" w:hAnsiTheme="minorHAnsi" w:cstheme="minorHAnsi"/>
          <w: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03"/>
        <w:gridCol w:w="14"/>
      </w:tblGrid>
      <w:tr w:rsidR="005F49A8" w:rsidRPr="009C5C54" w:rsidTr="005F49A8">
        <w:trPr>
          <w:gridAfter w:val="1"/>
          <w:wAfter w:w="8" w:type="pct"/>
        </w:trPr>
        <w:tc>
          <w:tcPr>
            <w:tcW w:w="4992" w:type="pct"/>
            <w:tcBorders>
              <w:top w:val="single" w:sz="4" w:space="0" w:color="auto"/>
              <w:left w:val="single" w:sz="4" w:space="0" w:color="auto"/>
              <w:bottom w:val="single" w:sz="4" w:space="0" w:color="auto"/>
              <w:right w:val="single" w:sz="4" w:space="0" w:color="auto"/>
            </w:tcBorders>
          </w:tcPr>
          <w:p w:rsidR="005F49A8" w:rsidRPr="009C5C54" w:rsidRDefault="005F49A8" w:rsidP="00180D1F">
            <w:pPr>
              <w:rPr>
                <w:rFonts w:ascii="Arial Narrow" w:hAnsi="Arial Narrow"/>
                <w:b/>
                <w:sz w:val="20"/>
                <w:szCs w:val="20"/>
              </w:rPr>
            </w:pPr>
            <w:r w:rsidRPr="009C5C54">
              <w:rPr>
                <w:rFonts w:ascii="Arial Narrow" w:hAnsi="Arial Narrow"/>
                <w:b/>
                <w:sz w:val="20"/>
                <w:szCs w:val="20"/>
              </w:rPr>
              <w:t xml:space="preserve">MEDICINAL PRODUCT / medicinal product pack: </w:t>
            </w:r>
            <w:r w:rsidRPr="009C5C54">
              <w:rPr>
                <w:rFonts w:ascii="Arial Narrow" w:hAnsi="Arial Narrow"/>
                <w:bCs/>
                <w:sz w:val="20"/>
                <w:szCs w:val="20"/>
              </w:rPr>
              <w:t>LEUPRORELIN / leuprorelin acetate 30 mg modified release injection [1 chamber] (&amp;) inert substance diluent [1.5 mL chamber], 1 dual chamber syringe</w:t>
            </w:r>
          </w:p>
        </w:tc>
      </w:tr>
      <w:tr w:rsidR="005F49A8" w:rsidRPr="009C5C54" w:rsidTr="005F49A8">
        <w:trPr>
          <w:gridAfter w:val="1"/>
          <w:wAfter w:w="8" w:type="pct"/>
        </w:trPr>
        <w:tc>
          <w:tcPr>
            <w:tcW w:w="4992" w:type="pct"/>
            <w:tcBorders>
              <w:top w:val="single" w:sz="4" w:space="0" w:color="auto"/>
              <w:left w:val="single" w:sz="4" w:space="0" w:color="auto"/>
              <w:bottom w:val="single" w:sz="4" w:space="0" w:color="auto"/>
              <w:right w:val="single" w:sz="4" w:space="0" w:color="auto"/>
            </w:tcBorders>
          </w:tcPr>
          <w:p w:rsidR="005F49A8" w:rsidRPr="009C5C54" w:rsidRDefault="005F49A8" w:rsidP="00180D1F">
            <w:pPr>
              <w:rPr>
                <w:rFonts w:ascii="Arial Narrow" w:hAnsi="Arial Narrow"/>
                <w:b/>
                <w:sz w:val="20"/>
                <w:szCs w:val="20"/>
              </w:rPr>
            </w:pPr>
            <w:r w:rsidRPr="009C5C54">
              <w:rPr>
                <w:rFonts w:ascii="Arial Narrow" w:hAnsi="Arial Narrow"/>
                <w:b/>
                <w:sz w:val="20"/>
                <w:szCs w:val="20"/>
              </w:rPr>
              <w:t xml:space="preserve">PBS item code/s: </w:t>
            </w:r>
            <w:r w:rsidRPr="009C5C54">
              <w:rPr>
                <w:rFonts w:ascii="Arial Narrow" w:hAnsi="Arial Narrow"/>
                <w:bCs/>
                <w:sz w:val="20"/>
                <w:szCs w:val="20"/>
              </w:rPr>
              <w:t>11944P</w:t>
            </w:r>
          </w:p>
        </w:tc>
      </w:tr>
      <w:tr w:rsidR="005F49A8" w:rsidRPr="009C5C54" w:rsidTr="005F49A8">
        <w:trPr>
          <w:gridAfter w:val="1"/>
          <w:wAfter w:w="8" w:type="pct"/>
        </w:trPr>
        <w:tc>
          <w:tcPr>
            <w:tcW w:w="4992" w:type="pct"/>
            <w:tcBorders>
              <w:top w:val="single" w:sz="4" w:space="0" w:color="auto"/>
              <w:left w:val="single" w:sz="4" w:space="0" w:color="auto"/>
              <w:bottom w:val="single" w:sz="4" w:space="0" w:color="auto"/>
              <w:right w:val="single" w:sz="4" w:space="0" w:color="auto"/>
            </w:tcBorders>
          </w:tcPr>
          <w:p w:rsidR="005F49A8" w:rsidRPr="009C5C54" w:rsidRDefault="005F49A8" w:rsidP="00180D1F">
            <w:pPr>
              <w:rPr>
                <w:rFonts w:ascii="Arial Narrow" w:hAnsi="Arial Narrow"/>
                <w:sz w:val="20"/>
                <w:szCs w:val="20"/>
              </w:rPr>
            </w:pPr>
            <w:r w:rsidRPr="009C5C54">
              <w:rPr>
                <w:rFonts w:ascii="Arial Narrow" w:hAnsi="Arial Narrow"/>
                <w:b/>
                <w:sz w:val="20"/>
                <w:szCs w:val="20"/>
              </w:rPr>
              <w:t xml:space="preserve">Restriction Summary / Treatment of Concept: </w:t>
            </w:r>
            <w:r w:rsidRPr="009C5C54">
              <w:rPr>
                <w:rFonts w:ascii="Arial Narrow" w:hAnsi="Arial Narrow"/>
                <w:bCs/>
                <w:sz w:val="20"/>
                <w:szCs w:val="20"/>
              </w:rPr>
              <w:t xml:space="preserve">6422 Restricted benefit </w:t>
            </w:r>
            <w:r w:rsidRPr="009C5C54">
              <w:rPr>
                <w:rFonts w:ascii="Arial Narrow" w:hAnsi="Arial Narrow"/>
                <w:bCs/>
                <w:i/>
                <w:iCs/>
                <w:sz w:val="20"/>
                <w:szCs w:val="20"/>
              </w:rPr>
              <w:t>(current as at 1 July 2021)</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sz w:val="20"/>
                <w:szCs w:val="20"/>
              </w:rPr>
            </w:pPr>
            <w:r w:rsidRPr="009C5C54">
              <w:rPr>
                <w:rFonts w:ascii="Arial Narrow" w:hAnsi="Arial Narrow"/>
                <w:b/>
                <w:bCs/>
                <w:sz w:val="20"/>
                <w:szCs w:val="20"/>
              </w:rPr>
              <w:t>Indication:</w:t>
            </w:r>
            <w:r w:rsidRPr="009C5C54">
              <w:rPr>
                <w:rFonts w:ascii="Arial Narrow" w:hAnsi="Arial Narrow"/>
                <w:sz w:val="20"/>
                <w:szCs w:val="20"/>
              </w:rPr>
              <w:t xml:space="preserve"> Central precocious puberty</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sz w:val="20"/>
                <w:szCs w:val="20"/>
              </w:rPr>
            </w:pPr>
            <w:r w:rsidRPr="009C5C54">
              <w:rPr>
                <w:rFonts w:ascii="Arial Narrow" w:hAnsi="Arial Narrow"/>
                <w:b/>
                <w:bCs/>
                <w:sz w:val="20"/>
                <w:szCs w:val="20"/>
              </w:rPr>
              <w:t>Treatment Phase:</w:t>
            </w:r>
            <w:r w:rsidRPr="009C5C54">
              <w:rPr>
                <w:rFonts w:ascii="Arial Narrow" w:hAnsi="Arial Narrow"/>
                <w:sz w:val="20"/>
                <w:szCs w:val="20"/>
              </w:rPr>
              <w:t xml:space="preserve"> Continuing treatment </w:t>
            </w:r>
            <w:r w:rsidRPr="009C5C54">
              <w:rPr>
                <w:rFonts w:ascii="Arial Narrow" w:hAnsi="Arial Narrow"/>
                <w:i/>
                <w:iCs/>
                <w:sz w:val="20"/>
                <w:szCs w:val="20"/>
              </w:rPr>
              <w:t>with this drug, or, switching gonadotropin releasing hormone analogue therapy</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sz w:val="20"/>
                <w:szCs w:val="20"/>
              </w:rPr>
            </w:pPr>
            <w:r w:rsidRPr="009C5C54">
              <w:rPr>
                <w:rFonts w:ascii="Arial Narrow" w:hAnsi="Arial Narrow"/>
                <w:b/>
                <w:bCs/>
                <w:sz w:val="20"/>
                <w:szCs w:val="20"/>
              </w:rPr>
              <w:t>Treatment criteria:</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strike/>
                <w:sz w:val="20"/>
                <w:szCs w:val="20"/>
              </w:rPr>
            </w:pPr>
            <w:r w:rsidRPr="009C5C54">
              <w:rPr>
                <w:rFonts w:ascii="Arial Narrow" w:hAnsi="Arial Narrow"/>
                <w:strike/>
                <w:sz w:val="20"/>
                <w:szCs w:val="20"/>
              </w:rPr>
              <w:t>Must be treated by a medical practitioner in consultation with a paediatric endocrinologist ; or</w:t>
            </w:r>
          </w:p>
        </w:tc>
      </w:tr>
      <w:tr w:rsidR="005F49A8" w:rsidRPr="009C5C54" w:rsidTr="005F49A8">
        <w:tc>
          <w:tcPr>
            <w:tcW w:w="5000" w:type="pct"/>
            <w:gridSpan w:val="2"/>
            <w:vAlign w:val="center"/>
          </w:tcPr>
          <w:p w:rsidR="005F49A8" w:rsidRPr="009C5C54" w:rsidRDefault="005F49A8" w:rsidP="00180D1F">
            <w:pPr>
              <w:rPr>
                <w:rFonts w:ascii="Arial Narrow" w:hAnsi="Arial Narrow"/>
                <w:strike/>
                <w:sz w:val="20"/>
                <w:szCs w:val="20"/>
              </w:rPr>
            </w:pPr>
            <w:r w:rsidRPr="009C5C54">
              <w:rPr>
                <w:rFonts w:ascii="Arial Narrow" w:hAnsi="Arial Narrow"/>
                <w:strike/>
                <w:sz w:val="20"/>
                <w:szCs w:val="20"/>
              </w:rPr>
              <w:t>Must be treated by a medical practitioner in consultation with an endocrinologist specialising in paediatrics</w:t>
            </w:r>
          </w:p>
        </w:tc>
      </w:tr>
      <w:tr w:rsidR="005F49A8" w:rsidRPr="009C5C54" w:rsidTr="005F49A8">
        <w:tc>
          <w:tcPr>
            <w:tcW w:w="5000" w:type="pct"/>
            <w:gridSpan w:val="2"/>
            <w:vAlign w:val="center"/>
          </w:tcPr>
          <w:p w:rsidR="005F49A8" w:rsidRPr="009C5C54" w:rsidRDefault="005F49A8" w:rsidP="00180D1F">
            <w:pPr>
              <w:rPr>
                <w:rFonts w:ascii="Arial Narrow" w:hAnsi="Arial Narrow"/>
                <w:i/>
                <w:iCs/>
                <w:sz w:val="20"/>
                <w:szCs w:val="20"/>
              </w:rPr>
            </w:pPr>
            <w:r w:rsidRPr="009C5C54">
              <w:rPr>
                <w:rFonts w:ascii="Arial Narrow" w:hAnsi="Arial Narrow"/>
                <w:i/>
                <w:iCs/>
                <w:sz w:val="20"/>
                <w:szCs w:val="20"/>
              </w:rPr>
              <w:t>Must be treated by at least one of: (i) a paediatric endocrinologist, (ii) an endocrinologist specialising in paediatrics; or</w:t>
            </w:r>
          </w:p>
        </w:tc>
      </w:tr>
      <w:tr w:rsidR="005F49A8" w:rsidRPr="009C5C54" w:rsidTr="005F49A8">
        <w:tc>
          <w:tcPr>
            <w:tcW w:w="5000" w:type="pct"/>
            <w:gridSpan w:val="2"/>
            <w:vAlign w:val="center"/>
          </w:tcPr>
          <w:p w:rsidR="005F49A8" w:rsidRPr="009C5C54" w:rsidRDefault="005F49A8" w:rsidP="00180D1F">
            <w:pPr>
              <w:rPr>
                <w:rFonts w:ascii="Arial Narrow" w:hAnsi="Arial Narrow"/>
                <w:i/>
                <w:iCs/>
                <w:sz w:val="20"/>
                <w:szCs w:val="20"/>
              </w:rPr>
            </w:pPr>
            <w:r w:rsidRPr="009C5C54">
              <w:rPr>
                <w:rFonts w:ascii="Arial Narrow" w:hAnsi="Arial Narrow"/>
                <w:i/>
                <w:iCs/>
                <w:sz w:val="20"/>
                <w:szCs w:val="20"/>
              </w:rPr>
              <w:t>Must be treated by a medical practitioner who has consulted one of the above mentioned specialist types, with agreement reached that treatment continue with this drug on this occasion</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sz w:val="20"/>
                <w:szCs w:val="20"/>
              </w:rPr>
            </w:pPr>
            <w:r w:rsidRPr="009C5C54">
              <w:rPr>
                <w:rFonts w:ascii="Arial Narrow" w:hAnsi="Arial Narrow"/>
                <w:b/>
                <w:bCs/>
                <w:sz w:val="20"/>
                <w:szCs w:val="20"/>
              </w:rPr>
              <w:t>AND</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strike/>
                <w:sz w:val="20"/>
                <w:szCs w:val="20"/>
              </w:rPr>
            </w:pPr>
            <w:r w:rsidRPr="009C5C54">
              <w:rPr>
                <w:rFonts w:ascii="Arial Narrow" w:hAnsi="Arial Narrow"/>
                <w:b/>
                <w:bCs/>
                <w:strike/>
                <w:sz w:val="20"/>
                <w:szCs w:val="20"/>
              </w:rPr>
              <w:t>Clinical criteria:</w:t>
            </w:r>
          </w:p>
        </w:tc>
      </w:tr>
      <w:tr w:rsidR="005F49A8" w:rsidRPr="009C5C54" w:rsidTr="005F49A8">
        <w:tc>
          <w:tcPr>
            <w:tcW w:w="5000" w:type="pct"/>
            <w:gridSpan w:val="2"/>
            <w:vAlign w:val="center"/>
            <w:hideMark/>
          </w:tcPr>
          <w:p w:rsidR="005F49A8" w:rsidRPr="009C5C54" w:rsidRDefault="005F49A8" w:rsidP="00180D1F">
            <w:pPr>
              <w:rPr>
                <w:rFonts w:ascii="Arial Narrow" w:hAnsi="Arial Narrow"/>
                <w:iCs/>
                <w:strike/>
                <w:sz w:val="20"/>
                <w:szCs w:val="20"/>
              </w:rPr>
            </w:pPr>
            <w:r w:rsidRPr="009C5C54">
              <w:rPr>
                <w:rFonts w:ascii="Arial Narrow" w:hAnsi="Arial Narrow"/>
                <w:iCs/>
                <w:strike/>
                <w:sz w:val="20"/>
                <w:szCs w:val="20"/>
              </w:rPr>
              <w:t>Patient must have previously been issued with an authority prescription for this drug for this condition</w:t>
            </w:r>
          </w:p>
        </w:tc>
      </w:tr>
      <w:tr w:rsidR="005F49A8" w:rsidRPr="009C5C54" w:rsidTr="005F49A8">
        <w:tc>
          <w:tcPr>
            <w:tcW w:w="5000" w:type="pct"/>
            <w:gridSpan w:val="2"/>
            <w:vAlign w:val="center"/>
          </w:tcPr>
          <w:p w:rsidR="005F49A8" w:rsidRPr="009C5C54" w:rsidRDefault="005F49A8" w:rsidP="00180D1F">
            <w:pPr>
              <w:rPr>
                <w:rFonts w:ascii="Arial Narrow" w:hAnsi="Arial Narrow"/>
                <w:b/>
                <w:bCs/>
                <w:i/>
                <w:sz w:val="20"/>
                <w:szCs w:val="20"/>
              </w:rPr>
            </w:pPr>
            <w:r w:rsidRPr="009C5C54">
              <w:rPr>
                <w:rFonts w:ascii="Arial Narrow" w:hAnsi="Arial Narrow"/>
                <w:b/>
                <w:bCs/>
                <w:i/>
                <w:sz w:val="20"/>
                <w:szCs w:val="20"/>
              </w:rPr>
              <w:t>Treatment criteria:</w:t>
            </w:r>
          </w:p>
        </w:tc>
      </w:tr>
      <w:tr w:rsidR="005F49A8" w:rsidRPr="009C5C54" w:rsidTr="005F49A8">
        <w:tc>
          <w:tcPr>
            <w:tcW w:w="5000" w:type="pct"/>
            <w:gridSpan w:val="2"/>
            <w:vAlign w:val="center"/>
          </w:tcPr>
          <w:p w:rsidR="005F49A8" w:rsidRPr="009C5C54" w:rsidRDefault="005F49A8" w:rsidP="00B81930">
            <w:pPr>
              <w:rPr>
                <w:rFonts w:ascii="Arial Narrow" w:hAnsi="Arial Narrow"/>
                <w:iCs/>
                <w:sz w:val="20"/>
                <w:szCs w:val="20"/>
              </w:rPr>
            </w:pPr>
            <w:r w:rsidRPr="009C5C54">
              <w:rPr>
                <w:rFonts w:ascii="Arial Narrow" w:hAnsi="Arial Narrow"/>
                <w:i/>
                <w:sz w:val="20"/>
                <w:szCs w:val="20"/>
              </w:rPr>
              <w:t>Patient must be undergoing continuing treatment with a gonadotropin releasing hormone analogue initiated through the PBS for this PBS indication.</w:t>
            </w:r>
          </w:p>
        </w:tc>
      </w:tr>
    </w:tbl>
    <w:p w:rsidR="00180D1F" w:rsidRPr="009C5C54" w:rsidRDefault="00180D1F" w:rsidP="00180D1F">
      <w:pPr>
        <w:widowControl w:val="0"/>
        <w:spacing w:after="120"/>
        <w:contextualSpacing/>
        <w:rPr>
          <w:rFonts w:asciiTheme="minorHAnsi" w:hAnsiTheme="minorHAnsi" w:cstheme="minorHAnsi"/>
          <w:i/>
        </w:rPr>
      </w:pPr>
    </w:p>
    <w:p w:rsidR="005F49A8" w:rsidRDefault="005F49A8" w:rsidP="005F49A8">
      <w:pPr>
        <w:pStyle w:val="2-SectionHeading"/>
        <w:numPr>
          <w:ilvl w:val="0"/>
          <w:numId w:val="1"/>
        </w:numPr>
        <w:rPr>
          <w:bCs/>
          <w:lang w:val="en-GB"/>
        </w:rPr>
      </w:pPr>
      <w:r w:rsidRPr="00C07617">
        <w:t>Context for Decision</w:t>
      </w:r>
    </w:p>
    <w:p w:rsidR="005F49A8" w:rsidRPr="007129F2" w:rsidRDefault="005F49A8" w:rsidP="005F49A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F49A8" w:rsidRPr="00C07617" w:rsidRDefault="005F49A8" w:rsidP="005F49A8">
      <w:pPr>
        <w:pStyle w:val="2-SectionHeading"/>
        <w:numPr>
          <w:ilvl w:val="0"/>
          <w:numId w:val="1"/>
        </w:numPr>
        <w:rPr>
          <w:b w:val="0"/>
        </w:rPr>
      </w:pPr>
      <w:r>
        <w:t>Sponsor’s Comment</w:t>
      </w:r>
    </w:p>
    <w:p w:rsidR="0034449D" w:rsidRPr="009C5C54" w:rsidRDefault="005F49A8" w:rsidP="003A786D">
      <w:pPr>
        <w:spacing w:after="120"/>
        <w:ind w:firstLine="720"/>
      </w:pPr>
      <w:r w:rsidRPr="00C07617">
        <w:rPr>
          <w:rFonts w:asciiTheme="minorHAnsi" w:hAnsiTheme="minorHAnsi"/>
          <w:bCs/>
        </w:rPr>
        <w:t>The sponsor had no comment.</w:t>
      </w:r>
    </w:p>
    <w:sectPr w:rsidR="0034449D" w:rsidRPr="009C5C54"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8E0" w:rsidRDefault="00BF68E0" w:rsidP="00124A51">
      <w:r>
        <w:separator/>
      </w:r>
    </w:p>
    <w:p w:rsidR="00BF68E0" w:rsidRDefault="00BF68E0"/>
  </w:endnote>
  <w:endnote w:type="continuationSeparator" w:id="0">
    <w:p w:rsidR="00BF68E0" w:rsidRDefault="00BF68E0" w:rsidP="00124A51">
      <w:r>
        <w:continuationSeparator/>
      </w:r>
    </w:p>
    <w:p w:rsidR="00BF68E0" w:rsidRDefault="00BF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E0" w:rsidRDefault="00BF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A5" w:rsidRDefault="00593BA5" w:rsidP="001679FD">
    <w:pPr>
      <w:ind w:right="360"/>
      <w:jc w:val="center"/>
    </w:pPr>
  </w:p>
  <w:p w:rsidR="00593BA5" w:rsidRPr="00F90A91" w:rsidRDefault="00593BA5" w:rsidP="0034449D">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C5539E">
      <w:rPr>
        <w:b/>
        <w:noProof/>
      </w:rPr>
      <w:t>17</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E0" w:rsidRDefault="00B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8E0" w:rsidRDefault="00BF68E0" w:rsidP="00124A51">
      <w:r>
        <w:separator/>
      </w:r>
    </w:p>
    <w:p w:rsidR="00BF68E0" w:rsidRDefault="00BF68E0"/>
  </w:footnote>
  <w:footnote w:type="continuationSeparator" w:id="0">
    <w:p w:rsidR="00BF68E0" w:rsidRDefault="00BF68E0" w:rsidP="00124A51">
      <w:r>
        <w:continuationSeparator/>
      </w:r>
    </w:p>
    <w:p w:rsidR="00BF68E0" w:rsidRDefault="00BF68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E0" w:rsidRDefault="00BF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A5" w:rsidRPr="00056684" w:rsidRDefault="00593BA5" w:rsidP="0034449D">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p>
  <w:p w:rsidR="00593BA5" w:rsidRDefault="00593B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E0" w:rsidRDefault="00BF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E43712"/>
    <w:multiLevelType w:val="singleLevel"/>
    <w:tmpl w:val="F1FA849E"/>
    <w:lvl w:ilvl="0">
      <w:numFmt w:val="bullet"/>
      <w:pStyle w:val="Secondbullit"/>
      <w:lvlText w:val=""/>
      <w:lvlJc w:val="left"/>
      <w:pPr>
        <w:tabs>
          <w:tab w:val="num" w:pos="1080"/>
        </w:tabs>
        <w:ind w:left="1080" w:hanging="360"/>
      </w:pPr>
      <w:rPr>
        <w:rFonts w:ascii="Symbol" w:hAnsi="Symbol" w:hint="default"/>
      </w:rPr>
    </w:lvl>
  </w:abstractNum>
  <w:abstractNum w:abstractNumId="7" w15:restartNumberingAfterBreak="0">
    <w:nsid w:val="3F804B34"/>
    <w:multiLevelType w:val="hybridMultilevel"/>
    <w:tmpl w:val="8288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83656"/>
    <w:multiLevelType w:val="hybridMultilevel"/>
    <w:tmpl w:val="6FDA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2CF5D49"/>
    <w:multiLevelType w:val="hybridMultilevel"/>
    <w:tmpl w:val="746CF170"/>
    <w:lvl w:ilvl="0" w:tplc="0C090001">
      <w:start w:val="1"/>
      <w:numFmt w:val="bullet"/>
      <w:lvlText w:val=""/>
      <w:lvlJc w:val="left"/>
      <w:pPr>
        <w:ind w:left="720" w:hanging="360"/>
      </w:pPr>
      <w:rPr>
        <w:rFonts w:ascii="Symbol" w:hAnsi="Symbol" w:hint="default"/>
      </w:rPr>
    </w:lvl>
    <w:lvl w:ilvl="1" w:tplc="100885C0">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7366B"/>
    <w:multiLevelType w:val="hybridMultilevel"/>
    <w:tmpl w:val="738ADEA8"/>
    <w:lvl w:ilvl="0" w:tplc="A7EEF762">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784D033C"/>
    <w:multiLevelType w:val="multilevel"/>
    <w:tmpl w:val="549EC2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5447C2"/>
    <w:multiLevelType w:val="hybridMultilevel"/>
    <w:tmpl w:val="29D400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5"/>
  </w:num>
  <w:num w:numId="2">
    <w:abstractNumId w:val="9"/>
  </w:num>
  <w:num w:numId="3">
    <w:abstractNumId w:val="0"/>
  </w:num>
  <w:num w:numId="4">
    <w:abstractNumId w:val="15"/>
  </w:num>
  <w:num w:numId="5">
    <w:abstractNumId w:val="13"/>
  </w:num>
  <w:num w:numId="6">
    <w:abstractNumId w:val="14"/>
  </w:num>
  <w:num w:numId="7">
    <w:abstractNumId w:val="6"/>
  </w:num>
  <w:num w:numId="8">
    <w:abstractNumId w:val="8"/>
  </w:num>
  <w:num w:numId="9">
    <w:abstractNumId w:val="17"/>
  </w:num>
  <w:num w:numId="10">
    <w:abstractNumId w:val="7"/>
  </w:num>
  <w:num w:numId="11">
    <w:abstractNumId w:val="16"/>
  </w:num>
  <w:num w:numId="12">
    <w:abstractNumId w:val="10"/>
  </w:num>
  <w:num w:numId="13">
    <w:abstractNumId w:val="11"/>
  </w:num>
  <w:num w:numId="14">
    <w:abstractNumId w:val="2"/>
  </w:num>
  <w:num w:numId="15">
    <w:abstractNumId w:val="1"/>
  </w:num>
  <w:num w:numId="16">
    <w:abstractNumId w:val="4"/>
  </w:num>
  <w:num w:numId="17">
    <w:abstractNumId w:val="5"/>
  </w:num>
  <w:num w:numId="18">
    <w:abstractNumId w:val="3"/>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39A"/>
    <w:rsid w:val="00013247"/>
    <w:rsid w:val="00014D96"/>
    <w:rsid w:val="00015886"/>
    <w:rsid w:val="00015DEF"/>
    <w:rsid w:val="000161E9"/>
    <w:rsid w:val="000162EF"/>
    <w:rsid w:val="000207C9"/>
    <w:rsid w:val="000208FC"/>
    <w:rsid w:val="0002225F"/>
    <w:rsid w:val="00023763"/>
    <w:rsid w:val="000249C1"/>
    <w:rsid w:val="000274B8"/>
    <w:rsid w:val="000327D5"/>
    <w:rsid w:val="00033863"/>
    <w:rsid w:val="00035DC0"/>
    <w:rsid w:val="00036829"/>
    <w:rsid w:val="00040664"/>
    <w:rsid w:val="00040895"/>
    <w:rsid w:val="000435EE"/>
    <w:rsid w:val="00043C37"/>
    <w:rsid w:val="00045017"/>
    <w:rsid w:val="00045A2B"/>
    <w:rsid w:val="0004698F"/>
    <w:rsid w:val="00050D70"/>
    <w:rsid w:val="000526A2"/>
    <w:rsid w:val="00053729"/>
    <w:rsid w:val="000539D0"/>
    <w:rsid w:val="00054621"/>
    <w:rsid w:val="000546D7"/>
    <w:rsid w:val="00056ECF"/>
    <w:rsid w:val="000604DF"/>
    <w:rsid w:val="000605CE"/>
    <w:rsid w:val="00063DBF"/>
    <w:rsid w:val="000653B5"/>
    <w:rsid w:val="000657E5"/>
    <w:rsid w:val="00066360"/>
    <w:rsid w:val="00066AF8"/>
    <w:rsid w:val="00071248"/>
    <w:rsid w:val="000720B9"/>
    <w:rsid w:val="000737F7"/>
    <w:rsid w:val="00073BB1"/>
    <w:rsid w:val="000745AF"/>
    <w:rsid w:val="0007672F"/>
    <w:rsid w:val="00076B54"/>
    <w:rsid w:val="000774F0"/>
    <w:rsid w:val="00080909"/>
    <w:rsid w:val="000812CA"/>
    <w:rsid w:val="00081E63"/>
    <w:rsid w:val="0008258D"/>
    <w:rsid w:val="00083E99"/>
    <w:rsid w:val="00084FA8"/>
    <w:rsid w:val="000856C5"/>
    <w:rsid w:val="00085C31"/>
    <w:rsid w:val="000902D9"/>
    <w:rsid w:val="00090C7E"/>
    <w:rsid w:val="00092600"/>
    <w:rsid w:val="0009262B"/>
    <w:rsid w:val="00092ECE"/>
    <w:rsid w:val="00093310"/>
    <w:rsid w:val="0009445C"/>
    <w:rsid w:val="00095200"/>
    <w:rsid w:val="00095FE5"/>
    <w:rsid w:val="00096284"/>
    <w:rsid w:val="000A1BC0"/>
    <w:rsid w:val="000A6039"/>
    <w:rsid w:val="000A7453"/>
    <w:rsid w:val="000A7D08"/>
    <w:rsid w:val="000B0121"/>
    <w:rsid w:val="000B0670"/>
    <w:rsid w:val="000B0E75"/>
    <w:rsid w:val="000B2D0D"/>
    <w:rsid w:val="000B2DCB"/>
    <w:rsid w:val="000B3954"/>
    <w:rsid w:val="000B4A32"/>
    <w:rsid w:val="000B5CE0"/>
    <w:rsid w:val="000B6CAC"/>
    <w:rsid w:val="000B7197"/>
    <w:rsid w:val="000B7612"/>
    <w:rsid w:val="000B78AE"/>
    <w:rsid w:val="000C3016"/>
    <w:rsid w:val="000C3DF9"/>
    <w:rsid w:val="000C6713"/>
    <w:rsid w:val="000D12C9"/>
    <w:rsid w:val="000D1BFC"/>
    <w:rsid w:val="000D1D5D"/>
    <w:rsid w:val="000D281A"/>
    <w:rsid w:val="000D2848"/>
    <w:rsid w:val="000D326A"/>
    <w:rsid w:val="000D51FB"/>
    <w:rsid w:val="000E0640"/>
    <w:rsid w:val="000E135D"/>
    <w:rsid w:val="000E150E"/>
    <w:rsid w:val="000E41C4"/>
    <w:rsid w:val="000E56EB"/>
    <w:rsid w:val="000F00BA"/>
    <w:rsid w:val="000F2DD7"/>
    <w:rsid w:val="000F316A"/>
    <w:rsid w:val="000F3C74"/>
    <w:rsid w:val="000F4BB8"/>
    <w:rsid w:val="000F4FA9"/>
    <w:rsid w:val="000F53FB"/>
    <w:rsid w:val="000F652D"/>
    <w:rsid w:val="000F7127"/>
    <w:rsid w:val="000F7A2A"/>
    <w:rsid w:val="000F7B54"/>
    <w:rsid w:val="00100F8A"/>
    <w:rsid w:val="00101853"/>
    <w:rsid w:val="0010452E"/>
    <w:rsid w:val="00105995"/>
    <w:rsid w:val="00105AE2"/>
    <w:rsid w:val="001060C6"/>
    <w:rsid w:val="00106B80"/>
    <w:rsid w:val="001073B0"/>
    <w:rsid w:val="0011032E"/>
    <w:rsid w:val="0011348B"/>
    <w:rsid w:val="00115982"/>
    <w:rsid w:val="0011695B"/>
    <w:rsid w:val="00116C53"/>
    <w:rsid w:val="00121799"/>
    <w:rsid w:val="001222FC"/>
    <w:rsid w:val="00123902"/>
    <w:rsid w:val="00124A51"/>
    <w:rsid w:val="00126621"/>
    <w:rsid w:val="00126B1D"/>
    <w:rsid w:val="001301E9"/>
    <w:rsid w:val="00131D82"/>
    <w:rsid w:val="00132B22"/>
    <w:rsid w:val="00133D36"/>
    <w:rsid w:val="00134AB2"/>
    <w:rsid w:val="001366E6"/>
    <w:rsid w:val="00137645"/>
    <w:rsid w:val="0014015A"/>
    <w:rsid w:val="00140E99"/>
    <w:rsid w:val="00143F67"/>
    <w:rsid w:val="00145540"/>
    <w:rsid w:val="001456B0"/>
    <w:rsid w:val="00156F8F"/>
    <w:rsid w:val="00157130"/>
    <w:rsid w:val="001576B1"/>
    <w:rsid w:val="0016047B"/>
    <w:rsid w:val="00160701"/>
    <w:rsid w:val="00160A4C"/>
    <w:rsid w:val="00162913"/>
    <w:rsid w:val="00163EFF"/>
    <w:rsid w:val="00163F66"/>
    <w:rsid w:val="001661FB"/>
    <w:rsid w:val="001671A0"/>
    <w:rsid w:val="0016767F"/>
    <w:rsid w:val="001679FD"/>
    <w:rsid w:val="001714CA"/>
    <w:rsid w:val="001727AF"/>
    <w:rsid w:val="00173565"/>
    <w:rsid w:val="00173B07"/>
    <w:rsid w:val="001744F4"/>
    <w:rsid w:val="001751FA"/>
    <w:rsid w:val="00177040"/>
    <w:rsid w:val="00180D1F"/>
    <w:rsid w:val="00181D9C"/>
    <w:rsid w:val="00184B0E"/>
    <w:rsid w:val="00186FF2"/>
    <w:rsid w:val="0018752F"/>
    <w:rsid w:val="001913CF"/>
    <w:rsid w:val="00193838"/>
    <w:rsid w:val="00194AD8"/>
    <w:rsid w:val="00195222"/>
    <w:rsid w:val="001975D8"/>
    <w:rsid w:val="001A178E"/>
    <w:rsid w:val="001A2261"/>
    <w:rsid w:val="001A43FA"/>
    <w:rsid w:val="001A47C5"/>
    <w:rsid w:val="001A59FB"/>
    <w:rsid w:val="001A5E9E"/>
    <w:rsid w:val="001A6354"/>
    <w:rsid w:val="001A6366"/>
    <w:rsid w:val="001A7AE8"/>
    <w:rsid w:val="001B204E"/>
    <w:rsid w:val="001B2372"/>
    <w:rsid w:val="001B3443"/>
    <w:rsid w:val="001B4D20"/>
    <w:rsid w:val="001B6F16"/>
    <w:rsid w:val="001C2148"/>
    <w:rsid w:val="001C2A9B"/>
    <w:rsid w:val="001C4299"/>
    <w:rsid w:val="001C4874"/>
    <w:rsid w:val="001C4E34"/>
    <w:rsid w:val="001C5F94"/>
    <w:rsid w:val="001C66D2"/>
    <w:rsid w:val="001C6E66"/>
    <w:rsid w:val="001D1100"/>
    <w:rsid w:val="001D1391"/>
    <w:rsid w:val="001D25D7"/>
    <w:rsid w:val="001D50B2"/>
    <w:rsid w:val="001D7645"/>
    <w:rsid w:val="001E1E86"/>
    <w:rsid w:val="001E238E"/>
    <w:rsid w:val="001E2483"/>
    <w:rsid w:val="001E2B1E"/>
    <w:rsid w:val="001E2CFF"/>
    <w:rsid w:val="001E2F24"/>
    <w:rsid w:val="001E30D4"/>
    <w:rsid w:val="001E34DF"/>
    <w:rsid w:val="001E52EB"/>
    <w:rsid w:val="001E61D2"/>
    <w:rsid w:val="001E740C"/>
    <w:rsid w:val="001F0C9B"/>
    <w:rsid w:val="001F1235"/>
    <w:rsid w:val="001F1CB3"/>
    <w:rsid w:val="001F38B5"/>
    <w:rsid w:val="001F4081"/>
    <w:rsid w:val="001F426E"/>
    <w:rsid w:val="001F7361"/>
    <w:rsid w:val="002011B0"/>
    <w:rsid w:val="00203181"/>
    <w:rsid w:val="00203783"/>
    <w:rsid w:val="0020385F"/>
    <w:rsid w:val="002068A0"/>
    <w:rsid w:val="00207021"/>
    <w:rsid w:val="0020732F"/>
    <w:rsid w:val="00207D00"/>
    <w:rsid w:val="002105C1"/>
    <w:rsid w:val="00213EF5"/>
    <w:rsid w:val="00216BF5"/>
    <w:rsid w:val="00223B49"/>
    <w:rsid w:val="00223D5A"/>
    <w:rsid w:val="00224DD4"/>
    <w:rsid w:val="002278A0"/>
    <w:rsid w:val="002309CC"/>
    <w:rsid w:val="0023209F"/>
    <w:rsid w:val="00232675"/>
    <w:rsid w:val="00233C01"/>
    <w:rsid w:val="0023413C"/>
    <w:rsid w:val="002346F0"/>
    <w:rsid w:val="0023565D"/>
    <w:rsid w:val="0023629D"/>
    <w:rsid w:val="00237255"/>
    <w:rsid w:val="002424AF"/>
    <w:rsid w:val="0024378C"/>
    <w:rsid w:val="002439DC"/>
    <w:rsid w:val="002441D2"/>
    <w:rsid w:val="00244DC8"/>
    <w:rsid w:val="002454E9"/>
    <w:rsid w:val="002458BA"/>
    <w:rsid w:val="00245CE9"/>
    <w:rsid w:val="0024636C"/>
    <w:rsid w:val="00247225"/>
    <w:rsid w:val="00247925"/>
    <w:rsid w:val="00251006"/>
    <w:rsid w:val="002524D5"/>
    <w:rsid w:val="00253B1D"/>
    <w:rsid w:val="00254DCF"/>
    <w:rsid w:val="0025534B"/>
    <w:rsid w:val="00255BB7"/>
    <w:rsid w:val="00257541"/>
    <w:rsid w:val="00257A39"/>
    <w:rsid w:val="00257AC4"/>
    <w:rsid w:val="00261EEF"/>
    <w:rsid w:val="00262A1A"/>
    <w:rsid w:val="00262A87"/>
    <w:rsid w:val="00264D26"/>
    <w:rsid w:val="00267642"/>
    <w:rsid w:val="00267AEA"/>
    <w:rsid w:val="002700E6"/>
    <w:rsid w:val="0027294B"/>
    <w:rsid w:val="00273EB4"/>
    <w:rsid w:val="0027411D"/>
    <w:rsid w:val="00274682"/>
    <w:rsid w:val="00275C5A"/>
    <w:rsid w:val="00276650"/>
    <w:rsid w:val="002776E1"/>
    <w:rsid w:val="00281014"/>
    <w:rsid w:val="0028665D"/>
    <w:rsid w:val="00287EC3"/>
    <w:rsid w:val="002A14AB"/>
    <w:rsid w:val="002A2ADE"/>
    <w:rsid w:val="002A2B51"/>
    <w:rsid w:val="002A2F50"/>
    <w:rsid w:val="002B05A1"/>
    <w:rsid w:val="002B09A4"/>
    <w:rsid w:val="002B1C1F"/>
    <w:rsid w:val="002B3DDA"/>
    <w:rsid w:val="002B432F"/>
    <w:rsid w:val="002B54E9"/>
    <w:rsid w:val="002B62B3"/>
    <w:rsid w:val="002B6754"/>
    <w:rsid w:val="002B6CCE"/>
    <w:rsid w:val="002B7A99"/>
    <w:rsid w:val="002C2510"/>
    <w:rsid w:val="002C2775"/>
    <w:rsid w:val="002C27C1"/>
    <w:rsid w:val="002C5099"/>
    <w:rsid w:val="002C5889"/>
    <w:rsid w:val="002C6D8C"/>
    <w:rsid w:val="002C71CE"/>
    <w:rsid w:val="002D08F8"/>
    <w:rsid w:val="002D296A"/>
    <w:rsid w:val="002D577C"/>
    <w:rsid w:val="002E1071"/>
    <w:rsid w:val="002E15B9"/>
    <w:rsid w:val="002E2158"/>
    <w:rsid w:val="002E4F02"/>
    <w:rsid w:val="002E7722"/>
    <w:rsid w:val="002F07BA"/>
    <w:rsid w:val="002F0DA9"/>
    <w:rsid w:val="002F1014"/>
    <w:rsid w:val="002F643C"/>
    <w:rsid w:val="002F71C0"/>
    <w:rsid w:val="002F74F1"/>
    <w:rsid w:val="00301017"/>
    <w:rsid w:val="0030155F"/>
    <w:rsid w:val="0030587B"/>
    <w:rsid w:val="00306D98"/>
    <w:rsid w:val="0030786C"/>
    <w:rsid w:val="0031031A"/>
    <w:rsid w:val="00310981"/>
    <w:rsid w:val="003124D9"/>
    <w:rsid w:val="00312594"/>
    <w:rsid w:val="00315498"/>
    <w:rsid w:val="00316474"/>
    <w:rsid w:val="00322107"/>
    <w:rsid w:val="00322355"/>
    <w:rsid w:val="00322846"/>
    <w:rsid w:val="00325411"/>
    <w:rsid w:val="00325D38"/>
    <w:rsid w:val="00326DA7"/>
    <w:rsid w:val="003270E4"/>
    <w:rsid w:val="00327675"/>
    <w:rsid w:val="0032799D"/>
    <w:rsid w:val="00327CB7"/>
    <w:rsid w:val="00330DAA"/>
    <w:rsid w:val="00330F5C"/>
    <w:rsid w:val="003314E8"/>
    <w:rsid w:val="003366C9"/>
    <w:rsid w:val="003371B0"/>
    <w:rsid w:val="00340DF1"/>
    <w:rsid w:val="00343A24"/>
    <w:rsid w:val="0034449D"/>
    <w:rsid w:val="00345DC6"/>
    <w:rsid w:val="003517F9"/>
    <w:rsid w:val="00351BA9"/>
    <w:rsid w:val="00353AAF"/>
    <w:rsid w:val="00354F64"/>
    <w:rsid w:val="0035620E"/>
    <w:rsid w:val="00360345"/>
    <w:rsid w:val="00361A05"/>
    <w:rsid w:val="003624C4"/>
    <w:rsid w:val="00363B00"/>
    <w:rsid w:val="003654AC"/>
    <w:rsid w:val="003710CF"/>
    <w:rsid w:val="0037358A"/>
    <w:rsid w:val="003750F6"/>
    <w:rsid w:val="003760FC"/>
    <w:rsid w:val="0038365C"/>
    <w:rsid w:val="0038369B"/>
    <w:rsid w:val="00383B78"/>
    <w:rsid w:val="00385A9D"/>
    <w:rsid w:val="00390012"/>
    <w:rsid w:val="003902B1"/>
    <w:rsid w:val="00391256"/>
    <w:rsid w:val="0039179C"/>
    <w:rsid w:val="00391BF4"/>
    <w:rsid w:val="00394C5B"/>
    <w:rsid w:val="00396896"/>
    <w:rsid w:val="00396FD0"/>
    <w:rsid w:val="003971D3"/>
    <w:rsid w:val="003A1A7A"/>
    <w:rsid w:val="003A2392"/>
    <w:rsid w:val="003A2831"/>
    <w:rsid w:val="003A3CB6"/>
    <w:rsid w:val="003A3ED1"/>
    <w:rsid w:val="003A44DB"/>
    <w:rsid w:val="003A4B6A"/>
    <w:rsid w:val="003A6DD9"/>
    <w:rsid w:val="003A786D"/>
    <w:rsid w:val="003B2ED4"/>
    <w:rsid w:val="003B3971"/>
    <w:rsid w:val="003B55D1"/>
    <w:rsid w:val="003B5B61"/>
    <w:rsid w:val="003C1654"/>
    <w:rsid w:val="003C5542"/>
    <w:rsid w:val="003C621C"/>
    <w:rsid w:val="003C63A3"/>
    <w:rsid w:val="003C7D19"/>
    <w:rsid w:val="003C7D2F"/>
    <w:rsid w:val="003D15F1"/>
    <w:rsid w:val="003D1828"/>
    <w:rsid w:val="003D1DE4"/>
    <w:rsid w:val="003D1E9A"/>
    <w:rsid w:val="003D2422"/>
    <w:rsid w:val="003D39A1"/>
    <w:rsid w:val="003D3FBF"/>
    <w:rsid w:val="003D4A30"/>
    <w:rsid w:val="003D6C63"/>
    <w:rsid w:val="003D73F1"/>
    <w:rsid w:val="003D7452"/>
    <w:rsid w:val="003D7644"/>
    <w:rsid w:val="003D79BB"/>
    <w:rsid w:val="003D7C98"/>
    <w:rsid w:val="003D7D9D"/>
    <w:rsid w:val="003E0543"/>
    <w:rsid w:val="003E60B9"/>
    <w:rsid w:val="003E749E"/>
    <w:rsid w:val="003F208F"/>
    <w:rsid w:val="003F2A6A"/>
    <w:rsid w:val="003F2D50"/>
    <w:rsid w:val="003F4156"/>
    <w:rsid w:val="003F4FF6"/>
    <w:rsid w:val="003F5ADF"/>
    <w:rsid w:val="003F6FFB"/>
    <w:rsid w:val="0040081E"/>
    <w:rsid w:val="00400B29"/>
    <w:rsid w:val="00401891"/>
    <w:rsid w:val="0040504B"/>
    <w:rsid w:val="004059F4"/>
    <w:rsid w:val="00407FE5"/>
    <w:rsid w:val="004101B0"/>
    <w:rsid w:val="00410326"/>
    <w:rsid w:val="00410708"/>
    <w:rsid w:val="00410B89"/>
    <w:rsid w:val="00410EC7"/>
    <w:rsid w:val="00411B39"/>
    <w:rsid w:val="004127A7"/>
    <w:rsid w:val="00412FA9"/>
    <w:rsid w:val="00413A1E"/>
    <w:rsid w:val="00414476"/>
    <w:rsid w:val="00414C2E"/>
    <w:rsid w:val="004151CF"/>
    <w:rsid w:val="00416364"/>
    <w:rsid w:val="0042047F"/>
    <w:rsid w:val="00420AA6"/>
    <w:rsid w:val="00420B9F"/>
    <w:rsid w:val="0042192C"/>
    <w:rsid w:val="00422260"/>
    <w:rsid w:val="0042413F"/>
    <w:rsid w:val="004261D9"/>
    <w:rsid w:val="004319F8"/>
    <w:rsid w:val="00431E55"/>
    <w:rsid w:val="004321F6"/>
    <w:rsid w:val="00433044"/>
    <w:rsid w:val="00433892"/>
    <w:rsid w:val="00434088"/>
    <w:rsid w:val="00434AF3"/>
    <w:rsid w:val="00437528"/>
    <w:rsid w:val="004375B9"/>
    <w:rsid w:val="004428D0"/>
    <w:rsid w:val="00444185"/>
    <w:rsid w:val="004443A7"/>
    <w:rsid w:val="0044442C"/>
    <w:rsid w:val="00445941"/>
    <w:rsid w:val="004464EB"/>
    <w:rsid w:val="00447D26"/>
    <w:rsid w:val="00447DFC"/>
    <w:rsid w:val="00455D45"/>
    <w:rsid w:val="0046193F"/>
    <w:rsid w:val="00464595"/>
    <w:rsid w:val="004658B5"/>
    <w:rsid w:val="00471EA5"/>
    <w:rsid w:val="0047209A"/>
    <w:rsid w:val="00472A79"/>
    <w:rsid w:val="00473F19"/>
    <w:rsid w:val="00475E22"/>
    <w:rsid w:val="004777DA"/>
    <w:rsid w:val="004801F2"/>
    <w:rsid w:val="0048088E"/>
    <w:rsid w:val="00480F2B"/>
    <w:rsid w:val="00481E19"/>
    <w:rsid w:val="00482720"/>
    <w:rsid w:val="004835E7"/>
    <w:rsid w:val="004867E2"/>
    <w:rsid w:val="00490B17"/>
    <w:rsid w:val="00490F85"/>
    <w:rsid w:val="0049120A"/>
    <w:rsid w:val="00491B3A"/>
    <w:rsid w:val="004921DC"/>
    <w:rsid w:val="00492CFD"/>
    <w:rsid w:val="00494207"/>
    <w:rsid w:val="00494DD5"/>
    <w:rsid w:val="00495F70"/>
    <w:rsid w:val="004962D2"/>
    <w:rsid w:val="004A0DA1"/>
    <w:rsid w:val="004A13D6"/>
    <w:rsid w:val="004A2E1B"/>
    <w:rsid w:val="004A52E9"/>
    <w:rsid w:val="004A6040"/>
    <w:rsid w:val="004A6597"/>
    <w:rsid w:val="004A7848"/>
    <w:rsid w:val="004B1CB4"/>
    <w:rsid w:val="004B1EDF"/>
    <w:rsid w:val="004B2F18"/>
    <w:rsid w:val="004B3DDB"/>
    <w:rsid w:val="004B44FD"/>
    <w:rsid w:val="004B5CFC"/>
    <w:rsid w:val="004B6F79"/>
    <w:rsid w:val="004B768F"/>
    <w:rsid w:val="004B774D"/>
    <w:rsid w:val="004C4AED"/>
    <w:rsid w:val="004C6AB5"/>
    <w:rsid w:val="004D1D3B"/>
    <w:rsid w:val="004D2C2D"/>
    <w:rsid w:val="004D3420"/>
    <w:rsid w:val="004D42E9"/>
    <w:rsid w:val="004D69B5"/>
    <w:rsid w:val="004D7227"/>
    <w:rsid w:val="004E0E7F"/>
    <w:rsid w:val="004E0EB8"/>
    <w:rsid w:val="004E18E9"/>
    <w:rsid w:val="004E2ADC"/>
    <w:rsid w:val="004E43B2"/>
    <w:rsid w:val="004F14DC"/>
    <w:rsid w:val="004F1D02"/>
    <w:rsid w:val="004F2679"/>
    <w:rsid w:val="004F2C42"/>
    <w:rsid w:val="004F2F21"/>
    <w:rsid w:val="004F3DE5"/>
    <w:rsid w:val="004F6913"/>
    <w:rsid w:val="004F7865"/>
    <w:rsid w:val="0050174E"/>
    <w:rsid w:val="00501854"/>
    <w:rsid w:val="0050219B"/>
    <w:rsid w:val="00503F17"/>
    <w:rsid w:val="00506928"/>
    <w:rsid w:val="005077EF"/>
    <w:rsid w:val="00511AD5"/>
    <w:rsid w:val="00511DC7"/>
    <w:rsid w:val="005142C5"/>
    <w:rsid w:val="0051501B"/>
    <w:rsid w:val="005152B5"/>
    <w:rsid w:val="0052123C"/>
    <w:rsid w:val="00521319"/>
    <w:rsid w:val="00522BC8"/>
    <w:rsid w:val="00523C28"/>
    <w:rsid w:val="0053176B"/>
    <w:rsid w:val="005362FB"/>
    <w:rsid w:val="00536F42"/>
    <w:rsid w:val="00537182"/>
    <w:rsid w:val="00541EDD"/>
    <w:rsid w:val="00542743"/>
    <w:rsid w:val="00542C2D"/>
    <w:rsid w:val="00543D8C"/>
    <w:rsid w:val="00544E24"/>
    <w:rsid w:val="005478BD"/>
    <w:rsid w:val="005479E3"/>
    <w:rsid w:val="00551985"/>
    <w:rsid w:val="00552BD3"/>
    <w:rsid w:val="005532A0"/>
    <w:rsid w:val="00555109"/>
    <w:rsid w:val="00556696"/>
    <w:rsid w:val="00556B35"/>
    <w:rsid w:val="0055741A"/>
    <w:rsid w:val="005603E9"/>
    <w:rsid w:val="005611B7"/>
    <w:rsid w:val="005618D4"/>
    <w:rsid w:val="00565DF0"/>
    <w:rsid w:val="0056696F"/>
    <w:rsid w:val="00572269"/>
    <w:rsid w:val="0057244A"/>
    <w:rsid w:val="00572F26"/>
    <w:rsid w:val="005750C5"/>
    <w:rsid w:val="005752DE"/>
    <w:rsid w:val="00575D8D"/>
    <w:rsid w:val="00576972"/>
    <w:rsid w:val="00583699"/>
    <w:rsid w:val="00585CDD"/>
    <w:rsid w:val="00587058"/>
    <w:rsid w:val="00590BC3"/>
    <w:rsid w:val="00591957"/>
    <w:rsid w:val="00593BA5"/>
    <w:rsid w:val="005940B3"/>
    <w:rsid w:val="005954B8"/>
    <w:rsid w:val="00597BF9"/>
    <w:rsid w:val="005A309A"/>
    <w:rsid w:val="005A373D"/>
    <w:rsid w:val="005B0B58"/>
    <w:rsid w:val="005B2DF2"/>
    <w:rsid w:val="005B4E53"/>
    <w:rsid w:val="005B5857"/>
    <w:rsid w:val="005B640B"/>
    <w:rsid w:val="005C1B83"/>
    <w:rsid w:val="005C25FF"/>
    <w:rsid w:val="005C2D55"/>
    <w:rsid w:val="005C346B"/>
    <w:rsid w:val="005C3A2F"/>
    <w:rsid w:val="005D044D"/>
    <w:rsid w:val="005D0ABD"/>
    <w:rsid w:val="005D18AD"/>
    <w:rsid w:val="005D1E6F"/>
    <w:rsid w:val="005D26B4"/>
    <w:rsid w:val="005D4D55"/>
    <w:rsid w:val="005D7590"/>
    <w:rsid w:val="005E3554"/>
    <w:rsid w:val="005E695D"/>
    <w:rsid w:val="005E6CBC"/>
    <w:rsid w:val="005E72FF"/>
    <w:rsid w:val="005E73C0"/>
    <w:rsid w:val="005F2706"/>
    <w:rsid w:val="005F49A8"/>
    <w:rsid w:val="005F6255"/>
    <w:rsid w:val="005F6A8F"/>
    <w:rsid w:val="005F6BB7"/>
    <w:rsid w:val="005F7588"/>
    <w:rsid w:val="0060097A"/>
    <w:rsid w:val="00603DB9"/>
    <w:rsid w:val="006054B8"/>
    <w:rsid w:val="00605BA9"/>
    <w:rsid w:val="00606229"/>
    <w:rsid w:val="00606FBA"/>
    <w:rsid w:val="00607669"/>
    <w:rsid w:val="006076F4"/>
    <w:rsid w:val="00607AFD"/>
    <w:rsid w:val="00612A58"/>
    <w:rsid w:val="00612F97"/>
    <w:rsid w:val="0061345D"/>
    <w:rsid w:val="0061549B"/>
    <w:rsid w:val="00615F8E"/>
    <w:rsid w:val="00616802"/>
    <w:rsid w:val="00617E12"/>
    <w:rsid w:val="00620C25"/>
    <w:rsid w:val="00621477"/>
    <w:rsid w:val="00621ADA"/>
    <w:rsid w:val="00623F7B"/>
    <w:rsid w:val="00624990"/>
    <w:rsid w:val="0063158F"/>
    <w:rsid w:val="00631D6B"/>
    <w:rsid w:val="00632183"/>
    <w:rsid w:val="006330A1"/>
    <w:rsid w:val="0063479F"/>
    <w:rsid w:val="006353F0"/>
    <w:rsid w:val="006357B5"/>
    <w:rsid w:val="00636413"/>
    <w:rsid w:val="006364A1"/>
    <w:rsid w:val="0063678E"/>
    <w:rsid w:val="00637BFD"/>
    <w:rsid w:val="00641C4E"/>
    <w:rsid w:val="00641FB3"/>
    <w:rsid w:val="00644151"/>
    <w:rsid w:val="0064434C"/>
    <w:rsid w:val="006471CC"/>
    <w:rsid w:val="00647252"/>
    <w:rsid w:val="00647A29"/>
    <w:rsid w:val="0065079F"/>
    <w:rsid w:val="00652A28"/>
    <w:rsid w:val="0065379F"/>
    <w:rsid w:val="006537E2"/>
    <w:rsid w:val="00656188"/>
    <w:rsid w:val="0065715A"/>
    <w:rsid w:val="006601A4"/>
    <w:rsid w:val="00660B87"/>
    <w:rsid w:val="006610F1"/>
    <w:rsid w:val="00661C6B"/>
    <w:rsid w:val="00671004"/>
    <w:rsid w:val="00672646"/>
    <w:rsid w:val="00674E42"/>
    <w:rsid w:val="006808F2"/>
    <w:rsid w:val="006813F8"/>
    <w:rsid w:val="00681805"/>
    <w:rsid w:val="00682112"/>
    <w:rsid w:val="00682BA6"/>
    <w:rsid w:val="00686957"/>
    <w:rsid w:val="006872BA"/>
    <w:rsid w:val="00690795"/>
    <w:rsid w:val="00691648"/>
    <w:rsid w:val="006917D7"/>
    <w:rsid w:val="0069434C"/>
    <w:rsid w:val="00694F44"/>
    <w:rsid w:val="00696F51"/>
    <w:rsid w:val="006979A5"/>
    <w:rsid w:val="006979ED"/>
    <w:rsid w:val="006A6B99"/>
    <w:rsid w:val="006A7E5F"/>
    <w:rsid w:val="006B261B"/>
    <w:rsid w:val="006B2C90"/>
    <w:rsid w:val="006B35E6"/>
    <w:rsid w:val="006B465A"/>
    <w:rsid w:val="006B6DD0"/>
    <w:rsid w:val="006C0399"/>
    <w:rsid w:val="006C042B"/>
    <w:rsid w:val="006C2A8E"/>
    <w:rsid w:val="006C3255"/>
    <w:rsid w:val="006C3F26"/>
    <w:rsid w:val="006D0D17"/>
    <w:rsid w:val="006D1204"/>
    <w:rsid w:val="006D2872"/>
    <w:rsid w:val="006D3C7D"/>
    <w:rsid w:val="006D4659"/>
    <w:rsid w:val="006D5D5F"/>
    <w:rsid w:val="006D68FB"/>
    <w:rsid w:val="006E2868"/>
    <w:rsid w:val="006E2DF6"/>
    <w:rsid w:val="006E514B"/>
    <w:rsid w:val="006E5FC1"/>
    <w:rsid w:val="006F306C"/>
    <w:rsid w:val="006F5F5B"/>
    <w:rsid w:val="006F63A5"/>
    <w:rsid w:val="006F786D"/>
    <w:rsid w:val="0070142B"/>
    <w:rsid w:val="0070276E"/>
    <w:rsid w:val="00702F8F"/>
    <w:rsid w:val="00703282"/>
    <w:rsid w:val="007079FC"/>
    <w:rsid w:val="00711A36"/>
    <w:rsid w:val="00714C26"/>
    <w:rsid w:val="0071529C"/>
    <w:rsid w:val="00716FE3"/>
    <w:rsid w:val="007170DA"/>
    <w:rsid w:val="007172AD"/>
    <w:rsid w:val="00720801"/>
    <w:rsid w:val="00722B1B"/>
    <w:rsid w:val="0072416F"/>
    <w:rsid w:val="00724C6F"/>
    <w:rsid w:val="00727C94"/>
    <w:rsid w:val="00731B0A"/>
    <w:rsid w:val="00731EAE"/>
    <w:rsid w:val="0073249B"/>
    <w:rsid w:val="00733073"/>
    <w:rsid w:val="00735033"/>
    <w:rsid w:val="00735328"/>
    <w:rsid w:val="0073685B"/>
    <w:rsid w:val="00737070"/>
    <w:rsid w:val="0074307B"/>
    <w:rsid w:val="007449BF"/>
    <w:rsid w:val="00746832"/>
    <w:rsid w:val="00746BC0"/>
    <w:rsid w:val="007510B4"/>
    <w:rsid w:val="00752142"/>
    <w:rsid w:val="007523F9"/>
    <w:rsid w:val="00752C63"/>
    <w:rsid w:val="0075357E"/>
    <w:rsid w:val="007573E8"/>
    <w:rsid w:val="00760C4E"/>
    <w:rsid w:val="00760F9E"/>
    <w:rsid w:val="007627BE"/>
    <w:rsid w:val="00764F03"/>
    <w:rsid w:val="00765B1A"/>
    <w:rsid w:val="00770DAC"/>
    <w:rsid w:val="00772C06"/>
    <w:rsid w:val="00777335"/>
    <w:rsid w:val="00777CE9"/>
    <w:rsid w:val="007843F2"/>
    <w:rsid w:val="00785811"/>
    <w:rsid w:val="00785A9F"/>
    <w:rsid w:val="007867F3"/>
    <w:rsid w:val="00791064"/>
    <w:rsid w:val="007925DF"/>
    <w:rsid w:val="007925E0"/>
    <w:rsid w:val="007926E8"/>
    <w:rsid w:val="00797E2A"/>
    <w:rsid w:val="007A08AA"/>
    <w:rsid w:val="007A0A12"/>
    <w:rsid w:val="007A132D"/>
    <w:rsid w:val="007A1345"/>
    <w:rsid w:val="007A2DDB"/>
    <w:rsid w:val="007A70BA"/>
    <w:rsid w:val="007B0D68"/>
    <w:rsid w:val="007B251D"/>
    <w:rsid w:val="007B4E87"/>
    <w:rsid w:val="007B4F58"/>
    <w:rsid w:val="007B528D"/>
    <w:rsid w:val="007B5D7F"/>
    <w:rsid w:val="007B63CA"/>
    <w:rsid w:val="007B77D1"/>
    <w:rsid w:val="007C07C7"/>
    <w:rsid w:val="007C1CD9"/>
    <w:rsid w:val="007C214F"/>
    <w:rsid w:val="007C32EF"/>
    <w:rsid w:val="007C361D"/>
    <w:rsid w:val="007C4B84"/>
    <w:rsid w:val="007C4EDF"/>
    <w:rsid w:val="007C70FF"/>
    <w:rsid w:val="007C7C25"/>
    <w:rsid w:val="007D004F"/>
    <w:rsid w:val="007D0284"/>
    <w:rsid w:val="007D0B38"/>
    <w:rsid w:val="007D46C5"/>
    <w:rsid w:val="007D5440"/>
    <w:rsid w:val="007D69EB"/>
    <w:rsid w:val="007D7892"/>
    <w:rsid w:val="007E128F"/>
    <w:rsid w:val="007E6E82"/>
    <w:rsid w:val="007F1017"/>
    <w:rsid w:val="007F4A3F"/>
    <w:rsid w:val="007F4A61"/>
    <w:rsid w:val="007F5255"/>
    <w:rsid w:val="007F56CC"/>
    <w:rsid w:val="007F61C2"/>
    <w:rsid w:val="00804FF1"/>
    <w:rsid w:val="00805142"/>
    <w:rsid w:val="00805FCE"/>
    <w:rsid w:val="00807A8B"/>
    <w:rsid w:val="00811383"/>
    <w:rsid w:val="00812149"/>
    <w:rsid w:val="00812CAC"/>
    <w:rsid w:val="00816361"/>
    <w:rsid w:val="008166EF"/>
    <w:rsid w:val="00816FEF"/>
    <w:rsid w:val="00820115"/>
    <w:rsid w:val="00820A8C"/>
    <w:rsid w:val="008215FB"/>
    <w:rsid w:val="008222AC"/>
    <w:rsid w:val="00823174"/>
    <w:rsid w:val="008231AC"/>
    <w:rsid w:val="00825751"/>
    <w:rsid w:val="008264EB"/>
    <w:rsid w:val="00833B05"/>
    <w:rsid w:val="008362B4"/>
    <w:rsid w:val="00840CA2"/>
    <w:rsid w:val="0084374F"/>
    <w:rsid w:val="00844A22"/>
    <w:rsid w:val="00846D68"/>
    <w:rsid w:val="00847703"/>
    <w:rsid w:val="00847DF5"/>
    <w:rsid w:val="0085309D"/>
    <w:rsid w:val="00856897"/>
    <w:rsid w:val="00856E9A"/>
    <w:rsid w:val="0086075D"/>
    <w:rsid w:val="00860AFD"/>
    <w:rsid w:val="00862502"/>
    <w:rsid w:val="00862CC1"/>
    <w:rsid w:val="008660D4"/>
    <w:rsid w:val="00871FA9"/>
    <w:rsid w:val="008728E9"/>
    <w:rsid w:val="00875511"/>
    <w:rsid w:val="00882874"/>
    <w:rsid w:val="00882E3C"/>
    <w:rsid w:val="00883787"/>
    <w:rsid w:val="008855E4"/>
    <w:rsid w:val="008859CF"/>
    <w:rsid w:val="0088659B"/>
    <w:rsid w:val="00886CD2"/>
    <w:rsid w:val="00891E6F"/>
    <w:rsid w:val="0089275D"/>
    <w:rsid w:val="00892A36"/>
    <w:rsid w:val="00893239"/>
    <w:rsid w:val="00894489"/>
    <w:rsid w:val="008963A5"/>
    <w:rsid w:val="00896970"/>
    <w:rsid w:val="00896D5D"/>
    <w:rsid w:val="008A3363"/>
    <w:rsid w:val="008A3371"/>
    <w:rsid w:val="008A3C3E"/>
    <w:rsid w:val="008A79DE"/>
    <w:rsid w:val="008B1757"/>
    <w:rsid w:val="008B7992"/>
    <w:rsid w:val="008B7D7E"/>
    <w:rsid w:val="008C3266"/>
    <w:rsid w:val="008C5610"/>
    <w:rsid w:val="008C5739"/>
    <w:rsid w:val="008C7ECB"/>
    <w:rsid w:val="008D3B86"/>
    <w:rsid w:val="008D4755"/>
    <w:rsid w:val="008D4C3D"/>
    <w:rsid w:val="008D67AE"/>
    <w:rsid w:val="008D67D6"/>
    <w:rsid w:val="008D743C"/>
    <w:rsid w:val="008E0D3C"/>
    <w:rsid w:val="008E1B9E"/>
    <w:rsid w:val="008E1FE9"/>
    <w:rsid w:val="008E4D06"/>
    <w:rsid w:val="008E55AB"/>
    <w:rsid w:val="008F120A"/>
    <w:rsid w:val="008F27E0"/>
    <w:rsid w:val="008F48EB"/>
    <w:rsid w:val="008F4F0B"/>
    <w:rsid w:val="009046C4"/>
    <w:rsid w:val="009062A5"/>
    <w:rsid w:val="00910FA7"/>
    <w:rsid w:val="00911272"/>
    <w:rsid w:val="009135D6"/>
    <w:rsid w:val="00914C77"/>
    <w:rsid w:val="00921ACB"/>
    <w:rsid w:val="0092369B"/>
    <w:rsid w:val="00934988"/>
    <w:rsid w:val="00937089"/>
    <w:rsid w:val="00944F8A"/>
    <w:rsid w:val="009510A2"/>
    <w:rsid w:val="00953257"/>
    <w:rsid w:val="0095474C"/>
    <w:rsid w:val="00954EDE"/>
    <w:rsid w:val="00960893"/>
    <w:rsid w:val="00960D3C"/>
    <w:rsid w:val="009615B0"/>
    <w:rsid w:val="00962CB9"/>
    <w:rsid w:val="00963726"/>
    <w:rsid w:val="00964312"/>
    <w:rsid w:val="00965B8A"/>
    <w:rsid w:val="0097071F"/>
    <w:rsid w:val="009717AC"/>
    <w:rsid w:val="00971FD4"/>
    <w:rsid w:val="009723F5"/>
    <w:rsid w:val="009751C1"/>
    <w:rsid w:val="00975F73"/>
    <w:rsid w:val="009802AC"/>
    <w:rsid w:val="009811F1"/>
    <w:rsid w:val="00983E57"/>
    <w:rsid w:val="00984428"/>
    <w:rsid w:val="00985DE2"/>
    <w:rsid w:val="0098675D"/>
    <w:rsid w:val="009926E0"/>
    <w:rsid w:val="00994265"/>
    <w:rsid w:val="0099451E"/>
    <w:rsid w:val="00996B1A"/>
    <w:rsid w:val="00997EA9"/>
    <w:rsid w:val="009A2DCC"/>
    <w:rsid w:val="009A5ABC"/>
    <w:rsid w:val="009A7F10"/>
    <w:rsid w:val="009B3E26"/>
    <w:rsid w:val="009C3706"/>
    <w:rsid w:val="009C3A3A"/>
    <w:rsid w:val="009C3D9D"/>
    <w:rsid w:val="009C5C54"/>
    <w:rsid w:val="009C6CEA"/>
    <w:rsid w:val="009C7B85"/>
    <w:rsid w:val="009D0254"/>
    <w:rsid w:val="009D1A64"/>
    <w:rsid w:val="009D5333"/>
    <w:rsid w:val="009D5B91"/>
    <w:rsid w:val="009D792E"/>
    <w:rsid w:val="009E0DFE"/>
    <w:rsid w:val="009E31F6"/>
    <w:rsid w:val="009E3789"/>
    <w:rsid w:val="009E4996"/>
    <w:rsid w:val="009E4C07"/>
    <w:rsid w:val="009F2DFF"/>
    <w:rsid w:val="00A00D0D"/>
    <w:rsid w:val="00A01184"/>
    <w:rsid w:val="00A037C2"/>
    <w:rsid w:val="00A03ABB"/>
    <w:rsid w:val="00A03D43"/>
    <w:rsid w:val="00A04380"/>
    <w:rsid w:val="00A05472"/>
    <w:rsid w:val="00A05C32"/>
    <w:rsid w:val="00A0653F"/>
    <w:rsid w:val="00A077D6"/>
    <w:rsid w:val="00A104BC"/>
    <w:rsid w:val="00A11CD0"/>
    <w:rsid w:val="00A13948"/>
    <w:rsid w:val="00A143B2"/>
    <w:rsid w:val="00A1555B"/>
    <w:rsid w:val="00A155C5"/>
    <w:rsid w:val="00A16AD8"/>
    <w:rsid w:val="00A1752F"/>
    <w:rsid w:val="00A21C95"/>
    <w:rsid w:val="00A21CF3"/>
    <w:rsid w:val="00A24813"/>
    <w:rsid w:val="00A27AEC"/>
    <w:rsid w:val="00A320DB"/>
    <w:rsid w:val="00A3387B"/>
    <w:rsid w:val="00A35D16"/>
    <w:rsid w:val="00A37BCD"/>
    <w:rsid w:val="00A41689"/>
    <w:rsid w:val="00A42592"/>
    <w:rsid w:val="00A43C59"/>
    <w:rsid w:val="00A50ECD"/>
    <w:rsid w:val="00A518F3"/>
    <w:rsid w:val="00A52729"/>
    <w:rsid w:val="00A53675"/>
    <w:rsid w:val="00A53AF5"/>
    <w:rsid w:val="00A564D7"/>
    <w:rsid w:val="00A56B6A"/>
    <w:rsid w:val="00A578DC"/>
    <w:rsid w:val="00A640E2"/>
    <w:rsid w:val="00A64D65"/>
    <w:rsid w:val="00A65FE0"/>
    <w:rsid w:val="00A6725B"/>
    <w:rsid w:val="00A70605"/>
    <w:rsid w:val="00A71449"/>
    <w:rsid w:val="00A73134"/>
    <w:rsid w:val="00A76001"/>
    <w:rsid w:val="00A761E5"/>
    <w:rsid w:val="00A777B2"/>
    <w:rsid w:val="00A81CD0"/>
    <w:rsid w:val="00A825D4"/>
    <w:rsid w:val="00A828F6"/>
    <w:rsid w:val="00A82B73"/>
    <w:rsid w:val="00A83A92"/>
    <w:rsid w:val="00A8437B"/>
    <w:rsid w:val="00A86627"/>
    <w:rsid w:val="00A86E8B"/>
    <w:rsid w:val="00A87164"/>
    <w:rsid w:val="00A93072"/>
    <w:rsid w:val="00A938BD"/>
    <w:rsid w:val="00A93953"/>
    <w:rsid w:val="00A95751"/>
    <w:rsid w:val="00A959D8"/>
    <w:rsid w:val="00AA113D"/>
    <w:rsid w:val="00AA4A54"/>
    <w:rsid w:val="00AA6BD5"/>
    <w:rsid w:val="00AA6BD8"/>
    <w:rsid w:val="00AA6C7D"/>
    <w:rsid w:val="00AA7FD6"/>
    <w:rsid w:val="00AB042A"/>
    <w:rsid w:val="00AB06CC"/>
    <w:rsid w:val="00AB19EF"/>
    <w:rsid w:val="00AB2288"/>
    <w:rsid w:val="00AB2D34"/>
    <w:rsid w:val="00AB3430"/>
    <w:rsid w:val="00AB37B9"/>
    <w:rsid w:val="00AB4AD1"/>
    <w:rsid w:val="00AB5E07"/>
    <w:rsid w:val="00AB6D2F"/>
    <w:rsid w:val="00AB7CFA"/>
    <w:rsid w:val="00AC1826"/>
    <w:rsid w:val="00AC54BA"/>
    <w:rsid w:val="00AC5B48"/>
    <w:rsid w:val="00AD1450"/>
    <w:rsid w:val="00AD6502"/>
    <w:rsid w:val="00AE0695"/>
    <w:rsid w:val="00AE3B9C"/>
    <w:rsid w:val="00AE3E7E"/>
    <w:rsid w:val="00AE4360"/>
    <w:rsid w:val="00AE5F1A"/>
    <w:rsid w:val="00AF1315"/>
    <w:rsid w:val="00AF19BF"/>
    <w:rsid w:val="00AF2DC3"/>
    <w:rsid w:val="00AF422C"/>
    <w:rsid w:val="00B021CE"/>
    <w:rsid w:val="00B033E5"/>
    <w:rsid w:val="00B03A63"/>
    <w:rsid w:val="00B046FD"/>
    <w:rsid w:val="00B04732"/>
    <w:rsid w:val="00B13911"/>
    <w:rsid w:val="00B13D82"/>
    <w:rsid w:val="00B201A4"/>
    <w:rsid w:val="00B201D1"/>
    <w:rsid w:val="00B213A6"/>
    <w:rsid w:val="00B220D9"/>
    <w:rsid w:val="00B22A8E"/>
    <w:rsid w:val="00B235B0"/>
    <w:rsid w:val="00B24DF6"/>
    <w:rsid w:val="00B34FE2"/>
    <w:rsid w:val="00B35166"/>
    <w:rsid w:val="00B357D8"/>
    <w:rsid w:val="00B360F4"/>
    <w:rsid w:val="00B36A00"/>
    <w:rsid w:val="00B37BFC"/>
    <w:rsid w:val="00B40358"/>
    <w:rsid w:val="00B41614"/>
    <w:rsid w:val="00B42851"/>
    <w:rsid w:val="00B42F80"/>
    <w:rsid w:val="00B435CB"/>
    <w:rsid w:val="00B505C8"/>
    <w:rsid w:val="00B50DB8"/>
    <w:rsid w:val="00B52DD0"/>
    <w:rsid w:val="00B53654"/>
    <w:rsid w:val="00B53905"/>
    <w:rsid w:val="00B54B5B"/>
    <w:rsid w:val="00B5562E"/>
    <w:rsid w:val="00B55D65"/>
    <w:rsid w:val="00B56F83"/>
    <w:rsid w:val="00B57000"/>
    <w:rsid w:val="00B60939"/>
    <w:rsid w:val="00B60AFD"/>
    <w:rsid w:val="00B62715"/>
    <w:rsid w:val="00B65611"/>
    <w:rsid w:val="00B702F4"/>
    <w:rsid w:val="00B70E8E"/>
    <w:rsid w:val="00B7475D"/>
    <w:rsid w:val="00B76C92"/>
    <w:rsid w:val="00B80DC9"/>
    <w:rsid w:val="00B80E7A"/>
    <w:rsid w:val="00B818A4"/>
    <w:rsid w:val="00B81930"/>
    <w:rsid w:val="00B84117"/>
    <w:rsid w:val="00B858F0"/>
    <w:rsid w:val="00B85AA2"/>
    <w:rsid w:val="00B8649C"/>
    <w:rsid w:val="00B86916"/>
    <w:rsid w:val="00B8695D"/>
    <w:rsid w:val="00B86E6C"/>
    <w:rsid w:val="00B87F0A"/>
    <w:rsid w:val="00B92D0B"/>
    <w:rsid w:val="00B9349B"/>
    <w:rsid w:val="00B948DF"/>
    <w:rsid w:val="00B94945"/>
    <w:rsid w:val="00B94DD6"/>
    <w:rsid w:val="00BA29F2"/>
    <w:rsid w:val="00BA322D"/>
    <w:rsid w:val="00BA3F26"/>
    <w:rsid w:val="00BA4773"/>
    <w:rsid w:val="00BA4CA1"/>
    <w:rsid w:val="00BA5625"/>
    <w:rsid w:val="00BA63FA"/>
    <w:rsid w:val="00BA6652"/>
    <w:rsid w:val="00BB00B3"/>
    <w:rsid w:val="00BB0BDD"/>
    <w:rsid w:val="00BB176C"/>
    <w:rsid w:val="00BB2A73"/>
    <w:rsid w:val="00BB39ED"/>
    <w:rsid w:val="00BB3A45"/>
    <w:rsid w:val="00BB4ACC"/>
    <w:rsid w:val="00BB703E"/>
    <w:rsid w:val="00BB732D"/>
    <w:rsid w:val="00BB7405"/>
    <w:rsid w:val="00BC16D3"/>
    <w:rsid w:val="00BC3631"/>
    <w:rsid w:val="00BC591F"/>
    <w:rsid w:val="00BC7D6D"/>
    <w:rsid w:val="00BD2108"/>
    <w:rsid w:val="00BD4F15"/>
    <w:rsid w:val="00BD68A3"/>
    <w:rsid w:val="00BD6938"/>
    <w:rsid w:val="00BD6CF3"/>
    <w:rsid w:val="00BE0ECA"/>
    <w:rsid w:val="00BE2180"/>
    <w:rsid w:val="00BE21F2"/>
    <w:rsid w:val="00BE4275"/>
    <w:rsid w:val="00BE5D46"/>
    <w:rsid w:val="00BF06AE"/>
    <w:rsid w:val="00BF0F95"/>
    <w:rsid w:val="00BF2433"/>
    <w:rsid w:val="00BF33E7"/>
    <w:rsid w:val="00BF61C9"/>
    <w:rsid w:val="00BF68E0"/>
    <w:rsid w:val="00BF6C94"/>
    <w:rsid w:val="00C00424"/>
    <w:rsid w:val="00C1179F"/>
    <w:rsid w:val="00C12C14"/>
    <w:rsid w:val="00C15F04"/>
    <w:rsid w:val="00C179B3"/>
    <w:rsid w:val="00C17E3F"/>
    <w:rsid w:val="00C200AA"/>
    <w:rsid w:val="00C237ED"/>
    <w:rsid w:val="00C24632"/>
    <w:rsid w:val="00C25418"/>
    <w:rsid w:val="00C25475"/>
    <w:rsid w:val="00C25D9C"/>
    <w:rsid w:val="00C2778B"/>
    <w:rsid w:val="00C30A75"/>
    <w:rsid w:val="00C31649"/>
    <w:rsid w:val="00C3434C"/>
    <w:rsid w:val="00C359AE"/>
    <w:rsid w:val="00C3689D"/>
    <w:rsid w:val="00C375BD"/>
    <w:rsid w:val="00C40385"/>
    <w:rsid w:val="00C41708"/>
    <w:rsid w:val="00C41768"/>
    <w:rsid w:val="00C45D5C"/>
    <w:rsid w:val="00C475AA"/>
    <w:rsid w:val="00C5094F"/>
    <w:rsid w:val="00C53C98"/>
    <w:rsid w:val="00C5539E"/>
    <w:rsid w:val="00C56FCF"/>
    <w:rsid w:val="00C57B6C"/>
    <w:rsid w:val="00C615D8"/>
    <w:rsid w:val="00C61C12"/>
    <w:rsid w:val="00C628A6"/>
    <w:rsid w:val="00C64344"/>
    <w:rsid w:val="00C65108"/>
    <w:rsid w:val="00C65576"/>
    <w:rsid w:val="00C66165"/>
    <w:rsid w:val="00C7060A"/>
    <w:rsid w:val="00C7151A"/>
    <w:rsid w:val="00C717E3"/>
    <w:rsid w:val="00C71F60"/>
    <w:rsid w:val="00C72241"/>
    <w:rsid w:val="00C72823"/>
    <w:rsid w:val="00C74373"/>
    <w:rsid w:val="00C750C8"/>
    <w:rsid w:val="00C7560F"/>
    <w:rsid w:val="00C75C0C"/>
    <w:rsid w:val="00C80A0E"/>
    <w:rsid w:val="00C8213F"/>
    <w:rsid w:val="00C85154"/>
    <w:rsid w:val="00C8797A"/>
    <w:rsid w:val="00C9003C"/>
    <w:rsid w:val="00C900B8"/>
    <w:rsid w:val="00C90C71"/>
    <w:rsid w:val="00C91FD1"/>
    <w:rsid w:val="00C922C1"/>
    <w:rsid w:val="00C931CF"/>
    <w:rsid w:val="00C938CF"/>
    <w:rsid w:val="00C94053"/>
    <w:rsid w:val="00C9624D"/>
    <w:rsid w:val="00C969DA"/>
    <w:rsid w:val="00CA103E"/>
    <w:rsid w:val="00CA1C94"/>
    <w:rsid w:val="00CA2C77"/>
    <w:rsid w:val="00CA444F"/>
    <w:rsid w:val="00CA5245"/>
    <w:rsid w:val="00CA71F4"/>
    <w:rsid w:val="00CA74A8"/>
    <w:rsid w:val="00CA7B09"/>
    <w:rsid w:val="00CB0B4B"/>
    <w:rsid w:val="00CB12A5"/>
    <w:rsid w:val="00CB1CAC"/>
    <w:rsid w:val="00CB2F2A"/>
    <w:rsid w:val="00CB41CF"/>
    <w:rsid w:val="00CB5B1A"/>
    <w:rsid w:val="00CB6B22"/>
    <w:rsid w:val="00CB7F5F"/>
    <w:rsid w:val="00CC0967"/>
    <w:rsid w:val="00CC1B39"/>
    <w:rsid w:val="00CC35EA"/>
    <w:rsid w:val="00CC3848"/>
    <w:rsid w:val="00CC7E08"/>
    <w:rsid w:val="00CD3063"/>
    <w:rsid w:val="00CD3F77"/>
    <w:rsid w:val="00CD6ADC"/>
    <w:rsid w:val="00CD7193"/>
    <w:rsid w:val="00CE38C8"/>
    <w:rsid w:val="00CE6274"/>
    <w:rsid w:val="00CE752F"/>
    <w:rsid w:val="00CE77B6"/>
    <w:rsid w:val="00CF13A2"/>
    <w:rsid w:val="00CF2B8D"/>
    <w:rsid w:val="00CF456B"/>
    <w:rsid w:val="00CF5A22"/>
    <w:rsid w:val="00D0262E"/>
    <w:rsid w:val="00D05E3D"/>
    <w:rsid w:val="00D06139"/>
    <w:rsid w:val="00D110BD"/>
    <w:rsid w:val="00D13675"/>
    <w:rsid w:val="00D141E1"/>
    <w:rsid w:val="00D15314"/>
    <w:rsid w:val="00D17D6C"/>
    <w:rsid w:val="00D2155B"/>
    <w:rsid w:val="00D21656"/>
    <w:rsid w:val="00D23D11"/>
    <w:rsid w:val="00D244B6"/>
    <w:rsid w:val="00D248EE"/>
    <w:rsid w:val="00D2754D"/>
    <w:rsid w:val="00D27B27"/>
    <w:rsid w:val="00D27D38"/>
    <w:rsid w:val="00D33BE9"/>
    <w:rsid w:val="00D33F93"/>
    <w:rsid w:val="00D3513F"/>
    <w:rsid w:val="00D357FF"/>
    <w:rsid w:val="00D424C7"/>
    <w:rsid w:val="00D43B2A"/>
    <w:rsid w:val="00D43D83"/>
    <w:rsid w:val="00D47575"/>
    <w:rsid w:val="00D5243B"/>
    <w:rsid w:val="00D52EF7"/>
    <w:rsid w:val="00D533EC"/>
    <w:rsid w:val="00D54C9E"/>
    <w:rsid w:val="00D56A95"/>
    <w:rsid w:val="00D570FA"/>
    <w:rsid w:val="00D7053F"/>
    <w:rsid w:val="00D70F16"/>
    <w:rsid w:val="00D72F57"/>
    <w:rsid w:val="00D76A44"/>
    <w:rsid w:val="00D76B38"/>
    <w:rsid w:val="00D815EF"/>
    <w:rsid w:val="00D81F26"/>
    <w:rsid w:val="00D86231"/>
    <w:rsid w:val="00D91923"/>
    <w:rsid w:val="00D93753"/>
    <w:rsid w:val="00DA3167"/>
    <w:rsid w:val="00DA4DC3"/>
    <w:rsid w:val="00DA77A5"/>
    <w:rsid w:val="00DB0655"/>
    <w:rsid w:val="00DB3DBF"/>
    <w:rsid w:val="00DB484F"/>
    <w:rsid w:val="00DB4899"/>
    <w:rsid w:val="00DB66E7"/>
    <w:rsid w:val="00DC04F6"/>
    <w:rsid w:val="00DC0690"/>
    <w:rsid w:val="00DC1D65"/>
    <w:rsid w:val="00DC3301"/>
    <w:rsid w:val="00DC3C57"/>
    <w:rsid w:val="00DC5501"/>
    <w:rsid w:val="00DC7154"/>
    <w:rsid w:val="00DC7E8A"/>
    <w:rsid w:val="00DD0F78"/>
    <w:rsid w:val="00DD1610"/>
    <w:rsid w:val="00DD273C"/>
    <w:rsid w:val="00DD2C60"/>
    <w:rsid w:val="00DD3F28"/>
    <w:rsid w:val="00DD4537"/>
    <w:rsid w:val="00DD4E15"/>
    <w:rsid w:val="00DE2304"/>
    <w:rsid w:val="00DE2747"/>
    <w:rsid w:val="00DE3138"/>
    <w:rsid w:val="00DE37F8"/>
    <w:rsid w:val="00DE4FCB"/>
    <w:rsid w:val="00DE5D07"/>
    <w:rsid w:val="00DE72A7"/>
    <w:rsid w:val="00DE7832"/>
    <w:rsid w:val="00DF18FC"/>
    <w:rsid w:val="00DF5D2B"/>
    <w:rsid w:val="00DF7B08"/>
    <w:rsid w:val="00E00E8E"/>
    <w:rsid w:val="00E05630"/>
    <w:rsid w:val="00E06DBB"/>
    <w:rsid w:val="00E10149"/>
    <w:rsid w:val="00E10C5E"/>
    <w:rsid w:val="00E11340"/>
    <w:rsid w:val="00E122A1"/>
    <w:rsid w:val="00E127B6"/>
    <w:rsid w:val="00E16372"/>
    <w:rsid w:val="00E20E4D"/>
    <w:rsid w:val="00E20E73"/>
    <w:rsid w:val="00E20ED6"/>
    <w:rsid w:val="00E21358"/>
    <w:rsid w:val="00E2249B"/>
    <w:rsid w:val="00E22A0D"/>
    <w:rsid w:val="00E244F6"/>
    <w:rsid w:val="00E2771E"/>
    <w:rsid w:val="00E30A80"/>
    <w:rsid w:val="00E311EF"/>
    <w:rsid w:val="00E32180"/>
    <w:rsid w:val="00E34948"/>
    <w:rsid w:val="00E3607A"/>
    <w:rsid w:val="00E37569"/>
    <w:rsid w:val="00E37853"/>
    <w:rsid w:val="00E401B2"/>
    <w:rsid w:val="00E41E30"/>
    <w:rsid w:val="00E42F73"/>
    <w:rsid w:val="00E43D70"/>
    <w:rsid w:val="00E45B05"/>
    <w:rsid w:val="00E466F3"/>
    <w:rsid w:val="00E46B46"/>
    <w:rsid w:val="00E47B2C"/>
    <w:rsid w:val="00E51560"/>
    <w:rsid w:val="00E53FC8"/>
    <w:rsid w:val="00E54347"/>
    <w:rsid w:val="00E55424"/>
    <w:rsid w:val="00E55915"/>
    <w:rsid w:val="00E55BB5"/>
    <w:rsid w:val="00E65E79"/>
    <w:rsid w:val="00E66BA2"/>
    <w:rsid w:val="00E67416"/>
    <w:rsid w:val="00E706AA"/>
    <w:rsid w:val="00E718B6"/>
    <w:rsid w:val="00E72149"/>
    <w:rsid w:val="00E723BA"/>
    <w:rsid w:val="00E73581"/>
    <w:rsid w:val="00E833F7"/>
    <w:rsid w:val="00E83BDF"/>
    <w:rsid w:val="00E87A1D"/>
    <w:rsid w:val="00E9094A"/>
    <w:rsid w:val="00E91D35"/>
    <w:rsid w:val="00E926A5"/>
    <w:rsid w:val="00EA17C3"/>
    <w:rsid w:val="00EA2CAA"/>
    <w:rsid w:val="00EA3864"/>
    <w:rsid w:val="00EA4588"/>
    <w:rsid w:val="00EA798F"/>
    <w:rsid w:val="00EA7F1C"/>
    <w:rsid w:val="00EB155C"/>
    <w:rsid w:val="00EB15B6"/>
    <w:rsid w:val="00EB3D06"/>
    <w:rsid w:val="00EB4916"/>
    <w:rsid w:val="00EB7B30"/>
    <w:rsid w:val="00EC00C9"/>
    <w:rsid w:val="00EC0DD9"/>
    <w:rsid w:val="00EC2649"/>
    <w:rsid w:val="00EC2C9A"/>
    <w:rsid w:val="00EC31ED"/>
    <w:rsid w:val="00EC3749"/>
    <w:rsid w:val="00EC54CC"/>
    <w:rsid w:val="00EC5836"/>
    <w:rsid w:val="00EC688C"/>
    <w:rsid w:val="00ED1AF9"/>
    <w:rsid w:val="00ED57EA"/>
    <w:rsid w:val="00ED5BD4"/>
    <w:rsid w:val="00ED7B73"/>
    <w:rsid w:val="00EE07D3"/>
    <w:rsid w:val="00EE1996"/>
    <w:rsid w:val="00EE1C01"/>
    <w:rsid w:val="00EE22AF"/>
    <w:rsid w:val="00EE2F33"/>
    <w:rsid w:val="00EF0171"/>
    <w:rsid w:val="00EF1B25"/>
    <w:rsid w:val="00EF1DA0"/>
    <w:rsid w:val="00EF4747"/>
    <w:rsid w:val="00EF4BF8"/>
    <w:rsid w:val="00F02253"/>
    <w:rsid w:val="00F03C2E"/>
    <w:rsid w:val="00F04A66"/>
    <w:rsid w:val="00F04B4B"/>
    <w:rsid w:val="00F0516C"/>
    <w:rsid w:val="00F067A2"/>
    <w:rsid w:val="00F07B9E"/>
    <w:rsid w:val="00F1116F"/>
    <w:rsid w:val="00F1263A"/>
    <w:rsid w:val="00F15B77"/>
    <w:rsid w:val="00F22F66"/>
    <w:rsid w:val="00F24837"/>
    <w:rsid w:val="00F2575F"/>
    <w:rsid w:val="00F27565"/>
    <w:rsid w:val="00F310D4"/>
    <w:rsid w:val="00F31D5A"/>
    <w:rsid w:val="00F33975"/>
    <w:rsid w:val="00F33DE9"/>
    <w:rsid w:val="00F35E6D"/>
    <w:rsid w:val="00F3619A"/>
    <w:rsid w:val="00F40AAA"/>
    <w:rsid w:val="00F40BA7"/>
    <w:rsid w:val="00F40F9D"/>
    <w:rsid w:val="00F41ACD"/>
    <w:rsid w:val="00F438D5"/>
    <w:rsid w:val="00F46CB6"/>
    <w:rsid w:val="00F4756D"/>
    <w:rsid w:val="00F47DE8"/>
    <w:rsid w:val="00F47FE6"/>
    <w:rsid w:val="00F51450"/>
    <w:rsid w:val="00F51C9F"/>
    <w:rsid w:val="00F53F95"/>
    <w:rsid w:val="00F542C1"/>
    <w:rsid w:val="00F55E73"/>
    <w:rsid w:val="00F55EDA"/>
    <w:rsid w:val="00F56C80"/>
    <w:rsid w:val="00F60092"/>
    <w:rsid w:val="00F61C18"/>
    <w:rsid w:val="00F63011"/>
    <w:rsid w:val="00F64DAE"/>
    <w:rsid w:val="00F65F4B"/>
    <w:rsid w:val="00F6744B"/>
    <w:rsid w:val="00F67A69"/>
    <w:rsid w:val="00F70BFF"/>
    <w:rsid w:val="00F70C9D"/>
    <w:rsid w:val="00F74CD9"/>
    <w:rsid w:val="00F80A7B"/>
    <w:rsid w:val="00F80E5D"/>
    <w:rsid w:val="00F81E78"/>
    <w:rsid w:val="00F84BB8"/>
    <w:rsid w:val="00F851CE"/>
    <w:rsid w:val="00F85440"/>
    <w:rsid w:val="00F87FCD"/>
    <w:rsid w:val="00F91219"/>
    <w:rsid w:val="00F92444"/>
    <w:rsid w:val="00F9328A"/>
    <w:rsid w:val="00F9393E"/>
    <w:rsid w:val="00F96FD0"/>
    <w:rsid w:val="00F97A78"/>
    <w:rsid w:val="00FA0B20"/>
    <w:rsid w:val="00FA24E7"/>
    <w:rsid w:val="00FA2715"/>
    <w:rsid w:val="00FA5EE6"/>
    <w:rsid w:val="00FA7956"/>
    <w:rsid w:val="00FB2FCB"/>
    <w:rsid w:val="00FB7C55"/>
    <w:rsid w:val="00FC1074"/>
    <w:rsid w:val="00FC1884"/>
    <w:rsid w:val="00FC26FD"/>
    <w:rsid w:val="00FC371D"/>
    <w:rsid w:val="00FC52CB"/>
    <w:rsid w:val="00FC5F0B"/>
    <w:rsid w:val="00FD08D9"/>
    <w:rsid w:val="00FD2100"/>
    <w:rsid w:val="00FD3A87"/>
    <w:rsid w:val="00FD436C"/>
    <w:rsid w:val="00FD43D0"/>
    <w:rsid w:val="00FD446D"/>
    <w:rsid w:val="00FD4F2C"/>
    <w:rsid w:val="00FD60E3"/>
    <w:rsid w:val="00FD6394"/>
    <w:rsid w:val="00FE0517"/>
    <w:rsid w:val="00FE0E6C"/>
    <w:rsid w:val="00FE1CDC"/>
    <w:rsid w:val="00FE372A"/>
    <w:rsid w:val="00FE70C3"/>
    <w:rsid w:val="00FF1E8F"/>
    <w:rsid w:val="00FF2AD9"/>
    <w:rsid w:val="00FF359F"/>
    <w:rsid w:val="00FF3DCF"/>
    <w:rsid w:val="00FF492C"/>
    <w:rsid w:val="00FF4A21"/>
    <w:rsid w:val="00FF4BF4"/>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7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2" w:qFormat="1"/>
    <w:lsdException w:name="heading 6" w:uiPriority="9"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1F"/>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uiPriority w:val="2"/>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basedOn w:val="Normal"/>
    <w:next w:val="Normal"/>
    <w:link w:val="Heading7Char"/>
    <w:uiPriority w:val="2"/>
    <w:qFormat/>
    <w:rsid w:val="00124A51"/>
    <w:pPr>
      <w:keepNext/>
      <w:jc w:val="center"/>
      <w:outlineLvl w:val="6"/>
    </w:pPr>
    <w:rPr>
      <w:b/>
      <w:sz w:val="20"/>
    </w:rPr>
  </w:style>
  <w:style w:type="paragraph" w:styleId="Heading8">
    <w:name w:val="heading 8"/>
    <w:basedOn w:val="Normal"/>
    <w:next w:val="Normal"/>
    <w:link w:val="Heading8Char"/>
    <w:uiPriority w:val="2"/>
    <w:qFormat/>
    <w:rsid w:val="00124A51"/>
    <w:pPr>
      <w:keepNext/>
      <w:jc w:val="right"/>
      <w:outlineLvl w:val="7"/>
    </w:pPr>
    <w:rPr>
      <w:b/>
    </w:rPr>
  </w:style>
  <w:style w:type="paragraph" w:styleId="Heading9">
    <w:name w:val="heading 9"/>
    <w:basedOn w:val="Normal"/>
    <w:next w:val="Normal"/>
    <w:link w:val="Heading9Char"/>
    <w:uiPriority w:val="2"/>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uiPriority w:val="2"/>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CaptionTable">
    <w:name w:val="Caption Table"/>
    <w:basedOn w:val="Normal"/>
    <w:next w:val="Normal"/>
    <w:link w:val="CaptionTableChar"/>
    <w:autoRedefine/>
    <w:rsid w:val="00E3607A"/>
    <w:pPr>
      <w:spacing w:before="240" w:after="80"/>
      <w:jc w:val="left"/>
    </w:pPr>
    <w:rPr>
      <w:rFonts w:asciiTheme="majorHAnsi" w:hAnsiTheme="majorHAnsi" w:cs="Calibri"/>
      <w:b/>
      <w:bCs/>
      <w:sz w:val="20"/>
      <w:szCs w:val="20"/>
      <w:lang w:eastAsia="en-US"/>
    </w:rPr>
  </w:style>
  <w:style w:type="character" w:customStyle="1" w:styleId="CaptionTableChar">
    <w:name w:val="Caption Table Char"/>
    <w:link w:val="CaptionTable"/>
    <w:rsid w:val="00E3607A"/>
    <w:rPr>
      <w:rFonts w:asciiTheme="majorHAnsi" w:hAnsiTheme="majorHAnsi" w:cs="Calibri"/>
      <w:b/>
      <w:bCs/>
      <w:lang w:eastAsia="en-US"/>
    </w:rPr>
  </w:style>
  <w:style w:type="character" w:styleId="Emphasis">
    <w:name w:val="Emphasis"/>
    <w:uiPriority w:val="20"/>
    <w:qFormat/>
    <w:rsid w:val="00BA5625"/>
    <w:rPr>
      <w:i/>
      <w:iCs/>
    </w:rPr>
  </w:style>
  <w:style w:type="character" w:customStyle="1" w:styleId="SmallUnderline">
    <w:name w:val="Small Underline"/>
    <w:uiPriority w:val="4"/>
    <w:qFormat/>
    <w:rsid w:val="00FC26FD"/>
    <w:rPr>
      <w:rFonts w:ascii="Candara" w:hAnsi="Candara"/>
      <w:sz w:val="20"/>
      <w:u w:val="single"/>
    </w:rPr>
  </w:style>
  <w:style w:type="paragraph" w:customStyle="1" w:styleId="Bullet1">
    <w:name w:val="Bullet 1"/>
    <w:basedOn w:val="Normal"/>
    <w:link w:val="Bullet1Char"/>
    <w:uiPriority w:val="9"/>
    <w:qFormat/>
    <w:rsid w:val="00647252"/>
    <w:pPr>
      <w:numPr>
        <w:numId w:val="6"/>
      </w:numPr>
      <w:spacing w:before="120" w:after="120" w:line="360" w:lineRule="auto"/>
      <w:contextualSpacing/>
      <w:jc w:val="left"/>
    </w:pPr>
    <w:rPr>
      <w:rFonts w:ascii="Cambria" w:hAnsi="Cambria" w:cs="Calibri"/>
      <w:color w:val="000000"/>
      <w:sz w:val="22"/>
      <w:szCs w:val="22"/>
      <w:lang w:val="en-GB" w:eastAsia="en-GB" w:bidi="en-US"/>
    </w:rPr>
  </w:style>
  <w:style w:type="character" w:customStyle="1" w:styleId="Bullet1Char">
    <w:name w:val="Bullet 1 Char"/>
    <w:link w:val="Bullet1"/>
    <w:uiPriority w:val="9"/>
    <w:rsid w:val="00647252"/>
    <w:rPr>
      <w:rFonts w:ascii="Cambria" w:hAnsi="Cambria" w:cs="Calibri"/>
      <w:color w:val="000000"/>
      <w:sz w:val="22"/>
      <w:szCs w:val="22"/>
      <w:lang w:val="en-GB" w:eastAsia="en-GB" w:bidi="en-US"/>
    </w:rPr>
  </w:style>
  <w:style w:type="paragraph" w:customStyle="1" w:styleId="TableHeadingRow">
    <w:name w:val="TableHeadingRow"/>
    <w:basedOn w:val="Normal"/>
    <w:next w:val="Bullet1"/>
    <w:rsid w:val="00647252"/>
    <w:pPr>
      <w:keepNext/>
      <w:spacing w:before="40" w:after="40"/>
      <w:jc w:val="left"/>
    </w:pPr>
    <w:rPr>
      <w:rFonts w:ascii="Arial Narrow" w:hAnsi="Arial Narrow" w:cs="Times New Roman"/>
      <w:b/>
      <w:bCs/>
      <w:iCs/>
      <w:sz w:val="20"/>
      <w:szCs w:val="18"/>
      <w:lang w:eastAsia="zh-CN"/>
    </w:rPr>
  </w:style>
  <w:style w:type="paragraph" w:customStyle="1" w:styleId="CaptionFootnote">
    <w:name w:val="Caption Footnote"/>
    <w:basedOn w:val="Caption"/>
    <w:link w:val="CaptionFootnoteChar"/>
    <w:qFormat/>
    <w:rsid w:val="00647252"/>
    <w:pPr>
      <w:spacing w:after="0"/>
    </w:pPr>
    <w:rPr>
      <w:rFonts w:asciiTheme="majorHAnsi" w:eastAsia="SimSun" w:hAnsiTheme="majorHAnsi" w:cstheme="majorHAnsi"/>
      <w:b w:val="0"/>
      <w:color w:val="auto"/>
      <w:szCs w:val="22"/>
      <w:lang w:val="en-US" w:eastAsia="en-GB" w:bidi="en-US"/>
    </w:rPr>
  </w:style>
  <w:style w:type="character" w:customStyle="1" w:styleId="CaptionFootnoteChar">
    <w:name w:val="Caption Footnote Char"/>
    <w:link w:val="CaptionFootnote"/>
    <w:rsid w:val="00647252"/>
    <w:rPr>
      <w:rFonts w:asciiTheme="majorHAnsi" w:eastAsia="SimSun" w:hAnsiTheme="majorHAnsi" w:cstheme="majorHAnsi"/>
      <w:bCs/>
      <w:sz w:val="18"/>
      <w:szCs w:val="22"/>
      <w:lang w:val="en-US" w:eastAsia="en-GB" w:bidi="en-US"/>
    </w:rPr>
  </w:style>
  <w:style w:type="paragraph" w:customStyle="1" w:styleId="TableTextcentred">
    <w:name w:val="Table Text centred"/>
    <w:basedOn w:val="Normal"/>
    <w:link w:val="TableTextcentredChar"/>
    <w:autoRedefine/>
    <w:qFormat/>
    <w:rsid w:val="004F2C42"/>
    <w:pPr>
      <w:spacing w:after="80"/>
      <w:jc w:val="left"/>
    </w:pPr>
    <w:rPr>
      <w:rFonts w:cs="Calibri"/>
      <w:sz w:val="18"/>
      <w:szCs w:val="20"/>
      <w:lang w:eastAsia="en-US"/>
    </w:rPr>
  </w:style>
  <w:style w:type="character" w:customStyle="1" w:styleId="TableTextcentredChar">
    <w:name w:val="Table Text centred Char"/>
    <w:link w:val="TableTextcentred"/>
    <w:rsid w:val="004F2C42"/>
    <w:rPr>
      <w:rFonts w:ascii="Calibri" w:hAnsi="Calibri" w:cs="Calibri"/>
      <w:sz w:val="18"/>
      <w:lang w:eastAsia="en-US"/>
    </w:rPr>
  </w:style>
  <w:style w:type="paragraph" w:customStyle="1" w:styleId="TableParagraph">
    <w:name w:val="Table Paragraph"/>
    <w:basedOn w:val="Normal"/>
    <w:uiPriority w:val="1"/>
    <w:qFormat/>
    <w:rsid w:val="003B2ED4"/>
    <w:pPr>
      <w:widowControl w:val="0"/>
      <w:autoSpaceDE w:val="0"/>
      <w:autoSpaceDN w:val="0"/>
      <w:spacing w:before="31"/>
      <w:jc w:val="left"/>
    </w:pPr>
    <w:rPr>
      <w:rFonts w:ascii="Times New Roman" w:hAnsi="Times New Roman" w:cs="Times New Roman"/>
      <w:sz w:val="22"/>
      <w:szCs w:val="22"/>
      <w:lang w:val="en-US" w:eastAsia="en-US"/>
    </w:rPr>
  </w:style>
  <w:style w:type="paragraph" w:customStyle="1" w:styleId="TableCentre">
    <w:name w:val="Table Centre"/>
    <w:basedOn w:val="Normal"/>
    <w:qFormat/>
    <w:rsid w:val="00A65FE0"/>
    <w:pPr>
      <w:jc w:val="center"/>
    </w:pPr>
    <w:rPr>
      <w:rFonts w:ascii="Arial Narrow" w:hAnsi="Arial Narrow" w:cs="Times New Roman"/>
      <w:sz w:val="20"/>
      <w:szCs w:val="22"/>
      <w:lang w:eastAsia="zh-CN" w:bidi="en-US"/>
    </w:rPr>
  </w:style>
  <w:style w:type="character" w:customStyle="1" w:styleId="Small">
    <w:name w:val="Small"/>
    <w:uiPriority w:val="4"/>
    <w:qFormat/>
    <w:rsid w:val="00D27D38"/>
    <w:rPr>
      <w:bCs/>
      <w:iCs/>
      <w:color w:val="000000" w:themeColor="text1"/>
      <w:sz w:val="24"/>
      <w:lang w:eastAsia="en-US"/>
    </w:rPr>
  </w:style>
  <w:style w:type="paragraph" w:customStyle="1" w:styleId="Tablebodytext">
    <w:name w:val="Table body text"/>
    <w:basedOn w:val="Normal"/>
    <w:link w:val="TablebodytextChar"/>
    <w:rsid w:val="00A8437B"/>
    <w:pPr>
      <w:keepNext/>
      <w:keepLines/>
      <w:spacing w:before="40" w:after="60"/>
      <w:jc w:val="left"/>
    </w:pPr>
    <w:rPr>
      <w:rFonts w:ascii="Arial Narrow" w:hAnsi="Arial Narrow" w:cs="Calibri"/>
      <w:sz w:val="20"/>
      <w:szCs w:val="22"/>
      <w:lang w:eastAsia="en-US"/>
    </w:rPr>
  </w:style>
  <w:style w:type="character" w:customStyle="1" w:styleId="TablebodytextChar">
    <w:name w:val="Table body text Char"/>
    <w:link w:val="Tablebodytext"/>
    <w:rsid w:val="00A8437B"/>
    <w:rPr>
      <w:rFonts w:ascii="Arial Narrow" w:hAnsi="Arial Narrow" w:cs="Calibri"/>
      <w:szCs w:val="22"/>
      <w:lang w:eastAsia="en-US"/>
    </w:rPr>
  </w:style>
  <w:style w:type="paragraph" w:customStyle="1" w:styleId="TableLeft">
    <w:name w:val="Table Left"/>
    <w:basedOn w:val="Normal"/>
    <w:link w:val="TableLeftChar"/>
    <w:uiPriority w:val="99"/>
    <w:qFormat/>
    <w:rsid w:val="00343A24"/>
    <w:pPr>
      <w:jc w:val="left"/>
    </w:pPr>
    <w:rPr>
      <w:rFonts w:ascii="Arial Narrow" w:eastAsia="Calibri" w:hAnsi="Arial Narrow" w:cs="Times New Roman"/>
      <w:sz w:val="20"/>
      <w:szCs w:val="22"/>
      <w:lang w:eastAsia="zh-CN"/>
    </w:rPr>
  </w:style>
  <w:style w:type="character" w:customStyle="1" w:styleId="TableLeftChar">
    <w:name w:val="Table Left Char"/>
    <w:link w:val="TableLeft"/>
    <w:uiPriority w:val="99"/>
    <w:locked/>
    <w:rsid w:val="00343A24"/>
    <w:rPr>
      <w:rFonts w:ascii="Arial Narrow" w:eastAsia="Calibri" w:hAnsi="Arial Narrow"/>
      <w:szCs w:val="22"/>
      <w:lang w:eastAsia="zh-CN"/>
    </w:rPr>
  </w:style>
  <w:style w:type="table" w:customStyle="1" w:styleId="Submissionstandard1">
    <w:name w:val="Submission standard1"/>
    <w:basedOn w:val="TableNormal"/>
    <w:uiPriority w:val="99"/>
    <w:qFormat/>
    <w:rsid w:val="00343A2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arlett" w:hAnsi="Marlett"/>
        <w:b/>
        <w:sz w:val="20"/>
      </w:rPr>
      <w:tblPr/>
      <w:tcPr>
        <w:shd w:val="clear" w:color="auto" w:fill="BFBFBF" w:themeFill="background1" w:themeFillShade="BF"/>
      </w:tcPr>
    </w:tblStylePr>
  </w:style>
  <w:style w:type="table" w:styleId="TableGridLight">
    <w:name w:val="Grid Table Light"/>
    <w:basedOn w:val="TableNormal"/>
    <w:uiPriority w:val="40"/>
    <w:rsid w:val="00343A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ondbullit">
    <w:name w:val="Second bullit"/>
    <w:basedOn w:val="Normal"/>
    <w:uiPriority w:val="99"/>
    <w:rsid w:val="00F438D5"/>
    <w:pPr>
      <w:numPr>
        <w:numId w:val="7"/>
      </w:numPr>
      <w:tabs>
        <w:tab w:val="left" w:pos="720"/>
        <w:tab w:val="left" w:pos="2160"/>
      </w:tabs>
      <w:spacing w:after="120"/>
      <w:jc w:val="left"/>
    </w:pPr>
    <w:rPr>
      <w:rFonts w:cs="Calibri"/>
      <w:spacing w:val="-3"/>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9847572">
      <w:bodyDiv w:val="1"/>
      <w:marLeft w:val="0"/>
      <w:marRight w:val="0"/>
      <w:marTop w:val="0"/>
      <w:marBottom w:val="0"/>
      <w:divBdr>
        <w:top w:val="none" w:sz="0" w:space="0" w:color="auto"/>
        <w:left w:val="none" w:sz="0" w:space="0" w:color="auto"/>
        <w:bottom w:val="none" w:sz="0" w:space="0" w:color="auto"/>
        <w:right w:val="none" w:sz="0" w:space="0" w:color="auto"/>
      </w:divBdr>
    </w:div>
    <w:div w:id="28581815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2197447">
      <w:bodyDiv w:val="1"/>
      <w:marLeft w:val="0"/>
      <w:marRight w:val="0"/>
      <w:marTop w:val="0"/>
      <w:marBottom w:val="0"/>
      <w:divBdr>
        <w:top w:val="none" w:sz="0" w:space="0" w:color="auto"/>
        <w:left w:val="none" w:sz="0" w:space="0" w:color="auto"/>
        <w:bottom w:val="none" w:sz="0" w:space="0" w:color="auto"/>
        <w:right w:val="none" w:sz="0" w:space="0" w:color="auto"/>
      </w:divBdr>
    </w:div>
    <w:div w:id="365955422">
      <w:bodyDiv w:val="1"/>
      <w:marLeft w:val="0"/>
      <w:marRight w:val="0"/>
      <w:marTop w:val="0"/>
      <w:marBottom w:val="0"/>
      <w:divBdr>
        <w:top w:val="none" w:sz="0" w:space="0" w:color="auto"/>
        <w:left w:val="none" w:sz="0" w:space="0" w:color="auto"/>
        <w:bottom w:val="none" w:sz="0" w:space="0" w:color="auto"/>
        <w:right w:val="none" w:sz="0" w:space="0" w:color="auto"/>
      </w:divBdr>
    </w:div>
    <w:div w:id="567572707">
      <w:bodyDiv w:val="1"/>
      <w:marLeft w:val="0"/>
      <w:marRight w:val="0"/>
      <w:marTop w:val="0"/>
      <w:marBottom w:val="0"/>
      <w:divBdr>
        <w:top w:val="none" w:sz="0" w:space="0" w:color="auto"/>
        <w:left w:val="none" w:sz="0" w:space="0" w:color="auto"/>
        <w:bottom w:val="none" w:sz="0" w:space="0" w:color="auto"/>
        <w:right w:val="none" w:sz="0" w:space="0" w:color="auto"/>
      </w:divBdr>
    </w:div>
    <w:div w:id="571040654">
      <w:bodyDiv w:val="1"/>
      <w:marLeft w:val="0"/>
      <w:marRight w:val="0"/>
      <w:marTop w:val="0"/>
      <w:marBottom w:val="0"/>
      <w:divBdr>
        <w:top w:val="none" w:sz="0" w:space="0" w:color="auto"/>
        <w:left w:val="none" w:sz="0" w:space="0" w:color="auto"/>
        <w:bottom w:val="none" w:sz="0" w:space="0" w:color="auto"/>
        <w:right w:val="none" w:sz="0" w:space="0" w:color="auto"/>
      </w:divBdr>
    </w:div>
    <w:div w:id="611280336">
      <w:bodyDiv w:val="1"/>
      <w:marLeft w:val="0"/>
      <w:marRight w:val="0"/>
      <w:marTop w:val="0"/>
      <w:marBottom w:val="0"/>
      <w:divBdr>
        <w:top w:val="none" w:sz="0" w:space="0" w:color="auto"/>
        <w:left w:val="none" w:sz="0" w:space="0" w:color="auto"/>
        <w:bottom w:val="none" w:sz="0" w:space="0" w:color="auto"/>
        <w:right w:val="none" w:sz="0" w:space="0" w:color="auto"/>
      </w:divBdr>
    </w:div>
    <w:div w:id="634260269">
      <w:bodyDiv w:val="1"/>
      <w:marLeft w:val="0"/>
      <w:marRight w:val="0"/>
      <w:marTop w:val="0"/>
      <w:marBottom w:val="0"/>
      <w:divBdr>
        <w:top w:val="none" w:sz="0" w:space="0" w:color="auto"/>
        <w:left w:val="none" w:sz="0" w:space="0" w:color="auto"/>
        <w:bottom w:val="none" w:sz="0" w:space="0" w:color="auto"/>
        <w:right w:val="none" w:sz="0" w:space="0" w:color="auto"/>
      </w:divBdr>
    </w:div>
    <w:div w:id="759983921">
      <w:bodyDiv w:val="1"/>
      <w:marLeft w:val="0"/>
      <w:marRight w:val="0"/>
      <w:marTop w:val="0"/>
      <w:marBottom w:val="0"/>
      <w:divBdr>
        <w:top w:val="none" w:sz="0" w:space="0" w:color="auto"/>
        <w:left w:val="none" w:sz="0" w:space="0" w:color="auto"/>
        <w:bottom w:val="none" w:sz="0" w:space="0" w:color="auto"/>
        <w:right w:val="none" w:sz="0" w:space="0" w:color="auto"/>
      </w:divBdr>
    </w:div>
    <w:div w:id="807166958">
      <w:bodyDiv w:val="1"/>
      <w:marLeft w:val="0"/>
      <w:marRight w:val="0"/>
      <w:marTop w:val="0"/>
      <w:marBottom w:val="0"/>
      <w:divBdr>
        <w:top w:val="none" w:sz="0" w:space="0" w:color="auto"/>
        <w:left w:val="none" w:sz="0" w:space="0" w:color="auto"/>
        <w:bottom w:val="none" w:sz="0" w:space="0" w:color="auto"/>
        <w:right w:val="none" w:sz="0" w:space="0" w:color="auto"/>
      </w:divBdr>
    </w:div>
    <w:div w:id="809640292">
      <w:bodyDiv w:val="1"/>
      <w:marLeft w:val="0"/>
      <w:marRight w:val="0"/>
      <w:marTop w:val="0"/>
      <w:marBottom w:val="0"/>
      <w:divBdr>
        <w:top w:val="none" w:sz="0" w:space="0" w:color="auto"/>
        <w:left w:val="none" w:sz="0" w:space="0" w:color="auto"/>
        <w:bottom w:val="none" w:sz="0" w:space="0" w:color="auto"/>
        <w:right w:val="none" w:sz="0" w:space="0" w:color="auto"/>
      </w:divBdr>
    </w:div>
    <w:div w:id="1057582451">
      <w:bodyDiv w:val="1"/>
      <w:marLeft w:val="0"/>
      <w:marRight w:val="0"/>
      <w:marTop w:val="0"/>
      <w:marBottom w:val="0"/>
      <w:divBdr>
        <w:top w:val="none" w:sz="0" w:space="0" w:color="auto"/>
        <w:left w:val="none" w:sz="0" w:space="0" w:color="auto"/>
        <w:bottom w:val="none" w:sz="0" w:space="0" w:color="auto"/>
        <w:right w:val="none" w:sz="0" w:space="0" w:color="auto"/>
      </w:divBdr>
    </w:div>
    <w:div w:id="106556730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3699">
      <w:bodyDiv w:val="1"/>
      <w:marLeft w:val="0"/>
      <w:marRight w:val="0"/>
      <w:marTop w:val="0"/>
      <w:marBottom w:val="0"/>
      <w:divBdr>
        <w:top w:val="none" w:sz="0" w:space="0" w:color="auto"/>
        <w:left w:val="none" w:sz="0" w:space="0" w:color="auto"/>
        <w:bottom w:val="none" w:sz="0" w:space="0" w:color="auto"/>
        <w:right w:val="none" w:sz="0" w:space="0" w:color="auto"/>
      </w:divBdr>
    </w:div>
    <w:div w:id="1206605308">
      <w:bodyDiv w:val="1"/>
      <w:marLeft w:val="0"/>
      <w:marRight w:val="0"/>
      <w:marTop w:val="0"/>
      <w:marBottom w:val="0"/>
      <w:divBdr>
        <w:top w:val="none" w:sz="0" w:space="0" w:color="auto"/>
        <w:left w:val="none" w:sz="0" w:space="0" w:color="auto"/>
        <w:bottom w:val="none" w:sz="0" w:space="0" w:color="auto"/>
        <w:right w:val="none" w:sz="0" w:space="0" w:color="auto"/>
      </w:divBdr>
    </w:div>
    <w:div w:id="1357609868">
      <w:bodyDiv w:val="1"/>
      <w:marLeft w:val="0"/>
      <w:marRight w:val="0"/>
      <w:marTop w:val="0"/>
      <w:marBottom w:val="0"/>
      <w:divBdr>
        <w:top w:val="none" w:sz="0" w:space="0" w:color="auto"/>
        <w:left w:val="none" w:sz="0" w:space="0" w:color="auto"/>
        <w:bottom w:val="none" w:sz="0" w:space="0" w:color="auto"/>
        <w:right w:val="none" w:sz="0" w:space="0" w:color="auto"/>
      </w:divBdr>
    </w:div>
    <w:div w:id="1505362447">
      <w:bodyDiv w:val="1"/>
      <w:marLeft w:val="0"/>
      <w:marRight w:val="0"/>
      <w:marTop w:val="0"/>
      <w:marBottom w:val="0"/>
      <w:divBdr>
        <w:top w:val="none" w:sz="0" w:space="0" w:color="auto"/>
        <w:left w:val="none" w:sz="0" w:space="0" w:color="auto"/>
        <w:bottom w:val="none" w:sz="0" w:space="0" w:color="auto"/>
        <w:right w:val="none" w:sz="0" w:space="0" w:color="auto"/>
      </w:divBdr>
    </w:div>
    <w:div w:id="1630630160">
      <w:bodyDiv w:val="1"/>
      <w:marLeft w:val="0"/>
      <w:marRight w:val="0"/>
      <w:marTop w:val="0"/>
      <w:marBottom w:val="0"/>
      <w:divBdr>
        <w:top w:val="none" w:sz="0" w:space="0" w:color="auto"/>
        <w:left w:val="none" w:sz="0" w:space="0" w:color="auto"/>
        <w:bottom w:val="none" w:sz="0" w:space="0" w:color="auto"/>
        <w:right w:val="none" w:sz="0" w:space="0" w:color="auto"/>
      </w:divBdr>
    </w:div>
    <w:div w:id="1686711917">
      <w:bodyDiv w:val="1"/>
      <w:marLeft w:val="0"/>
      <w:marRight w:val="0"/>
      <w:marTop w:val="0"/>
      <w:marBottom w:val="0"/>
      <w:divBdr>
        <w:top w:val="none" w:sz="0" w:space="0" w:color="auto"/>
        <w:left w:val="none" w:sz="0" w:space="0" w:color="auto"/>
        <w:bottom w:val="none" w:sz="0" w:space="0" w:color="auto"/>
        <w:right w:val="none" w:sz="0" w:space="0" w:color="auto"/>
      </w:divBdr>
    </w:div>
    <w:div w:id="1839006043">
      <w:bodyDiv w:val="1"/>
      <w:marLeft w:val="0"/>
      <w:marRight w:val="0"/>
      <w:marTop w:val="0"/>
      <w:marBottom w:val="0"/>
      <w:divBdr>
        <w:top w:val="none" w:sz="0" w:space="0" w:color="auto"/>
        <w:left w:val="none" w:sz="0" w:space="0" w:color="auto"/>
        <w:bottom w:val="none" w:sz="0" w:space="0" w:color="auto"/>
        <w:right w:val="none" w:sz="0" w:space="0" w:color="auto"/>
      </w:divBdr>
    </w:div>
    <w:div w:id="188012680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2878576">
      <w:bodyDiv w:val="1"/>
      <w:marLeft w:val="0"/>
      <w:marRight w:val="0"/>
      <w:marTop w:val="0"/>
      <w:marBottom w:val="0"/>
      <w:divBdr>
        <w:top w:val="none" w:sz="0" w:space="0" w:color="auto"/>
        <w:left w:val="none" w:sz="0" w:space="0" w:color="auto"/>
        <w:bottom w:val="none" w:sz="0" w:space="0" w:color="auto"/>
        <w:right w:val="none" w:sz="0" w:space="0" w:color="auto"/>
      </w:divBdr>
    </w:div>
    <w:div w:id="2102414599">
      <w:bodyDiv w:val="1"/>
      <w:marLeft w:val="0"/>
      <w:marRight w:val="0"/>
      <w:marTop w:val="0"/>
      <w:marBottom w:val="0"/>
      <w:divBdr>
        <w:top w:val="none" w:sz="0" w:space="0" w:color="auto"/>
        <w:left w:val="none" w:sz="0" w:space="0" w:color="auto"/>
        <w:bottom w:val="none" w:sz="0" w:space="0" w:color="auto"/>
        <w:right w:val="none" w:sz="0" w:space="0" w:color="auto"/>
      </w:divBdr>
    </w:div>
    <w:div w:id="2137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0142-79D2-4B4D-A51E-0B1E7B8D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5580</Words>
  <Characters>31433</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6.07	TRIPTORELIN, Powder for I.M. injection (prolonged release) 22.5 mg (as embo</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studies/trials</vt:lpstr>
      <vt:lpstr>    Comparative effectiveness</vt:lpstr>
      <vt:lpstr>    Comparative harms</vt:lpstr>
      <vt:lpstr>    Clinical claim</vt:lpstr>
      <vt:lpstr>    Economic analysis </vt:lpstr>
      <vt:lpstr>    Drug cost/patient/year</vt:lpstr>
      <vt:lpstr>    Estimated PBS usage &amp; financial implications</vt:lpstr>
      <vt:lpstr>PBAC Outcome</vt:lpstr>
      <vt:lpstr>Context for Decision</vt:lpstr>
      <vt:lpstr>Sponsor’s Comment</vt:lpstr>
    </vt:vector>
  </TitlesOfParts>
  <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2021-10-25T03:27:00Z</dcterms:created>
  <dcterms:modified xsi:type="dcterms:W3CDTF">2021-10-25T03:41:00Z</dcterms:modified>
</cp:coreProperties>
</file>