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940F72" w:rsidRDefault="005D6D8B" w:rsidP="00955300">
      <w:pPr>
        <w:pStyle w:val="1-MainHeading"/>
      </w:pPr>
      <w:bookmarkStart w:id="0" w:name="_Toc72318691"/>
      <w:r w:rsidRPr="00940F72">
        <w:rPr>
          <w:rStyle w:val="1-MainHeadingChar"/>
          <w:b/>
          <w:bCs/>
        </w:rPr>
        <w:t>5.13</w:t>
      </w:r>
      <w:r w:rsidR="00163F66" w:rsidRPr="00940F72">
        <w:rPr>
          <w:rStyle w:val="1-MainHeadingChar"/>
        </w:rPr>
        <w:tab/>
      </w:r>
      <w:r w:rsidR="00D104D2" w:rsidRPr="00940F72">
        <w:rPr>
          <w:rStyle w:val="1-MainHeadingChar"/>
          <w:b/>
          <w:bCs/>
        </w:rPr>
        <w:t>Z</w:t>
      </w:r>
      <w:r w:rsidRPr="00940F72">
        <w:rPr>
          <w:rStyle w:val="1-MainHeadingChar"/>
          <w:b/>
          <w:bCs/>
        </w:rPr>
        <w:t>ANUBRUTINIB</w:t>
      </w:r>
      <w:r w:rsidR="00163F66" w:rsidRPr="00940F72">
        <w:rPr>
          <w:rStyle w:val="1-MainHeadingChar"/>
          <w:b/>
          <w:bCs/>
        </w:rPr>
        <w:t>,</w:t>
      </w:r>
      <w:r w:rsidR="00163F66" w:rsidRPr="00940F72">
        <w:rPr>
          <w:rStyle w:val="1-MainHeadingChar"/>
          <w:b/>
          <w:bCs/>
        </w:rPr>
        <w:br/>
      </w:r>
      <w:r w:rsidR="00D104D2" w:rsidRPr="00940F72">
        <w:rPr>
          <w:rStyle w:val="1-MainHeadingChar"/>
          <w:b/>
          <w:bCs/>
        </w:rPr>
        <w:t>Capsule</w:t>
      </w:r>
      <w:r w:rsidRPr="00940F72">
        <w:rPr>
          <w:rStyle w:val="1-MainHeadingChar"/>
          <w:b/>
          <w:bCs/>
        </w:rPr>
        <w:t xml:space="preserve"> </w:t>
      </w:r>
      <w:r w:rsidR="00D104D2" w:rsidRPr="00940F72">
        <w:rPr>
          <w:rStyle w:val="1-MainHeadingChar"/>
          <w:b/>
          <w:bCs/>
        </w:rPr>
        <w:t>80 mg</w:t>
      </w:r>
      <w:r w:rsidR="00163F66" w:rsidRPr="00940F72">
        <w:rPr>
          <w:rStyle w:val="1-MainHeadingChar"/>
          <w:b/>
          <w:bCs/>
        </w:rPr>
        <w:t>,</w:t>
      </w:r>
      <w:r w:rsidR="00163F66" w:rsidRPr="00940F72">
        <w:rPr>
          <w:rStyle w:val="1-MainHeadingChar"/>
          <w:b/>
          <w:bCs/>
        </w:rPr>
        <w:br/>
      </w:r>
      <w:r w:rsidR="00D104D2" w:rsidRPr="00940F72">
        <w:rPr>
          <w:rStyle w:val="1-MainHeadingChar"/>
          <w:b/>
          <w:bCs/>
        </w:rPr>
        <w:t>B</w:t>
      </w:r>
      <w:r w:rsidRPr="00940F72">
        <w:rPr>
          <w:rStyle w:val="1-MainHeadingChar"/>
          <w:b/>
          <w:bCs/>
        </w:rPr>
        <w:t>rukinsa</w:t>
      </w:r>
      <w:r w:rsidR="00B60939" w:rsidRPr="00940F72">
        <w:rPr>
          <w:rStyle w:val="1-MainHeadingChar"/>
          <w:b/>
          <w:bCs/>
        </w:rPr>
        <w:t>®</w:t>
      </w:r>
      <w:r w:rsidR="004A6040" w:rsidRPr="00940F72">
        <w:rPr>
          <w:rStyle w:val="1-MainHeadingChar"/>
          <w:b/>
          <w:bCs/>
        </w:rPr>
        <w:t>,</w:t>
      </w:r>
      <w:r w:rsidR="004A6040" w:rsidRPr="00940F72">
        <w:rPr>
          <w:rStyle w:val="1-MainHeadingChar"/>
          <w:b/>
          <w:bCs/>
        </w:rPr>
        <w:br/>
      </w:r>
      <w:r w:rsidR="00D104D2" w:rsidRPr="00940F72">
        <w:rPr>
          <w:rStyle w:val="1-MainHeadingChar"/>
          <w:b/>
          <w:bCs/>
        </w:rPr>
        <w:t>B</w:t>
      </w:r>
      <w:r w:rsidRPr="00940F72">
        <w:rPr>
          <w:rStyle w:val="1-MainHeadingChar"/>
          <w:b/>
          <w:bCs/>
        </w:rPr>
        <w:t>eiGene Aus Pty Ltd</w:t>
      </w:r>
      <w:bookmarkEnd w:id="0"/>
    </w:p>
    <w:p w:rsidR="00955300" w:rsidRPr="00940F72" w:rsidRDefault="00955300" w:rsidP="00955300">
      <w:pPr>
        <w:pStyle w:val="2-SectionHeading"/>
        <w:numPr>
          <w:ilvl w:val="0"/>
          <w:numId w:val="1"/>
        </w:numPr>
      </w:pPr>
      <w:bookmarkStart w:id="1" w:name="_Toc22898844"/>
      <w:bookmarkStart w:id="2" w:name="_Toc72318693"/>
      <w:r w:rsidRPr="00940F72">
        <w:t>Purpose of submission</w:t>
      </w:r>
      <w:bookmarkEnd w:id="1"/>
      <w:bookmarkEnd w:id="2"/>
    </w:p>
    <w:p w:rsidR="00955300" w:rsidRPr="00940F72" w:rsidRDefault="00955300" w:rsidP="00955300">
      <w:pPr>
        <w:pStyle w:val="3-BodyText"/>
      </w:pPr>
      <w:r w:rsidRPr="00940F72">
        <w:t>The</w:t>
      </w:r>
      <w:r w:rsidR="001B59D2" w:rsidRPr="00940F72">
        <w:t xml:space="preserve"> Category 1</w:t>
      </w:r>
      <w:r w:rsidRPr="00940F72">
        <w:t xml:space="preserve"> submission requested</w:t>
      </w:r>
      <w:r w:rsidR="00A7515D" w:rsidRPr="00940F72">
        <w:t xml:space="preserve"> </w:t>
      </w:r>
      <w:r w:rsidR="00FA3ED8" w:rsidRPr="00940F72">
        <w:t>a General Schedule</w:t>
      </w:r>
      <w:r w:rsidRPr="00940F72">
        <w:t xml:space="preserve"> Authority Required listing for the treatment of patients with relapsed or refractory (R/R) mantle cell lymphoma (MCL) who have received at least one prior therapy</w:t>
      </w:r>
      <w:r w:rsidR="00FF23E6" w:rsidRPr="00940F72">
        <w:t xml:space="preserve"> and have a WHO performance status of 0 or 1</w:t>
      </w:r>
      <w:r w:rsidR="00FE6FFB" w:rsidRPr="00940F72">
        <w:t>.</w:t>
      </w:r>
    </w:p>
    <w:p w:rsidR="00955300" w:rsidRPr="00940F72" w:rsidRDefault="00955300" w:rsidP="00955300">
      <w:pPr>
        <w:pStyle w:val="3-BodyText"/>
      </w:pPr>
      <w:r w:rsidRPr="00940F72">
        <w:t xml:space="preserve">Listing was requested </w:t>
      </w:r>
      <w:r w:rsidR="00DB1AA9" w:rsidRPr="00940F72">
        <w:t>based on</w:t>
      </w:r>
      <w:r w:rsidRPr="00940F72">
        <w:t xml:space="preserve"> a cost-minimisation analysis</w:t>
      </w:r>
      <w:r w:rsidR="008B0A56" w:rsidRPr="00940F72">
        <w:t xml:space="preserve"> (CMA)</w:t>
      </w:r>
      <w:r w:rsidRPr="00940F72">
        <w:t xml:space="preserve"> versus ibrutinib. </w:t>
      </w:r>
    </w:p>
    <w:p w:rsidR="00955300" w:rsidRPr="00940F72" w:rsidRDefault="00955300" w:rsidP="00EC1071">
      <w:pPr>
        <w:pStyle w:val="TableFigureHeading"/>
        <w:rPr>
          <w:rStyle w:val="CommentReference"/>
          <w:b/>
          <w:szCs w:val="24"/>
        </w:rPr>
      </w:pPr>
      <w:r w:rsidRPr="00940F72">
        <w:rPr>
          <w:rStyle w:val="CommentReference"/>
          <w:b/>
          <w:szCs w:val="24"/>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955300" w:rsidRPr="00940F72" w:rsidTr="00E83D45">
        <w:trPr>
          <w:cantSplit/>
          <w:tblHeader/>
        </w:trPr>
        <w:tc>
          <w:tcPr>
            <w:tcW w:w="924" w:type="pct"/>
            <w:shd w:val="clear" w:color="auto" w:fill="auto"/>
          </w:tcPr>
          <w:p w:rsidR="00955300" w:rsidRPr="00940F72" w:rsidRDefault="00955300" w:rsidP="00E83D45">
            <w:pPr>
              <w:pStyle w:val="In-tableHeading"/>
              <w:rPr>
                <w:szCs w:val="20"/>
                <w:lang w:val="en-AU"/>
              </w:rPr>
            </w:pPr>
            <w:r w:rsidRPr="00940F72">
              <w:rPr>
                <w:lang w:val="en-AU"/>
              </w:rPr>
              <w:t>Component</w:t>
            </w:r>
          </w:p>
        </w:tc>
        <w:tc>
          <w:tcPr>
            <w:tcW w:w="4076" w:type="pct"/>
            <w:shd w:val="clear" w:color="auto" w:fill="auto"/>
          </w:tcPr>
          <w:p w:rsidR="00955300" w:rsidRPr="00940F72" w:rsidRDefault="00955300" w:rsidP="00E83D45">
            <w:pPr>
              <w:pStyle w:val="In-tableHeading"/>
              <w:rPr>
                <w:lang w:val="en-AU"/>
              </w:rPr>
            </w:pPr>
            <w:r w:rsidRPr="00940F72">
              <w:rPr>
                <w:lang w:val="en-AU"/>
              </w:rPr>
              <w:t>Description</w:t>
            </w:r>
          </w:p>
        </w:tc>
      </w:tr>
      <w:tr w:rsidR="00955300" w:rsidRPr="00940F72" w:rsidTr="00E83D45">
        <w:trPr>
          <w:cantSplit/>
        </w:trPr>
        <w:tc>
          <w:tcPr>
            <w:tcW w:w="924" w:type="pct"/>
            <w:shd w:val="clear" w:color="auto" w:fill="auto"/>
          </w:tcPr>
          <w:p w:rsidR="00955300" w:rsidRPr="00940F72" w:rsidRDefault="00955300" w:rsidP="00E83D45">
            <w:pPr>
              <w:pStyle w:val="TableText0"/>
            </w:pPr>
            <w:r w:rsidRPr="00940F72">
              <w:t>Population</w:t>
            </w:r>
          </w:p>
        </w:tc>
        <w:tc>
          <w:tcPr>
            <w:tcW w:w="4076" w:type="pct"/>
            <w:shd w:val="clear" w:color="auto" w:fill="auto"/>
          </w:tcPr>
          <w:p w:rsidR="00955300" w:rsidRPr="00940F72" w:rsidRDefault="00955300" w:rsidP="00E21F20">
            <w:pPr>
              <w:pStyle w:val="TableText0"/>
              <w:rPr>
                <w:szCs w:val="20"/>
              </w:rPr>
            </w:pPr>
            <w:r w:rsidRPr="00940F72">
              <w:t xml:space="preserve">Patients with </w:t>
            </w:r>
            <w:r w:rsidR="00E21F20" w:rsidRPr="00940F72">
              <w:t>MCL</w:t>
            </w:r>
            <w:r w:rsidRPr="00940F72">
              <w:t xml:space="preserve"> whose disease has relapsed after or is refractory to at least one prior therapy.</w:t>
            </w:r>
          </w:p>
        </w:tc>
      </w:tr>
      <w:tr w:rsidR="00955300" w:rsidRPr="00940F72" w:rsidTr="00E83D45">
        <w:trPr>
          <w:cantSplit/>
        </w:trPr>
        <w:tc>
          <w:tcPr>
            <w:tcW w:w="924" w:type="pct"/>
            <w:shd w:val="clear" w:color="auto" w:fill="auto"/>
          </w:tcPr>
          <w:p w:rsidR="00955300" w:rsidRPr="00940F72" w:rsidRDefault="00955300" w:rsidP="00E83D45">
            <w:pPr>
              <w:pStyle w:val="TableText0"/>
            </w:pPr>
            <w:r w:rsidRPr="00940F72">
              <w:t>Intervention</w:t>
            </w:r>
          </w:p>
        </w:tc>
        <w:tc>
          <w:tcPr>
            <w:tcW w:w="4076" w:type="pct"/>
            <w:shd w:val="clear" w:color="auto" w:fill="auto"/>
          </w:tcPr>
          <w:p w:rsidR="00955300" w:rsidRPr="00940F72" w:rsidRDefault="00955300" w:rsidP="00E83D45">
            <w:pPr>
              <w:pStyle w:val="TableText0"/>
            </w:pPr>
            <w:r w:rsidRPr="00940F72">
              <w:t>Zanubrutinib; 320 mg (four 80 mg capsules) taken orally once daily or 160 mg (two 80 mg capsules) taken orally twice daily until disease progression or unacceptable toxicity.</w:t>
            </w:r>
          </w:p>
        </w:tc>
      </w:tr>
      <w:tr w:rsidR="00955300" w:rsidRPr="00940F72" w:rsidTr="00E83D45">
        <w:trPr>
          <w:cantSplit/>
        </w:trPr>
        <w:tc>
          <w:tcPr>
            <w:tcW w:w="924" w:type="pct"/>
            <w:shd w:val="clear" w:color="auto" w:fill="auto"/>
          </w:tcPr>
          <w:p w:rsidR="00955300" w:rsidRPr="00940F72" w:rsidRDefault="00955300" w:rsidP="00E83D45">
            <w:pPr>
              <w:pStyle w:val="TableText0"/>
            </w:pPr>
            <w:r w:rsidRPr="00940F72">
              <w:t>Comparator</w:t>
            </w:r>
          </w:p>
        </w:tc>
        <w:tc>
          <w:tcPr>
            <w:tcW w:w="4076" w:type="pct"/>
            <w:shd w:val="clear" w:color="auto" w:fill="auto"/>
          </w:tcPr>
          <w:p w:rsidR="00955300" w:rsidRPr="00940F72" w:rsidRDefault="00955300" w:rsidP="00E83D45">
            <w:pPr>
              <w:pStyle w:val="TableText0"/>
            </w:pPr>
            <w:r w:rsidRPr="00940F72">
              <w:t>Ibrutinib; 560 mg (4 x 140 mg capsules) once daily until disease progression or unacceptable toxicity.</w:t>
            </w:r>
          </w:p>
        </w:tc>
      </w:tr>
      <w:tr w:rsidR="00955300" w:rsidRPr="00940F72" w:rsidTr="00E83D45">
        <w:trPr>
          <w:cantSplit/>
        </w:trPr>
        <w:tc>
          <w:tcPr>
            <w:tcW w:w="924" w:type="pct"/>
            <w:shd w:val="clear" w:color="auto" w:fill="auto"/>
          </w:tcPr>
          <w:p w:rsidR="00955300" w:rsidRPr="00940F72" w:rsidRDefault="00955300" w:rsidP="00E83D45">
            <w:pPr>
              <w:pStyle w:val="TableText0"/>
            </w:pPr>
            <w:r w:rsidRPr="00940F72">
              <w:t>Outcomes</w:t>
            </w:r>
          </w:p>
        </w:tc>
        <w:tc>
          <w:tcPr>
            <w:tcW w:w="4076" w:type="pct"/>
            <w:shd w:val="clear" w:color="auto" w:fill="auto"/>
          </w:tcPr>
          <w:p w:rsidR="00955300" w:rsidRPr="00940F72" w:rsidRDefault="00126971" w:rsidP="00126971">
            <w:pPr>
              <w:pStyle w:val="TableText0"/>
              <w:rPr>
                <w:rFonts w:eastAsia="Times New Roman" w:cs="Arial"/>
                <w:bCs w:val="0"/>
                <w:snapToGrid w:val="0"/>
                <w:color w:val="0066FF"/>
                <w:szCs w:val="20"/>
              </w:rPr>
            </w:pPr>
            <w:r w:rsidRPr="00940F72">
              <w:t>ORR</w:t>
            </w:r>
            <w:r w:rsidR="00955300" w:rsidRPr="00940F72">
              <w:t xml:space="preserve">, duration of response, </w:t>
            </w:r>
            <w:r w:rsidRPr="00940F72">
              <w:t>PFS</w:t>
            </w:r>
            <w:r w:rsidR="00955300" w:rsidRPr="00940F72">
              <w:t xml:space="preserve">, </w:t>
            </w:r>
            <w:r w:rsidRPr="00940F72">
              <w:t>OS</w:t>
            </w:r>
            <w:r w:rsidR="00955300" w:rsidRPr="00940F72">
              <w:t>, frequency of adverse events, in particular atrial fibrillation.</w:t>
            </w:r>
          </w:p>
        </w:tc>
      </w:tr>
      <w:tr w:rsidR="00955300" w:rsidRPr="00940F72" w:rsidTr="00E83D45">
        <w:trPr>
          <w:cantSplit/>
        </w:trPr>
        <w:tc>
          <w:tcPr>
            <w:tcW w:w="924" w:type="pct"/>
            <w:shd w:val="clear" w:color="auto" w:fill="auto"/>
          </w:tcPr>
          <w:p w:rsidR="00955300" w:rsidRPr="00940F72" w:rsidRDefault="00955300" w:rsidP="00E83D45">
            <w:pPr>
              <w:pStyle w:val="TableText0"/>
            </w:pPr>
            <w:r w:rsidRPr="00940F72">
              <w:t>Clinical claim</w:t>
            </w:r>
          </w:p>
        </w:tc>
        <w:tc>
          <w:tcPr>
            <w:tcW w:w="4076" w:type="pct"/>
            <w:shd w:val="clear" w:color="auto" w:fill="auto"/>
          </w:tcPr>
          <w:p w:rsidR="00955300" w:rsidRPr="00940F72" w:rsidRDefault="00955300" w:rsidP="00E83D45">
            <w:pPr>
              <w:pStyle w:val="TableText0"/>
            </w:pPr>
            <w:r w:rsidRPr="00940F72">
              <w:t xml:space="preserve">In patients with R/R MCL, zanubrutinib is as effective as ibrutinib at improving patients’ clinical outcomes of ORR, PFS and OS, and superior in terms of safety, particularly for individuals at risk of cardiovascular adverse events, such as atrial fibrillation. </w:t>
            </w:r>
          </w:p>
        </w:tc>
      </w:tr>
    </w:tbl>
    <w:p w:rsidR="00955300" w:rsidRPr="00940F72" w:rsidRDefault="00955300" w:rsidP="00955300">
      <w:pPr>
        <w:pStyle w:val="TableFigureFooter"/>
      </w:pPr>
      <w:r w:rsidRPr="00940F72">
        <w:t>MCL = mantle cell lymphoma; ORR = overall response rate; OS = overall survival; PFS = progression free survival; R/R = relapsed or refractory</w:t>
      </w:r>
    </w:p>
    <w:p w:rsidR="00955300" w:rsidRPr="00940F72" w:rsidRDefault="00955300" w:rsidP="00955300">
      <w:pPr>
        <w:pStyle w:val="TableFigureFooter"/>
      </w:pPr>
      <w:r w:rsidRPr="00940F72">
        <w:t>Source: Table 1.1, p15 of the submission.</w:t>
      </w:r>
    </w:p>
    <w:p w:rsidR="00955300" w:rsidRPr="00940F72" w:rsidRDefault="00955300" w:rsidP="00955300">
      <w:pPr>
        <w:pStyle w:val="2-SectionHeading"/>
        <w:numPr>
          <w:ilvl w:val="0"/>
          <w:numId w:val="1"/>
        </w:numPr>
      </w:pPr>
      <w:bookmarkStart w:id="3" w:name="_Toc22898845"/>
      <w:bookmarkStart w:id="4" w:name="_Toc72318694"/>
      <w:r w:rsidRPr="00940F72">
        <w:t>Background</w:t>
      </w:r>
      <w:bookmarkEnd w:id="3"/>
      <w:bookmarkEnd w:id="4"/>
    </w:p>
    <w:p w:rsidR="00955300" w:rsidRPr="00940F72" w:rsidRDefault="00955300" w:rsidP="00955300">
      <w:pPr>
        <w:pStyle w:val="4-SubsectionHeading"/>
      </w:pPr>
      <w:bookmarkStart w:id="5" w:name="_Toc22897638"/>
      <w:bookmarkStart w:id="6" w:name="_Toc22898846"/>
      <w:bookmarkStart w:id="7" w:name="_Toc72318695"/>
      <w:r w:rsidRPr="00940F72">
        <w:t>Registration status</w:t>
      </w:r>
      <w:bookmarkEnd w:id="5"/>
      <w:bookmarkEnd w:id="6"/>
      <w:bookmarkEnd w:id="7"/>
    </w:p>
    <w:p w:rsidR="00B9703B" w:rsidRPr="00940F72" w:rsidRDefault="00593A59" w:rsidP="008831E1">
      <w:pPr>
        <w:pStyle w:val="3-BodyText"/>
      </w:pPr>
      <w:r w:rsidRPr="00940F72">
        <w:t>The submission was lodged under the TGA/PBAC Parallel Process</w:t>
      </w:r>
      <w:r w:rsidR="00734E2A" w:rsidRPr="00940F72">
        <w:t>.</w:t>
      </w:r>
      <w:r w:rsidR="00012DA1" w:rsidRPr="00940F72">
        <w:t xml:space="preserve"> </w:t>
      </w:r>
      <w:r w:rsidR="00734E2A" w:rsidRPr="00940F72">
        <w:t xml:space="preserve">The TGA application is being considered </w:t>
      </w:r>
      <w:r w:rsidR="00012DA1" w:rsidRPr="00940F72">
        <w:t xml:space="preserve">under the </w:t>
      </w:r>
      <w:r w:rsidR="007F7A2F" w:rsidRPr="00940F72">
        <w:t>P</w:t>
      </w:r>
      <w:r w:rsidRPr="00940F72">
        <w:t>rovisional approval pathway</w:t>
      </w:r>
      <w:r w:rsidR="00A54C14" w:rsidRPr="00940F72">
        <w:t>,</w:t>
      </w:r>
      <w:r w:rsidRPr="00940F72">
        <w:t xml:space="preserve"> based on the</w:t>
      </w:r>
      <w:r w:rsidR="00B9703B" w:rsidRPr="00940F72">
        <w:t xml:space="preserve"> objective response rate</w:t>
      </w:r>
      <w:r w:rsidR="003533A9" w:rsidRPr="00940F72">
        <w:t xml:space="preserve"> in 2 single-arm trials</w:t>
      </w:r>
      <w:r w:rsidR="00012DA1" w:rsidRPr="00940F72">
        <w:t>.</w:t>
      </w:r>
    </w:p>
    <w:p w:rsidR="00B9703B" w:rsidRPr="00940F72" w:rsidRDefault="00B9703B" w:rsidP="00B9703B">
      <w:pPr>
        <w:pStyle w:val="3-BodyText"/>
      </w:pPr>
      <w:r w:rsidRPr="00940F72">
        <w:t xml:space="preserve">The </w:t>
      </w:r>
      <w:r w:rsidR="00734E2A" w:rsidRPr="00940F72">
        <w:t xml:space="preserve">TGA </w:t>
      </w:r>
      <w:r w:rsidRPr="00940F72">
        <w:t>Delegate’s Overview</w:t>
      </w:r>
      <w:r w:rsidR="00734E2A" w:rsidRPr="00940F72">
        <w:t xml:space="preserve"> wa</w:t>
      </w:r>
      <w:r w:rsidRPr="00940F72">
        <w:t>s available</w:t>
      </w:r>
      <w:r w:rsidR="00734E2A" w:rsidRPr="00940F72">
        <w:t xml:space="preserve"> at the time of PBAC consideration</w:t>
      </w:r>
      <w:r w:rsidRPr="00940F72">
        <w:t>. The Delegate stated that “While a decision is yet to be made, at this stage I am inclined to approve the registration of the product for the following indication:</w:t>
      </w:r>
    </w:p>
    <w:p w:rsidR="00B9703B" w:rsidRPr="00940F72" w:rsidRDefault="00B9703B" w:rsidP="00B9703B">
      <w:pPr>
        <w:pStyle w:val="3-BodyText"/>
        <w:numPr>
          <w:ilvl w:val="0"/>
          <w:numId w:val="27"/>
        </w:numPr>
        <w:ind w:left="993" w:hanging="284"/>
      </w:pPr>
      <w:r w:rsidRPr="00940F72">
        <w:t>BRUKINSA is indicated for the treatment of adult patients with mantle cell lymphoma (MCL) who have received at least one prior therapy.”</w:t>
      </w:r>
    </w:p>
    <w:p w:rsidR="00A7515D" w:rsidRPr="00940F72" w:rsidRDefault="00955300" w:rsidP="00191B84">
      <w:pPr>
        <w:pStyle w:val="3-BodyText"/>
      </w:pPr>
      <w:r w:rsidRPr="00940F72">
        <w:t xml:space="preserve">The submission stated that conversion of the provisional approval to a full approval is intended to be based upon Study BGB-3111-306, a Phase III randomised study currently underway to compare the efficacy and safety of zanubrutinib plus rituximab versus bendamustine plus rituximab in previously untreated participants with MCL </w:t>
      </w:r>
      <w:r w:rsidRPr="00940F72">
        <w:lastRenderedPageBreak/>
        <w:t xml:space="preserve">who are not eligible for stem cell transplantation. The study will enrol approximately 500 patients and is estimated to be completed in August 2026. </w:t>
      </w:r>
      <w:r w:rsidR="00191B84" w:rsidRPr="00940F72">
        <w:rPr>
          <w:iCs/>
        </w:rPr>
        <w:t>T</w:t>
      </w:r>
      <w:r w:rsidR="00A7515D" w:rsidRPr="00940F72">
        <w:rPr>
          <w:iCs/>
        </w:rPr>
        <w:t xml:space="preserve">he relevance of </w:t>
      </w:r>
      <w:r w:rsidR="00A7515D" w:rsidRPr="00940F72">
        <w:t xml:space="preserve">Study BGB-3111-306 </w:t>
      </w:r>
      <w:r w:rsidR="00A7515D" w:rsidRPr="00940F72">
        <w:rPr>
          <w:iCs/>
        </w:rPr>
        <w:t xml:space="preserve">to the proposed patient population in the current submission is unclear, as the </w:t>
      </w:r>
      <w:r w:rsidR="00191B84" w:rsidRPr="00940F72">
        <w:rPr>
          <w:iCs/>
        </w:rPr>
        <w:t>zanubrutinib</w:t>
      </w:r>
      <w:r w:rsidR="00A7515D" w:rsidRPr="00940F72">
        <w:rPr>
          <w:iCs/>
        </w:rPr>
        <w:t xml:space="preserve"> combination (not monotherapy) is being studied in previously untreated MCL patients</w:t>
      </w:r>
      <w:r w:rsidR="00A7515D" w:rsidRPr="00940F72">
        <w:t>.</w:t>
      </w:r>
    </w:p>
    <w:p w:rsidR="00955300" w:rsidRPr="00940F72" w:rsidRDefault="002D3607" w:rsidP="00E6302C">
      <w:pPr>
        <w:pStyle w:val="3-BodyText"/>
      </w:pPr>
      <w:r w:rsidRPr="00940F72">
        <w:t>The</w:t>
      </w:r>
      <w:r w:rsidR="002D3492" w:rsidRPr="00940F72">
        <w:t xml:space="preserve"> Pre-Sub-Committee Response</w:t>
      </w:r>
      <w:r w:rsidRPr="00940F72">
        <w:t xml:space="preserve"> </w:t>
      </w:r>
      <w:r w:rsidR="002D3492" w:rsidRPr="00940F72">
        <w:t>(</w:t>
      </w:r>
      <w:r w:rsidRPr="00940F72">
        <w:t>PSCR)</w:t>
      </w:r>
      <w:r w:rsidR="002D3492" w:rsidRPr="00940F72">
        <w:t xml:space="preserve"> </w:t>
      </w:r>
      <w:r w:rsidR="00AF7865" w:rsidRPr="00940F72">
        <w:t>justified the full approv</w:t>
      </w:r>
      <w:r w:rsidR="00645255" w:rsidRPr="00940F72">
        <w:t>al</w:t>
      </w:r>
      <w:r w:rsidR="00AF7865" w:rsidRPr="00940F72">
        <w:t xml:space="preserve"> of zanubrutinib based on Study BGB-3111-306</w:t>
      </w:r>
      <w:r w:rsidR="00E6302C" w:rsidRPr="00940F72">
        <w:t>, in</w:t>
      </w:r>
      <w:r w:rsidR="0082630B" w:rsidRPr="00940F72">
        <w:t>cluding reference to:</w:t>
      </w:r>
      <w:r w:rsidR="00E6302C" w:rsidRPr="00940F72">
        <w:t xml:space="preserve"> (i) evaluation of a closely related but slightly different population allow</w:t>
      </w:r>
      <w:r w:rsidR="0082630B" w:rsidRPr="00940F72">
        <w:t>ing</w:t>
      </w:r>
      <w:r w:rsidR="00E6302C" w:rsidRPr="00940F72">
        <w:t xml:space="preserve"> demonstration of clinical benefit across a broader MCL patient population</w:t>
      </w:r>
      <w:r w:rsidR="005804A4" w:rsidRPr="00940F72">
        <w:t xml:space="preserve">, and </w:t>
      </w:r>
      <w:r w:rsidR="00E6302C" w:rsidRPr="00940F72">
        <w:t xml:space="preserve">meaningful activity of zanubrutinib observed in an earlier treatment line </w:t>
      </w:r>
      <w:r w:rsidR="00396CE7" w:rsidRPr="00940F72">
        <w:t>likely</w:t>
      </w:r>
      <w:r w:rsidR="00E6302C" w:rsidRPr="00940F72">
        <w:t xml:space="preserve"> associated with similarly meaningful activity in later lines</w:t>
      </w:r>
      <w:r w:rsidR="005804A4" w:rsidRPr="00940F72">
        <w:t>; (i</w:t>
      </w:r>
      <w:r w:rsidR="00E6302C" w:rsidRPr="00940F72">
        <w:t>i) evaluation of zanubrutinib in the first-line setting allow</w:t>
      </w:r>
      <w:r w:rsidR="00396CE7" w:rsidRPr="00940F72">
        <w:t>ing</w:t>
      </w:r>
      <w:r w:rsidR="00E6302C" w:rsidRPr="00940F72">
        <w:t xml:space="preserve"> generation of long-term tolerability data</w:t>
      </w:r>
      <w:r w:rsidR="006E3A7D" w:rsidRPr="00940F72">
        <w:t>,</w:t>
      </w:r>
      <w:r w:rsidR="00E6302C" w:rsidRPr="00940F72">
        <w:t xml:space="preserve"> which would not be possible in the R/R MCL setting</w:t>
      </w:r>
      <w:r w:rsidR="00AF7865" w:rsidRPr="00940F72">
        <w:t>.</w:t>
      </w:r>
      <w:r w:rsidRPr="00940F72">
        <w:t xml:space="preserve"> </w:t>
      </w:r>
      <w:r w:rsidR="00E6302C" w:rsidRPr="00940F72">
        <w:t xml:space="preserve">The </w:t>
      </w:r>
      <w:r w:rsidR="00AA1D0A" w:rsidRPr="00940F72">
        <w:t>PSCR</w:t>
      </w:r>
      <w:r w:rsidR="00E6302C" w:rsidRPr="00940F72">
        <w:t xml:space="preserve"> </w:t>
      </w:r>
      <w:r w:rsidRPr="00940F72">
        <w:t>advised that the same approach was agreed with the FDA for the approval of zanubrutinib for R/R MCL under the Accelerated Approval Program in November 2019.</w:t>
      </w:r>
    </w:p>
    <w:p w:rsidR="006B5E79" w:rsidRPr="00940F72" w:rsidRDefault="006B5E79" w:rsidP="006B5E79">
      <w:pPr>
        <w:ind w:left="720"/>
        <w:rPr>
          <w:i/>
        </w:rPr>
      </w:pPr>
      <w:r w:rsidRPr="00940F72">
        <w:rPr>
          <w:i/>
        </w:rPr>
        <w:t>For more detail on PBAC’s view, see section 7 PBAC outcome.</w:t>
      </w:r>
    </w:p>
    <w:p w:rsidR="00955300" w:rsidRPr="00940F72" w:rsidRDefault="00955300" w:rsidP="00955300">
      <w:pPr>
        <w:pStyle w:val="2-SectionHeading"/>
        <w:numPr>
          <w:ilvl w:val="0"/>
          <w:numId w:val="1"/>
        </w:numPr>
      </w:pPr>
      <w:bookmarkStart w:id="8" w:name="_Toc22898848"/>
      <w:bookmarkStart w:id="9" w:name="_Toc72318696"/>
      <w:r w:rsidRPr="00940F72">
        <w:t>Requested listing</w:t>
      </w:r>
      <w:bookmarkEnd w:id="8"/>
      <w:bookmarkEnd w:id="9"/>
    </w:p>
    <w:p w:rsidR="00066F32" w:rsidRPr="00940F72" w:rsidRDefault="00066F32" w:rsidP="00066F32">
      <w:pPr>
        <w:pStyle w:val="3-BodyText"/>
      </w:pPr>
      <w:r w:rsidRPr="00940F72">
        <w:t xml:space="preserve">The requested listing for zanubrutinib is provided below. </w:t>
      </w:r>
      <w:r w:rsidR="00FA3ED8" w:rsidRPr="00940F72">
        <w:t>Secretariat s</w:t>
      </w:r>
      <w:r w:rsidRPr="00940F72">
        <w:t>uggested additions are in</w:t>
      </w:r>
      <w:r w:rsidRPr="00940F72">
        <w:rPr>
          <w:i/>
          <w:iCs/>
        </w:rPr>
        <w:t xml:space="preserve"> italics</w:t>
      </w:r>
      <w:r w:rsidRPr="00940F72">
        <w:t xml:space="preserve"> and deletions are in </w:t>
      </w:r>
      <w:r w:rsidRPr="00940F72">
        <w:rPr>
          <w:strike/>
        </w:rPr>
        <w:t>strikethrough</w:t>
      </w:r>
      <w:r w:rsidRPr="00940F7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
        <w:gridCol w:w="2766"/>
        <w:gridCol w:w="1336"/>
        <w:gridCol w:w="1336"/>
        <w:gridCol w:w="1196"/>
        <w:gridCol w:w="913"/>
        <w:gridCol w:w="1333"/>
      </w:tblGrid>
      <w:tr w:rsidR="00066F32" w:rsidRPr="00940F72" w:rsidTr="00FA3ED8">
        <w:trPr>
          <w:cantSplit/>
          <w:trHeight w:val="471"/>
        </w:trPr>
        <w:tc>
          <w:tcPr>
            <w:tcW w:w="1610" w:type="pct"/>
            <w:gridSpan w:val="2"/>
          </w:tcPr>
          <w:p w:rsidR="00066F32" w:rsidRPr="00940F72" w:rsidRDefault="00066F32" w:rsidP="005C77DC">
            <w:pPr>
              <w:keepNext/>
              <w:keepLines/>
              <w:ind w:left="-57"/>
              <w:rPr>
                <w:rFonts w:ascii="Arial Narrow" w:hAnsi="Arial Narrow"/>
                <w:b/>
                <w:bCs/>
                <w:sz w:val="18"/>
                <w:szCs w:val="18"/>
              </w:rPr>
            </w:pPr>
            <w:r w:rsidRPr="00940F72">
              <w:rPr>
                <w:rFonts w:ascii="Arial Narrow" w:hAnsi="Arial Narrow"/>
                <w:b/>
                <w:bCs/>
                <w:sz w:val="18"/>
                <w:szCs w:val="18"/>
              </w:rPr>
              <w:t>MEDICINAL PRODUCT</w:t>
            </w:r>
          </w:p>
          <w:p w:rsidR="00066F32" w:rsidRPr="00940F72" w:rsidRDefault="00066F32" w:rsidP="005C77DC">
            <w:pPr>
              <w:keepNext/>
              <w:keepLines/>
              <w:ind w:left="-57"/>
              <w:rPr>
                <w:rFonts w:ascii="Arial Narrow" w:hAnsi="Arial Narrow"/>
                <w:b/>
                <w:sz w:val="18"/>
                <w:szCs w:val="18"/>
              </w:rPr>
            </w:pPr>
            <w:r w:rsidRPr="00940F72">
              <w:rPr>
                <w:rFonts w:ascii="Arial Narrow" w:hAnsi="Arial Narrow"/>
                <w:b/>
                <w:bCs/>
                <w:sz w:val="18"/>
                <w:szCs w:val="18"/>
              </w:rPr>
              <w:t>medicinal product pack</w:t>
            </w:r>
          </w:p>
        </w:tc>
        <w:tc>
          <w:tcPr>
            <w:tcW w:w="741" w:type="pct"/>
          </w:tcPr>
          <w:p w:rsidR="00066F32" w:rsidRPr="00940F72" w:rsidRDefault="00066F32" w:rsidP="005C77DC">
            <w:pPr>
              <w:keepNext/>
              <w:keepLines/>
              <w:ind w:left="-108"/>
              <w:jc w:val="center"/>
              <w:rPr>
                <w:rFonts w:ascii="Arial Narrow" w:hAnsi="Arial Narrow"/>
                <w:b/>
                <w:sz w:val="18"/>
                <w:szCs w:val="18"/>
              </w:rPr>
            </w:pPr>
            <w:r w:rsidRPr="00940F72">
              <w:rPr>
                <w:rFonts w:ascii="Arial Narrow" w:hAnsi="Arial Narrow"/>
                <w:b/>
                <w:sz w:val="18"/>
                <w:szCs w:val="18"/>
              </w:rPr>
              <w:t>PBS item code</w:t>
            </w:r>
          </w:p>
        </w:tc>
        <w:tc>
          <w:tcPr>
            <w:tcW w:w="741" w:type="pct"/>
          </w:tcPr>
          <w:p w:rsidR="00066F32" w:rsidRPr="00940F72" w:rsidRDefault="00066F32" w:rsidP="005C77DC">
            <w:pPr>
              <w:keepNext/>
              <w:keepLines/>
              <w:ind w:left="-108"/>
              <w:jc w:val="center"/>
              <w:rPr>
                <w:rFonts w:ascii="Arial Narrow" w:hAnsi="Arial Narrow"/>
                <w:b/>
                <w:sz w:val="18"/>
                <w:szCs w:val="18"/>
              </w:rPr>
            </w:pPr>
            <w:r w:rsidRPr="00940F72">
              <w:rPr>
                <w:rFonts w:ascii="Arial Narrow" w:hAnsi="Arial Narrow"/>
                <w:b/>
                <w:sz w:val="18"/>
                <w:szCs w:val="18"/>
              </w:rPr>
              <w:t>Max. qty packs</w:t>
            </w:r>
          </w:p>
        </w:tc>
        <w:tc>
          <w:tcPr>
            <w:tcW w:w="663" w:type="pct"/>
          </w:tcPr>
          <w:p w:rsidR="00066F32" w:rsidRPr="00940F72" w:rsidRDefault="00066F32" w:rsidP="005C77DC">
            <w:pPr>
              <w:keepNext/>
              <w:keepLines/>
              <w:jc w:val="center"/>
              <w:rPr>
                <w:rFonts w:ascii="Arial Narrow" w:hAnsi="Arial Narrow"/>
                <w:b/>
                <w:sz w:val="18"/>
                <w:szCs w:val="18"/>
              </w:rPr>
            </w:pPr>
            <w:r w:rsidRPr="00940F72">
              <w:rPr>
                <w:rFonts w:ascii="Arial Narrow" w:hAnsi="Arial Narrow"/>
                <w:b/>
                <w:sz w:val="18"/>
                <w:szCs w:val="18"/>
              </w:rPr>
              <w:t>Max. qty units</w:t>
            </w:r>
          </w:p>
        </w:tc>
        <w:tc>
          <w:tcPr>
            <w:tcW w:w="506" w:type="pct"/>
          </w:tcPr>
          <w:p w:rsidR="00066F32" w:rsidRPr="00940F72" w:rsidRDefault="00066F32" w:rsidP="005C77DC">
            <w:pPr>
              <w:keepNext/>
              <w:keepLines/>
              <w:ind w:left="-108"/>
              <w:jc w:val="center"/>
              <w:rPr>
                <w:rFonts w:ascii="Arial Narrow" w:hAnsi="Arial Narrow"/>
                <w:b/>
                <w:sz w:val="18"/>
                <w:szCs w:val="18"/>
              </w:rPr>
            </w:pPr>
            <w:r w:rsidRPr="00940F72">
              <w:rPr>
                <w:rFonts w:ascii="Arial Narrow" w:hAnsi="Arial Narrow"/>
                <w:b/>
                <w:sz w:val="18"/>
                <w:szCs w:val="18"/>
              </w:rPr>
              <w:t>№.of</w:t>
            </w:r>
          </w:p>
          <w:p w:rsidR="00066F32" w:rsidRPr="00940F72" w:rsidRDefault="00066F32" w:rsidP="005C77DC">
            <w:pPr>
              <w:keepNext/>
              <w:keepLines/>
              <w:ind w:left="-108"/>
              <w:jc w:val="center"/>
              <w:rPr>
                <w:rFonts w:ascii="Arial Narrow" w:hAnsi="Arial Narrow"/>
                <w:b/>
                <w:sz w:val="18"/>
                <w:szCs w:val="18"/>
              </w:rPr>
            </w:pPr>
            <w:r w:rsidRPr="00940F72">
              <w:rPr>
                <w:rFonts w:ascii="Arial Narrow" w:hAnsi="Arial Narrow"/>
                <w:b/>
                <w:sz w:val="18"/>
                <w:szCs w:val="18"/>
              </w:rPr>
              <w:t>Rpts</w:t>
            </w:r>
          </w:p>
        </w:tc>
        <w:tc>
          <w:tcPr>
            <w:tcW w:w="739" w:type="pct"/>
          </w:tcPr>
          <w:p w:rsidR="00066F32" w:rsidRPr="00940F72" w:rsidRDefault="00066F32" w:rsidP="005C77DC">
            <w:pPr>
              <w:keepNext/>
              <w:keepLines/>
              <w:rPr>
                <w:rFonts w:ascii="Arial Narrow" w:hAnsi="Arial Narrow"/>
                <w:b/>
                <w:sz w:val="18"/>
                <w:szCs w:val="18"/>
              </w:rPr>
            </w:pPr>
            <w:r w:rsidRPr="00940F72">
              <w:rPr>
                <w:rFonts w:ascii="Arial Narrow" w:hAnsi="Arial Narrow"/>
                <w:b/>
                <w:sz w:val="18"/>
                <w:szCs w:val="18"/>
              </w:rPr>
              <w:t>Available brands</w:t>
            </w:r>
          </w:p>
        </w:tc>
      </w:tr>
      <w:tr w:rsidR="00066F32" w:rsidRPr="00940F72" w:rsidTr="00FA3ED8">
        <w:trPr>
          <w:cantSplit/>
          <w:trHeight w:val="224"/>
        </w:trPr>
        <w:tc>
          <w:tcPr>
            <w:tcW w:w="5000" w:type="pct"/>
            <w:gridSpan w:val="7"/>
          </w:tcPr>
          <w:p w:rsidR="00066F32" w:rsidRPr="00940F72" w:rsidRDefault="00066F32" w:rsidP="005C77DC">
            <w:pPr>
              <w:keepNext/>
              <w:keepLines/>
              <w:ind w:left="-57"/>
              <w:rPr>
                <w:rFonts w:ascii="Arial Narrow" w:hAnsi="Arial Narrow"/>
                <w:sz w:val="18"/>
                <w:szCs w:val="18"/>
              </w:rPr>
            </w:pPr>
            <w:r w:rsidRPr="00940F72">
              <w:rPr>
                <w:rFonts w:ascii="Arial Narrow" w:hAnsi="Arial Narrow"/>
                <w:sz w:val="18"/>
                <w:szCs w:val="18"/>
              </w:rPr>
              <w:t>ZANUBRUTINIB</w:t>
            </w:r>
          </w:p>
        </w:tc>
      </w:tr>
      <w:tr w:rsidR="00066F32" w:rsidRPr="00940F72" w:rsidTr="00FA3ED8">
        <w:trPr>
          <w:cantSplit/>
          <w:trHeight w:val="218"/>
        </w:trPr>
        <w:tc>
          <w:tcPr>
            <w:tcW w:w="1610" w:type="pct"/>
            <w:gridSpan w:val="2"/>
          </w:tcPr>
          <w:p w:rsidR="00066F32" w:rsidRPr="00940F72" w:rsidRDefault="00066F32" w:rsidP="005C77DC">
            <w:pPr>
              <w:keepNext/>
              <w:keepLines/>
              <w:ind w:left="-57"/>
              <w:rPr>
                <w:rFonts w:ascii="Arial Narrow" w:hAnsi="Arial Narrow"/>
                <w:sz w:val="18"/>
                <w:szCs w:val="18"/>
              </w:rPr>
            </w:pPr>
            <w:r w:rsidRPr="00940F72">
              <w:rPr>
                <w:rFonts w:ascii="Arial Narrow" w:hAnsi="Arial Narrow"/>
                <w:sz w:val="18"/>
                <w:szCs w:val="18"/>
              </w:rPr>
              <w:t xml:space="preserve">zanubrutinib 80 mg capsule, 120 </w:t>
            </w:r>
          </w:p>
        </w:tc>
        <w:tc>
          <w:tcPr>
            <w:tcW w:w="741" w:type="pct"/>
          </w:tcPr>
          <w:p w:rsidR="00066F32" w:rsidRPr="00940F72" w:rsidRDefault="00066F32" w:rsidP="005C77DC">
            <w:pPr>
              <w:keepNext/>
              <w:keepLines/>
              <w:jc w:val="center"/>
              <w:rPr>
                <w:rFonts w:ascii="Arial Narrow" w:hAnsi="Arial Narrow"/>
                <w:sz w:val="18"/>
                <w:szCs w:val="18"/>
              </w:rPr>
            </w:pPr>
            <w:r w:rsidRPr="00940F72">
              <w:rPr>
                <w:rFonts w:ascii="Arial Narrow" w:hAnsi="Arial Narrow"/>
                <w:sz w:val="18"/>
                <w:szCs w:val="18"/>
              </w:rPr>
              <w:t>NEW</w:t>
            </w:r>
          </w:p>
        </w:tc>
        <w:tc>
          <w:tcPr>
            <w:tcW w:w="741" w:type="pct"/>
          </w:tcPr>
          <w:p w:rsidR="00066F32" w:rsidRPr="00940F72" w:rsidRDefault="00066F32" w:rsidP="005C77DC">
            <w:pPr>
              <w:keepNext/>
              <w:keepLines/>
              <w:jc w:val="center"/>
              <w:rPr>
                <w:rFonts w:ascii="Arial Narrow" w:hAnsi="Arial Narrow"/>
                <w:sz w:val="18"/>
                <w:szCs w:val="18"/>
              </w:rPr>
            </w:pPr>
            <w:r w:rsidRPr="00940F72">
              <w:rPr>
                <w:rFonts w:ascii="Arial Narrow" w:hAnsi="Arial Narrow"/>
                <w:sz w:val="18"/>
                <w:szCs w:val="18"/>
              </w:rPr>
              <w:t>1</w:t>
            </w:r>
          </w:p>
        </w:tc>
        <w:tc>
          <w:tcPr>
            <w:tcW w:w="663" w:type="pct"/>
          </w:tcPr>
          <w:p w:rsidR="00066F32" w:rsidRPr="00940F72" w:rsidRDefault="00066F32" w:rsidP="005C77DC">
            <w:pPr>
              <w:keepNext/>
              <w:keepLines/>
              <w:jc w:val="center"/>
              <w:rPr>
                <w:rFonts w:ascii="Arial Narrow" w:hAnsi="Arial Narrow"/>
                <w:sz w:val="18"/>
                <w:szCs w:val="18"/>
              </w:rPr>
            </w:pPr>
            <w:r w:rsidRPr="00940F72">
              <w:rPr>
                <w:rFonts w:ascii="Arial Narrow" w:hAnsi="Arial Narrow"/>
                <w:sz w:val="18"/>
                <w:szCs w:val="18"/>
              </w:rPr>
              <w:t>120</w:t>
            </w:r>
          </w:p>
        </w:tc>
        <w:tc>
          <w:tcPr>
            <w:tcW w:w="506" w:type="pct"/>
          </w:tcPr>
          <w:p w:rsidR="00066F32" w:rsidRPr="00940F72" w:rsidRDefault="00066F32" w:rsidP="005C77DC">
            <w:pPr>
              <w:keepNext/>
              <w:keepLines/>
              <w:jc w:val="center"/>
              <w:rPr>
                <w:rFonts w:ascii="Arial Narrow" w:hAnsi="Arial Narrow"/>
                <w:sz w:val="18"/>
                <w:szCs w:val="18"/>
              </w:rPr>
            </w:pPr>
            <w:r w:rsidRPr="00940F72">
              <w:rPr>
                <w:rFonts w:ascii="Arial Narrow" w:hAnsi="Arial Narrow"/>
                <w:sz w:val="18"/>
                <w:szCs w:val="18"/>
              </w:rPr>
              <w:t>5</w:t>
            </w:r>
          </w:p>
        </w:tc>
        <w:tc>
          <w:tcPr>
            <w:tcW w:w="739" w:type="pct"/>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Brukinsa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Merge w:val="restart"/>
            <w:tcBorders>
              <w:top w:val="single" w:sz="4" w:space="0" w:color="auto"/>
              <w:left w:val="single" w:sz="4" w:space="0" w:color="auto"/>
              <w:right w:val="single" w:sz="4" w:space="0" w:color="auto"/>
            </w:tcBorders>
          </w:tcPr>
          <w:p w:rsidR="00066F32" w:rsidRPr="00940F72" w:rsidRDefault="00066F32" w:rsidP="005C77DC">
            <w:pPr>
              <w:keepNext/>
              <w:keepLines/>
              <w:jc w:val="center"/>
              <w:rPr>
                <w:rFonts w:ascii="Arial Narrow" w:hAnsi="Arial Narrow"/>
                <w:sz w:val="18"/>
                <w:szCs w:val="18"/>
              </w:rPr>
            </w:pPr>
          </w:p>
        </w:tc>
        <w:tc>
          <w:tcPr>
            <w:tcW w:w="4924" w:type="pct"/>
            <w:gridSpan w:val="6"/>
            <w:tcBorders>
              <w:top w:val="single" w:sz="4" w:space="0" w:color="auto"/>
              <w:left w:val="single" w:sz="4" w:space="0" w:color="auto"/>
              <w:bottom w:val="single" w:sz="4" w:space="0" w:color="auto"/>
              <w:right w:val="single" w:sz="4" w:space="0" w:color="auto"/>
            </w:tcBorders>
          </w:tcPr>
          <w:p w:rsidR="00066F32" w:rsidRPr="00940F72" w:rsidRDefault="00066F32" w:rsidP="005C77DC">
            <w:pPr>
              <w:keepNext/>
              <w:keepLines/>
              <w:rPr>
                <w:rFonts w:ascii="Arial Narrow" w:hAnsi="Arial Narrow"/>
                <w:sz w:val="18"/>
                <w:szCs w:val="18"/>
              </w:rPr>
            </w:pPr>
            <w:r w:rsidRPr="00940F72">
              <w:rPr>
                <w:rFonts w:ascii="Arial Narrow" w:hAnsi="Arial Narrow"/>
                <w:b/>
                <w:sz w:val="18"/>
                <w:szCs w:val="18"/>
              </w:rPr>
              <w:t xml:space="preserve">Category / Program:   </w:t>
            </w:r>
            <w:r w:rsidRPr="00940F72">
              <w:rPr>
                <w:rFonts w:ascii="Arial Narrow" w:hAnsi="Arial Narrow"/>
                <w:sz w:val="18"/>
                <w:szCs w:val="18"/>
              </w:rPr>
              <w:t xml:space="preserve">GENERAL – General Schedule (Code GE) </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rPr>
          <w:trHeight w:val="240"/>
        </w:trPr>
        <w:tc>
          <w:tcPr>
            <w:tcW w:w="76" w:type="pct"/>
            <w:vMerge/>
            <w:tcBorders>
              <w:left w:val="single" w:sz="4" w:space="0" w:color="auto"/>
              <w:right w:val="single" w:sz="4" w:space="0" w:color="auto"/>
            </w:tcBorders>
          </w:tcPr>
          <w:p w:rsidR="00066F32" w:rsidRPr="00940F72" w:rsidRDefault="00066F32" w:rsidP="005C77DC">
            <w:pPr>
              <w:keepNext/>
              <w:keepLines/>
              <w:rPr>
                <w:rFonts w:ascii="Arial Narrow" w:hAnsi="Arial Narrow"/>
                <w:sz w:val="18"/>
                <w:szCs w:val="18"/>
              </w:rPr>
            </w:pPr>
          </w:p>
        </w:tc>
        <w:tc>
          <w:tcPr>
            <w:tcW w:w="4924" w:type="pct"/>
            <w:gridSpan w:val="6"/>
            <w:tcBorders>
              <w:top w:val="single" w:sz="4" w:space="0" w:color="auto"/>
              <w:left w:val="single" w:sz="4" w:space="0" w:color="auto"/>
              <w:bottom w:val="single" w:sz="4" w:space="0" w:color="auto"/>
              <w:right w:val="single" w:sz="4" w:space="0" w:color="auto"/>
            </w:tcBorders>
          </w:tcPr>
          <w:p w:rsidR="00066F32" w:rsidRPr="00940F72" w:rsidRDefault="00066F32" w:rsidP="005C77DC">
            <w:pPr>
              <w:keepNext/>
              <w:keepLines/>
              <w:rPr>
                <w:rFonts w:ascii="Arial Narrow" w:hAnsi="Arial Narrow"/>
                <w:b/>
                <w:sz w:val="18"/>
                <w:szCs w:val="18"/>
              </w:rPr>
            </w:pPr>
            <w:r w:rsidRPr="00940F72">
              <w:rPr>
                <w:rFonts w:ascii="Arial Narrow" w:hAnsi="Arial Narrow"/>
                <w:b/>
                <w:sz w:val="18"/>
                <w:szCs w:val="18"/>
              </w:rPr>
              <w:t xml:space="preserve">Prescriber type:   </w:t>
            </w:r>
            <w:r w:rsidRPr="00940F72">
              <w:rPr>
                <w:rFonts w:ascii="Arial Narrow" w:hAnsi="Arial Narrow"/>
                <w:sz w:val="18"/>
                <w:szCs w:val="18"/>
              </w:rPr>
              <w:fldChar w:fldCharType="begin">
                <w:ffData>
                  <w:name w:val=""/>
                  <w:enabled/>
                  <w:calcOnExit w:val="0"/>
                  <w:checkBox>
                    <w:sizeAuto/>
                    <w:default w:val="1"/>
                  </w:checkBox>
                </w:ffData>
              </w:fldChar>
            </w:r>
            <w:r w:rsidRPr="00940F72">
              <w:rPr>
                <w:rFonts w:ascii="Arial Narrow" w:hAnsi="Arial Narrow"/>
                <w:sz w:val="18"/>
                <w:szCs w:val="18"/>
              </w:rPr>
              <w:instrText xml:space="preserve"> FORMCHECKBOX </w:instrText>
            </w:r>
            <w:r w:rsidR="00D45843">
              <w:rPr>
                <w:rFonts w:ascii="Arial Narrow" w:hAnsi="Arial Narrow"/>
                <w:sz w:val="18"/>
                <w:szCs w:val="18"/>
              </w:rPr>
            </w:r>
            <w:r w:rsidR="00D45843">
              <w:rPr>
                <w:rFonts w:ascii="Arial Narrow" w:hAnsi="Arial Narrow"/>
                <w:sz w:val="18"/>
                <w:szCs w:val="18"/>
              </w:rPr>
              <w:fldChar w:fldCharType="separate"/>
            </w:r>
            <w:r w:rsidRPr="00940F72">
              <w:rPr>
                <w:rFonts w:ascii="Arial Narrow" w:hAnsi="Arial Narrow"/>
                <w:sz w:val="18"/>
                <w:szCs w:val="18"/>
              </w:rPr>
              <w:fldChar w:fldCharType="end"/>
            </w:r>
            <w:r w:rsidRPr="00940F72">
              <w:rPr>
                <w:rFonts w:ascii="Arial Narrow" w:hAnsi="Arial Narrow"/>
                <w:sz w:val="18"/>
                <w:szCs w:val="18"/>
              </w:rPr>
              <w:t xml:space="preserve"> Medical Practitioners</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Merge/>
            <w:tcBorders>
              <w:left w:val="single" w:sz="4" w:space="0" w:color="auto"/>
              <w:bottom w:val="single" w:sz="4" w:space="0" w:color="auto"/>
              <w:right w:val="single" w:sz="4" w:space="0" w:color="auto"/>
            </w:tcBorders>
          </w:tcPr>
          <w:p w:rsidR="00066F32" w:rsidRPr="00940F72" w:rsidRDefault="00066F32" w:rsidP="005C77DC">
            <w:pPr>
              <w:keepNext/>
              <w:keepLines/>
              <w:rPr>
                <w:rFonts w:ascii="Arial Narrow" w:hAnsi="Arial Narrow"/>
                <w:sz w:val="18"/>
                <w:szCs w:val="18"/>
              </w:rPr>
            </w:pPr>
          </w:p>
        </w:tc>
        <w:tc>
          <w:tcPr>
            <w:tcW w:w="4924" w:type="pct"/>
            <w:gridSpan w:val="6"/>
            <w:tcBorders>
              <w:top w:val="single" w:sz="4" w:space="0" w:color="auto"/>
              <w:left w:val="single" w:sz="4" w:space="0" w:color="auto"/>
              <w:bottom w:val="single" w:sz="4" w:space="0" w:color="auto"/>
              <w:right w:val="single" w:sz="4" w:space="0" w:color="auto"/>
            </w:tcBorders>
          </w:tcPr>
          <w:p w:rsidR="00066F32" w:rsidRPr="00940F72" w:rsidRDefault="00066F32" w:rsidP="005C77DC">
            <w:pPr>
              <w:keepNext/>
              <w:keepLines/>
              <w:rPr>
                <w:rFonts w:ascii="Arial Narrow" w:eastAsia="Calibri" w:hAnsi="Arial Narrow"/>
                <w:sz w:val="18"/>
                <w:szCs w:val="18"/>
              </w:rPr>
            </w:pPr>
            <w:r w:rsidRPr="00940F72">
              <w:rPr>
                <w:rFonts w:ascii="Arial Narrow" w:hAnsi="Arial Narrow"/>
                <w:b/>
                <w:sz w:val="18"/>
                <w:szCs w:val="18"/>
              </w:rPr>
              <w:t>Restriction type:</w:t>
            </w:r>
            <w:r w:rsidRPr="00940F72">
              <w:rPr>
                <w:rFonts w:ascii="Arial Narrow" w:eastAsia="Calibri" w:hAnsi="Arial Narrow"/>
                <w:sz w:val="18"/>
                <w:szCs w:val="18"/>
              </w:rPr>
              <w:t xml:space="preserve"> </w:t>
            </w:r>
            <w:r w:rsidRPr="00940F72">
              <w:rPr>
                <w:rFonts w:ascii="Arial Narrow" w:eastAsia="Calibri" w:hAnsi="Arial Narrow"/>
                <w:sz w:val="18"/>
                <w:szCs w:val="18"/>
              </w:rPr>
              <w:fldChar w:fldCharType="begin">
                <w:ffData>
                  <w:name w:val="Check3"/>
                  <w:enabled/>
                  <w:calcOnExit w:val="0"/>
                  <w:checkBox>
                    <w:sizeAuto/>
                    <w:default w:val="1"/>
                  </w:checkBox>
                </w:ffData>
              </w:fldChar>
            </w:r>
            <w:r w:rsidRPr="00940F72">
              <w:rPr>
                <w:rFonts w:ascii="Arial Narrow" w:eastAsia="Calibri" w:hAnsi="Arial Narrow"/>
                <w:sz w:val="18"/>
                <w:szCs w:val="18"/>
              </w:rPr>
              <w:instrText xml:space="preserve"> FORMCHECKBOX </w:instrText>
            </w:r>
            <w:r w:rsidR="00D45843">
              <w:rPr>
                <w:rFonts w:ascii="Arial Narrow" w:eastAsia="Calibri" w:hAnsi="Arial Narrow"/>
                <w:sz w:val="18"/>
                <w:szCs w:val="18"/>
              </w:rPr>
            </w:r>
            <w:r w:rsidR="00D45843">
              <w:rPr>
                <w:rFonts w:ascii="Arial Narrow" w:eastAsia="Calibri" w:hAnsi="Arial Narrow"/>
                <w:sz w:val="18"/>
                <w:szCs w:val="18"/>
              </w:rPr>
              <w:fldChar w:fldCharType="separate"/>
            </w:r>
            <w:r w:rsidRPr="00940F72">
              <w:rPr>
                <w:rFonts w:ascii="Arial Narrow" w:eastAsia="Calibri" w:hAnsi="Arial Narrow"/>
                <w:sz w:val="18"/>
                <w:szCs w:val="18"/>
              </w:rPr>
              <w:fldChar w:fldCharType="end"/>
            </w:r>
            <w:r w:rsidRPr="00940F72">
              <w:rPr>
                <w:rFonts w:ascii="Arial Narrow" w:eastAsia="Calibri" w:hAnsi="Arial Narrow"/>
                <w:sz w:val="18"/>
                <w:szCs w:val="18"/>
              </w:rPr>
              <w:t xml:space="preserve"> Authority Required – immediate/real-time assessment by Services Australia </w:t>
            </w:r>
          </w:p>
        </w:tc>
      </w:tr>
      <w:tr w:rsidR="00FA3ED8" w:rsidRPr="00940F72" w:rsidTr="00FA3ED8">
        <w:tblPrEx>
          <w:tblCellMar>
            <w:top w:w="15" w:type="dxa"/>
            <w:left w:w="15" w:type="dxa"/>
            <w:bottom w:w="15" w:type="dxa"/>
            <w:right w:w="15" w:type="dxa"/>
          </w:tblCellMar>
        </w:tblPrEx>
        <w:tc>
          <w:tcPr>
            <w:tcW w:w="76" w:type="pct"/>
            <w:vMerge w:val="restart"/>
            <w:textDirection w:val="btLr"/>
            <w:vAlign w:val="center"/>
          </w:tcPr>
          <w:p w:rsidR="00FA3ED8" w:rsidRPr="00940F72" w:rsidRDefault="00FA3ED8" w:rsidP="005C77DC">
            <w:pPr>
              <w:keepNext/>
              <w:keepLines/>
              <w:jc w:val="center"/>
              <w:rPr>
                <w:rFonts w:ascii="Arial Narrow" w:hAnsi="Arial Narrow"/>
                <w:sz w:val="18"/>
                <w:szCs w:val="18"/>
              </w:rPr>
            </w:pPr>
          </w:p>
        </w:tc>
        <w:tc>
          <w:tcPr>
            <w:tcW w:w="4924" w:type="pct"/>
            <w:gridSpan w:val="6"/>
            <w:vAlign w:val="center"/>
          </w:tcPr>
          <w:p w:rsidR="00FA3ED8" w:rsidRPr="00940F72" w:rsidRDefault="00FA3ED8" w:rsidP="005C77DC">
            <w:pPr>
              <w:keepNext/>
              <w:keepLines/>
              <w:rPr>
                <w:rFonts w:ascii="Arial Narrow" w:hAnsi="Arial Narrow"/>
                <w:sz w:val="18"/>
                <w:szCs w:val="18"/>
              </w:rPr>
            </w:pPr>
            <w:r w:rsidRPr="00940F72">
              <w:rPr>
                <w:rFonts w:ascii="Arial Narrow" w:hAnsi="Arial Narrow"/>
                <w:b/>
                <w:bCs/>
                <w:sz w:val="18"/>
                <w:szCs w:val="18"/>
              </w:rPr>
              <w:t>Administrative Advice:</w:t>
            </w:r>
            <w:r w:rsidRPr="00940F72">
              <w:rPr>
                <w:rFonts w:ascii="Arial Narrow" w:hAnsi="Arial Narrow"/>
                <w:sz w:val="18"/>
                <w:szCs w:val="18"/>
              </w:rPr>
              <w:t xml:space="preserve"> No increase in the maximum quantity or number of units may be authorised.</w:t>
            </w:r>
          </w:p>
        </w:tc>
      </w:tr>
      <w:tr w:rsidR="00FA3ED8" w:rsidRPr="00940F72" w:rsidTr="00FA3ED8">
        <w:tblPrEx>
          <w:tblCellMar>
            <w:top w:w="15" w:type="dxa"/>
            <w:left w:w="15" w:type="dxa"/>
            <w:bottom w:w="15" w:type="dxa"/>
            <w:right w:w="15" w:type="dxa"/>
          </w:tblCellMar>
          <w:tblLook w:val="04A0" w:firstRow="1" w:lastRow="0" w:firstColumn="1" w:lastColumn="0" w:noHBand="0" w:noVBand="1"/>
        </w:tblPrEx>
        <w:tc>
          <w:tcPr>
            <w:tcW w:w="76" w:type="pct"/>
            <w:vMerge/>
            <w:vAlign w:val="center"/>
          </w:tcPr>
          <w:p w:rsidR="00FA3ED8" w:rsidRPr="00940F72" w:rsidRDefault="00FA3ED8" w:rsidP="005C77DC">
            <w:pPr>
              <w:keepNext/>
              <w:keepLines/>
              <w:jc w:val="center"/>
              <w:rPr>
                <w:rFonts w:ascii="Arial Narrow" w:hAnsi="Arial Narrow"/>
                <w:sz w:val="18"/>
                <w:szCs w:val="18"/>
              </w:rPr>
            </w:pPr>
          </w:p>
        </w:tc>
        <w:tc>
          <w:tcPr>
            <w:tcW w:w="4924" w:type="pct"/>
            <w:gridSpan w:val="6"/>
            <w:vAlign w:val="center"/>
            <w:hideMark/>
          </w:tcPr>
          <w:p w:rsidR="00FA3ED8" w:rsidRPr="00940F72" w:rsidRDefault="00FA3ED8" w:rsidP="005C77DC">
            <w:pPr>
              <w:keepNext/>
              <w:keepLines/>
              <w:rPr>
                <w:rFonts w:ascii="Arial Narrow" w:hAnsi="Arial Narrow"/>
                <w:sz w:val="18"/>
                <w:szCs w:val="18"/>
              </w:rPr>
            </w:pPr>
            <w:r w:rsidRPr="00940F72">
              <w:rPr>
                <w:rFonts w:ascii="Arial Narrow" w:hAnsi="Arial Narrow"/>
                <w:b/>
                <w:bCs/>
                <w:sz w:val="18"/>
                <w:szCs w:val="18"/>
              </w:rPr>
              <w:t>Administrative Advice:</w:t>
            </w:r>
            <w:r w:rsidRPr="00940F72">
              <w:rPr>
                <w:rFonts w:ascii="Arial Narrow" w:hAnsi="Arial Narrow"/>
                <w:sz w:val="18"/>
                <w:szCs w:val="18"/>
              </w:rPr>
              <w:t xml:space="preserve"> No increase in the maximum number of repeats may be authorised.</w:t>
            </w:r>
          </w:p>
        </w:tc>
      </w:tr>
      <w:tr w:rsidR="00FA3ED8" w:rsidRPr="00940F72" w:rsidTr="00FA3ED8">
        <w:tblPrEx>
          <w:tblCellMar>
            <w:top w:w="15" w:type="dxa"/>
            <w:left w:w="15" w:type="dxa"/>
            <w:bottom w:w="15" w:type="dxa"/>
            <w:right w:w="15" w:type="dxa"/>
          </w:tblCellMar>
          <w:tblLook w:val="04A0" w:firstRow="1" w:lastRow="0" w:firstColumn="1" w:lastColumn="0" w:noHBand="0" w:noVBand="1"/>
        </w:tblPrEx>
        <w:tc>
          <w:tcPr>
            <w:tcW w:w="76" w:type="pct"/>
            <w:vMerge/>
            <w:vAlign w:val="center"/>
          </w:tcPr>
          <w:p w:rsidR="00FA3ED8" w:rsidRPr="00940F72" w:rsidRDefault="00FA3ED8" w:rsidP="005C77DC">
            <w:pPr>
              <w:keepNext/>
              <w:keepLines/>
              <w:jc w:val="center"/>
              <w:rPr>
                <w:rFonts w:ascii="Arial Narrow" w:hAnsi="Arial Narrow"/>
                <w:sz w:val="18"/>
                <w:szCs w:val="18"/>
              </w:rPr>
            </w:pPr>
          </w:p>
        </w:tc>
        <w:tc>
          <w:tcPr>
            <w:tcW w:w="4924" w:type="pct"/>
            <w:gridSpan w:val="6"/>
            <w:vAlign w:val="center"/>
            <w:hideMark/>
          </w:tcPr>
          <w:p w:rsidR="00FA3ED8" w:rsidRPr="00940F72" w:rsidRDefault="00FA3ED8" w:rsidP="005C77DC">
            <w:pPr>
              <w:keepNext/>
              <w:keepLines/>
              <w:rPr>
                <w:rFonts w:ascii="Arial Narrow" w:hAnsi="Arial Narrow"/>
                <w:sz w:val="18"/>
                <w:szCs w:val="18"/>
              </w:rPr>
            </w:pPr>
            <w:r w:rsidRPr="00940F72">
              <w:rPr>
                <w:rFonts w:ascii="Arial Narrow" w:hAnsi="Arial Narrow"/>
                <w:b/>
                <w:bCs/>
                <w:sz w:val="18"/>
                <w:szCs w:val="18"/>
              </w:rPr>
              <w:t>Administrative Advice:</w:t>
            </w:r>
            <w:r w:rsidRPr="00940F72">
              <w:rPr>
                <w:rFonts w:ascii="Arial Narrow" w:hAnsi="Arial Narrow"/>
                <w:sz w:val="18"/>
                <w:szCs w:val="18"/>
              </w:rPr>
              <w:t xml:space="preserve"> Special Pricing Arrangements apply.</w:t>
            </w:r>
          </w:p>
        </w:tc>
      </w:tr>
      <w:tr w:rsidR="00FA3ED8" w:rsidRPr="00940F72" w:rsidTr="00FA3ED8">
        <w:tblPrEx>
          <w:tblCellMar>
            <w:top w:w="15" w:type="dxa"/>
            <w:left w:w="15" w:type="dxa"/>
            <w:bottom w:w="15" w:type="dxa"/>
            <w:right w:w="15" w:type="dxa"/>
          </w:tblCellMar>
          <w:tblLook w:val="04A0" w:firstRow="1" w:lastRow="0" w:firstColumn="1" w:lastColumn="0" w:noHBand="0" w:noVBand="1"/>
        </w:tblPrEx>
        <w:tc>
          <w:tcPr>
            <w:tcW w:w="76" w:type="pct"/>
            <w:vMerge/>
            <w:vAlign w:val="center"/>
          </w:tcPr>
          <w:p w:rsidR="00FA3ED8" w:rsidRPr="00940F72" w:rsidRDefault="00FA3ED8" w:rsidP="005C77DC">
            <w:pPr>
              <w:keepNext/>
              <w:keepLines/>
              <w:jc w:val="center"/>
              <w:rPr>
                <w:rFonts w:ascii="Arial Narrow" w:hAnsi="Arial Narrow"/>
                <w:sz w:val="18"/>
                <w:szCs w:val="18"/>
              </w:rPr>
            </w:pPr>
          </w:p>
        </w:tc>
        <w:tc>
          <w:tcPr>
            <w:tcW w:w="4924" w:type="pct"/>
            <w:gridSpan w:val="6"/>
            <w:vAlign w:val="center"/>
          </w:tcPr>
          <w:p w:rsidR="00FA3ED8" w:rsidRPr="00940F72" w:rsidRDefault="00FA3ED8" w:rsidP="005C77DC">
            <w:pPr>
              <w:keepNext/>
              <w:keepLines/>
              <w:rPr>
                <w:rFonts w:ascii="Arial Narrow" w:hAnsi="Arial Narrow"/>
                <w:bCs/>
                <w:i/>
                <w:sz w:val="18"/>
                <w:szCs w:val="18"/>
              </w:rPr>
            </w:pPr>
            <w:r w:rsidRPr="00940F72">
              <w:rPr>
                <w:rFonts w:ascii="Arial Narrow" w:hAnsi="Arial Narrow"/>
                <w:b/>
                <w:bCs/>
                <w:i/>
                <w:sz w:val="18"/>
                <w:szCs w:val="18"/>
              </w:rPr>
              <w:t xml:space="preserve">Administrative Advice: </w:t>
            </w:r>
            <w:r w:rsidRPr="00940F72">
              <w:rPr>
                <w:rFonts w:ascii="Arial Narrow" w:hAnsi="Arial Narrow"/>
                <w:bCs/>
                <w:i/>
                <w:sz w:val="18"/>
                <w:szCs w:val="18"/>
              </w:rPr>
              <w:t>For the purposes of administering this restriction, Bruton tyrosine kinase inhibitors are: acalabrutinib [pending outcome], ibrutinib and zanubrutinib [pending outcome]</w:t>
            </w:r>
          </w:p>
        </w:tc>
      </w:tr>
      <w:tr w:rsidR="00FA3ED8" w:rsidRPr="00940F72" w:rsidTr="00FA3ED8">
        <w:tblPrEx>
          <w:tblCellMar>
            <w:top w:w="15" w:type="dxa"/>
            <w:left w:w="15" w:type="dxa"/>
            <w:bottom w:w="15" w:type="dxa"/>
            <w:right w:w="15" w:type="dxa"/>
          </w:tblCellMar>
          <w:tblLook w:val="04A0" w:firstRow="1" w:lastRow="0" w:firstColumn="1" w:lastColumn="0" w:noHBand="0" w:noVBand="1"/>
        </w:tblPrEx>
        <w:trPr>
          <w:trHeight w:val="663"/>
        </w:trPr>
        <w:tc>
          <w:tcPr>
            <w:tcW w:w="76" w:type="pct"/>
            <w:vMerge/>
            <w:vAlign w:val="center"/>
          </w:tcPr>
          <w:p w:rsidR="00FA3ED8" w:rsidRPr="00940F72" w:rsidRDefault="00FA3ED8" w:rsidP="005C77DC">
            <w:pPr>
              <w:keepNext/>
              <w:keepLines/>
              <w:jc w:val="center"/>
              <w:rPr>
                <w:rFonts w:ascii="Arial Narrow" w:hAnsi="Arial Narrow"/>
                <w:sz w:val="18"/>
                <w:szCs w:val="18"/>
              </w:rPr>
            </w:pPr>
          </w:p>
        </w:tc>
        <w:tc>
          <w:tcPr>
            <w:tcW w:w="4924" w:type="pct"/>
            <w:gridSpan w:val="6"/>
            <w:vAlign w:val="center"/>
            <w:hideMark/>
          </w:tcPr>
          <w:p w:rsidR="00FA3ED8" w:rsidRPr="00940F72" w:rsidRDefault="00FA3ED8" w:rsidP="005C77DC">
            <w:pPr>
              <w:keepNext/>
              <w:keepLines/>
              <w:rPr>
                <w:rFonts w:ascii="Arial Narrow" w:hAnsi="Arial Narrow"/>
                <w:sz w:val="18"/>
                <w:szCs w:val="18"/>
              </w:rPr>
            </w:pPr>
            <w:r w:rsidRPr="00940F72">
              <w:rPr>
                <w:rFonts w:ascii="Arial Narrow" w:hAnsi="Arial Narrow"/>
                <w:b/>
                <w:bCs/>
                <w:sz w:val="18"/>
                <w:szCs w:val="18"/>
              </w:rPr>
              <w:t>Administrative Advice:</w:t>
            </w:r>
          </w:p>
          <w:p w:rsidR="00FA3ED8" w:rsidRPr="00940F72" w:rsidRDefault="00FA3ED8" w:rsidP="005C77DC">
            <w:pPr>
              <w:keepNext/>
              <w:keepLines/>
              <w:rPr>
                <w:rFonts w:ascii="Arial Narrow" w:hAnsi="Arial Narrow"/>
                <w:sz w:val="18"/>
                <w:szCs w:val="18"/>
              </w:rPr>
            </w:pPr>
            <w:r w:rsidRPr="00940F72">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Indication:</w:t>
            </w:r>
            <w:r w:rsidRPr="00940F72">
              <w:rPr>
                <w:rFonts w:ascii="Arial Narrow" w:hAnsi="Arial Narrow"/>
                <w:sz w:val="18"/>
                <w:szCs w:val="18"/>
              </w:rPr>
              <w:t xml:space="preserve"> Mantle cell lymphoma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Initial treatment</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The condition must have relapsed or be refractory to at least one prior therapy</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 must have a WHO performance status of 0 or 1</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The treatment must be the sole PBS-subsidised therapy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trike/>
                <w:sz w:val="18"/>
                <w:szCs w:val="18"/>
              </w:rPr>
            </w:pPr>
            <w:r w:rsidRPr="00940F72">
              <w:rPr>
                <w:rFonts w:ascii="Arial Narrow" w:hAnsi="Arial Narrow"/>
                <w:b/>
                <w:bCs/>
                <w:strike/>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trike/>
                <w:sz w:val="18"/>
                <w:szCs w:val="18"/>
              </w:rPr>
            </w:pPr>
            <w:r w:rsidRPr="00940F72">
              <w:rPr>
                <w:rFonts w:ascii="Arial Narrow" w:hAnsi="Arial Narrow"/>
                <w:b/>
                <w:bCs/>
                <w:strike/>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trike/>
                <w:sz w:val="18"/>
                <w:szCs w:val="18"/>
              </w:rPr>
            </w:pPr>
            <w:r w:rsidRPr="00940F72">
              <w:rPr>
                <w:rFonts w:ascii="Arial Narrow" w:hAnsi="Arial Narrow"/>
                <w:strike/>
                <w:sz w:val="18"/>
                <w:szCs w:val="18"/>
              </w:rPr>
              <w:t>Patient must not have previously received PBS-subsidised treatment with this drug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i/>
                <w:sz w:val="18"/>
                <w:szCs w:val="18"/>
              </w:rPr>
            </w:pPr>
            <w:r w:rsidRPr="00940F72">
              <w:rPr>
                <w:rFonts w:ascii="Arial Narrow" w:hAnsi="Arial Narrow"/>
                <w:b/>
                <w:bCs/>
                <w:i/>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i/>
                <w:sz w:val="18"/>
                <w:szCs w:val="18"/>
              </w:rPr>
            </w:pPr>
            <w:r w:rsidRPr="00940F72">
              <w:rPr>
                <w:rFonts w:ascii="Arial Narrow" w:hAnsi="Arial Narrow"/>
                <w:b/>
                <w:bCs/>
                <w:i/>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i/>
                <w:sz w:val="18"/>
                <w:szCs w:val="18"/>
              </w:rPr>
            </w:pPr>
            <w:r w:rsidRPr="00940F72">
              <w:rPr>
                <w:rFonts w:ascii="Arial Narrow" w:hAnsi="Arial Narrow"/>
                <w:strike/>
                <w:sz w:val="18"/>
                <w:szCs w:val="18"/>
              </w:rPr>
              <w:t>Patient must not have received treatment with another Bruton's tyrosine kinase (BTK) inhibitor for any line of treatment of MCL (untreated or relapsed/refractory disease)</w:t>
            </w:r>
            <w:r w:rsidRPr="00940F72">
              <w:rPr>
                <w:rFonts w:ascii="Arial Narrow" w:hAnsi="Arial Narrow"/>
                <w:i/>
                <w:sz w:val="18"/>
                <w:szCs w:val="18"/>
              </w:rPr>
              <w:t xml:space="preserve"> Patient must be untreated with Bruton tyrosine kinase inhibitor therapy; or</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i/>
                <w:sz w:val="18"/>
                <w:szCs w:val="18"/>
              </w:rPr>
            </w:pPr>
            <w:r w:rsidRPr="00940F72">
              <w:rPr>
                <w:rFonts w:ascii="Arial Narrow" w:hAnsi="Arial Narrow"/>
                <w:sz w:val="18"/>
                <w:szCs w:val="18"/>
              </w:rPr>
              <w:t>Patient must have developed intolerance to another Bruton</w:t>
            </w:r>
            <w:r w:rsidRPr="00940F72">
              <w:rPr>
                <w:rFonts w:ascii="Arial Narrow" w:hAnsi="Arial Narrow"/>
                <w:strike/>
                <w:sz w:val="18"/>
                <w:szCs w:val="18"/>
              </w:rPr>
              <w:t>’s</w:t>
            </w:r>
            <w:r w:rsidRPr="00940F72">
              <w:rPr>
                <w:rFonts w:ascii="Arial Narrow" w:hAnsi="Arial Narrow"/>
                <w:sz w:val="18"/>
                <w:szCs w:val="18"/>
              </w:rPr>
              <w:t xml:space="preserve"> tyrosine kinase </w:t>
            </w:r>
            <w:r w:rsidRPr="00940F72">
              <w:rPr>
                <w:rFonts w:ascii="Arial Narrow" w:hAnsi="Arial Narrow"/>
                <w:strike/>
                <w:sz w:val="18"/>
                <w:szCs w:val="18"/>
              </w:rPr>
              <w:t>(BTK)</w:t>
            </w:r>
            <w:r w:rsidRPr="00940F72">
              <w:rPr>
                <w:rFonts w:ascii="Arial Narrow" w:hAnsi="Arial Narrow"/>
                <w:sz w:val="18"/>
                <w:szCs w:val="18"/>
              </w:rPr>
              <w:t xml:space="preserve"> inhibitor of a severity necessitating permanent treatment withdrawal when being treated for relapsed or refractory MCL</w:t>
            </w:r>
            <w:r w:rsidRPr="00940F72">
              <w:rPr>
                <w:rFonts w:ascii="Arial Narrow" w:hAnsi="Arial Narrow"/>
                <w:i/>
                <w:sz w:val="18"/>
                <w:szCs w:val="18"/>
              </w:rPr>
              <w:t xml:space="preserve"> </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066F32" w:rsidRPr="00940F72" w:rsidRDefault="00066F32" w:rsidP="005C77DC">
            <w:pPr>
              <w:keepNext/>
              <w:keepLines/>
              <w:rPr>
                <w:rFonts w:ascii="Arial Narrow" w:hAnsi="Arial Narrow"/>
                <w:b/>
                <w:bCs/>
                <w:sz w:val="18"/>
                <w:szCs w:val="18"/>
              </w:rPr>
            </w:pPr>
          </w:p>
          <w:p w:rsidR="00066F32" w:rsidRPr="00940F72" w:rsidRDefault="00066F32" w:rsidP="005C77DC">
            <w:pPr>
              <w:keepNext/>
              <w:keepLines/>
              <w:rPr>
                <w:rFonts w:ascii="Arial Narrow" w:hAnsi="Arial Narrow"/>
                <w:b/>
                <w:bCs/>
                <w:sz w:val="18"/>
                <w:szCs w:val="18"/>
              </w:rPr>
            </w:pP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Continuing treatment</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The treatment must be the sole PBS-subsidised therapy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 must have previously received PBS-subsidised treatment with this drug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trike/>
                <w:sz w:val="18"/>
                <w:szCs w:val="18"/>
              </w:rPr>
            </w:pPr>
            <w:r w:rsidRPr="00940F72">
              <w:rPr>
                <w:rFonts w:ascii="Arial Narrow" w:hAnsi="Arial Narrow"/>
                <w:strike/>
                <w:sz w:val="18"/>
                <w:szCs w:val="18"/>
              </w:rPr>
              <w:t>Patient must not develop disease progression while receiving PBS-subsidised treatment with this drug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i/>
                <w:sz w:val="18"/>
                <w:szCs w:val="18"/>
              </w:rPr>
            </w:pPr>
            <w:r w:rsidRPr="00940F72">
              <w:rPr>
                <w:rFonts w:ascii="Arial Narrow" w:hAnsi="Arial Narrow"/>
                <w:i/>
                <w:sz w:val="18"/>
                <w:szCs w:val="18"/>
              </w:rPr>
              <w:t>Patient must not have developed disease progression while being treated with this drug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rsidR="00066F32" w:rsidRPr="00940F72" w:rsidRDefault="00066F32" w:rsidP="005C77DC">
            <w:pPr>
              <w:keepNext/>
              <w:keepLines/>
              <w:rPr>
                <w:rFonts w:ascii="Arial Narrow" w:hAnsi="Arial Narrow"/>
                <w:b/>
                <w:bCs/>
                <w:sz w:val="18"/>
                <w:szCs w:val="18"/>
              </w:rPr>
            </w:pPr>
          </w:p>
          <w:p w:rsidR="00066F32" w:rsidRPr="00940F72" w:rsidRDefault="00066F32" w:rsidP="005C77DC">
            <w:pPr>
              <w:keepNext/>
              <w:keepLines/>
              <w:rPr>
                <w:rFonts w:ascii="Arial Narrow" w:hAnsi="Arial Narrow"/>
                <w:b/>
                <w:bCs/>
                <w:sz w:val="18"/>
                <w:szCs w:val="18"/>
              </w:rPr>
            </w:pP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Transitioning from non-PBS to PBS-subsidised supply – ‘Grandfather’ arrangements</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b/>
                <w:bCs/>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b/>
                <w:bCs/>
                <w:sz w:val="18"/>
                <w:szCs w:val="18"/>
              </w:rPr>
            </w:pPr>
            <w:r w:rsidRPr="00940F72">
              <w:rPr>
                <w:rFonts w:ascii="Arial Narrow" w:hAnsi="Arial Narrow"/>
                <w:sz w:val="18"/>
                <w:szCs w:val="18"/>
              </w:rPr>
              <w:t>Patient must have received treatment with this drug prior to [insert listing date here]</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The condition must have relapsed or be refractory to at least one prior therapy prior to initiating non-PBS-subsidised treatment with this drug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 must have had a WHO performance status of 0 or 1 at the time non-PBS-subsidised treatment with this drug for this condition was initiated.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The treatment must be the sole PBS-subsidised therapy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hideMark/>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 must have been untreated with Bruton tyrosine kinase inhibitor therapy at treatment initiation with this drug; or</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 must have developed intolerance to another Bruton</w:t>
            </w:r>
            <w:r w:rsidRPr="00940F72">
              <w:rPr>
                <w:rFonts w:ascii="Arial Narrow" w:hAnsi="Arial Narrow"/>
                <w:strike/>
                <w:sz w:val="18"/>
                <w:szCs w:val="18"/>
              </w:rPr>
              <w:t>’s</w:t>
            </w:r>
            <w:r w:rsidRPr="00940F72">
              <w:rPr>
                <w:rFonts w:ascii="Arial Narrow" w:hAnsi="Arial Narrow"/>
                <w:sz w:val="18"/>
                <w:szCs w:val="18"/>
              </w:rPr>
              <w:t xml:space="preserve"> tyrosine kinase </w:t>
            </w:r>
            <w:r w:rsidRPr="00940F72">
              <w:rPr>
                <w:rFonts w:ascii="Arial Narrow" w:hAnsi="Arial Narrow"/>
                <w:strike/>
                <w:sz w:val="18"/>
                <w:szCs w:val="18"/>
              </w:rPr>
              <w:t>(BTK)</w:t>
            </w:r>
            <w:r w:rsidRPr="00940F72">
              <w:rPr>
                <w:rFonts w:ascii="Arial Narrow" w:hAnsi="Arial Narrow"/>
                <w:sz w:val="18"/>
                <w:szCs w:val="18"/>
              </w:rPr>
              <w:t xml:space="preserve"> inhibitor of a severity necessitating permanent treatment withdrawal when being treated for relapsed or refractory MCL</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AND</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sz w:val="18"/>
                <w:szCs w:val="18"/>
              </w:rPr>
            </w:pPr>
            <w:r w:rsidRPr="00940F72">
              <w:rPr>
                <w:rFonts w:ascii="Arial Narrow" w:hAnsi="Arial Narrow"/>
                <w:b/>
                <w:bCs/>
                <w:sz w:val="18"/>
                <w:szCs w:val="18"/>
              </w:rPr>
              <w:t>Clinical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 must not have developed disease progression while being treated with this drug for this condition.</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b/>
                <w:sz w:val="18"/>
                <w:szCs w:val="18"/>
              </w:rPr>
            </w:pPr>
            <w:r w:rsidRPr="00940F72">
              <w:rPr>
                <w:rFonts w:ascii="Arial Narrow" w:hAnsi="Arial Narrow"/>
                <w:b/>
                <w:sz w:val="18"/>
                <w:szCs w:val="18"/>
              </w:rPr>
              <w:t>Administrative advice:</w:t>
            </w:r>
          </w:p>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Patients may qualify for PBS-subsidised treatment under this restriction once only. For continuing PBS-subsidised treatment, a 'Grandfathered' patient must qualify under the 'Continuing treatment' criteria.</w:t>
            </w:r>
          </w:p>
        </w:tc>
      </w:tr>
      <w:tr w:rsidR="00066F32" w:rsidRPr="00940F72" w:rsidTr="00FA3ED8">
        <w:tblPrEx>
          <w:tblCellMar>
            <w:top w:w="15" w:type="dxa"/>
            <w:left w:w="15" w:type="dxa"/>
            <w:bottom w:w="15" w:type="dxa"/>
            <w:right w:w="15" w:type="dxa"/>
          </w:tblCellMar>
          <w:tblLook w:val="04A0" w:firstRow="1" w:lastRow="0" w:firstColumn="1" w:lastColumn="0" w:noHBand="0" w:noVBand="1"/>
        </w:tblPrEx>
        <w:tc>
          <w:tcPr>
            <w:tcW w:w="76" w:type="pct"/>
            <w:vAlign w:val="center"/>
          </w:tcPr>
          <w:p w:rsidR="00066F32" w:rsidRPr="00940F72" w:rsidRDefault="00066F32" w:rsidP="005C77DC">
            <w:pPr>
              <w:keepNext/>
              <w:keepLines/>
              <w:jc w:val="center"/>
              <w:rPr>
                <w:rFonts w:ascii="Arial Narrow" w:hAnsi="Arial Narrow"/>
                <w:sz w:val="18"/>
                <w:szCs w:val="18"/>
              </w:rPr>
            </w:pPr>
          </w:p>
        </w:tc>
        <w:tc>
          <w:tcPr>
            <w:tcW w:w="4924" w:type="pct"/>
            <w:gridSpan w:val="6"/>
            <w:vAlign w:val="center"/>
          </w:tcPr>
          <w:p w:rsidR="00066F32" w:rsidRPr="00940F72" w:rsidRDefault="00066F32" w:rsidP="005C77DC">
            <w:pPr>
              <w:keepNext/>
              <w:keepLines/>
              <w:rPr>
                <w:rFonts w:ascii="Arial Narrow" w:hAnsi="Arial Narrow"/>
                <w:b/>
                <w:sz w:val="18"/>
                <w:szCs w:val="18"/>
              </w:rPr>
            </w:pPr>
            <w:r w:rsidRPr="00940F72">
              <w:rPr>
                <w:rFonts w:ascii="Arial Narrow" w:hAnsi="Arial Narrow"/>
                <w:b/>
                <w:sz w:val="18"/>
                <w:szCs w:val="18"/>
              </w:rPr>
              <w:t>Administrative advice:</w:t>
            </w:r>
          </w:p>
          <w:p w:rsidR="00066F32" w:rsidRPr="00940F72" w:rsidRDefault="00066F32" w:rsidP="005C77DC">
            <w:pPr>
              <w:keepNext/>
              <w:keepLines/>
              <w:rPr>
                <w:rFonts w:ascii="Arial Narrow" w:hAnsi="Arial Narrow"/>
                <w:sz w:val="18"/>
                <w:szCs w:val="18"/>
              </w:rPr>
            </w:pPr>
            <w:r w:rsidRPr="00940F72">
              <w:rPr>
                <w:rFonts w:ascii="Arial Narrow" w:hAnsi="Arial Narrow"/>
                <w:sz w:val="18"/>
                <w:szCs w:val="18"/>
              </w:rPr>
              <w:t>This grandfather restriction will cease to operate from 12 months after the date specified in the clinical criteria.</w:t>
            </w:r>
          </w:p>
        </w:tc>
      </w:tr>
    </w:tbl>
    <w:p w:rsidR="00955300" w:rsidRPr="00940F72" w:rsidRDefault="00955300" w:rsidP="00955300">
      <w:pPr>
        <w:pStyle w:val="TableFigureFooter"/>
      </w:pPr>
    </w:p>
    <w:p w:rsidR="00955300" w:rsidRPr="00940F72" w:rsidRDefault="00955300" w:rsidP="00955300">
      <w:pPr>
        <w:pStyle w:val="3-BodyText"/>
      </w:pPr>
      <w:r w:rsidRPr="00940F72">
        <w:t xml:space="preserve">The submission proposed a special pricing arrangement that would include a rebate for zanubrutinib such that the cost-minimisation claim is realised once the effective price for ibrutinib is incorporated. </w:t>
      </w:r>
    </w:p>
    <w:p w:rsidR="00955300" w:rsidRPr="00940F72" w:rsidRDefault="00955300" w:rsidP="00955300">
      <w:pPr>
        <w:pStyle w:val="3-BodyText"/>
      </w:pPr>
      <w:r w:rsidRPr="00940F72">
        <w:rPr>
          <w:iCs/>
        </w:rPr>
        <w:t xml:space="preserve">The proposed restriction is narrower than the </w:t>
      </w:r>
      <w:r w:rsidR="002C7D5E" w:rsidRPr="00940F72">
        <w:rPr>
          <w:iCs/>
        </w:rPr>
        <w:t xml:space="preserve">suggested </w:t>
      </w:r>
      <w:r w:rsidRPr="00940F72">
        <w:rPr>
          <w:iCs/>
        </w:rPr>
        <w:t xml:space="preserve">TGA indication described in </w:t>
      </w:r>
      <w:r w:rsidR="008831E1" w:rsidRPr="00940F72">
        <w:rPr>
          <w:iCs/>
        </w:rPr>
        <w:t>paragraph 2.2</w:t>
      </w:r>
      <w:r w:rsidRPr="00940F72">
        <w:rPr>
          <w:iCs/>
        </w:rPr>
        <w:t xml:space="preserve">, which does not restrict </w:t>
      </w:r>
      <w:r w:rsidR="00DB1AA9" w:rsidRPr="00940F72">
        <w:rPr>
          <w:iCs/>
        </w:rPr>
        <w:t>based on</w:t>
      </w:r>
      <w:r w:rsidRPr="00940F72">
        <w:rPr>
          <w:iCs/>
        </w:rPr>
        <w:t xml:space="preserve"> WHO performance status or prior treatment with a</w:t>
      </w:r>
      <w:r w:rsidR="00FF23E6" w:rsidRPr="00940F72">
        <w:rPr>
          <w:iCs/>
        </w:rPr>
        <w:t xml:space="preserve"> Bruton tyrosine kinase</w:t>
      </w:r>
      <w:r w:rsidRPr="00940F72">
        <w:rPr>
          <w:iCs/>
        </w:rPr>
        <w:t xml:space="preserve"> </w:t>
      </w:r>
      <w:r w:rsidR="00FF23E6" w:rsidRPr="00940F72">
        <w:rPr>
          <w:iCs/>
        </w:rPr>
        <w:t>(</w:t>
      </w:r>
      <w:r w:rsidRPr="00940F72">
        <w:rPr>
          <w:iCs/>
        </w:rPr>
        <w:t>BTK</w:t>
      </w:r>
      <w:r w:rsidR="00FF23E6" w:rsidRPr="00940F72">
        <w:rPr>
          <w:iCs/>
        </w:rPr>
        <w:t>)</w:t>
      </w:r>
      <w:r w:rsidRPr="00940F72">
        <w:rPr>
          <w:iCs/>
        </w:rPr>
        <w:t xml:space="preserve"> inhibitor.</w:t>
      </w:r>
    </w:p>
    <w:p w:rsidR="00955300" w:rsidRPr="00940F72" w:rsidRDefault="00955300" w:rsidP="002D3492">
      <w:pPr>
        <w:pStyle w:val="3-BodyText"/>
        <w:rPr>
          <w:iCs/>
        </w:rPr>
      </w:pPr>
      <w:r w:rsidRPr="00940F72">
        <w:rPr>
          <w:iCs/>
        </w:rPr>
        <w:t xml:space="preserve">The proposed restriction is broadly consistent with Study 206 and Study AU-003. While the restriction proposed that patients must have relapsed or be refractory to at least one prior therapy, both studies included patients with 1-5 prior therapies; and while the restriction proposed that patients have a </w:t>
      </w:r>
      <w:r w:rsidR="00123DE0" w:rsidRPr="00940F72">
        <w:rPr>
          <w:iCs/>
        </w:rPr>
        <w:t>World Health Organisation/Eastern Cooperative Oncology Group (WHO/ECOG)</w:t>
      </w:r>
      <w:r w:rsidRPr="00940F72">
        <w:rPr>
          <w:iCs/>
        </w:rPr>
        <w:t xml:space="preserve"> performance status of 0 or 1, the studies had a wider criterion of ECOG status ≤2. These differences are unlikely to be important since </w:t>
      </w:r>
      <w:r w:rsidR="00FC7386" w:rsidRPr="00940F72">
        <w:rPr>
          <w:iCs/>
        </w:rPr>
        <w:t>most</w:t>
      </w:r>
      <w:r w:rsidRPr="00940F72">
        <w:rPr>
          <w:iCs/>
        </w:rPr>
        <w:t xml:space="preserve"> patients in both studies had 1 or 2 prior therapies, and &gt;90% of patients were </w:t>
      </w:r>
      <w:r w:rsidR="00123DE0" w:rsidRPr="00940F72">
        <w:rPr>
          <w:iCs/>
        </w:rPr>
        <w:t>WHO/</w:t>
      </w:r>
      <w:r w:rsidRPr="00940F72">
        <w:rPr>
          <w:iCs/>
        </w:rPr>
        <w:t>ECOG status 0 or 1.</w:t>
      </w:r>
    </w:p>
    <w:p w:rsidR="00123DE0" w:rsidRPr="00940F72" w:rsidRDefault="00955300" w:rsidP="00123DE0">
      <w:pPr>
        <w:pStyle w:val="3-BodyText"/>
      </w:pPr>
      <w:r w:rsidRPr="00940F72">
        <w:rPr>
          <w:iCs/>
        </w:rPr>
        <w:t>Under the proposed restriction</w:t>
      </w:r>
      <w:r w:rsidR="00123DE0" w:rsidRPr="00940F72">
        <w:rPr>
          <w:iCs/>
        </w:rPr>
        <w:t xml:space="preserve"> for zanubrutinib, the ESC noted that patients who have </w:t>
      </w:r>
      <w:r w:rsidR="00123DE0" w:rsidRPr="00940F72">
        <w:rPr>
          <w:iCs/>
          <w:snapToGrid/>
        </w:rPr>
        <w:t xml:space="preserve">received prior treatment with a BTK inhibitor would not be eligible for treatment with zanubrutinib (except in the case of </w:t>
      </w:r>
      <w:r w:rsidR="00123DE0" w:rsidRPr="00940F72">
        <w:rPr>
          <w:iCs/>
        </w:rPr>
        <w:t>intolerance to ibrutinib of a severity necessitating permanent treatment withdrawal, discussed below).</w:t>
      </w:r>
      <w:r w:rsidR="009B5C4D" w:rsidRPr="00940F72">
        <w:rPr>
          <w:iCs/>
        </w:rPr>
        <w:t xml:space="preserve"> </w:t>
      </w:r>
      <w:r w:rsidRPr="00940F72">
        <w:rPr>
          <w:iCs/>
        </w:rPr>
        <w:t>Patients who had received prior treatment with BTK inhibitors (e.g., ibrutinib) were excluded from the key clinical trials, Study 206 and Study AU-003 (R/R MCL cohort).</w:t>
      </w:r>
      <w:r w:rsidR="00123DE0" w:rsidRPr="00940F72">
        <w:rPr>
          <w:iCs/>
        </w:rPr>
        <w:t xml:space="preserve"> The PBAC consider</w:t>
      </w:r>
      <w:r w:rsidR="00B26CCF" w:rsidRPr="00940F72">
        <w:rPr>
          <w:iCs/>
        </w:rPr>
        <w:t>ed</w:t>
      </w:r>
      <w:r w:rsidR="00123DE0" w:rsidRPr="00940F72">
        <w:rPr>
          <w:iCs/>
        </w:rPr>
        <w:t xml:space="preserve"> </w:t>
      </w:r>
      <w:r w:rsidR="00BF3935" w:rsidRPr="00940F72">
        <w:rPr>
          <w:iCs/>
        </w:rPr>
        <w:t>that</w:t>
      </w:r>
      <w:r w:rsidR="00123DE0" w:rsidRPr="00940F72">
        <w:rPr>
          <w:iCs/>
        </w:rPr>
        <w:t xml:space="preserve"> treatment with zanubrutinib should be restricted to</w:t>
      </w:r>
      <w:r w:rsidR="00123DE0" w:rsidRPr="00940F72">
        <w:rPr>
          <w:rFonts w:cstheme="minorHAnsi"/>
        </w:rPr>
        <w:t xml:space="preserve"> BTK inhibitor-naïve patients</w:t>
      </w:r>
      <w:r w:rsidR="00BF3935" w:rsidRPr="00940F72">
        <w:rPr>
          <w:rFonts w:cstheme="minorHAnsi"/>
        </w:rPr>
        <w:t xml:space="preserve"> </w:t>
      </w:r>
      <w:r w:rsidR="00BF3935" w:rsidRPr="00940F72">
        <w:rPr>
          <w:iCs/>
          <w:snapToGrid/>
        </w:rPr>
        <w:t xml:space="preserve">(except in the case of </w:t>
      </w:r>
      <w:r w:rsidR="00BF3935" w:rsidRPr="00940F72">
        <w:rPr>
          <w:iCs/>
        </w:rPr>
        <w:t>intolerance)</w:t>
      </w:r>
      <w:r w:rsidR="00123DE0" w:rsidRPr="00940F72">
        <w:rPr>
          <w:rFonts w:cstheme="minorHAnsi"/>
        </w:rPr>
        <w:t>, a</w:t>
      </w:r>
      <w:r w:rsidR="00123DE0" w:rsidRPr="00940F72">
        <w:rPr>
          <w:iCs/>
        </w:rPr>
        <w:t xml:space="preserve">nd </w:t>
      </w:r>
      <w:r w:rsidR="00BF3935" w:rsidRPr="00940F72">
        <w:rPr>
          <w:iCs/>
        </w:rPr>
        <w:t>that</w:t>
      </w:r>
      <w:r w:rsidR="00123DE0" w:rsidRPr="00940F72">
        <w:rPr>
          <w:iCs/>
        </w:rPr>
        <w:t xml:space="preserve"> an analogous criterion </w:t>
      </w:r>
      <w:r w:rsidR="00BF3935" w:rsidRPr="00940F72">
        <w:rPr>
          <w:iCs/>
        </w:rPr>
        <w:t>should</w:t>
      </w:r>
      <w:r w:rsidR="00123DE0" w:rsidRPr="00940F72">
        <w:rPr>
          <w:iCs/>
        </w:rPr>
        <w:t xml:space="preserve"> flow on to the restriction for ibrutinib in MCL.</w:t>
      </w:r>
    </w:p>
    <w:p w:rsidR="00123DE0" w:rsidRPr="00940F72" w:rsidRDefault="00123DE0" w:rsidP="00306580">
      <w:pPr>
        <w:pStyle w:val="3-BodyText"/>
        <w:rPr>
          <w:snapToGrid/>
        </w:rPr>
      </w:pPr>
      <w:r w:rsidRPr="00940F72">
        <w:rPr>
          <w:snapToGrid/>
        </w:rPr>
        <w:t xml:space="preserve">Under the proposed restriction for zanubrutinib, the ESC noted that patients </w:t>
      </w:r>
      <w:r w:rsidRPr="00940F72">
        <w:t>who have developed intolerance to ibrutinib of a severity necessitating permanent treatment withdrawal would be eligible for treatment with zanubrutinib</w:t>
      </w:r>
      <w:r w:rsidR="00DB1AA9" w:rsidRPr="00940F72">
        <w:t xml:space="preserve">. </w:t>
      </w:r>
      <w:r w:rsidRPr="00940F72">
        <w:rPr>
          <w:snapToGrid/>
        </w:rPr>
        <w:t>The PBAC</w:t>
      </w:r>
      <w:r w:rsidR="0060091C" w:rsidRPr="00940F72">
        <w:rPr>
          <w:snapToGrid/>
        </w:rPr>
        <w:t xml:space="preserve"> </w:t>
      </w:r>
      <w:r w:rsidRPr="00940F72">
        <w:rPr>
          <w:snapToGrid/>
        </w:rPr>
        <w:t>consider</w:t>
      </w:r>
      <w:r w:rsidR="00BF3935" w:rsidRPr="00940F72">
        <w:rPr>
          <w:snapToGrid/>
        </w:rPr>
        <w:t>ed</w:t>
      </w:r>
      <w:r w:rsidRPr="00940F72">
        <w:rPr>
          <w:snapToGrid/>
        </w:rPr>
        <w:t xml:space="preserve"> </w:t>
      </w:r>
      <w:r w:rsidR="00BF3935" w:rsidRPr="00940F72">
        <w:rPr>
          <w:snapToGrid/>
        </w:rPr>
        <w:t xml:space="preserve">that </w:t>
      </w:r>
      <w:r w:rsidRPr="00940F72">
        <w:rPr>
          <w:snapToGrid/>
        </w:rPr>
        <w:t>treatment with zanubrutinib should be allowed for patients who have developed such an intolerance</w:t>
      </w:r>
      <w:r w:rsidR="00306580" w:rsidRPr="00940F72">
        <w:t xml:space="preserve"> and </w:t>
      </w:r>
      <w:r w:rsidR="00306580" w:rsidRPr="00940F72">
        <w:rPr>
          <w:snapToGrid/>
        </w:rPr>
        <w:t>have not experienced disease progression</w:t>
      </w:r>
      <w:r w:rsidRPr="00940F72">
        <w:rPr>
          <w:snapToGrid/>
        </w:rPr>
        <w:t xml:space="preserve">, and </w:t>
      </w:r>
      <w:r w:rsidR="00BF3935" w:rsidRPr="00940F72">
        <w:rPr>
          <w:snapToGrid/>
        </w:rPr>
        <w:t xml:space="preserve">that </w:t>
      </w:r>
      <w:r w:rsidRPr="00940F72">
        <w:rPr>
          <w:snapToGrid/>
        </w:rPr>
        <w:t>an analogous criterion should flow on to the restriction for ibrutinib in MCL.</w:t>
      </w:r>
      <w:r w:rsidR="00BF3935" w:rsidRPr="00940F72">
        <w:rPr>
          <w:snapToGrid/>
        </w:rPr>
        <w:t xml:space="preserve"> The PBAC noted that this is consistent with the recommendation for acalabrutinib in R/R </w:t>
      </w:r>
      <w:r w:rsidR="00F872BD" w:rsidRPr="00940F72">
        <w:rPr>
          <w:iCs/>
          <w:snapToGrid/>
        </w:rPr>
        <w:t>chronic lymphocytic leukaemia</w:t>
      </w:r>
      <w:r w:rsidR="00F872BD" w:rsidRPr="00940F72">
        <w:rPr>
          <w:snapToGrid/>
        </w:rPr>
        <w:t xml:space="preserve"> (</w:t>
      </w:r>
      <w:r w:rsidR="00BF3935" w:rsidRPr="00940F72">
        <w:rPr>
          <w:snapToGrid/>
        </w:rPr>
        <w:t>CLL</w:t>
      </w:r>
      <w:r w:rsidR="00F872BD" w:rsidRPr="00940F72">
        <w:rPr>
          <w:snapToGrid/>
        </w:rPr>
        <w:t xml:space="preserve">) </w:t>
      </w:r>
      <w:r w:rsidR="00BF3935" w:rsidRPr="00940F72">
        <w:rPr>
          <w:snapToGrid/>
        </w:rPr>
        <w:t>/</w:t>
      </w:r>
      <w:r w:rsidR="00F872BD" w:rsidRPr="00940F72">
        <w:rPr>
          <w:snapToGrid/>
        </w:rPr>
        <w:t xml:space="preserve"> small lymphocytic lymphoma (</w:t>
      </w:r>
      <w:r w:rsidR="00BF3935" w:rsidRPr="00940F72">
        <w:rPr>
          <w:snapToGrid/>
        </w:rPr>
        <w:t>SLL</w:t>
      </w:r>
      <w:r w:rsidR="00F872BD" w:rsidRPr="00940F72">
        <w:rPr>
          <w:snapToGrid/>
        </w:rPr>
        <w:t>)</w:t>
      </w:r>
      <w:r w:rsidR="00BF3935" w:rsidRPr="00940F72">
        <w:rPr>
          <w:snapToGrid/>
        </w:rPr>
        <w:t xml:space="preserve"> considered at the March 2020 PBA</w:t>
      </w:r>
      <w:r w:rsidR="00F872BD" w:rsidRPr="00940F72">
        <w:rPr>
          <w:snapToGrid/>
        </w:rPr>
        <w:t>C</w:t>
      </w:r>
      <w:r w:rsidR="00BF3935" w:rsidRPr="00940F72">
        <w:rPr>
          <w:snapToGrid/>
        </w:rPr>
        <w:t xml:space="preserve"> meeting.</w:t>
      </w:r>
    </w:p>
    <w:p w:rsidR="00955300" w:rsidRPr="00940F72" w:rsidRDefault="00955300" w:rsidP="000B1537">
      <w:pPr>
        <w:pStyle w:val="3-BodyText"/>
        <w:rPr>
          <w:color w:val="0066FF"/>
        </w:rPr>
      </w:pPr>
      <w:r w:rsidRPr="00940F72">
        <w:t xml:space="preserve">Although provision for </w:t>
      </w:r>
      <w:r w:rsidR="00433EE7" w:rsidRPr="00940F72">
        <w:t xml:space="preserve">transitioning arrangements (‘grandfather’ arrangements) </w:t>
      </w:r>
      <w:r w:rsidRPr="00940F72">
        <w:t>under a</w:t>
      </w:r>
      <w:r w:rsidR="00433EE7" w:rsidRPr="00940F72">
        <w:t>n</w:t>
      </w:r>
      <w:r w:rsidRPr="00940F72">
        <w:t xml:space="preserve"> </w:t>
      </w:r>
      <w:r w:rsidR="00433EE7" w:rsidRPr="00940F72">
        <w:t xml:space="preserve">early </w:t>
      </w:r>
      <w:r w:rsidRPr="00940F72">
        <w:t>access program was requested, the number of patients expected to be treated under this program was not provided</w:t>
      </w:r>
      <w:r w:rsidR="00BF3935" w:rsidRPr="00940F72">
        <w:t xml:space="preserve"> in the submission</w:t>
      </w:r>
      <w:r w:rsidRPr="00940F72">
        <w:t xml:space="preserve">. </w:t>
      </w:r>
      <w:r w:rsidR="00123DE0" w:rsidRPr="00940F72">
        <w:rPr>
          <w:iCs/>
        </w:rPr>
        <w:t xml:space="preserve">The PSCR stated that there will be approximately 26 patients </w:t>
      </w:r>
      <w:r w:rsidR="00433EE7" w:rsidRPr="00940F72">
        <w:rPr>
          <w:iCs/>
        </w:rPr>
        <w:t xml:space="preserve">likely to require transitioning </w:t>
      </w:r>
      <w:r w:rsidR="00123DE0" w:rsidRPr="00940F72">
        <w:rPr>
          <w:iCs/>
        </w:rPr>
        <w:t>at the time of PBS listing.</w:t>
      </w:r>
      <w:r w:rsidR="00897FDD" w:rsidRPr="00940F72">
        <w:rPr>
          <w:iCs/>
        </w:rPr>
        <w:t xml:space="preserve"> </w:t>
      </w:r>
      <w:r w:rsidR="00897FDD" w:rsidRPr="00940F72">
        <w:t>The PBAC noted that any transitioning arrangements would serve to capture the same eligibility requirements applying to the usual population.</w:t>
      </w:r>
    </w:p>
    <w:p w:rsidR="00955300" w:rsidRPr="00940F72" w:rsidRDefault="00955300" w:rsidP="00955300">
      <w:pPr>
        <w:pStyle w:val="2-SectionHeading"/>
        <w:numPr>
          <w:ilvl w:val="0"/>
          <w:numId w:val="1"/>
        </w:numPr>
      </w:pPr>
      <w:bookmarkStart w:id="10" w:name="_Toc22898849"/>
      <w:bookmarkStart w:id="11" w:name="_Toc72318697"/>
      <w:r w:rsidRPr="00940F72">
        <w:t>Population and disease</w:t>
      </w:r>
      <w:bookmarkEnd w:id="10"/>
      <w:bookmarkEnd w:id="11"/>
    </w:p>
    <w:p w:rsidR="00955300" w:rsidRPr="00940F72" w:rsidRDefault="00955300" w:rsidP="00955300">
      <w:pPr>
        <w:pStyle w:val="3-BodyText"/>
      </w:pPr>
      <w:r w:rsidRPr="00940F72">
        <w:t xml:space="preserve">MCL is a rare, clinically aggressive B-cell lymphoma that accounts for 6-8% of all non‐Hodgkin lymphoma cases. MCL results from </w:t>
      </w:r>
      <w:r w:rsidR="00FC7386" w:rsidRPr="00940F72">
        <w:t xml:space="preserve">the </w:t>
      </w:r>
      <w:r w:rsidRPr="00940F72">
        <w:t>malignant transformation of a B lymphocyte in the outer edge of a lymph node follicle (i.e., the mantle zone). The molecular hallmark and initiating oncogenic event in MCL is the t(11;14)(q13;q32) translocation, leading to overexpression of cyclin D1 and causing cell cycle deregulation.</w:t>
      </w:r>
    </w:p>
    <w:p w:rsidR="00955300" w:rsidRPr="00940F72" w:rsidRDefault="00955300" w:rsidP="00955300">
      <w:pPr>
        <w:pStyle w:val="3-BodyText"/>
      </w:pPr>
      <w:r w:rsidRPr="00940F72">
        <w:t xml:space="preserve">It is a disease that predominantly affects older men (median age, 68 years), usually presents as late‐stage disease, and is associated with a poor prognosis. </w:t>
      </w:r>
      <w:r w:rsidRPr="00940F72">
        <w:rPr>
          <w:iCs/>
        </w:rPr>
        <w:t>The National Cancer Institute (2018) estimated 5-year relative survival at 55.9%</w:t>
      </w:r>
      <w:r w:rsidRPr="00940F72">
        <w:t>.</w:t>
      </w:r>
    </w:p>
    <w:p w:rsidR="00955300" w:rsidRPr="00940F72" w:rsidRDefault="00955300" w:rsidP="00955300">
      <w:pPr>
        <w:pStyle w:val="3-BodyText"/>
      </w:pPr>
      <w:r w:rsidRPr="00940F72">
        <w:t xml:space="preserve">Due to the aggressive nature of the disease, approximately 60-70% of MCL cases are diagnosed at an advanced stage (Stage III or IV) with disseminated lymphadenopathy, splenomegaly, and bone marrow infiltration. </w:t>
      </w:r>
      <w:r w:rsidRPr="00940F72">
        <w:rPr>
          <w:iCs/>
        </w:rPr>
        <w:t>Common symptoms include painless lumps in the neck, groin, or armpit; B symptoms (night sweats, persistent fevers, unexplained weight loss); abdominal bloating; diarrhoea; loss of appetite; and fatigue.</w:t>
      </w:r>
    </w:p>
    <w:p w:rsidR="00955300" w:rsidRPr="00940F72" w:rsidRDefault="00955300" w:rsidP="00955300">
      <w:pPr>
        <w:pStyle w:val="3-BodyText"/>
      </w:pPr>
      <w:r w:rsidRPr="00940F72">
        <w:t xml:space="preserve">MCL patients in Australia have multiple rituximab-based immunochemotherapy options </w:t>
      </w:r>
      <w:r w:rsidR="00DB1AA9" w:rsidRPr="00940F72">
        <w:t>available;</w:t>
      </w:r>
      <w:r w:rsidRPr="00940F72">
        <w:t xml:space="preserve"> </w:t>
      </w:r>
      <w:r w:rsidR="00DB1AA9" w:rsidRPr="00940F72">
        <w:t>however,</w:t>
      </w:r>
      <w:r w:rsidRPr="00940F72">
        <w:t xml:space="preserve"> these regimens are associated with toxicity issues and are often inappropriate for patients in the relapsed or refractory setting who typically have poor overall fitness. Although patients with newly diagnosed MCL often respond to initial treatment, around 85% do not respond or relapse within 10 years.</w:t>
      </w:r>
    </w:p>
    <w:p w:rsidR="00955300" w:rsidRPr="00940F72" w:rsidRDefault="00955300" w:rsidP="00955300">
      <w:pPr>
        <w:pStyle w:val="3-BodyText"/>
      </w:pPr>
      <w:r w:rsidRPr="00940F72">
        <w:t xml:space="preserve">Ibrutinib was listed on the PBS for R/R MCL in August 2018 </w:t>
      </w:r>
      <w:bookmarkStart w:id="12" w:name="_Hlk71566726"/>
      <w:r w:rsidRPr="00940F72">
        <w:t>(paragraph 2.3, ibrutinib, Public Summary Document</w:t>
      </w:r>
      <w:r w:rsidR="00DF2C56">
        <w:t xml:space="preserve"> (PSD)</w:t>
      </w:r>
      <w:r w:rsidRPr="00940F72">
        <w:t xml:space="preserve">, November 2020 PBAC Meeting). </w:t>
      </w:r>
      <w:bookmarkEnd w:id="12"/>
    </w:p>
    <w:p w:rsidR="008831E1" w:rsidRPr="00940F72" w:rsidRDefault="00955300" w:rsidP="008831E1">
      <w:pPr>
        <w:pStyle w:val="3-BodyText"/>
      </w:pPr>
      <w:r w:rsidRPr="00940F72">
        <w:t xml:space="preserve">This submission has proposed zanubrutinib as an alternative treatment to ibrutinib in the R/R MCL setting. </w:t>
      </w:r>
      <w:r w:rsidR="008831E1" w:rsidRPr="00940F72">
        <w:t>Zanubrutinib and ibrutinib are both BTK inhibitors</w:t>
      </w:r>
      <w:r w:rsidR="00DB1AA9" w:rsidRPr="00940F72">
        <w:t xml:space="preserve">. </w:t>
      </w:r>
    </w:p>
    <w:p w:rsidR="00955300" w:rsidRPr="00940F72" w:rsidRDefault="00955300" w:rsidP="00955300">
      <w:pPr>
        <w:pStyle w:val="3-BodyText"/>
      </w:pPr>
      <w:r w:rsidRPr="00940F72">
        <w:t xml:space="preserve">Zanubrutinib has also been proposed for patients who receive ibrutinib as </w:t>
      </w:r>
      <w:r w:rsidR="00FC7386" w:rsidRPr="00940F72">
        <w:t xml:space="preserve">a </w:t>
      </w:r>
      <w:r w:rsidRPr="00940F72">
        <w:t>treatment for R/R MCL and develop intolerance requiring permanent treatment withdrawal.</w:t>
      </w:r>
    </w:p>
    <w:p w:rsidR="00955300" w:rsidRPr="00940F72" w:rsidRDefault="00955300" w:rsidP="00955300">
      <w:pPr>
        <w:pStyle w:val="2-SectionHeading"/>
        <w:numPr>
          <w:ilvl w:val="0"/>
          <w:numId w:val="1"/>
        </w:numPr>
      </w:pPr>
      <w:bookmarkStart w:id="13" w:name="_Toc22898850"/>
      <w:bookmarkStart w:id="14" w:name="_Toc72318698"/>
      <w:r w:rsidRPr="00940F72">
        <w:t>Comparator</w:t>
      </w:r>
      <w:bookmarkEnd w:id="13"/>
      <w:bookmarkEnd w:id="14"/>
    </w:p>
    <w:p w:rsidR="00955300" w:rsidRPr="00940F72" w:rsidRDefault="00955300" w:rsidP="00955300">
      <w:pPr>
        <w:pStyle w:val="3-BodyText"/>
      </w:pPr>
      <w:r w:rsidRPr="00940F72">
        <w:t xml:space="preserve">The submission nominated ibrutinib as the main comparator. The main </w:t>
      </w:r>
      <w:r w:rsidR="00731E68" w:rsidRPr="00940F72">
        <w:t>reasons</w:t>
      </w:r>
      <w:r w:rsidRPr="00940F72">
        <w:t xml:space="preserve"> were:</w:t>
      </w:r>
    </w:p>
    <w:p w:rsidR="00955300" w:rsidRPr="00940F72" w:rsidRDefault="00955300" w:rsidP="00955300">
      <w:pPr>
        <w:pStyle w:val="ListParagraph"/>
      </w:pPr>
      <w:r w:rsidRPr="00940F72">
        <w:rPr>
          <w:rStyle w:val="ListParagraphChar"/>
        </w:rPr>
        <w:t xml:space="preserve">Ibrutinib was PBS listed as </w:t>
      </w:r>
      <w:r w:rsidR="00FC7386" w:rsidRPr="00940F72">
        <w:rPr>
          <w:rStyle w:val="ListParagraphChar"/>
        </w:rPr>
        <w:t xml:space="preserve">a </w:t>
      </w:r>
      <w:r w:rsidRPr="00940F72">
        <w:rPr>
          <w:rStyle w:val="ListParagraphChar"/>
        </w:rPr>
        <w:t>treatment for R/R MCL based on superior efficacy and safety compared to immunochemotherapy</w:t>
      </w:r>
      <w:r w:rsidR="00610742" w:rsidRPr="00940F72">
        <w:rPr>
          <w:rStyle w:val="ListParagraphChar"/>
        </w:rPr>
        <w:t>;</w:t>
      </w:r>
    </w:p>
    <w:p w:rsidR="00955300" w:rsidRPr="00940F72" w:rsidRDefault="00955300" w:rsidP="00955300">
      <w:pPr>
        <w:pStyle w:val="ListParagraph"/>
      </w:pPr>
      <w:r w:rsidRPr="00940F72">
        <w:t>Ibrutinib is established as the standard of care for patients with R/R MCL</w:t>
      </w:r>
      <w:r w:rsidR="004D1E49" w:rsidRPr="00940F72">
        <w:t>;</w:t>
      </w:r>
    </w:p>
    <w:p w:rsidR="00955300" w:rsidRPr="00940F72" w:rsidRDefault="00955300" w:rsidP="00955300">
      <w:pPr>
        <w:pStyle w:val="ListParagraph"/>
      </w:pPr>
      <w:r w:rsidRPr="00940F72">
        <w:t xml:space="preserve">Ibrutinib is the only medicine currently listed on the PBS </w:t>
      </w:r>
      <w:r w:rsidR="00FC1E75" w:rsidRPr="00940F72">
        <w:t xml:space="preserve">with a specific listing </w:t>
      </w:r>
      <w:r w:rsidRPr="00940F72">
        <w:t>for patients with R/R MCL</w:t>
      </w:r>
      <w:r w:rsidR="004D1E49" w:rsidRPr="00940F72">
        <w:t>;</w:t>
      </w:r>
    </w:p>
    <w:p w:rsidR="00955300" w:rsidRPr="00940F72" w:rsidRDefault="00955300" w:rsidP="00955300">
      <w:pPr>
        <w:pStyle w:val="ListParagraph"/>
        <w:rPr>
          <w:iCs/>
        </w:rPr>
      </w:pPr>
      <w:r w:rsidRPr="00940F72">
        <w:t>Ibrutinib and zanubrutinib are both BTK inhibitors</w:t>
      </w:r>
      <w:r w:rsidR="004D1E49" w:rsidRPr="00940F72">
        <w:t>.</w:t>
      </w:r>
    </w:p>
    <w:p w:rsidR="00955300" w:rsidRPr="00940F72" w:rsidRDefault="00955300" w:rsidP="00955300">
      <w:pPr>
        <w:pStyle w:val="3-BodyText"/>
        <w:rPr>
          <w:iCs/>
          <w:snapToGrid/>
        </w:rPr>
      </w:pPr>
      <w:r w:rsidRPr="00940F72">
        <w:rPr>
          <w:iCs/>
        </w:rPr>
        <w:t>For patients who have not received treatment with ibrutinib and who are not contraindicated, the nominated comparator is appropriate.</w:t>
      </w:r>
    </w:p>
    <w:p w:rsidR="00715CF2" w:rsidRPr="00940F72" w:rsidRDefault="00955300" w:rsidP="00955300">
      <w:pPr>
        <w:pStyle w:val="3-BodyText"/>
        <w:rPr>
          <w:snapToGrid/>
        </w:rPr>
      </w:pPr>
      <w:r w:rsidRPr="00940F72">
        <w:rPr>
          <w:iCs/>
        </w:rPr>
        <w:t xml:space="preserve">For patients who have received and are intolerant to ibrutinib, or are contraindicated to ibrutinib, immunochemotherapy or supportive care may be </w:t>
      </w:r>
      <w:r w:rsidR="00455B75" w:rsidRPr="00940F72">
        <w:rPr>
          <w:iCs/>
        </w:rPr>
        <w:t xml:space="preserve">a </w:t>
      </w:r>
      <w:r w:rsidRPr="00940F72">
        <w:rPr>
          <w:iCs/>
        </w:rPr>
        <w:t>more appropriate comparator.</w:t>
      </w:r>
    </w:p>
    <w:p w:rsidR="00955300" w:rsidRPr="00940F72" w:rsidRDefault="00955300" w:rsidP="00D75F72">
      <w:pPr>
        <w:pStyle w:val="3-BodyText"/>
        <w:rPr>
          <w:snapToGrid/>
        </w:rPr>
      </w:pPr>
      <w:r w:rsidRPr="00940F72">
        <w:t xml:space="preserve">In the context of the cost-minimisation approach taken by the submission, a further consideration for PBAC is that, under Section 101(3B) of the </w:t>
      </w:r>
      <w:r w:rsidRPr="00940F72">
        <w:rPr>
          <w:iCs/>
        </w:rPr>
        <w:t>National Health Act 1953</w:t>
      </w:r>
      <w:r w:rsidRPr="00940F72">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p>
    <w:p w:rsidR="00A83402" w:rsidRPr="00940F72" w:rsidRDefault="00A83402" w:rsidP="00A83402">
      <w:pPr>
        <w:pStyle w:val="3-BodyText"/>
        <w:rPr>
          <w:snapToGrid/>
          <w:color w:val="0066FF"/>
        </w:rPr>
      </w:pPr>
      <w:r w:rsidRPr="00940F72">
        <w:rPr>
          <w:snapToGrid/>
        </w:rPr>
        <w:t xml:space="preserve">While the evaluation considered ibrutinib to be an appropriate comparator, the evaluation also identified that immunochemotherapy (e.g., rituximab, cyclophosphamide, doxorubicin, </w:t>
      </w:r>
      <w:r w:rsidR="00DB4BE0" w:rsidRPr="00940F72">
        <w:rPr>
          <w:snapToGrid/>
        </w:rPr>
        <w:t>vincristine,</w:t>
      </w:r>
      <w:r w:rsidRPr="00940F72">
        <w:rPr>
          <w:snapToGrid/>
        </w:rPr>
        <w:t xml:space="preserve"> and prednisone (R-CHOP)) could be replaced in clinical practice, which may be less costly than zanubrutinib. </w:t>
      </w:r>
    </w:p>
    <w:p w:rsidR="00955300" w:rsidRPr="00940F72" w:rsidRDefault="00955300" w:rsidP="00731E68">
      <w:pPr>
        <w:pStyle w:val="3-BodyText"/>
        <w:rPr>
          <w:snapToGrid/>
          <w:color w:val="0066FF"/>
        </w:rPr>
      </w:pPr>
      <w:r w:rsidRPr="00940F72" w:rsidDel="00715CF2">
        <w:t>Acalabrutinib</w:t>
      </w:r>
      <w:r w:rsidR="00213240" w:rsidRPr="00940F72" w:rsidDel="00715CF2">
        <w:t xml:space="preserve"> </w:t>
      </w:r>
      <w:r w:rsidR="00F46F56" w:rsidRPr="00940F72">
        <w:t>was</w:t>
      </w:r>
      <w:r w:rsidR="00213240" w:rsidRPr="00940F72" w:rsidDel="00715CF2">
        <w:t xml:space="preserve"> </w:t>
      </w:r>
      <w:r w:rsidRPr="00940F72" w:rsidDel="00715CF2">
        <w:t>a near-market comparator</w:t>
      </w:r>
      <w:r w:rsidR="00213240" w:rsidRPr="00940F72" w:rsidDel="00715CF2">
        <w:t xml:space="preserve"> and </w:t>
      </w:r>
      <w:r w:rsidR="00E55652" w:rsidRPr="00940F72" w:rsidDel="00715CF2">
        <w:t>was</w:t>
      </w:r>
      <w:r w:rsidR="00213240" w:rsidRPr="00940F72" w:rsidDel="00715CF2">
        <w:t xml:space="preserve"> </w:t>
      </w:r>
      <w:r w:rsidR="00213240" w:rsidRPr="00940F72" w:rsidDel="00715CF2">
        <w:rPr>
          <w:iCs/>
        </w:rPr>
        <w:t>considered at the July 2021 PBAC meeting in R/R MCL.</w:t>
      </w:r>
      <w:r w:rsidR="00731E68" w:rsidRPr="00940F72">
        <w:rPr>
          <w:iCs/>
        </w:rPr>
        <w:t xml:space="preserve"> The submission included a supplementary comparison to acalabrutinib in an </w:t>
      </w:r>
      <w:r w:rsidR="004F3628" w:rsidRPr="00940F72">
        <w:rPr>
          <w:iCs/>
        </w:rPr>
        <w:t>a</w:t>
      </w:r>
      <w:r w:rsidR="00731E68" w:rsidRPr="00940F72">
        <w:rPr>
          <w:iCs/>
        </w:rPr>
        <w:t>ppendix</w:t>
      </w:r>
      <w:r w:rsidR="004F3628" w:rsidRPr="00940F72">
        <w:rPr>
          <w:iCs/>
        </w:rPr>
        <w:t xml:space="preserve"> to the submission</w:t>
      </w:r>
      <w:r w:rsidR="00731E68" w:rsidRPr="00940F72">
        <w:rPr>
          <w:iCs/>
        </w:rPr>
        <w:t>.</w:t>
      </w:r>
    </w:p>
    <w:p w:rsidR="006B5E79" w:rsidRPr="00940F72" w:rsidRDefault="006B5E79" w:rsidP="00F46FFB">
      <w:pPr>
        <w:ind w:left="720"/>
        <w:rPr>
          <w:i/>
        </w:rPr>
      </w:pPr>
      <w:r w:rsidRPr="00940F72">
        <w:rPr>
          <w:i/>
        </w:rPr>
        <w:t>For more detail on PBAC’s view, see section 7 PBAC outcome.</w:t>
      </w:r>
    </w:p>
    <w:p w:rsidR="00955300" w:rsidRPr="00940F72" w:rsidRDefault="00955300" w:rsidP="00955300">
      <w:pPr>
        <w:pStyle w:val="2-SectionHeading"/>
        <w:numPr>
          <w:ilvl w:val="0"/>
          <w:numId w:val="1"/>
        </w:numPr>
      </w:pPr>
      <w:bookmarkStart w:id="15" w:name="_Toc72318699"/>
      <w:bookmarkStart w:id="16" w:name="_Toc22897640"/>
      <w:bookmarkStart w:id="17" w:name="_Toc22898852"/>
      <w:r w:rsidRPr="00940F72">
        <w:t>Consideration of the evidence</w:t>
      </w:r>
      <w:bookmarkEnd w:id="15"/>
    </w:p>
    <w:p w:rsidR="00B6689D" w:rsidRPr="00940F72" w:rsidRDefault="00B6689D" w:rsidP="00B6689D">
      <w:pPr>
        <w:pStyle w:val="4-SubsectionHeading"/>
      </w:pPr>
      <w:bookmarkStart w:id="18" w:name="_Toc72318700"/>
      <w:r w:rsidRPr="00940F72">
        <w:t>Sponsor hearing</w:t>
      </w:r>
    </w:p>
    <w:p w:rsidR="0014563C" w:rsidRPr="00940F72" w:rsidRDefault="00B15533" w:rsidP="00F23FBD">
      <w:pPr>
        <w:widowControl w:val="0"/>
        <w:numPr>
          <w:ilvl w:val="1"/>
          <w:numId w:val="1"/>
        </w:numPr>
        <w:spacing w:after="120"/>
        <w:rPr>
          <w:rFonts w:asciiTheme="minorHAnsi" w:hAnsiTheme="minorHAnsi"/>
          <w:bCs/>
          <w:snapToGrid w:val="0"/>
        </w:rPr>
      </w:pPr>
      <w:r w:rsidRPr="00940F72">
        <w:rPr>
          <w:rFonts w:asciiTheme="minorHAnsi" w:hAnsiTheme="minorHAnsi"/>
          <w:bCs/>
        </w:rPr>
        <w:t>The Sponsor requested a hearing for this item. The clinician stated</w:t>
      </w:r>
      <w:r w:rsidRPr="00940F72">
        <w:rPr>
          <w:rFonts w:asciiTheme="minorHAnsi" w:hAnsiTheme="minorHAnsi"/>
          <w:bCs/>
          <w:snapToGrid w:val="0"/>
        </w:rPr>
        <w:t xml:space="preserve"> </w:t>
      </w:r>
      <w:r w:rsidRPr="00940F72">
        <w:rPr>
          <w:rFonts w:asciiTheme="minorHAnsi" w:hAnsiTheme="minorHAnsi"/>
          <w:bCs/>
        </w:rPr>
        <w:t xml:space="preserve">that in their prior experience with BTK inhibitors (zanubrutinib, ibrutinib and acalabrutinib), zanubrutinib has good safety and tolerability. The clinician emphasised that ibrutinib is associated with serious adverse events (AEs) such as atrial fibrillation and hypertension, as well as </w:t>
      </w:r>
      <w:r w:rsidR="00455B75" w:rsidRPr="00940F72">
        <w:rPr>
          <w:rFonts w:asciiTheme="minorHAnsi" w:hAnsiTheme="minorHAnsi"/>
          <w:bCs/>
        </w:rPr>
        <w:t xml:space="preserve">other </w:t>
      </w:r>
      <w:r w:rsidRPr="00940F72">
        <w:rPr>
          <w:rFonts w:asciiTheme="minorHAnsi" w:hAnsiTheme="minorHAnsi"/>
          <w:bCs/>
        </w:rPr>
        <w:t xml:space="preserve">AEs such as bruising, bleeding, cramps, rashes, </w:t>
      </w:r>
      <w:r w:rsidR="00DB4BE0" w:rsidRPr="00940F72">
        <w:rPr>
          <w:rFonts w:asciiTheme="minorHAnsi" w:hAnsiTheme="minorHAnsi"/>
          <w:bCs/>
        </w:rPr>
        <w:t>myalgia,</w:t>
      </w:r>
      <w:r w:rsidRPr="00940F72">
        <w:rPr>
          <w:rFonts w:asciiTheme="minorHAnsi" w:hAnsiTheme="minorHAnsi"/>
          <w:bCs/>
        </w:rPr>
        <w:t xml:space="preserve"> and diarrhoea.</w:t>
      </w:r>
      <w:r w:rsidRPr="00940F72">
        <w:rPr>
          <w:rFonts w:asciiTheme="minorHAnsi" w:hAnsiTheme="minorHAnsi"/>
          <w:bCs/>
          <w:snapToGrid w:val="0"/>
        </w:rPr>
        <w:t xml:space="preserve"> </w:t>
      </w:r>
      <w:r w:rsidRPr="00940F72">
        <w:rPr>
          <w:rFonts w:asciiTheme="minorHAnsi" w:hAnsiTheme="minorHAnsi"/>
          <w:bCs/>
        </w:rPr>
        <w:t>The clinician explained the importance for R/R MCL patients to be relieved of these side effects that affect</w:t>
      </w:r>
      <w:r w:rsidR="00F23FBD" w:rsidRPr="00940F72">
        <w:rPr>
          <w:rFonts w:asciiTheme="minorHAnsi" w:hAnsiTheme="minorHAnsi"/>
          <w:bCs/>
        </w:rPr>
        <w:t xml:space="preserve"> their</w:t>
      </w:r>
      <w:r w:rsidRPr="00940F72">
        <w:rPr>
          <w:rFonts w:asciiTheme="minorHAnsi" w:hAnsiTheme="minorHAnsi"/>
          <w:bCs/>
        </w:rPr>
        <w:t xml:space="preserve"> quality of life, and while zanubrutinib also has side effects such as neutropenia and cough, the neutropenia is often mild and can be managed. The clinician considered that although the size of the available MCL studies is small, there were enough patients to show the effect of zanubrutinib is similar to other BTK inhibitors. </w:t>
      </w:r>
      <w:r w:rsidRPr="00940F72">
        <w:rPr>
          <w:rFonts w:asciiTheme="minorHAnsi" w:hAnsiTheme="minorHAnsi"/>
          <w:bCs/>
          <w:snapToGrid w:val="0"/>
        </w:rPr>
        <w:t xml:space="preserve">The clinician referred to the </w:t>
      </w:r>
      <w:r w:rsidRPr="00940F72">
        <w:rPr>
          <w:rFonts w:asciiTheme="minorHAnsi" w:hAnsiTheme="minorHAnsi"/>
          <w:bCs/>
        </w:rPr>
        <w:t xml:space="preserve">ASPEN study in </w:t>
      </w:r>
      <w:r w:rsidRPr="00940F72">
        <w:rPr>
          <w:rFonts w:eastAsia="Calibri"/>
        </w:rPr>
        <w:t>Waldenström Macroglobulinemia</w:t>
      </w:r>
      <w:r w:rsidRPr="00940F72">
        <w:rPr>
          <w:rFonts w:asciiTheme="minorHAnsi" w:hAnsiTheme="minorHAnsi"/>
          <w:bCs/>
        </w:rPr>
        <w:t xml:space="preserve"> </w:t>
      </w:r>
      <w:r w:rsidR="0040623D" w:rsidRPr="00940F72">
        <w:rPr>
          <w:rFonts w:asciiTheme="minorHAnsi" w:hAnsiTheme="minorHAnsi"/>
          <w:bCs/>
        </w:rPr>
        <w:t xml:space="preserve">(WM) </w:t>
      </w:r>
      <w:r w:rsidRPr="00940F72">
        <w:rPr>
          <w:rFonts w:asciiTheme="minorHAnsi" w:hAnsiTheme="minorHAnsi"/>
          <w:bCs/>
        </w:rPr>
        <w:t>and the</w:t>
      </w:r>
      <w:r w:rsidRPr="00940F72">
        <w:rPr>
          <w:rFonts w:asciiTheme="minorHAnsi" w:hAnsiTheme="minorHAnsi"/>
          <w:bCs/>
          <w:snapToGrid w:val="0"/>
        </w:rPr>
        <w:t xml:space="preserve"> </w:t>
      </w:r>
      <w:r w:rsidRPr="00940F72">
        <w:rPr>
          <w:rFonts w:asciiTheme="minorHAnsi" w:hAnsiTheme="minorHAnsi"/>
          <w:bCs/>
        </w:rPr>
        <w:t xml:space="preserve">ALPINE study in </w:t>
      </w:r>
      <w:r w:rsidRPr="00940F72">
        <w:t>R/R CLL/</w:t>
      </w:r>
      <w:r w:rsidR="00DB4BE0" w:rsidRPr="00940F72">
        <w:t>SLL and</w:t>
      </w:r>
      <w:r w:rsidRPr="00940F72">
        <w:rPr>
          <w:rFonts w:asciiTheme="minorHAnsi" w:hAnsiTheme="minorHAnsi"/>
          <w:bCs/>
        </w:rPr>
        <w:t xml:space="preserve"> considered that clinicians will </w:t>
      </w:r>
      <w:r w:rsidR="00D97645" w:rsidRPr="00940F72">
        <w:rPr>
          <w:rFonts w:asciiTheme="minorHAnsi" w:hAnsiTheme="minorHAnsi"/>
          <w:bCs/>
        </w:rPr>
        <w:t>use</w:t>
      </w:r>
      <w:r w:rsidRPr="00940F72">
        <w:rPr>
          <w:rFonts w:asciiTheme="minorHAnsi" w:hAnsiTheme="minorHAnsi"/>
          <w:bCs/>
        </w:rPr>
        <w:t xml:space="preserve"> zanubrutinib as the drug of choice in MCL with publication of these safety results</w:t>
      </w:r>
      <w:r w:rsidRPr="00940F72">
        <w:rPr>
          <w:rFonts w:asciiTheme="minorHAnsi" w:hAnsiTheme="minorHAnsi"/>
          <w:bCs/>
          <w:snapToGrid w:val="0"/>
        </w:rPr>
        <w:t>. The PBAC considered that the hearing was informative as it provided context to the safety and tolerability of zanubrutinib.</w:t>
      </w:r>
    </w:p>
    <w:p w:rsidR="00B6689D" w:rsidRPr="00940F72" w:rsidRDefault="00B6689D" w:rsidP="00B6689D">
      <w:pPr>
        <w:pStyle w:val="4-SubsectionHeading"/>
      </w:pPr>
      <w:r w:rsidRPr="00940F72">
        <w:t>Consumer comments</w:t>
      </w:r>
    </w:p>
    <w:p w:rsidR="00B71A61" w:rsidRPr="00940F72" w:rsidRDefault="00B71A61" w:rsidP="00167A38">
      <w:pPr>
        <w:widowControl w:val="0"/>
        <w:numPr>
          <w:ilvl w:val="1"/>
          <w:numId w:val="1"/>
        </w:numPr>
        <w:spacing w:after="120"/>
        <w:rPr>
          <w:rFonts w:asciiTheme="minorHAnsi" w:hAnsiTheme="minorHAnsi"/>
          <w:bCs/>
          <w:snapToGrid w:val="0"/>
        </w:rPr>
      </w:pPr>
      <w:r w:rsidRPr="00940F72">
        <w:rPr>
          <w:rFonts w:asciiTheme="minorHAnsi" w:hAnsiTheme="minorHAnsi"/>
          <w:bCs/>
          <w:snapToGrid w:val="0"/>
        </w:rPr>
        <w:t xml:space="preserve">The PBAC noted and welcomed the input from </w:t>
      </w:r>
      <w:r w:rsidR="00431B32" w:rsidRPr="00940F72">
        <w:rPr>
          <w:rFonts w:asciiTheme="minorHAnsi" w:hAnsiTheme="minorHAnsi"/>
          <w:bCs/>
          <w:snapToGrid w:val="0"/>
        </w:rPr>
        <w:t>three</w:t>
      </w:r>
      <w:r w:rsidR="004E1730" w:rsidRPr="00940F72">
        <w:rPr>
          <w:rFonts w:asciiTheme="minorHAnsi" w:hAnsiTheme="minorHAnsi"/>
          <w:bCs/>
          <w:snapToGrid w:val="0"/>
        </w:rPr>
        <w:t xml:space="preserve"> organisations</w:t>
      </w:r>
      <w:r w:rsidRPr="00940F72">
        <w:rPr>
          <w:rFonts w:asciiTheme="minorHAnsi" w:hAnsiTheme="minorHAnsi"/>
          <w:bCs/>
          <w:snapToGrid w:val="0"/>
        </w:rPr>
        <w:t xml:space="preserve"> via the Consumer Comments facility on the PBS website. </w:t>
      </w:r>
    </w:p>
    <w:p w:rsidR="00B6689D" w:rsidRPr="00940F72" w:rsidRDefault="00B71A61" w:rsidP="00D44B3B">
      <w:pPr>
        <w:pStyle w:val="3-BodyText"/>
        <w:rPr>
          <w:bCs/>
        </w:rPr>
      </w:pPr>
      <w:r w:rsidRPr="00940F72">
        <w:t>The PBAC noted the advice received from the Leukaemia Foundation,</w:t>
      </w:r>
      <w:r w:rsidR="00E30779" w:rsidRPr="00940F72">
        <w:t xml:space="preserve"> Lymphoma Australia,</w:t>
      </w:r>
      <w:r w:rsidRPr="00940F72">
        <w:t xml:space="preserve"> and Rare Cancers Australia, clarifying the likely use of </w:t>
      </w:r>
      <w:r w:rsidR="001A354C" w:rsidRPr="00940F72">
        <w:t>zanubrutinib</w:t>
      </w:r>
      <w:r w:rsidRPr="00940F72">
        <w:t xml:space="preserve"> in clinical practice.</w:t>
      </w:r>
      <w:r w:rsidR="001A354C" w:rsidRPr="00940F72">
        <w:t xml:space="preserve"> </w:t>
      </w:r>
      <w:r w:rsidRPr="00940F72">
        <w:t>The Leukaemia Foundation noted that</w:t>
      </w:r>
      <w:r w:rsidR="00C00D0E" w:rsidRPr="00940F72">
        <w:t xml:space="preserve"> the BTK inhibitors such as</w:t>
      </w:r>
      <w:r w:rsidRPr="00940F72">
        <w:t xml:space="preserve"> </w:t>
      </w:r>
      <w:r w:rsidR="001A354C" w:rsidRPr="00940F72">
        <w:rPr>
          <w:bCs/>
        </w:rPr>
        <w:t>zanubrutinib</w:t>
      </w:r>
      <w:r w:rsidR="00C00D0E" w:rsidRPr="00940F72">
        <w:rPr>
          <w:bCs/>
        </w:rPr>
        <w:t xml:space="preserve">, alongside ibrutinib and acalabrutinib, have represented a considerable expansion and improvement in treatment options for people with MCL, and that </w:t>
      </w:r>
      <w:r w:rsidR="00DB4BE0">
        <w:rPr>
          <w:bCs/>
        </w:rPr>
        <w:t xml:space="preserve">in particular, </w:t>
      </w:r>
      <w:r w:rsidR="00C00D0E" w:rsidRPr="00940F72">
        <w:rPr>
          <w:bCs/>
        </w:rPr>
        <w:t>zanubrutinib appears to be</w:t>
      </w:r>
      <w:r w:rsidRPr="00940F72">
        <w:rPr>
          <w:bCs/>
        </w:rPr>
        <w:t xml:space="preserve"> well tolerated</w:t>
      </w:r>
      <w:r w:rsidR="00C00D0E" w:rsidRPr="00940F72">
        <w:rPr>
          <w:bCs/>
        </w:rPr>
        <w:t>.</w:t>
      </w:r>
      <w:r w:rsidRPr="00940F72">
        <w:rPr>
          <w:bCs/>
        </w:rPr>
        <w:t xml:space="preserve"> </w:t>
      </w:r>
      <w:r w:rsidRPr="00940F72">
        <w:t xml:space="preserve">Lymphoma Australia commented that most MCL patients will relapse after initial remission or may be refractory to first line </w:t>
      </w:r>
      <w:r w:rsidR="00431B32" w:rsidRPr="00940F72">
        <w:t>treatment</w:t>
      </w:r>
      <w:r w:rsidRPr="00940F72">
        <w:t xml:space="preserve"> and access to </w:t>
      </w:r>
      <w:r w:rsidR="001A354C" w:rsidRPr="00940F72">
        <w:rPr>
          <w:bCs/>
        </w:rPr>
        <w:t xml:space="preserve">zanubrutinib </w:t>
      </w:r>
      <w:r w:rsidRPr="00940F72">
        <w:t xml:space="preserve">will extend patients’ lives </w:t>
      </w:r>
      <w:r w:rsidR="00D44B3B" w:rsidRPr="00940F72">
        <w:t>with manageable side effects</w:t>
      </w:r>
      <w:r w:rsidRPr="00940F72">
        <w:t>.</w:t>
      </w:r>
      <w:r w:rsidR="00E30779" w:rsidRPr="00940F72">
        <w:t xml:space="preserve"> The PBAC noted that this advice</w:t>
      </w:r>
      <w:r w:rsidR="00E010B8" w:rsidRPr="00940F72">
        <w:t xml:space="preserve"> was </w:t>
      </w:r>
      <w:r w:rsidR="00E30779" w:rsidRPr="00940F72">
        <w:t>supportive of the evidence provided in the submission</w:t>
      </w:r>
      <w:r w:rsidR="00E010B8" w:rsidRPr="00940F72">
        <w:t xml:space="preserve"> and </w:t>
      </w:r>
      <w:r w:rsidR="00DB4BE0">
        <w:t xml:space="preserve">was </w:t>
      </w:r>
      <w:r w:rsidR="00E010B8" w:rsidRPr="00940F72">
        <w:t>similar to the advice provided for acalabrutinib for R/R MCL</w:t>
      </w:r>
      <w:r w:rsidR="00E30779" w:rsidRPr="00940F72">
        <w:t>.</w:t>
      </w:r>
    </w:p>
    <w:p w:rsidR="00955300" w:rsidRPr="00940F72" w:rsidRDefault="00955300" w:rsidP="00955300">
      <w:pPr>
        <w:pStyle w:val="4-SubsectionHeading"/>
      </w:pPr>
      <w:r w:rsidRPr="00940F72">
        <w:t>Clinical trials and studies</w:t>
      </w:r>
      <w:bookmarkEnd w:id="16"/>
      <w:bookmarkEnd w:id="17"/>
      <w:bookmarkEnd w:id="18"/>
    </w:p>
    <w:p w:rsidR="00955300" w:rsidRPr="00940F72" w:rsidRDefault="00955300" w:rsidP="00955300">
      <w:pPr>
        <w:pStyle w:val="3-BodyText"/>
      </w:pPr>
      <w:r w:rsidRPr="00940F72">
        <w:t xml:space="preserve">No head-to-head trials comparing zanubrutinib to ibrutinib for patients with R/R MCL were identified. </w:t>
      </w:r>
    </w:p>
    <w:p w:rsidR="00955300" w:rsidRPr="00940F72" w:rsidRDefault="00955300" w:rsidP="00955300">
      <w:pPr>
        <w:pStyle w:val="3-BodyText"/>
      </w:pPr>
      <w:r w:rsidRPr="00940F72">
        <w:t xml:space="preserve">A direct head-to-head </w:t>
      </w:r>
      <w:r w:rsidR="00AE7AE2" w:rsidRPr="00940F72">
        <w:t>p</w:t>
      </w:r>
      <w:r w:rsidRPr="00940F72">
        <w:t xml:space="preserve">hase </w:t>
      </w:r>
      <w:r w:rsidR="00AE7AE2" w:rsidRPr="00940F72">
        <w:t>III</w:t>
      </w:r>
      <w:r w:rsidRPr="00940F72">
        <w:t xml:space="preserve"> trial of zanubrutinib versus ibrutinib (ASPEN) in another indication (</w:t>
      </w:r>
      <w:r w:rsidR="0040623D" w:rsidRPr="00940F72">
        <w:t>WM</w:t>
      </w:r>
      <w:r w:rsidRPr="00940F72">
        <w:t>) was identified. The key evidence for the safety claim was derived from the ASPEN study.</w:t>
      </w:r>
    </w:p>
    <w:p w:rsidR="00955300" w:rsidRPr="00940F72" w:rsidRDefault="00955300" w:rsidP="00955300">
      <w:pPr>
        <w:pStyle w:val="3-BodyText"/>
      </w:pPr>
      <w:r w:rsidRPr="00940F72">
        <w:t>The submission was based on the following trials and studies:</w:t>
      </w:r>
    </w:p>
    <w:p w:rsidR="00955300" w:rsidRPr="00940F72" w:rsidRDefault="00955300" w:rsidP="008153D6">
      <w:pPr>
        <w:pStyle w:val="ListParagraph"/>
        <w:numPr>
          <w:ilvl w:val="0"/>
          <w:numId w:val="8"/>
        </w:numPr>
      </w:pPr>
      <w:r w:rsidRPr="00940F72">
        <w:t>Two phase II, single-arm, open-label, nonrandomised studies of zanubrutinib: Study 206 (N=86) and Study AU-003 [N=37] (R/R MCL patients).</w:t>
      </w:r>
    </w:p>
    <w:p w:rsidR="00955300" w:rsidRPr="00940F72" w:rsidRDefault="00955300" w:rsidP="008153D6">
      <w:pPr>
        <w:pStyle w:val="ListParagraph"/>
        <w:numPr>
          <w:ilvl w:val="0"/>
          <w:numId w:val="8"/>
        </w:numPr>
      </w:pPr>
      <w:r w:rsidRPr="00940F72">
        <w:t xml:space="preserve">One randomised, open-label, phase </w:t>
      </w:r>
      <w:r w:rsidR="007863BA" w:rsidRPr="00940F72">
        <w:t xml:space="preserve">III </w:t>
      </w:r>
      <w:r w:rsidRPr="00940F72">
        <w:t>trial comparing ibrutinib versus temsirolimus: MCL-3001/RAY (N= 139 [ibrutinib arm]).</w:t>
      </w:r>
    </w:p>
    <w:p w:rsidR="00955300" w:rsidRPr="00940F72" w:rsidRDefault="00955300" w:rsidP="008153D6">
      <w:pPr>
        <w:pStyle w:val="ListParagraph"/>
        <w:numPr>
          <w:ilvl w:val="0"/>
          <w:numId w:val="8"/>
        </w:numPr>
      </w:pPr>
      <w:r w:rsidRPr="00940F72">
        <w:t>Three phase II, single-arm, open-label studies of ibrutinib: PCYC-1104 (N=111), MCL-2001/SPARK (N=120) and MCL-2002 (N=16).</w:t>
      </w:r>
    </w:p>
    <w:p w:rsidR="00955300" w:rsidRPr="00940F72" w:rsidRDefault="00955300" w:rsidP="00955300">
      <w:pPr>
        <w:pStyle w:val="3-BodyText"/>
      </w:pPr>
      <w:r w:rsidRPr="00940F72">
        <w:t>The submission presented the following comparisons of zanubrutinib and ibrutinib:</w:t>
      </w:r>
    </w:p>
    <w:p w:rsidR="00955300" w:rsidRPr="00940F72" w:rsidRDefault="00955300" w:rsidP="008153D6">
      <w:pPr>
        <w:pStyle w:val="3-BodyText"/>
        <w:numPr>
          <w:ilvl w:val="0"/>
          <w:numId w:val="9"/>
        </w:numPr>
      </w:pPr>
      <w:r w:rsidRPr="00940F72">
        <w:t>The efficacy claim was based on an unanchored match</w:t>
      </w:r>
      <w:r w:rsidR="00063EC7" w:rsidRPr="00940F72">
        <w:t>ed</w:t>
      </w:r>
      <w:r w:rsidRPr="00940F72">
        <w:t xml:space="preserve"> adjusted indirect comparison (MAIC) of pooled zanubrutinib studies (Study 206 + Study AU-003) and a pooled analysis of three ibrutinib studies (MCL-3001/RAY, PCYC-1104, MCL-2001/SPARK), matched on baseline characteristics.</w:t>
      </w:r>
    </w:p>
    <w:p w:rsidR="00955300" w:rsidRPr="00940F72" w:rsidRDefault="00955300" w:rsidP="008153D6">
      <w:pPr>
        <w:pStyle w:val="3-BodyText"/>
        <w:numPr>
          <w:ilvl w:val="0"/>
          <w:numId w:val="9"/>
        </w:numPr>
      </w:pPr>
      <w:r w:rsidRPr="00940F72">
        <w:t>A naïve comparison</w:t>
      </w:r>
      <w:r w:rsidR="001F7FAB" w:rsidRPr="00940F72">
        <w:t xml:space="preserve"> (</w:t>
      </w:r>
      <w:r w:rsidR="003B6E4B" w:rsidRPr="00940F72">
        <w:t xml:space="preserve">unanchored and </w:t>
      </w:r>
      <w:r w:rsidR="001F7FAB" w:rsidRPr="00940F72">
        <w:t>without any matching)</w:t>
      </w:r>
      <w:r w:rsidRPr="00940F72">
        <w:t xml:space="preserve"> of zanubrutinib Study AU-003 with four pooled ibrutinib studies (MCL-3001/RAY, PCYC-1104, MCL-2001/SPARK, MCL2002) was used as a secondary analysis to strengthen the efficacy claim. </w:t>
      </w:r>
    </w:p>
    <w:p w:rsidR="00955300" w:rsidRPr="00940F72" w:rsidRDefault="00955300" w:rsidP="008153D6">
      <w:pPr>
        <w:pStyle w:val="3-BodyText"/>
        <w:numPr>
          <w:ilvl w:val="0"/>
          <w:numId w:val="9"/>
        </w:numPr>
      </w:pPr>
      <w:r w:rsidRPr="00940F72">
        <w:t xml:space="preserve">A </w:t>
      </w:r>
      <w:r w:rsidR="00AB7DA5" w:rsidRPr="00940F72">
        <w:t>direct</w:t>
      </w:r>
      <w:r w:rsidRPr="00940F72">
        <w:t xml:space="preserve"> comparison between zanubrutinib and ibrutinib in the ASPEN study formed the basis of the superior safety claim.</w:t>
      </w:r>
    </w:p>
    <w:p w:rsidR="00955300" w:rsidRPr="00940F72" w:rsidRDefault="00955300" w:rsidP="008153D6">
      <w:pPr>
        <w:pStyle w:val="3-BodyText"/>
        <w:numPr>
          <w:ilvl w:val="0"/>
          <w:numId w:val="9"/>
        </w:numPr>
      </w:pPr>
      <w:r w:rsidRPr="00940F72">
        <w:t xml:space="preserve">A supplementary </w:t>
      </w:r>
      <w:r w:rsidR="00897FDD" w:rsidRPr="00940F72">
        <w:t xml:space="preserve">naïve comparison </w:t>
      </w:r>
      <w:r w:rsidRPr="00940F72">
        <w:t>of zanubrutinib (Study 206 and Study AU-003) to the near market comparator, acalabrutinib (ACE-LY-004), was also presented in the submission</w:t>
      </w:r>
      <w:r w:rsidR="00DB1AA9" w:rsidRPr="00940F72">
        <w:t xml:space="preserve">. </w:t>
      </w:r>
    </w:p>
    <w:p w:rsidR="00955300" w:rsidRPr="00940F72" w:rsidRDefault="00431B32" w:rsidP="00955300">
      <w:pPr>
        <w:pStyle w:val="3-BodyText"/>
      </w:pPr>
      <w:r w:rsidRPr="00940F72">
        <w:rPr>
          <w:snapToGrid/>
        </w:rPr>
        <w:t xml:space="preserve">Table </w:t>
      </w:r>
      <w:r w:rsidR="00053418" w:rsidRPr="00940F72">
        <w:rPr>
          <w:snapToGrid/>
        </w:rPr>
        <w:t>2</w:t>
      </w:r>
      <w:r w:rsidRPr="00940F72">
        <w:rPr>
          <w:snapToGrid/>
        </w:rPr>
        <w:t xml:space="preserve"> provides details </w:t>
      </w:r>
      <w:r w:rsidR="00955300" w:rsidRPr="00940F72">
        <w:rPr>
          <w:snapToGrid/>
        </w:rPr>
        <w:t>of the trials/studies presented in the submission.</w:t>
      </w:r>
    </w:p>
    <w:p w:rsidR="00955300" w:rsidRPr="00940F72" w:rsidRDefault="00955300" w:rsidP="00EC1071">
      <w:pPr>
        <w:pStyle w:val="TableFigureHeading"/>
        <w:rPr>
          <w:rStyle w:val="CommentReference"/>
          <w:b/>
          <w:szCs w:val="24"/>
        </w:rPr>
      </w:pPr>
      <w:r w:rsidRPr="00940F72">
        <w:rPr>
          <w:rStyle w:val="CommentReference"/>
          <w:b/>
          <w:szCs w:val="24"/>
        </w:rPr>
        <w:t xml:space="preserve">Table </w:t>
      </w:r>
      <w:r w:rsidR="00053418" w:rsidRPr="00940F72">
        <w:rPr>
          <w:rStyle w:val="CommentReference"/>
          <w:b/>
          <w:szCs w:val="24"/>
        </w:rPr>
        <w:t>2</w:t>
      </w:r>
      <w:r w:rsidRPr="00940F72">
        <w:rPr>
          <w:rStyle w:val="CommentReference"/>
          <w:b/>
          <w:szCs w:val="24"/>
        </w:rPr>
        <w:t>: Trials, studies and associated reports presented in the submission</w:t>
      </w:r>
    </w:p>
    <w:tbl>
      <w:tblPr>
        <w:tblStyle w:val="TableGrid1"/>
        <w:tblW w:w="5000" w:type="pct"/>
        <w:tblLook w:val="0020" w:firstRow="1" w:lastRow="0" w:firstColumn="0" w:lastColumn="0" w:noHBand="0" w:noVBand="0"/>
        <w:tblCaption w:val="Table 2: Trials, studies and associated reports presented in the submission"/>
      </w:tblPr>
      <w:tblGrid>
        <w:gridCol w:w="1917"/>
        <w:gridCol w:w="5452"/>
        <w:gridCol w:w="1648"/>
      </w:tblGrid>
      <w:tr w:rsidR="00955300" w:rsidRPr="00940F72" w:rsidTr="00E83D45">
        <w:trPr>
          <w:tblHeader/>
        </w:trPr>
        <w:tc>
          <w:tcPr>
            <w:tcW w:w="1063" w:type="pct"/>
            <w:shd w:val="clear" w:color="auto" w:fill="auto"/>
          </w:tcPr>
          <w:p w:rsidR="00955300" w:rsidRPr="00940F72" w:rsidRDefault="00955300" w:rsidP="00E83D45">
            <w:pPr>
              <w:rPr>
                <w:rStyle w:val="SmallBold"/>
                <w:rFonts w:ascii="Arial Narrow" w:hAnsi="Arial Narrow"/>
                <w:szCs w:val="20"/>
              </w:rPr>
            </w:pPr>
            <w:r w:rsidRPr="00940F72">
              <w:rPr>
                <w:rStyle w:val="SmallBold"/>
                <w:rFonts w:ascii="Arial Narrow" w:hAnsi="Arial Narrow"/>
                <w:szCs w:val="20"/>
              </w:rPr>
              <w:t>Trial ID</w:t>
            </w:r>
          </w:p>
        </w:tc>
        <w:tc>
          <w:tcPr>
            <w:tcW w:w="3023" w:type="pct"/>
            <w:shd w:val="clear" w:color="auto" w:fill="auto"/>
          </w:tcPr>
          <w:p w:rsidR="00955300" w:rsidRPr="00940F72" w:rsidRDefault="00955300" w:rsidP="00E83D45">
            <w:pPr>
              <w:rPr>
                <w:rStyle w:val="SmallBold"/>
                <w:rFonts w:ascii="Arial Narrow" w:hAnsi="Arial Narrow"/>
                <w:szCs w:val="20"/>
              </w:rPr>
            </w:pPr>
            <w:r w:rsidRPr="00940F72">
              <w:rPr>
                <w:rStyle w:val="SmallBold"/>
                <w:rFonts w:ascii="Arial Narrow" w:hAnsi="Arial Narrow"/>
                <w:szCs w:val="20"/>
              </w:rPr>
              <w:t>Protocol title / Publication title</w:t>
            </w:r>
          </w:p>
        </w:tc>
        <w:tc>
          <w:tcPr>
            <w:tcW w:w="914" w:type="pct"/>
            <w:shd w:val="clear" w:color="auto" w:fill="auto"/>
          </w:tcPr>
          <w:p w:rsidR="00955300" w:rsidRPr="00940F72" w:rsidRDefault="00955300" w:rsidP="00E83D45">
            <w:pPr>
              <w:rPr>
                <w:rStyle w:val="SmallBold"/>
                <w:rFonts w:ascii="Arial Narrow" w:hAnsi="Arial Narrow"/>
                <w:szCs w:val="20"/>
              </w:rPr>
            </w:pPr>
            <w:r w:rsidRPr="00940F72">
              <w:rPr>
                <w:rStyle w:val="SmallBold"/>
                <w:rFonts w:ascii="Arial Narrow" w:hAnsi="Arial Narrow"/>
                <w:szCs w:val="20"/>
              </w:rPr>
              <w:t>Publication citation</w:t>
            </w:r>
          </w:p>
        </w:tc>
      </w:tr>
      <w:tr w:rsidR="00955300" w:rsidRPr="00940F72" w:rsidTr="00E83D45">
        <w:trPr>
          <w:trHeight w:val="135"/>
        </w:trPr>
        <w:tc>
          <w:tcPr>
            <w:tcW w:w="4086" w:type="pct"/>
            <w:gridSpan w:val="2"/>
            <w:tcBorders>
              <w:right w:val="nil"/>
            </w:tcBorders>
            <w:shd w:val="clear" w:color="auto" w:fill="auto"/>
          </w:tcPr>
          <w:p w:rsidR="00955300" w:rsidRPr="00940F72" w:rsidRDefault="00955300" w:rsidP="00E83D45">
            <w:pPr>
              <w:pStyle w:val="TableLeft"/>
              <w:rPr>
                <w:rStyle w:val="SmallBold"/>
                <w:rFonts w:ascii="Arial Narrow" w:hAnsi="Arial Narrow"/>
                <w:szCs w:val="18"/>
              </w:rPr>
            </w:pPr>
            <w:r w:rsidRPr="00940F72">
              <w:rPr>
                <w:rStyle w:val="SmallBold"/>
                <w:rFonts w:ascii="Arial Narrow" w:hAnsi="Arial Narrow"/>
                <w:szCs w:val="18"/>
              </w:rPr>
              <w:t>Zanubrutinib</w:t>
            </w:r>
          </w:p>
        </w:tc>
        <w:tc>
          <w:tcPr>
            <w:tcW w:w="914" w:type="pct"/>
            <w:tcBorders>
              <w:left w:val="nil"/>
            </w:tcBorders>
            <w:shd w:val="clear" w:color="auto" w:fill="auto"/>
          </w:tcPr>
          <w:p w:rsidR="00955300" w:rsidRPr="00940F72" w:rsidRDefault="00955300" w:rsidP="00E83D45">
            <w:pPr>
              <w:pStyle w:val="TableLeft"/>
              <w:rPr>
                <w:rStyle w:val="SmallBold"/>
                <w:rFonts w:ascii="Arial Narrow" w:hAnsi="Arial Narrow"/>
                <w:szCs w:val="18"/>
              </w:rPr>
            </w:pPr>
          </w:p>
        </w:tc>
      </w:tr>
      <w:tr w:rsidR="00955300" w:rsidRPr="00940F72" w:rsidTr="00E83D45">
        <w:tc>
          <w:tcPr>
            <w:tcW w:w="106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BGB-3111-AU-003/</w:t>
            </w:r>
            <w:r w:rsidRPr="00940F72">
              <w:rPr>
                <w:rStyle w:val="Small"/>
                <w:rFonts w:ascii="Arial Narrow" w:hAnsi="Arial Narrow"/>
                <w:lang w:val="en-AU"/>
              </w:rPr>
              <w:t xml:space="preserve"> </w:t>
            </w:r>
            <w:r w:rsidRPr="00940F72">
              <w:rPr>
                <w:rStyle w:val="Small"/>
                <w:rFonts w:ascii="Arial Narrow" w:hAnsi="Arial Narrow"/>
                <w:szCs w:val="18"/>
                <w:lang w:val="en-AU"/>
              </w:rPr>
              <w:t>Study AU-003/</w:t>
            </w:r>
            <w:r w:rsidRPr="00940F72">
              <w:rPr>
                <w:rFonts w:ascii="Arial Narrow" w:hAnsi="Arial Narrow"/>
                <w:lang w:val="en-AU"/>
              </w:rPr>
              <w:t xml:space="preserve"> </w:t>
            </w:r>
            <w:r w:rsidRPr="00940F72">
              <w:rPr>
                <w:rStyle w:val="Small"/>
                <w:rFonts w:ascii="Arial Narrow" w:hAnsi="Arial Narrow"/>
                <w:szCs w:val="18"/>
                <w:lang w:val="en-AU"/>
              </w:rPr>
              <w:t>NCT02343120</w:t>
            </w:r>
          </w:p>
        </w:tc>
        <w:tc>
          <w:tcPr>
            <w:tcW w:w="302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A Phase 1, Open-Label, Multiple-Dose, Dose Escalation and Expansion Study to Investigate the Safety and Pharmacokinetics of the BTK Inhibitor BGB-3111 in Patients with B-Cell Lymphoid Malignancies. Clinical Study Report BGB-3111-AU-003.</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Tam C.S., Wang M., Simpson D. et al. Updated safety and efficacy data in the phase 1 trial of patients with mantle cell lymphoma (MCL) treated with bruton tyrosine kinase (BTK) inhibitor zanubrutinib (BGB-3111). </w:t>
            </w:r>
          </w:p>
        </w:tc>
        <w:tc>
          <w:tcPr>
            <w:tcW w:w="914"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15 June 2020</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Hematological Oncology</w:t>
            </w:r>
            <w:r w:rsidRPr="00940F72">
              <w:rPr>
                <w:rStyle w:val="Small"/>
                <w:rFonts w:ascii="Arial Narrow" w:hAnsi="Arial Narrow"/>
                <w:szCs w:val="18"/>
                <w:lang w:val="en-AU"/>
              </w:rPr>
              <w:t xml:space="preserve"> 2019. 37 (S2): 245-247</w:t>
            </w:r>
          </w:p>
        </w:tc>
      </w:tr>
      <w:tr w:rsidR="00955300" w:rsidRPr="00940F72" w:rsidTr="00E83D45">
        <w:tc>
          <w:tcPr>
            <w:tcW w:w="1063" w:type="pct"/>
            <w:shd w:val="clear" w:color="auto" w:fill="auto"/>
          </w:tcPr>
          <w:p w:rsidR="00955300" w:rsidRPr="00940F72" w:rsidRDefault="00955300" w:rsidP="00E83D45">
            <w:pPr>
              <w:pStyle w:val="TableLeft"/>
              <w:rPr>
                <w:rStyle w:val="Small"/>
                <w:rFonts w:ascii="Arial Narrow" w:hAnsi="Arial Narrow"/>
                <w:lang w:val="en-AU"/>
              </w:rPr>
            </w:pPr>
            <w:r w:rsidRPr="00940F72">
              <w:rPr>
                <w:rStyle w:val="Small"/>
                <w:rFonts w:ascii="Arial Narrow" w:hAnsi="Arial Narrow"/>
                <w:szCs w:val="18"/>
                <w:lang w:val="en-AU"/>
              </w:rPr>
              <w:t>BGB-3111-206/</w:t>
            </w:r>
            <w:r w:rsidRPr="00940F72">
              <w:rPr>
                <w:rStyle w:val="Small"/>
                <w:rFonts w:ascii="Arial Narrow" w:hAnsi="Arial Narrow"/>
                <w:lang w:val="en-AU"/>
              </w:rPr>
              <w:t xml:space="preserve"> </w:t>
            </w: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Study 206/NCT03206970</w:t>
            </w:r>
          </w:p>
        </w:tc>
        <w:tc>
          <w:tcPr>
            <w:tcW w:w="302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A Single-Arm, Open-Label, Multicenter Phase 2 Study to Evaluate Efficacy and Safety of BGB-3111, a Bruton’s Tyrosine Kinase (BTK) Inhibitor, in Subjects with Relapsed or Refractory Mantle Cell Lymphoma (MCL)</w:t>
            </w:r>
            <w:r w:rsidR="00DB1AA9" w:rsidRPr="00940F72">
              <w:rPr>
                <w:rStyle w:val="Small"/>
                <w:rFonts w:ascii="Arial Narrow" w:hAnsi="Arial Narrow"/>
                <w:szCs w:val="18"/>
                <w:lang w:val="en-AU"/>
              </w:rPr>
              <w:t xml:space="preserve">. </w:t>
            </w:r>
            <w:r w:rsidRPr="00940F72">
              <w:rPr>
                <w:rStyle w:val="Small"/>
                <w:rFonts w:ascii="Arial Narrow" w:hAnsi="Arial Narrow"/>
                <w:szCs w:val="18"/>
                <w:lang w:val="en-AU"/>
              </w:rPr>
              <w:t>Clinical Study Report BGB-3111-206</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Song Y., Zhou K., Zou D., et al. Treatment of Patients with Relapsed or Refractory Mantle-Cell Lymphoma with Zanubrutinib, a Selective Inhibitor of Bruton's Tyrosine Kinase.</w:t>
            </w:r>
          </w:p>
        </w:tc>
        <w:tc>
          <w:tcPr>
            <w:tcW w:w="914"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6 June 2019</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Clinical Cancer Research</w:t>
            </w:r>
            <w:r w:rsidRPr="00940F72">
              <w:rPr>
                <w:rStyle w:val="Small"/>
                <w:rFonts w:ascii="Arial Narrow" w:hAnsi="Arial Narrow"/>
                <w:szCs w:val="18"/>
                <w:lang w:val="en-AU"/>
              </w:rPr>
              <w:t>. 2020, 26 (16): 4216-4224</w:t>
            </w:r>
          </w:p>
        </w:tc>
      </w:tr>
      <w:tr w:rsidR="00955300" w:rsidRPr="00940F72" w:rsidTr="00E83D45">
        <w:trPr>
          <w:trHeight w:val="1329"/>
        </w:trPr>
        <w:tc>
          <w:tcPr>
            <w:tcW w:w="106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BGB-3111-302/</w:t>
            </w: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ASPEN/NCT03053440</w:t>
            </w:r>
          </w:p>
        </w:tc>
        <w:tc>
          <w:tcPr>
            <w:tcW w:w="302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A Phase 3, Randomized, Open-Label, Multicenter Study Comparing the Efficacy and Safety of the Bruton’s Tyrosine Kinase (BTK) Inhibitors BGB-3111 and Ibrutinib in Subjects with Waldenström’s Macroglobulinemia (WM). Clinical Study Report BGB-3111-302</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Tam CS, Opat S, D’Sa S, et. al. A randomized phase 3 trial of zanubrutinib vs ibrutinib in symptomatic Waldenstrom macroglobulinemia: the ASPEN study. </w:t>
            </w:r>
          </w:p>
        </w:tc>
        <w:tc>
          <w:tcPr>
            <w:tcW w:w="914"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18 May 2020</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Blood</w:t>
            </w:r>
            <w:r w:rsidRPr="00940F72">
              <w:rPr>
                <w:rStyle w:val="Small"/>
                <w:rFonts w:ascii="Arial Narrow" w:hAnsi="Arial Narrow"/>
                <w:szCs w:val="18"/>
                <w:lang w:val="en-AU"/>
              </w:rPr>
              <w:t>. 2020, 136: 2038-50</w:t>
            </w:r>
          </w:p>
        </w:tc>
      </w:tr>
      <w:tr w:rsidR="00955300" w:rsidRPr="00940F72" w:rsidTr="00E83D45">
        <w:tc>
          <w:tcPr>
            <w:tcW w:w="5000" w:type="pct"/>
            <w:gridSpan w:val="3"/>
            <w:shd w:val="clear" w:color="auto" w:fill="auto"/>
          </w:tcPr>
          <w:p w:rsidR="00955300" w:rsidRPr="00940F72" w:rsidRDefault="00955300" w:rsidP="00406A95">
            <w:pPr>
              <w:pStyle w:val="TableLeft"/>
              <w:keepNext/>
              <w:rPr>
                <w:rStyle w:val="SmallBold"/>
                <w:rFonts w:ascii="Arial Narrow" w:hAnsi="Arial Narrow"/>
                <w:szCs w:val="18"/>
              </w:rPr>
            </w:pPr>
            <w:r w:rsidRPr="00940F72">
              <w:rPr>
                <w:rStyle w:val="SmallBold"/>
                <w:rFonts w:ascii="Arial Narrow" w:hAnsi="Arial Narrow"/>
                <w:szCs w:val="18"/>
              </w:rPr>
              <w:t>Ibrutinib</w:t>
            </w:r>
          </w:p>
        </w:tc>
      </w:tr>
      <w:tr w:rsidR="00955300" w:rsidRPr="00940F72" w:rsidTr="00E83D45">
        <w:tc>
          <w:tcPr>
            <w:tcW w:w="1063" w:type="pct"/>
            <w:vMerge w:val="restar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PCYC-1104/</w:t>
            </w:r>
            <w:r w:rsidRPr="00940F72">
              <w:rPr>
                <w:rFonts w:ascii="Arial Narrow" w:hAnsi="Arial Narrow"/>
                <w:lang w:val="en-AU"/>
              </w:rPr>
              <w:t xml:space="preserve"> </w:t>
            </w:r>
            <w:r w:rsidRPr="00940F72">
              <w:rPr>
                <w:rStyle w:val="Small"/>
                <w:rFonts w:ascii="Arial Narrow" w:hAnsi="Arial Narrow"/>
                <w:szCs w:val="18"/>
                <w:lang w:val="en-AU"/>
              </w:rPr>
              <w:t>NCT01236391</w:t>
            </w:r>
          </w:p>
        </w:tc>
        <w:tc>
          <w:tcPr>
            <w:tcW w:w="3023" w:type="pct"/>
            <w:tcBorders>
              <w:bottom w:val="nil"/>
            </w:tcBorders>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Wang ML, Rule S, Martin P, Goy A, Auer R, Kahl BS, Jurczak W, Advani RH, Romaguera JE, Williams ME, Barrientos JC, Chmielowska E, Radford J, Stilgenbauer S, Dreyling M, Jedrzejczak WW, Johnson P, Spurgeon SE, Li L, Zhang L, Newberry K, Ou Z, Cheng N, Fang B, McGreivy J, Clow F, Buggy JJ, Chang BY, Beaupre DM, Kunke2l LA, Blum KA. Targeting BTK with ibrutinib in relapsed or refractory mantle-cell lymphoma. </w:t>
            </w:r>
          </w:p>
        </w:tc>
        <w:tc>
          <w:tcPr>
            <w:tcW w:w="914" w:type="pct"/>
            <w:tcBorders>
              <w:bottom w:val="nil"/>
            </w:tcBorders>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N Engl J Med</w:t>
            </w:r>
            <w:r w:rsidRPr="00940F72">
              <w:rPr>
                <w:rStyle w:val="Small"/>
                <w:rFonts w:ascii="Arial Narrow" w:hAnsi="Arial Narrow"/>
                <w:szCs w:val="18"/>
                <w:lang w:val="en-AU"/>
              </w:rPr>
              <w:t xml:space="preserve">. 2013;369(6):507-16. </w:t>
            </w:r>
          </w:p>
        </w:tc>
      </w:tr>
      <w:tr w:rsidR="00955300" w:rsidRPr="00940F72" w:rsidTr="00E83D45">
        <w:tc>
          <w:tcPr>
            <w:tcW w:w="1063" w:type="pct"/>
            <w:vMerge/>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tcBorders>
            <w:shd w:val="clear" w:color="auto" w:fill="auto"/>
          </w:tcPr>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Wang ML, Blum KA, Martin P, Goy A, Auer R, Kahl BS, Jurczak W, Advani RH, Romaguera JE, Williams ME, Barrientos JC, Chmielowska E, Radford J, Stilgenbauer S, Dreyling M, Jedrzejczak WW, Johnson P, Spurgeon SE, Zhang L, Baher L, Cheng M, Lee D, Beaupre DM, Rule S. Long-term follow-up of MCL patients treated with single-agent ibrutinib: updated safety and efficacy results. </w:t>
            </w:r>
          </w:p>
        </w:tc>
        <w:tc>
          <w:tcPr>
            <w:tcW w:w="914" w:type="pct"/>
            <w:tcBorders>
              <w:top w:val="nil"/>
            </w:tcBorders>
            <w:shd w:val="clear" w:color="auto" w:fill="auto"/>
          </w:tcPr>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Blood</w:t>
            </w:r>
            <w:r w:rsidRPr="00940F72">
              <w:rPr>
                <w:rStyle w:val="Small"/>
                <w:rFonts w:ascii="Arial Narrow" w:hAnsi="Arial Narrow"/>
                <w:szCs w:val="18"/>
                <w:lang w:val="en-AU"/>
              </w:rPr>
              <w:t>. 2015;126(6):739-45.</w:t>
            </w:r>
          </w:p>
        </w:tc>
      </w:tr>
      <w:tr w:rsidR="00955300" w:rsidRPr="00940F72" w:rsidTr="00E83D45">
        <w:tc>
          <w:tcPr>
            <w:tcW w:w="106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MCL-2001/SPARK/</w:t>
            </w: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NCT01599949</w:t>
            </w:r>
          </w:p>
        </w:tc>
        <w:tc>
          <w:tcPr>
            <w:tcW w:w="302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A Phase 2, Multicenter, Single-Arm Study to Evaluate the Efficacy and Safety of Single-Agent Bruton’s Tyrosine Kinase (BTK) Inhibitor, Ibrutinib, in Subjects With Mantle Cell Lymphoma Who Progress After Bortezomib Therapy. Clinical Study Report PCI-32765MCL2001.</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Wang M., Goy A. et al. Efficacy and Safety of Single-Agent Ibrutinib in Patients with Mantle Cell Lymphoma Who Progressed after Bortezomib Therapy. </w:t>
            </w:r>
          </w:p>
        </w:tc>
        <w:tc>
          <w:tcPr>
            <w:tcW w:w="914"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6 December 2014</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20"/>
                <w:lang w:val="en-AU"/>
              </w:rPr>
            </w:pPr>
            <w:r w:rsidRPr="00940F72">
              <w:rPr>
                <w:rStyle w:val="ref-journal"/>
                <w:rFonts w:ascii="Arial Narrow" w:hAnsi="Arial Narrow"/>
                <w:i/>
                <w:iCs/>
                <w:color w:val="000000"/>
                <w:sz w:val="20"/>
                <w:szCs w:val="20"/>
                <w:shd w:val="clear" w:color="auto" w:fill="FFFFFF"/>
                <w:lang w:val="en-AU"/>
              </w:rPr>
              <w:t>Blood</w:t>
            </w:r>
            <w:r w:rsidRPr="00940F72">
              <w:rPr>
                <w:rFonts w:ascii="Arial Narrow" w:hAnsi="Arial Narrow"/>
                <w:color w:val="000000"/>
                <w:sz w:val="20"/>
                <w:szCs w:val="20"/>
                <w:shd w:val="clear" w:color="auto" w:fill="FFFFFF"/>
                <w:lang w:val="en-AU"/>
              </w:rPr>
              <w:t>. 2014;</w:t>
            </w:r>
            <w:r w:rsidRPr="00940F72">
              <w:rPr>
                <w:rStyle w:val="ref-vol"/>
                <w:rFonts w:ascii="Arial Narrow" w:hAnsi="Arial Narrow"/>
                <w:color w:val="000000"/>
                <w:sz w:val="20"/>
                <w:szCs w:val="20"/>
                <w:shd w:val="clear" w:color="auto" w:fill="FFFFFF"/>
                <w:lang w:val="en-AU"/>
              </w:rPr>
              <w:t>124</w:t>
            </w:r>
            <w:r w:rsidRPr="00940F72">
              <w:rPr>
                <w:rFonts w:ascii="Arial Narrow" w:hAnsi="Arial Narrow"/>
                <w:color w:val="000000"/>
                <w:sz w:val="20"/>
                <w:szCs w:val="20"/>
                <w:shd w:val="clear" w:color="auto" w:fill="FFFFFF"/>
                <w:lang w:val="en-AU"/>
              </w:rPr>
              <w:t>(</w:t>
            </w:r>
            <w:r w:rsidRPr="00940F72">
              <w:rPr>
                <w:rStyle w:val="ref-iss"/>
                <w:rFonts w:ascii="Arial Narrow" w:hAnsi="Arial Narrow"/>
                <w:color w:val="000000"/>
                <w:sz w:val="20"/>
                <w:szCs w:val="20"/>
                <w:shd w:val="clear" w:color="auto" w:fill="FFFFFF"/>
                <w:lang w:val="en-AU"/>
              </w:rPr>
              <w:t>21</w:t>
            </w:r>
            <w:r w:rsidRPr="00940F72">
              <w:rPr>
                <w:rFonts w:ascii="Arial Narrow" w:hAnsi="Arial Narrow"/>
                <w:color w:val="000000"/>
                <w:sz w:val="20"/>
                <w:szCs w:val="20"/>
                <w:shd w:val="clear" w:color="auto" w:fill="FFFFFF"/>
                <w:lang w:val="en-AU"/>
              </w:rPr>
              <w:t>):4471.</w:t>
            </w:r>
          </w:p>
        </w:tc>
      </w:tr>
      <w:tr w:rsidR="00955300" w:rsidRPr="00940F72" w:rsidTr="00E83D45">
        <w:tc>
          <w:tcPr>
            <w:tcW w:w="1063" w:type="pct"/>
            <w:vMerge w:val="restar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MCL-3001/</w:t>
            </w:r>
            <w:r w:rsidRPr="00940F72">
              <w:rPr>
                <w:rStyle w:val="Small"/>
                <w:rFonts w:ascii="Arial Narrow" w:hAnsi="Arial Narrow"/>
                <w:lang w:val="en-AU"/>
              </w:rPr>
              <w:t>RAY/</w:t>
            </w:r>
            <w:r w:rsidRPr="00940F72">
              <w:rPr>
                <w:rFonts w:ascii="Arial Narrow" w:hAnsi="Arial Narrow"/>
                <w:lang w:val="en-AU"/>
              </w:rPr>
              <w:t xml:space="preserve"> </w:t>
            </w:r>
            <w:r w:rsidRPr="00940F72">
              <w:rPr>
                <w:rStyle w:val="Small"/>
                <w:rFonts w:ascii="Arial Narrow" w:hAnsi="Arial Narrow"/>
                <w:lang w:val="en-AU"/>
              </w:rPr>
              <w:t>NCT01646021</w:t>
            </w:r>
          </w:p>
        </w:tc>
        <w:tc>
          <w:tcPr>
            <w:tcW w:w="3023" w:type="pct"/>
            <w:tcBorders>
              <w:bottom w:val="nil"/>
            </w:tcBorders>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Dreyling M., Jurczak W. et al. Ibrutinib versus temsirolimus in patients with relapsed or refractory mantle-cell lymphoma: An international, randomised, open-label, phase 3 study. </w:t>
            </w:r>
          </w:p>
        </w:tc>
        <w:tc>
          <w:tcPr>
            <w:tcW w:w="914" w:type="pct"/>
            <w:tcBorders>
              <w:bottom w:val="nil"/>
            </w:tcBorders>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The Lancet</w:t>
            </w:r>
            <w:r w:rsidRPr="00940F72">
              <w:rPr>
                <w:rStyle w:val="Small"/>
                <w:rFonts w:ascii="Arial Narrow" w:hAnsi="Arial Narrow"/>
                <w:szCs w:val="18"/>
                <w:lang w:val="en-AU"/>
              </w:rPr>
              <w:t>. 2016. 387: 770-778</w:t>
            </w:r>
          </w:p>
        </w:tc>
      </w:tr>
      <w:tr w:rsidR="00955300" w:rsidRPr="00940F72" w:rsidTr="00E83D45">
        <w:tc>
          <w:tcPr>
            <w:tcW w:w="1063" w:type="pct"/>
            <w:vMerge/>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bottom w:val="nil"/>
            </w:tcBorders>
            <w:shd w:val="clear" w:color="auto" w:fill="auto"/>
          </w:tcPr>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Hess G., Rule S., Jurczak W. Health-related quality of life data from a phase 3, international, randomized, open-label, multicenter study in patients with previously treated mantle cell lymphoma treated with ibrutinib versus temsirolimus. </w:t>
            </w:r>
          </w:p>
        </w:tc>
        <w:tc>
          <w:tcPr>
            <w:tcW w:w="914" w:type="pct"/>
            <w:tcBorders>
              <w:top w:val="nil"/>
              <w:bottom w:val="nil"/>
            </w:tcBorders>
            <w:shd w:val="clear" w:color="auto" w:fill="auto"/>
          </w:tcPr>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Leukemia and Lymphoma</w:t>
            </w:r>
            <w:r w:rsidRPr="00940F72">
              <w:rPr>
                <w:rStyle w:val="Small"/>
                <w:rFonts w:ascii="Arial Narrow" w:hAnsi="Arial Narrow"/>
                <w:szCs w:val="18"/>
                <w:lang w:val="en-AU"/>
              </w:rPr>
              <w:t>. 2017. 58 (12): 2824-2832</w:t>
            </w:r>
          </w:p>
        </w:tc>
      </w:tr>
      <w:tr w:rsidR="00955300" w:rsidRPr="00940F72" w:rsidTr="00E83D45">
        <w:tc>
          <w:tcPr>
            <w:tcW w:w="1063" w:type="pct"/>
            <w:vMerge/>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tcBorders>
            <w:shd w:val="clear" w:color="auto" w:fill="auto"/>
          </w:tcPr>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Rule S., Jurczak W., Jerkeman M. et al. Ibrutinib versus temsirolimus: 3-year follow-up of patients with previously treated mantle cell lymphoma from the phase 3, international, randomized, open-label RAY study. </w:t>
            </w:r>
          </w:p>
        </w:tc>
        <w:tc>
          <w:tcPr>
            <w:tcW w:w="914" w:type="pct"/>
            <w:tcBorders>
              <w:top w:val="nil"/>
            </w:tcBorders>
            <w:shd w:val="clear" w:color="auto" w:fill="auto"/>
          </w:tcPr>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Leukemia</w:t>
            </w:r>
            <w:r w:rsidRPr="00940F72">
              <w:rPr>
                <w:rStyle w:val="Small"/>
                <w:rFonts w:ascii="Arial Narrow" w:hAnsi="Arial Narrow"/>
                <w:szCs w:val="18"/>
                <w:lang w:val="en-AU"/>
              </w:rPr>
              <w:t>. 2018. 32 (8): 1799-1803</w:t>
            </w:r>
          </w:p>
        </w:tc>
      </w:tr>
      <w:tr w:rsidR="00955300" w:rsidRPr="00940F72" w:rsidTr="00E83D45">
        <w:trPr>
          <w:trHeight w:val="826"/>
        </w:trPr>
        <w:tc>
          <w:tcPr>
            <w:tcW w:w="106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MCL-2002/</w:t>
            </w: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NCT02169180</w:t>
            </w:r>
          </w:p>
          <w:p w:rsidR="00955300" w:rsidRPr="00940F72" w:rsidRDefault="00955300" w:rsidP="00E83D45">
            <w:pPr>
              <w:pStyle w:val="TableLeft"/>
              <w:rPr>
                <w:rStyle w:val="Small"/>
                <w:rFonts w:ascii="Arial Narrow" w:hAnsi="Arial Narrow"/>
                <w:szCs w:val="18"/>
                <w:lang w:val="en-AU"/>
              </w:rPr>
            </w:pPr>
          </w:p>
        </w:tc>
        <w:tc>
          <w:tcPr>
            <w:tcW w:w="302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Maruyama, D; Nagai, H; Fukuhara, N; Kitano, T; Ishikawa, T; Shibayama, H; Choi, I; Hatake, K; Uchida, T; Nishikori, M; Kinoshita, T; Matsuno, Y; Nishikawa, T; Takahara, S; Tobinai, K. Efficacy and safety of ibrutinib in Japanese patients with relapsed or refractory mantle cell lymphoma. </w:t>
            </w:r>
          </w:p>
        </w:tc>
        <w:tc>
          <w:tcPr>
            <w:tcW w:w="914"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Cancer science</w:t>
            </w:r>
            <w:r w:rsidRPr="00940F72">
              <w:rPr>
                <w:rStyle w:val="Small"/>
                <w:rFonts w:ascii="Arial Narrow" w:hAnsi="Arial Narrow"/>
                <w:szCs w:val="18"/>
                <w:lang w:val="en-AU"/>
              </w:rPr>
              <w:t xml:space="preserve"> 2016; 107 (12): 1785-1790.</w:t>
            </w:r>
          </w:p>
        </w:tc>
      </w:tr>
      <w:tr w:rsidR="00955300" w:rsidRPr="00940F72" w:rsidTr="00E83D45">
        <w:tc>
          <w:tcPr>
            <w:tcW w:w="5000" w:type="pct"/>
            <w:gridSpan w:val="3"/>
            <w:shd w:val="clear" w:color="auto" w:fill="auto"/>
          </w:tcPr>
          <w:p w:rsidR="00955300" w:rsidRPr="00940F72" w:rsidRDefault="00955300" w:rsidP="00196CEC">
            <w:pPr>
              <w:pStyle w:val="TableLeft"/>
              <w:keepNext/>
              <w:rPr>
                <w:rStyle w:val="SmallBold"/>
                <w:rFonts w:ascii="Arial Narrow" w:hAnsi="Arial Narrow"/>
                <w:szCs w:val="18"/>
              </w:rPr>
            </w:pPr>
            <w:r w:rsidRPr="00940F72">
              <w:rPr>
                <w:rStyle w:val="SmallBold"/>
                <w:rFonts w:ascii="Arial Narrow" w:hAnsi="Arial Narrow"/>
                <w:szCs w:val="18"/>
              </w:rPr>
              <w:t>Acalabrutinib</w:t>
            </w:r>
          </w:p>
        </w:tc>
      </w:tr>
      <w:tr w:rsidR="00955300" w:rsidRPr="00940F72" w:rsidTr="00E83D45">
        <w:trPr>
          <w:trHeight w:val="1723"/>
        </w:trPr>
        <w:tc>
          <w:tcPr>
            <w:tcW w:w="106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ACE-LY-004/</w:t>
            </w:r>
            <w:r w:rsidRPr="00940F72">
              <w:rPr>
                <w:rFonts w:ascii="Arial Narrow" w:hAnsi="Arial Narrow"/>
                <w:lang w:val="en-AU"/>
              </w:rPr>
              <w:t xml:space="preserve"> </w:t>
            </w:r>
            <w:r w:rsidRPr="00940F72">
              <w:rPr>
                <w:rStyle w:val="Small"/>
                <w:rFonts w:ascii="Arial Narrow" w:hAnsi="Arial Narrow"/>
                <w:szCs w:val="18"/>
                <w:lang w:val="en-AU"/>
              </w:rPr>
              <w:t>NCT02213926</w:t>
            </w:r>
          </w:p>
        </w:tc>
        <w:tc>
          <w:tcPr>
            <w:tcW w:w="3023"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An Open-label, Phase 2 Study of ACP-196 (Acalabrutinib) in Subjects With Mantle Cell Lymphoma. </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 xml:space="preserve">Wang M, Rule S, Zinzani PL, Goy A, Casasnovas O, Smith SD, Damaj G, Doorduijn J, Lamy T, Morschhauser F, Panizo C, Shah B, Davies A, Eek R, Dupuis J, Jacobsen E, Kater AP, Le Gouill S, Oberic L, Robak T, Covey T, Dua R, Hamdy A, Huang X, Izumi R, Patel P, Rothbaum W, Slatter JG, Jurczak W. Acalabrutinib in relapsed or refractory mantle cell lymphoma (ACE-LY-004): a single-arm, multicentre, phase 2 trial. </w:t>
            </w:r>
          </w:p>
        </w:tc>
        <w:tc>
          <w:tcPr>
            <w:tcW w:w="914" w:type="pct"/>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19 May 2017</w:t>
            </w: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p>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i/>
                <w:iCs/>
                <w:szCs w:val="18"/>
                <w:lang w:val="en-AU"/>
              </w:rPr>
              <w:t>Lancet</w:t>
            </w:r>
            <w:r w:rsidRPr="00940F72">
              <w:rPr>
                <w:rStyle w:val="Small"/>
                <w:rFonts w:ascii="Arial Narrow" w:hAnsi="Arial Narrow"/>
                <w:szCs w:val="18"/>
                <w:lang w:val="en-AU"/>
              </w:rPr>
              <w:t>. 2018;391:659-667.</w:t>
            </w:r>
          </w:p>
        </w:tc>
      </w:tr>
      <w:tr w:rsidR="00955300" w:rsidRPr="00940F72" w:rsidTr="00E83D45">
        <w:trPr>
          <w:trHeight w:val="285"/>
        </w:trPr>
        <w:tc>
          <w:tcPr>
            <w:tcW w:w="4086" w:type="pct"/>
            <w:gridSpan w:val="2"/>
            <w:tcBorders>
              <w:right w:val="nil"/>
            </w:tcBorders>
            <w:shd w:val="clear" w:color="auto" w:fill="auto"/>
          </w:tcPr>
          <w:p w:rsidR="00955300" w:rsidRPr="00940F72" w:rsidRDefault="00955300" w:rsidP="00E83D45">
            <w:pPr>
              <w:pStyle w:val="TableLeft"/>
              <w:rPr>
                <w:rStyle w:val="Small"/>
                <w:rFonts w:ascii="Arial Narrow" w:hAnsi="Arial Narrow"/>
                <w:b/>
                <w:bCs/>
                <w:szCs w:val="18"/>
                <w:vertAlign w:val="superscript"/>
                <w:lang w:val="en-AU"/>
              </w:rPr>
            </w:pPr>
            <w:r w:rsidRPr="00940F72">
              <w:rPr>
                <w:rStyle w:val="Small"/>
                <w:rFonts w:ascii="Arial Narrow" w:hAnsi="Arial Narrow"/>
                <w:b/>
                <w:bCs/>
                <w:szCs w:val="18"/>
                <w:lang w:val="en-AU"/>
              </w:rPr>
              <w:t xml:space="preserve">Pooled analysis of ibrutinib studies </w:t>
            </w:r>
            <w:r w:rsidRPr="00940F72">
              <w:rPr>
                <w:rStyle w:val="Small"/>
                <w:rFonts w:ascii="Arial Narrow" w:hAnsi="Arial Narrow"/>
                <w:b/>
                <w:bCs/>
                <w:i/>
                <w:iCs/>
                <w:szCs w:val="18"/>
                <w:vertAlign w:val="superscript"/>
                <w:lang w:val="en-AU"/>
              </w:rPr>
              <w:t>a</w:t>
            </w:r>
          </w:p>
        </w:tc>
        <w:tc>
          <w:tcPr>
            <w:tcW w:w="914" w:type="pct"/>
            <w:tcBorders>
              <w:left w:val="nil"/>
            </w:tcBorders>
            <w:shd w:val="clear" w:color="auto" w:fill="auto"/>
          </w:tcPr>
          <w:p w:rsidR="00955300" w:rsidRPr="00940F72" w:rsidRDefault="00955300" w:rsidP="00E83D45">
            <w:pPr>
              <w:pStyle w:val="TableLeft"/>
              <w:rPr>
                <w:rStyle w:val="Small"/>
                <w:rFonts w:ascii="Arial Narrow" w:hAnsi="Arial Narrow"/>
                <w:szCs w:val="18"/>
                <w:lang w:val="en-AU"/>
              </w:rPr>
            </w:pPr>
          </w:p>
        </w:tc>
      </w:tr>
      <w:tr w:rsidR="00955300" w:rsidRPr="00940F72" w:rsidTr="00E83D45">
        <w:trPr>
          <w:trHeight w:val="285"/>
        </w:trPr>
        <w:tc>
          <w:tcPr>
            <w:tcW w:w="1063" w:type="pct"/>
            <w:tcBorders>
              <w:bottom w:val="nil"/>
            </w:tcBorders>
            <w:shd w:val="clear" w:color="auto" w:fill="auto"/>
          </w:tcPr>
          <w:p w:rsidR="00955300" w:rsidRPr="00940F72" w:rsidRDefault="00955300" w:rsidP="00E83D45">
            <w:pPr>
              <w:pStyle w:val="TableLeft"/>
              <w:rPr>
                <w:rStyle w:val="Small"/>
                <w:rFonts w:ascii="Arial Narrow" w:hAnsi="Arial Narrow"/>
                <w:szCs w:val="18"/>
                <w:lang w:val="en-AU"/>
              </w:rPr>
            </w:pPr>
            <w:r w:rsidRPr="00940F72">
              <w:rPr>
                <w:rStyle w:val="Small"/>
                <w:rFonts w:ascii="Arial Narrow" w:hAnsi="Arial Narrow"/>
                <w:szCs w:val="18"/>
                <w:lang w:val="en-AU"/>
              </w:rPr>
              <w:t>MCL-3001/RAY, PCYC-1104, MCL-2001/SPARK pooled analysis</w:t>
            </w:r>
          </w:p>
        </w:tc>
        <w:tc>
          <w:tcPr>
            <w:tcW w:w="3023" w:type="pct"/>
            <w:tcBorders>
              <w:bottom w:val="nil"/>
            </w:tcBorders>
            <w:shd w:val="clear" w:color="auto" w:fill="auto"/>
          </w:tcPr>
          <w:p w:rsidR="00955300" w:rsidRPr="00940F72" w:rsidRDefault="00955300" w:rsidP="00E83D45">
            <w:pPr>
              <w:pStyle w:val="TableLeft"/>
              <w:rPr>
                <w:rStyle w:val="Small"/>
                <w:rFonts w:ascii="Arial Narrow" w:hAnsi="Arial Narrow"/>
                <w:szCs w:val="20"/>
                <w:lang w:val="en-AU"/>
              </w:rPr>
            </w:pPr>
            <w:r w:rsidRPr="00940F72">
              <w:rPr>
                <w:rFonts w:ascii="Arial Narrow" w:hAnsi="Arial Narrow"/>
                <w:sz w:val="20"/>
                <w:szCs w:val="20"/>
                <w:lang w:val="en-AU"/>
              </w:rPr>
              <w:t>Rule S, Dreyling M, Goy A, Hess G, Auer R et al. Outcomes in 370 patients with mantle cell lymphoma treated with ibrutinib: a pooled analysis from three open-label studies.</w:t>
            </w:r>
          </w:p>
        </w:tc>
        <w:tc>
          <w:tcPr>
            <w:tcW w:w="914" w:type="pct"/>
            <w:tcBorders>
              <w:bottom w:val="nil"/>
            </w:tcBorders>
            <w:shd w:val="clear" w:color="auto" w:fill="auto"/>
          </w:tcPr>
          <w:p w:rsidR="00955300" w:rsidRPr="00940F72" w:rsidRDefault="00955300" w:rsidP="00E83D45">
            <w:pPr>
              <w:pStyle w:val="TableLeft"/>
              <w:rPr>
                <w:rStyle w:val="Small"/>
                <w:rFonts w:ascii="Arial Narrow" w:hAnsi="Arial Narrow"/>
                <w:szCs w:val="20"/>
                <w:lang w:val="en-AU"/>
              </w:rPr>
            </w:pPr>
            <w:r w:rsidRPr="00940F72">
              <w:rPr>
                <w:rFonts w:ascii="Arial Narrow" w:hAnsi="Arial Narrow"/>
                <w:i/>
                <w:iCs/>
                <w:sz w:val="20"/>
                <w:szCs w:val="20"/>
                <w:lang w:val="en-AU"/>
              </w:rPr>
              <w:t>British Journal of Haematology</w:t>
            </w:r>
            <w:r w:rsidRPr="00940F72">
              <w:rPr>
                <w:rFonts w:ascii="Arial Narrow" w:hAnsi="Arial Narrow"/>
                <w:sz w:val="20"/>
                <w:szCs w:val="20"/>
                <w:lang w:val="en-AU"/>
              </w:rPr>
              <w:t xml:space="preserve"> 2017; 179(3): 430-8.</w:t>
            </w:r>
          </w:p>
        </w:tc>
      </w:tr>
      <w:tr w:rsidR="00955300" w:rsidRPr="00940F72" w:rsidTr="00E83D45">
        <w:trPr>
          <w:trHeight w:val="285"/>
        </w:trPr>
        <w:tc>
          <w:tcPr>
            <w:tcW w:w="1063" w:type="pct"/>
            <w:tcBorders>
              <w:top w:val="nil"/>
              <w:bottom w:val="nil"/>
            </w:tcBorders>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bottom w:val="nil"/>
            </w:tcBorders>
            <w:shd w:val="clear" w:color="auto" w:fill="auto"/>
          </w:tcPr>
          <w:p w:rsidR="00955300" w:rsidRPr="00940F72" w:rsidRDefault="00955300" w:rsidP="00E83D45">
            <w:pPr>
              <w:pStyle w:val="TableLeft"/>
              <w:rPr>
                <w:rFonts w:ascii="Arial Narrow" w:hAnsi="Arial Narrow"/>
                <w:sz w:val="20"/>
                <w:szCs w:val="20"/>
                <w:lang w:val="en-AU"/>
              </w:rPr>
            </w:pPr>
            <w:r w:rsidRPr="00940F72">
              <w:rPr>
                <w:rFonts w:ascii="Arial Narrow" w:hAnsi="Arial Narrow"/>
                <w:sz w:val="20"/>
                <w:szCs w:val="20"/>
                <w:lang w:val="en-AU"/>
              </w:rPr>
              <w:t>Rule S, Dreyling M, Goy A, Hess G, Auer R, Kahl B, et al. Ibrutinib for the treatment of relapsed/refractory mantle cell lymphoma: Extended 3.5-year follow up from a pooled analysis.</w:t>
            </w:r>
          </w:p>
        </w:tc>
        <w:tc>
          <w:tcPr>
            <w:tcW w:w="914" w:type="pct"/>
            <w:tcBorders>
              <w:top w:val="nil"/>
              <w:bottom w:val="nil"/>
            </w:tcBorders>
            <w:shd w:val="clear" w:color="auto" w:fill="auto"/>
          </w:tcPr>
          <w:p w:rsidR="00955300" w:rsidRPr="00940F72" w:rsidRDefault="00955300" w:rsidP="00E83D45">
            <w:pPr>
              <w:pStyle w:val="TableLeft"/>
              <w:rPr>
                <w:rFonts w:ascii="Arial Narrow" w:hAnsi="Arial Narrow"/>
                <w:sz w:val="20"/>
                <w:szCs w:val="20"/>
                <w:lang w:val="en-AU"/>
              </w:rPr>
            </w:pPr>
            <w:r w:rsidRPr="00940F72">
              <w:rPr>
                <w:rFonts w:ascii="Arial Narrow" w:hAnsi="Arial Narrow"/>
                <w:i/>
                <w:iCs/>
                <w:sz w:val="20"/>
                <w:szCs w:val="20"/>
                <w:lang w:val="en-AU"/>
              </w:rPr>
              <w:t>Haematologica</w:t>
            </w:r>
            <w:r w:rsidRPr="00940F72">
              <w:rPr>
                <w:rFonts w:ascii="Arial Narrow" w:hAnsi="Arial Narrow"/>
                <w:sz w:val="20"/>
                <w:szCs w:val="20"/>
                <w:lang w:val="en-AU"/>
              </w:rPr>
              <w:t xml:space="preserve"> 2019; 104(5): E211-E4.</w:t>
            </w:r>
          </w:p>
        </w:tc>
      </w:tr>
      <w:tr w:rsidR="00955300" w:rsidRPr="00940F72" w:rsidTr="00E83D45">
        <w:trPr>
          <w:trHeight w:val="285"/>
        </w:trPr>
        <w:tc>
          <w:tcPr>
            <w:tcW w:w="1063" w:type="pct"/>
            <w:tcBorders>
              <w:top w:val="nil"/>
              <w:bottom w:val="nil"/>
            </w:tcBorders>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bottom w:val="nil"/>
            </w:tcBorders>
            <w:shd w:val="clear" w:color="auto" w:fill="auto"/>
          </w:tcPr>
          <w:p w:rsidR="00955300" w:rsidRPr="00940F72" w:rsidRDefault="00955300" w:rsidP="00E83D45">
            <w:pPr>
              <w:pStyle w:val="TableLeft"/>
              <w:rPr>
                <w:rFonts w:ascii="Arial Narrow" w:hAnsi="Arial Narrow"/>
                <w:sz w:val="20"/>
                <w:szCs w:val="20"/>
                <w:lang w:val="en-AU"/>
              </w:rPr>
            </w:pPr>
          </w:p>
          <w:p w:rsidR="00955300" w:rsidRPr="00940F72" w:rsidRDefault="00955300" w:rsidP="00E83D45">
            <w:pPr>
              <w:pStyle w:val="TableLeft"/>
              <w:rPr>
                <w:rFonts w:ascii="Arial Narrow" w:hAnsi="Arial Narrow"/>
                <w:sz w:val="20"/>
                <w:szCs w:val="20"/>
                <w:lang w:val="en-AU"/>
              </w:rPr>
            </w:pPr>
            <w:r w:rsidRPr="00940F72">
              <w:rPr>
                <w:rFonts w:ascii="Arial Narrow" w:hAnsi="Arial Narrow"/>
                <w:sz w:val="20"/>
                <w:szCs w:val="20"/>
                <w:lang w:val="en-AU"/>
              </w:rPr>
              <w:t>Rule S, Dreyling M, Goy A, Hess G, Auer R, Kahl BS, et al. Median 3.5-Year Follow-up of Ibrutinib Treatment in Patients with Relapsed/Refractory Mantle Cell Lymphoma: A Pooled Analysis.</w:t>
            </w:r>
          </w:p>
        </w:tc>
        <w:tc>
          <w:tcPr>
            <w:tcW w:w="914" w:type="pct"/>
            <w:tcBorders>
              <w:top w:val="nil"/>
              <w:bottom w:val="nil"/>
            </w:tcBorders>
            <w:shd w:val="clear" w:color="auto" w:fill="auto"/>
          </w:tcPr>
          <w:p w:rsidR="00955300" w:rsidRPr="00940F72" w:rsidRDefault="00955300" w:rsidP="00E83D45">
            <w:pPr>
              <w:pStyle w:val="TableLeft"/>
              <w:rPr>
                <w:rFonts w:ascii="Arial Narrow" w:hAnsi="Arial Narrow"/>
                <w:sz w:val="20"/>
                <w:szCs w:val="20"/>
                <w:lang w:val="en-AU"/>
              </w:rPr>
            </w:pPr>
          </w:p>
          <w:p w:rsidR="00955300" w:rsidRPr="00940F72" w:rsidRDefault="00955300" w:rsidP="00E83D45">
            <w:pPr>
              <w:pStyle w:val="TableLeft"/>
              <w:rPr>
                <w:rFonts w:ascii="Arial Narrow" w:hAnsi="Arial Narrow"/>
                <w:sz w:val="20"/>
                <w:szCs w:val="20"/>
                <w:lang w:val="en-AU"/>
              </w:rPr>
            </w:pPr>
            <w:r w:rsidRPr="00940F72">
              <w:rPr>
                <w:rFonts w:ascii="Arial Narrow" w:hAnsi="Arial Narrow"/>
                <w:i/>
                <w:iCs/>
                <w:sz w:val="20"/>
                <w:szCs w:val="20"/>
                <w:lang w:val="en-AU"/>
              </w:rPr>
              <w:t>59th Annual Meeting of the American Society of Hematology (ASH) Blood</w:t>
            </w:r>
            <w:r w:rsidRPr="00940F72">
              <w:rPr>
                <w:rFonts w:ascii="Arial Narrow" w:hAnsi="Arial Narrow"/>
                <w:sz w:val="20"/>
                <w:szCs w:val="20"/>
                <w:lang w:val="en-AU"/>
              </w:rPr>
              <w:t xml:space="preserve"> 2017; 130(Supplement 1).</w:t>
            </w:r>
          </w:p>
        </w:tc>
      </w:tr>
      <w:tr w:rsidR="00955300" w:rsidRPr="00940F72" w:rsidTr="00E83D45">
        <w:trPr>
          <w:trHeight w:val="285"/>
        </w:trPr>
        <w:tc>
          <w:tcPr>
            <w:tcW w:w="1063" w:type="pct"/>
            <w:tcBorders>
              <w:top w:val="nil"/>
              <w:bottom w:val="nil"/>
            </w:tcBorders>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bottom w:val="nil"/>
            </w:tcBorders>
            <w:shd w:val="clear" w:color="auto" w:fill="auto"/>
          </w:tcPr>
          <w:p w:rsidR="00955300" w:rsidRPr="00940F72" w:rsidRDefault="00955300" w:rsidP="00E83D45">
            <w:pPr>
              <w:pStyle w:val="TableLeft"/>
              <w:rPr>
                <w:rFonts w:ascii="Arial Narrow" w:hAnsi="Arial Narrow"/>
                <w:sz w:val="20"/>
                <w:szCs w:val="20"/>
                <w:lang w:val="en-AU"/>
              </w:rPr>
            </w:pPr>
          </w:p>
          <w:p w:rsidR="00955300" w:rsidRPr="00940F72" w:rsidRDefault="00955300" w:rsidP="00E83D45">
            <w:pPr>
              <w:pStyle w:val="TableLeft"/>
              <w:rPr>
                <w:rFonts w:ascii="Arial Narrow" w:hAnsi="Arial Narrow"/>
                <w:sz w:val="20"/>
                <w:szCs w:val="20"/>
                <w:lang w:val="en-AU"/>
              </w:rPr>
            </w:pPr>
            <w:r w:rsidRPr="00940F72">
              <w:rPr>
                <w:rFonts w:ascii="Arial Narrow" w:hAnsi="Arial Narrow"/>
                <w:sz w:val="20"/>
                <w:szCs w:val="20"/>
                <w:lang w:val="en-AU"/>
              </w:rPr>
              <w:t>Rule S, Dreyling M, Hess G, Auer R, Kahl B, Cavazos N, et al. Overall survival outcomes in patients with mantle-cell lymphoma (MCL) treated with ibrutinib in a pooled analysis of 370 patients from 3 international open-label studies.</w:t>
            </w:r>
          </w:p>
        </w:tc>
        <w:tc>
          <w:tcPr>
            <w:tcW w:w="914" w:type="pct"/>
            <w:tcBorders>
              <w:top w:val="nil"/>
              <w:bottom w:val="nil"/>
            </w:tcBorders>
            <w:shd w:val="clear" w:color="auto" w:fill="auto"/>
          </w:tcPr>
          <w:p w:rsidR="00955300" w:rsidRPr="00940F72" w:rsidRDefault="00955300" w:rsidP="00E83D45">
            <w:pPr>
              <w:pStyle w:val="TableLeft"/>
              <w:rPr>
                <w:rFonts w:ascii="Arial Narrow" w:hAnsi="Arial Narrow"/>
                <w:sz w:val="20"/>
                <w:szCs w:val="20"/>
                <w:lang w:val="en-AU"/>
              </w:rPr>
            </w:pPr>
          </w:p>
          <w:p w:rsidR="00955300" w:rsidRPr="00940F72" w:rsidRDefault="00955300" w:rsidP="00E83D45">
            <w:pPr>
              <w:pStyle w:val="TableLeft"/>
              <w:rPr>
                <w:rFonts w:ascii="Arial Narrow" w:hAnsi="Arial Narrow"/>
                <w:sz w:val="20"/>
                <w:szCs w:val="20"/>
                <w:lang w:val="en-AU"/>
              </w:rPr>
            </w:pPr>
            <w:r w:rsidRPr="00940F72">
              <w:rPr>
                <w:rFonts w:ascii="Arial Narrow" w:hAnsi="Arial Narrow"/>
                <w:i/>
                <w:iCs/>
                <w:sz w:val="20"/>
                <w:szCs w:val="20"/>
                <w:lang w:val="en-AU"/>
              </w:rPr>
              <w:t>Haematologica</w:t>
            </w:r>
            <w:r w:rsidRPr="00940F72">
              <w:rPr>
                <w:rFonts w:ascii="Arial Narrow" w:hAnsi="Arial Narrow"/>
                <w:sz w:val="20"/>
                <w:szCs w:val="20"/>
                <w:lang w:val="en-AU"/>
              </w:rPr>
              <w:t xml:space="preserve"> 2016; 101 (Supplement 1): 155.</w:t>
            </w:r>
          </w:p>
        </w:tc>
      </w:tr>
      <w:tr w:rsidR="00955300" w:rsidRPr="00940F72" w:rsidTr="00E83D45">
        <w:trPr>
          <w:trHeight w:val="285"/>
        </w:trPr>
        <w:tc>
          <w:tcPr>
            <w:tcW w:w="1063" w:type="pct"/>
            <w:tcBorders>
              <w:top w:val="nil"/>
            </w:tcBorders>
            <w:shd w:val="clear" w:color="auto" w:fill="auto"/>
          </w:tcPr>
          <w:p w:rsidR="00955300" w:rsidRPr="00940F72" w:rsidRDefault="00955300" w:rsidP="00E83D45">
            <w:pPr>
              <w:pStyle w:val="TableLeft"/>
              <w:rPr>
                <w:rStyle w:val="Small"/>
                <w:rFonts w:ascii="Arial Narrow" w:hAnsi="Arial Narrow"/>
                <w:szCs w:val="18"/>
                <w:lang w:val="en-AU"/>
              </w:rPr>
            </w:pPr>
          </w:p>
        </w:tc>
        <w:tc>
          <w:tcPr>
            <w:tcW w:w="3023" w:type="pct"/>
            <w:tcBorders>
              <w:top w:val="nil"/>
            </w:tcBorders>
            <w:shd w:val="clear" w:color="auto" w:fill="auto"/>
          </w:tcPr>
          <w:p w:rsidR="00955300" w:rsidRPr="00940F72" w:rsidRDefault="00955300" w:rsidP="00E83D45">
            <w:pPr>
              <w:pStyle w:val="TableLeft"/>
              <w:rPr>
                <w:rFonts w:ascii="Arial Narrow" w:hAnsi="Arial Narrow"/>
                <w:sz w:val="20"/>
                <w:szCs w:val="20"/>
                <w:lang w:val="en-AU"/>
              </w:rPr>
            </w:pPr>
          </w:p>
          <w:p w:rsidR="00955300" w:rsidRPr="00940F72" w:rsidRDefault="00955300" w:rsidP="00E83D45">
            <w:pPr>
              <w:pStyle w:val="TableLeft"/>
              <w:rPr>
                <w:rFonts w:ascii="Arial Narrow" w:hAnsi="Arial Narrow"/>
                <w:sz w:val="20"/>
                <w:szCs w:val="20"/>
                <w:lang w:val="en-AU"/>
              </w:rPr>
            </w:pPr>
            <w:r w:rsidRPr="00940F72">
              <w:rPr>
                <w:rFonts w:ascii="Arial Narrow" w:hAnsi="Arial Narrow"/>
                <w:sz w:val="20"/>
                <w:szCs w:val="20"/>
                <w:lang w:val="en-AU"/>
              </w:rPr>
              <w:t>Rule S, Dreyling MH, Goy A, Hess G, Auer R, Kahl BS, et al. Long-term outcomes with ibrutinib versus the prior regimen: A pooled analysis in relapsed/refractory (R/R) mantle cell lymphoma (MCL) with up to 7.5 years of extended follow-up.</w:t>
            </w:r>
          </w:p>
        </w:tc>
        <w:tc>
          <w:tcPr>
            <w:tcW w:w="914" w:type="pct"/>
            <w:tcBorders>
              <w:top w:val="nil"/>
            </w:tcBorders>
            <w:shd w:val="clear" w:color="auto" w:fill="auto"/>
          </w:tcPr>
          <w:p w:rsidR="00955300" w:rsidRPr="00940F72" w:rsidRDefault="00955300" w:rsidP="00E83D45">
            <w:pPr>
              <w:pStyle w:val="TableLeft"/>
              <w:rPr>
                <w:rFonts w:ascii="Arial Narrow" w:hAnsi="Arial Narrow"/>
                <w:sz w:val="20"/>
                <w:szCs w:val="20"/>
                <w:lang w:val="en-AU"/>
              </w:rPr>
            </w:pPr>
          </w:p>
          <w:p w:rsidR="00955300" w:rsidRPr="00940F72" w:rsidRDefault="00955300" w:rsidP="00E83D45">
            <w:pPr>
              <w:pStyle w:val="TableLeft"/>
              <w:rPr>
                <w:rFonts w:ascii="Arial Narrow" w:hAnsi="Arial Narrow"/>
                <w:sz w:val="20"/>
                <w:szCs w:val="20"/>
                <w:lang w:val="en-AU"/>
              </w:rPr>
            </w:pPr>
            <w:r w:rsidRPr="00940F72">
              <w:rPr>
                <w:rFonts w:ascii="Arial Narrow" w:hAnsi="Arial Narrow"/>
                <w:i/>
                <w:iCs/>
                <w:sz w:val="20"/>
                <w:szCs w:val="20"/>
                <w:lang w:val="en-AU"/>
              </w:rPr>
              <w:t>61st Annual Meeting of the American Society of Hematology (ASH) Blood</w:t>
            </w:r>
            <w:r w:rsidRPr="00940F72">
              <w:rPr>
                <w:rFonts w:ascii="Arial Narrow" w:hAnsi="Arial Narrow"/>
                <w:sz w:val="20"/>
                <w:szCs w:val="20"/>
                <w:lang w:val="en-AU"/>
              </w:rPr>
              <w:t xml:space="preserve"> 2019; 134(Supplement 1).</w:t>
            </w:r>
          </w:p>
        </w:tc>
      </w:tr>
    </w:tbl>
    <w:p w:rsidR="00955300" w:rsidRPr="00940F72" w:rsidRDefault="00955300" w:rsidP="00955300">
      <w:pPr>
        <w:pStyle w:val="TableText0"/>
        <w:rPr>
          <w:iCs/>
        </w:rPr>
      </w:pPr>
      <w:r w:rsidRPr="00940F72">
        <w:rPr>
          <w:iCs/>
          <w:vertAlign w:val="superscript"/>
        </w:rPr>
        <w:t>a</w:t>
      </w:r>
      <w:r w:rsidRPr="00940F72">
        <w:rPr>
          <w:iCs/>
        </w:rPr>
        <w:t xml:space="preserve"> Added during the evaluation</w:t>
      </w:r>
      <w:r w:rsidR="00CF4BB7" w:rsidRPr="00940F72">
        <w:rPr>
          <w:iCs/>
        </w:rPr>
        <w:t>.</w:t>
      </w:r>
    </w:p>
    <w:p w:rsidR="00CF4BB7" w:rsidRPr="00940F72" w:rsidRDefault="00CF4BB7" w:rsidP="00955300">
      <w:pPr>
        <w:pStyle w:val="TableText0"/>
        <w:rPr>
          <w:iCs/>
        </w:rPr>
      </w:pPr>
      <w:r w:rsidRPr="00940F72">
        <w:t>Source: Table 2.5, pp37-38 of the submission.</w:t>
      </w:r>
    </w:p>
    <w:p w:rsidR="00955300" w:rsidRPr="00940F72" w:rsidRDefault="00955300" w:rsidP="00406A95"/>
    <w:p w:rsidR="00955300" w:rsidRPr="00940F72" w:rsidRDefault="00955300" w:rsidP="00955300">
      <w:pPr>
        <w:pStyle w:val="3-BodyText"/>
        <w:rPr>
          <w:color w:val="0066FF"/>
        </w:rPr>
      </w:pPr>
      <w:r w:rsidRPr="00940F72">
        <w:t xml:space="preserve">The key features of the included evidence are summarised in Table </w:t>
      </w:r>
      <w:r w:rsidR="00053418" w:rsidRPr="00940F72">
        <w:t>3</w:t>
      </w:r>
      <w:r w:rsidRPr="00940F72">
        <w:t xml:space="preserve">. </w:t>
      </w:r>
    </w:p>
    <w:p w:rsidR="00406A95" w:rsidRPr="00940F72" w:rsidRDefault="00406A95">
      <w:pPr>
        <w:jc w:val="left"/>
      </w:pPr>
      <w:r w:rsidRPr="00940F72">
        <w:br w:type="page"/>
      </w:r>
    </w:p>
    <w:p w:rsidR="00955300" w:rsidRPr="00940F72" w:rsidRDefault="00955300" w:rsidP="00406A95">
      <w:pPr>
        <w:pStyle w:val="TableFigureHeading"/>
        <w:rPr>
          <w:rStyle w:val="CommentReference"/>
          <w:b/>
          <w:szCs w:val="24"/>
        </w:rPr>
      </w:pPr>
      <w:r w:rsidRPr="00940F72">
        <w:rPr>
          <w:rStyle w:val="CommentReference"/>
          <w:b/>
          <w:szCs w:val="24"/>
        </w:rPr>
        <w:t xml:space="preserve">Table </w:t>
      </w:r>
      <w:r w:rsidR="00053418" w:rsidRPr="00940F72">
        <w:rPr>
          <w:rStyle w:val="CommentReference"/>
          <w:b/>
          <w:szCs w:val="24"/>
        </w:rPr>
        <w:t>3</w:t>
      </w:r>
      <w:r w:rsidRPr="00940F72">
        <w:rPr>
          <w:rStyle w:val="CommentReference"/>
          <w:b/>
          <w:szCs w:val="24"/>
        </w:rPr>
        <w:t>: Key features of the included evidence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8"/>
        <w:gridCol w:w="840"/>
        <w:gridCol w:w="1410"/>
        <w:gridCol w:w="1120"/>
        <w:gridCol w:w="2426"/>
        <w:gridCol w:w="1933"/>
      </w:tblGrid>
      <w:tr w:rsidR="00955300" w:rsidRPr="00940F72" w:rsidTr="004E7DAB">
        <w:trPr>
          <w:cantSplit/>
          <w:tblHeader/>
        </w:trPr>
        <w:tc>
          <w:tcPr>
            <w:tcW w:w="714" w:type="pct"/>
            <w:shd w:val="clear" w:color="auto" w:fill="auto"/>
            <w:vAlign w:val="center"/>
          </w:tcPr>
          <w:p w:rsidR="00955300" w:rsidRPr="00940F72" w:rsidRDefault="00955300" w:rsidP="00406A95">
            <w:pPr>
              <w:pStyle w:val="In-tableHeading"/>
              <w:rPr>
                <w:lang w:val="en-AU"/>
              </w:rPr>
            </w:pPr>
            <w:r w:rsidRPr="00940F72">
              <w:rPr>
                <w:lang w:val="en-AU"/>
              </w:rPr>
              <w:t>Trial</w:t>
            </w:r>
          </w:p>
        </w:tc>
        <w:tc>
          <w:tcPr>
            <w:tcW w:w="466" w:type="pct"/>
            <w:shd w:val="clear" w:color="auto" w:fill="auto"/>
            <w:vAlign w:val="center"/>
          </w:tcPr>
          <w:p w:rsidR="00955300" w:rsidRPr="00940F72" w:rsidRDefault="00955300" w:rsidP="00406A95">
            <w:pPr>
              <w:pStyle w:val="In-tableHeading"/>
              <w:jc w:val="center"/>
              <w:rPr>
                <w:lang w:val="en-AU"/>
              </w:rPr>
            </w:pPr>
            <w:r w:rsidRPr="00940F72">
              <w:rPr>
                <w:lang w:val="en-AU"/>
              </w:rPr>
              <w:t>N</w:t>
            </w:r>
          </w:p>
        </w:tc>
        <w:tc>
          <w:tcPr>
            <w:tcW w:w="782" w:type="pct"/>
            <w:shd w:val="clear" w:color="auto" w:fill="auto"/>
            <w:vAlign w:val="center"/>
          </w:tcPr>
          <w:p w:rsidR="00955300" w:rsidRPr="00940F72" w:rsidRDefault="00955300" w:rsidP="00406A95">
            <w:pPr>
              <w:pStyle w:val="In-tableHeading"/>
              <w:jc w:val="center"/>
              <w:rPr>
                <w:lang w:val="en-AU"/>
              </w:rPr>
            </w:pPr>
            <w:r w:rsidRPr="00940F72">
              <w:rPr>
                <w:lang w:val="en-AU"/>
              </w:rPr>
              <w:t>Design/ duration</w:t>
            </w:r>
          </w:p>
        </w:tc>
        <w:tc>
          <w:tcPr>
            <w:tcW w:w="621" w:type="pct"/>
            <w:shd w:val="clear" w:color="auto" w:fill="auto"/>
            <w:vAlign w:val="center"/>
          </w:tcPr>
          <w:p w:rsidR="00955300" w:rsidRPr="00940F72" w:rsidRDefault="00955300" w:rsidP="00406A95">
            <w:pPr>
              <w:pStyle w:val="In-tableHeading"/>
              <w:jc w:val="center"/>
              <w:rPr>
                <w:lang w:val="en-AU"/>
              </w:rPr>
            </w:pPr>
            <w:r w:rsidRPr="00940F72">
              <w:rPr>
                <w:lang w:val="en-AU"/>
              </w:rPr>
              <w:t>Risk of bias</w:t>
            </w:r>
          </w:p>
        </w:tc>
        <w:tc>
          <w:tcPr>
            <w:tcW w:w="1345" w:type="pct"/>
            <w:shd w:val="clear" w:color="auto" w:fill="auto"/>
            <w:vAlign w:val="center"/>
          </w:tcPr>
          <w:p w:rsidR="00955300" w:rsidRPr="00940F72" w:rsidRDefault="00955300" w:rsidP="00406A95">
            <w:pPr>
              <w:pStyle w:val="In-tableHeading"/>
              <w:jc w:val="center"/>
              <w:rPr>
                <w:lang w:val="en-AU"/>
              </w:rPr>
            </w:pPr>
            <w:r w:rsidRPr="00940F72">
              <w:rPr>
                <w:lang w:val="en-AU"/>
              </w:rPr>
              <w:t>Patient population (MCL)</w:t>
            </w:r>
          </w:p>
        </w:tc>
        <w:tc>
          <w:tcPr>
            <w:tcW w:w="1072" w:type="pct"/>
            <w:shd w:val="clear" w:color="auto" w:fill="auto"/>
            <w:vAlign w:val="center"/>
          </w:tcPr>
          <w:p w:rsidR="00955300" w:rsidRPr="00940F72" w:rsidRDefault="00955300" w:rsidP="00406A95">
            <w:pPr>
              <w:pStyle w:val="In-tableHeading"/>
              <w:jc w:val="center"/>
              <w:rPr>
                <w:lang w:val="en-AU"/>
              </w:rPr>
            </w:pPr>
            <w:r w:rsidRPr="00940F72">
              <w:rPr>
                <w:lang w:val="en-AU"/>
              </w:rPr>
              <w:t>Outcome(s)</w:t>
            </w:r>
          </w:p>
        </w:tc>
      </w:tr>
      <w:tr w:rsidR="00955300" w:rsidRPr="00940F72" w:rsidTr="004E7DAB">
        <w:trPr>
          <w:cantSplit/>
        </w:trPr>
        <w:tc>
          <w:tcPr>
            <w:tcW w:w="5000" w:type="pct"/>
            <w:gridSpan w:val="6"/>
            <w:shd w:val="clear" w:color="auto" w:fill="auto"/>
            <w:vAlign w:val="center"/>
          </w:tcPr>
          <w:p w:rsidR="00955300" w:rsidRPr="00940F72" w:rsidRDefault="00955300" w:rsidP="00406A95">
            <w:pPr>
              <w:pStyle w:val="In-tableHeading"/>
              <w:rPr>
                <w:lang w:val="en-AU"/>
              </w:rPr>
            </w:pPr>
            <w:r w:rsidRPr="00940F72">
              <w:rPr>
                <w:lang w:val="en-AU"/>
              </w:rPr>
              <w:t>Zanubrutinib studies (single arm)</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Study 206</w:t>
            </w:r>
          </w:p>
        </w:tc>
        <w:tc>
          <w:tcPr>
            <w:tcW w:w="466" w:type="pct"/>
            <w:shd w:val="clear" w:color="auto" w:fill="auto"/>
            <w:vAlign w:val="center"/>
          </w:tcPr>
          <w:p w:rsidR="00955300" w:rsidRPr="00940F72" w:rsidRDefault="00955300" w:rsidP="00406A95">
            <w:pPr>
              <w:pStyle w:val="TableText0"/>
              <w:jc w:val="center"/>
            </w:pPr>
            <w:r w:rsidRPr="00940F72">
              <w:t>86</w:t>
            </w:r>
          </w:p>
        </w:tc>
        <w:tc>
          <w:tcPr>
            <w:tcW w:w="782" w:type="pct"/>
            <w:shd w:val="clear" w:color="auto" w:fill="auto"/>
            <w:vAlign w:val="center"/>
          </w:tcPr>
          <w:p w:rsidR="00955300" w:rsidRPr="00940F72" w:rsidRDefault="00955300" w:rsidP="00406A95">
            <w:pPr>
              <w:pStyle w:val="TableText0"/>
              <w:jc w:val="center"/>
            </w:pPr>
            <w:r w:rsidRPr="00940F72">
              <w:t>Phase II, MC, OL</w:t>
            </w:r>
          </w:p>
          <w:p w:rsidR="00955300" w:rsidRPr="00940F72" w:rsidRDefault="00955300" w:rsidP="00406A95">
            <w:pPr>
              <w:pStyle w:val="TableText0"/>
              <w:jc w:val="center"/>
            </w:pPr>
            <w:r w:rsidRPr="00940F72">
              <w:t>18.43 mths</w:t>
            </w:r>
          </w:p>
        </w:tc>
        <w:tc>
          <w:tcPr>
            <w:tcW w:w="621" w:type="pct"/>
            <w:shd w:val="clear" w:color="auto" w:fill="auto"/>
            <w:vAlign w:val="center"/>
          </w:tcPr>
          <w:p w:rsidR="00955300" w:rsidRPr="00940F72" w:rsidRDefault="00955300" w:rsidP="00406A95">
            <w:pPr>
              <w:pStyle w:val="TableText0"/>
              <w:jc w:val="center"/>
              <w:rPr>
                <w:vertAlign w:val="superscript"/>
              </w:rPr>
            </w:pPr>
            <w:r w:rsidRPr="00940F72">
              <w:t>Moderate</w:t>
            </w:r>
            <w:r w:rsidRPr="00940F72">
              <w:rPr>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 xml:space="preserve">One to </w:t>
            </w:r>
            <w:r w:rsidR="00AB7DA5" w:rsidRPr="00940F72">
              <w:t xml:space="preserve">four </w:t>
            </w:r>
            <w:r w:rsidRPr="00940F72">
              <w:t>previous therapies</w:t>
            </w:r>
          </w:p>
          <w:p w:rsidR="00955300" w:rsidRPr="00940F72" w:rsidRDefault="00955300" w:rsidP="008153D6">
            <w:pPr>
              <w:pStyle w:val="TableText0"/>
              <w:numPr>
                <w:ilvl w:val="0"/>
                <w:numId w:val="10"/>
              </w:numPr>
              <w:ind w:left="113" w:hanging="113"/>
            </w:pPr>
            <w:r w:rsidRPr="00940F72">
              <w:t>ECOG ≤ 2 (0 to 2)</w:t>
            </w:r>
          </w:p>
          <w:p w:rsidR="00955300" w:rsidRPr="00940F72" w:rsidRDefault="00955300" w:rsidP="008153D6">
            <w:pPr>
              <w:pStyle w:val="TableText0"/>
              <w:numPr>
                <w:ilvl w:val="0"/>
                <w:numId w:val="10"/>
              </w:numPr>
              <w:ind w:left="113" w:hanging="113"/>
            </w:pPr>
            <w:r w:rsidRPr="00940F72">
              <w:rPr>
                <w:szCs w:val="20"/>
              </w:rPr>
              <w:t>Exclude pts with prior BTK treatment</w:t>
            </w:r>
          </w:p>
        </w:tc>
        <w:tc>
          <w:tcPr>
            <w:tcW w:w="1072" w:type="pct"/>
            <w:shd w:val="clear" w:color="auto" w:fill="auto"/>
            <w:vAlign w:val="center"/>
          </w:tcPr>
          <w:p w:rsidR="00955300" w:rsidRPr="00940F72" w:rsidRDefault="00955300" w:rsidP="00406A95">
            <w:pPr>
              <w:pStyle w:val="TableText0"/>
              <w:jc w:val="center"/>
            </w:pPr>
            <w:r w:rsidRPr="00940F72">
              <w:t>ORR, CR, PFS, OS, DoR, safety</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Study AU-003</w:t>
            </w:r>
          </w:p>
        </w:tc>
        <w:tc>
          <w:tcPr>
            <w:tcW w:w="466" w:type="pct"/>
            <w:shd w:val="clear" w:color="auto" w:fill="auto"/>
            <w:vAlign w:val="center"/>
          </w:tcPr>
          <w:p w:rsidR="00955300" w:rsidRPr="00940F72" w:rsidRDefault="00955300" w:rsidP="00406A95">
            <w:pPr>
              <w:pStyle w:val="TableText0"/>
              <w:jc w:val="center"/>
            </w:pPr>
            <w:r w:rsidRPr="00940F72">
              <w:t>37</w:t>
            </w:r>
          </w:p>
        </w:tc>
        <w:tc>
          <w:tcPr>
            <w:tcW w:w="782" w:type="pct"/>
            <w:shd w:val="clear" w:color="auto" w:fill="auto"/>
            <w:vAlign w:val="center"/>
          </w:tcPr>
          <w:p w:rsidR="00955300" w:rsidRPr="00940F72" w:rsidRDefault="00955300" w:rsidP="00406A95">
            <w:pPr>
              <w:pStyle w:val="TableText0"/>
              <w:jc w:val="center"/>
            </w:pPr>
            <w:r w:rsidRPr="00940F72">
              <w:t>Phase I, OL, MC</w:t>
            </w:r>
          </w:p>
          <w:p w:rsidR="00955300" w:rsidRPr="00940F72" w:rsidRDefault="00955300" w:rsidP="00406A95">
            <w:pPr>
              <w:pStyle w:val="TableText0"/>
              <w:jc w:val="center"/>
            </w:pPr>
            <w:r w:rsidRPr="00940F72">
              <w:t>19.42 mths</w:t>
            </w:r>
          </w:p>
        </w:tc>
        <w:tc>
          <w:tcPr>
            <w:tcW w:w="621" w:type="pct"/>
            <w:shd w:val="clear" w:color="auto" w:fill="auto"/>
            <w:vAlign w:val="center"/>
          </w:tcPr>
          <w:p w:rsidR="00955300" w:rsidRPr="00940F72" w:rsidRDefault="00955300" w:rsidP="00406A95">
            <w:pPr>
              <w:pStyle w:val="TableText0"/>
              <w:jc w:val="center"/>
              <w:rPr>
                <w:vertAlign w:val="superscript"/>
              </w:rPr>
            </w:pPr>
            <w:r w:rsidRPr="00940F72">
              <w:t>Moderate</w:t>
            </w:r>
            <w:r w:rsidRPr="00940F72">
              <w:rPr>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ECOG ≤ 2 (0 to 2)</w:t>
            </w:r>
          </w:p>
          <w:p w:rsidR="00955300" w:rsidRPr="00940F72" w:rsidRDefault="00955300" w:rsidP="008153D6">
            <w:pPr>
              <w:pStyle w:val="TableText0"/>
              <w:numPr>
                <w:ilvl w:val="0"/>
                <w:numId w:val="10"/>
              </w:numPr>
              <w:ind w:left="113" w:hanging="113"/>
            </w:pPr>
            <w:r w:rsidRPr="00940F72">
              <w:rPr>
                <w:szCs w:val="20"/>
              </w:rPr>
              <w:t>Exclude pts with prior BTK treatment in the R/R MCL cohort</w:t>
            </w:r>
          </w:p>
        </w:tc>
        <w:tc>
          <w:tcPr>
            <w:tcW w:w="1072" w:type="pct"/>
            <w:shd w:val="clear" w:color="auto" w:fill="auto"/>
            <w:vAlign w:val="center"/>
          </w:tcPr>
          <w:p w:rsidR="00955300" w:rsidRPr="00940F72" w:rsidRDefault="00955300" w:rsidP="00406A95">
            <w:pPr>
              <w:pStyle w:val="TableText0"/>
              <w:jc w:val="center"/>
            </w:pPr>
            <w:r w:rsidRPr="00940F72">
              <w:t>ORR, CR, DoR, time to response, PFS, OS</w:t>
            </w:r>
          </w:p>
        </w:tc>
      </w:tr>
      <w:tr w:rsidR="00955300" w:rsidRPr="00940F72" w:rsidTr="004E7DAB">
        <w:trPr>
          <w:cantSplit/>
        </w:trPr>
        <w:tc>
          <w:tcPr>
            <w:tcW w:w="5000" w:type="pct"/>
            <w:gridSpan w:val="6"/>
            <w:shd w:val="clear" w:color="auto" w:fill="auto"/>
            <w:vAlign w:val="center"/>
          </w:tcPr>
          <w:p w:rsidR="00955300" w:rsidRPr="00940F72" w:rsidRDefault="00955300" w:rsidP="00406A95">
            <w:pPr>
              <w:pStyle w:val="TableText0"/>
              <w:rPr>
                <w:b/>
                <w:bCs w:val="0"/>
              </w:rPr>
            </w:pPr>
            <w:r w:rsidRPr="00940F72">
              <w:rPr>
                <w:b/>
                <w:bCs w:val="0"/>
              </w:rPr>
              <w:t>Zanubrutinib vs. ibrutinib (used for safety evaluation only)</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ASPEN</w:t>
            </w:r>
          </w:p>
        </w:tc>
        <w:tc>
          <w:tcPr>
            <w:tcW w:w="466" w:type="pct"/>
            <w:shd w:val="clear" w:color="auto" w:fill="auto"/>
            <w:vAlign w:val="center"/>
          </w:tcPr>
          <w:p w:rsidR="00955300" w:rsidRPr="00940F72" w:rsidRDefault="00955300" w:rsidP="00406A95">
            <w:pPr>
              <w:pStyle w:val="TableText0"/>
              <w:jc w:val="center"/>
            </w:pPr>
            <w:r w:rsidRPr="00940F72">
              <w:t>201</w:t>
            </w:r>
          </w:p>
        </w:tc>
        <w:tc>
          <w:tcPr>
            <w:tcW w:w="782" w:type="pct"/>
            <w:shd w:val="clear" w:color="auto" w:fill="auto"/>
            <w:vAlign w:val="center"/>
          </w:tcPr>
          <w:p w:rsidR="00955300" w:rsidRPr="00940F72" w:rsidRDefault="00955300" w:rsidP="00406A95">
            <w:pPr>
              <w:pStyle w:val="TableText0"/>
              <w:jc w:val="center"/>
            </w:pPr>
            <w:r w:rsidRPr="00940F72">
              <w:t>Phase III, R, OL, MC</w:t>
            </w:r>
          </w:p>
          <w:p w:rsidR="00955300" w:rsidRPr="00940F72" w:rsidRDefault="00955300" w:rsidP="00406A95">
            <w:pPr>
              <w:pStyle w:val="TableText0"/>
              <w:jc w:val="center"/>
            </w:pPr>
            <w:r w:rsidRPr="00940F72">
              <w:t xml:space="preserve">19.47 mths (Zanu) </w:t>
            </w:r>
          </w:p>
          <w:p w:rsidR="00955300" w:rsidRPr="00940F72" w:rsidRDefault="00955300" w:rsidP="00406A95">
            <w:pPr>
              <w:pStyle w:val="TableText0"/>
              <w:jc w:val="center"/>
            </w:pPr>
            <w:r w:rsidRPr="00940F72">
              <w:t>19.38 mths (IBR)</w:t>
            </w:r>
          </w:p>
        </w:tc>
        <w:tc>
          <w:tcPr>
            <w:tcW w:w="621" w:type="pct"/>
            <w:shd w:val="clear" w:color="auto" w:fill="auto"/>
            <w:vAlign w:val="center"/>
          </w:tcPr>
          <w:p w:rsidR="00955300" w:rsidRPr="00940F72" w:rsidRDefault="00955300" w:rsidP="00DB659C">
            <w:pPr>
              <w:pStyle w:val="TableText0"/>
              <w:jc w:val="center"/>
              <w:rPr>
                <w:iCs/>
              </w:rPr>
            </w:pPr>
            <w:r w:rsidRPr="00940F72">
              <w:rPr>
                <w:iCs/>
              </w:rPr>
              <w:t>Low</w:t>
            </w:r>
            <w:r w:rsidRPr="00940F72">
              <w:rPr>
                <w:iCs/>
                <w:vertAlign w:val="superscript"/>
              </w:rPr>
              <w:t>b</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ECOG ≤ 2 (0 to 2)</w:t>
            </w:r>
          </w:p>
          <w:p w:rsidR="00955300" w:rsidRPr="00940F72" w:rsidRDefault="00955300" w:rsidP="005041CD">
            <w:pPr>
              <w:pStyle w:val="TableText0"/>
              <w:numPr>
                <w:ilvl w:val="0"/>
                <w:numId w:val="10"/>
              </w:numPr>
              <w:ind w:left="113" w:hanging="113"/>
            </w:pPr>
            <w:r w:rsidRPr="00940F72">
              <w:rPr>
                <w:szCs w:val="20"/>
              </w:rPr>
              <w:t xml:space="preserve">Exclude pts with prior BTK treatment in the </w:t>
            </w:r>
            <w:r w:rsidR="005041CD" w:rsidRPr="00940F72">
              <w:rPr>
                <w:szCs w:val="20"/>
              </w:rPr>
              <w:t>WM</w:t>
            </w:r>
            <w:r w:rsidRPr="00940F72">
              <w:rPr>
                <w:szCs w:val="20"/>
              </w:rPr>
              <w:t xml:space="preserve"> cohort</w:t>
            </w:r>
          </w:p>
        </w:tc>
        <w:tc>
          <w:tcPr>
            <w:tcW w:w="1072" w:type="pct"/>
            <w:shd w:val="clear" w:color="auto" w:fill="auto"/>
            <w:vAlign w:val="center"/>
          </w:tcPr>
          <w:p w:rsidR="00955300" w:rsidRPr="00940F72" w:rsidRDefault="00955300" w:rsidP="00B75E42">
            <w:pPr>
              <w:pStyle w:val="TableText0"/>
              <w:jc w:val="center"/>
            </w:pPr>
            <w:r w:rsidRPr="00940F72">
              <w:t>CR, PFS, DoR, major response rate, disease burden, AEs</w:t>
            </w:r>
          </w:p>
        </w:tc>
      </w:tr>
      <w:tr w:rsidR="00955300" w:rsidRPr="00940F72" w:rsidTr="004E7DAB">
        <w:trPr>
          <w:cantSplit/>
        </w:trPr>
        <w:tc>
          <w:tcPr>
            <w:tcW w:w="5000" w:type="pct"/>
            <w:gridSpan w:val="6"/>
            <w:shd w:val="clear" w:color="auto" w:fill="auto"/>
            <w:vAlign w:val="center"/>
          </w:tcPr>
          <w:p w:rsidR="00955300" w:rsidRPr="00940F72" w:rsidRDefault="00955300" w:rsidP="00406A95">
            <w:pPr>
              <w:pStyle w:val="TableText0"/>
              <w:rPr>
                <w:b/>
                <w:bCs w:val="0"/>
              </w:rPr>
            </w:pPr>
            <w:r w:rsidRPr="00940F72">
              <w:rPr>
                <w:b/>
                <w:bCs w:val="0"/>
              </w:rPr>
              <w:t>Ibrutinib vs. temsirolimus (only ibrutinib arm used in naïve and MAIC comparisons)</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MCL-3001/RAY</w:t>
            </w:r>
          </w:p>
        </w:tc>
        <w:tc>
          <w:tcPr>
            <w:tcW w:w="466" w:type="pct"/>
            <w:shd w:val="clear" w:color="auto" w:fill="auto"/>
            <w:vAlign w:val="center"/>
          </w:tcPr>
          <w:p w:rsidR="00955300" w:rsidRPr="00940F72" w:rsidRDefault="00955300" w:rsidP="00406A95">
            <w:pPr>
              <w:pStyle w:val="TableText0"/>
              <w:jc w:val="center"/>
            </w:pPr>
            <w:r w:rsidRPr="00940F72">
              <w:t>280</w:t>
            </w:r>
          </w:p>
          <w:p w:rsidR="00955300" w:rsidRPr="00940F72" w:rsidRDefault="00955300" w:rsidP="00406A95">
            <w:pPr>
              <w:pStyle w:val="TableText0"/>
              <w:jc w:val="center"/>
            </w:pPr>
            <w:r w:rsidRPr="00940F72">
              <w:t>(139 IBR)</w:t>
            </w:r>
          </w:p>
        </w:tc>
        <w:tc>
          <w:tcPr>
            <w:tcW w:w="782" w:type="pct"/>
            <w:shd w:val="clear" w:color="auto" w:fill="auto"/>
            <w:vAlign w:val="center"/>
          </w:tcPr>
          <w:p w:rsidR="00955300" w:rsidRPr="00940F72" w:rsidRDefault="00955300" w:rsidP="00406A95">
            <w:pPr>
              <w:pStyle w:val="TableText0"/>
              <w:jc w:val="center"/>
            </w:pPr>
            <w:r w:rsidRPr="00940F72">
              <w:t>R, OL, MC</w:t>
            </w:r>
          </w:p>
          <w:p w:rsidR="00955300" w:rsidRPr="00940F72" w:rsidRDefault="00955300" w:rsidP="00406A95">
            <w:pPr>
              <w:pStyle w:val="TableText0"/>
              <w:jc w:val="center"/>
            </w:pPr>
            <w:r w:rsidRPr="00940F72">
              <w:t>38.7 mths</w:t>
            </w:r>
          </w:p>
        </w:tc>
        <w:tc>
          <w:tcPr>
            <w:tcW w:w="621" w:type="pct"/>
            <w:shd w:val="clear" w:color="auto" w:fill="auto"/>
            <w:vAlign w:val="center"/>
          </w:tcPr>
          <w:p w:rsidR="00955300" w:rsidRPr="00940F72" w:rsidRDefault="00955300" w:rsidP="00406A95">
            <w:pPr>
              <w:pStyle w:val="TableText0"/>
              <w:jc w:val="center"/>
              <w:rPr>
                <w:iCs/>
              </w:rPr>
            </w:pPr>
            <w:r w:rsidRPr="00940F72">
              <w:t>Unclear</w:t>
            </w:r>
            <w:r w:rsidRPr="00940F72">
              <w:rPr>
                <w:iCs/>
                <w:vertAlign w:val="superscript"/>
              </w:rPr>
              <w:t xml:space="preserve"> b</w:t>
            </w:r>
          </w:p>
          <w:p w:rsidR="00955300" w:rsidRPr="00940F72" w:rsidRDefault="00955300" w:rsidP="00406A95">
            <w:pPr>
              <w:pStyle w:val="TableText0"/>
              <w:jc w:val="center"/>
            </w:pP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At least one previous rituximab-containing regimen</w:t>
            </w:r>
          </w:p>
          <w:p w:rsidR="00955300" w:rsidRPr="00940F72" w:rsidRDefault="00955300" w:rsidP="008153D6">
            <w:pPr>
              <w:pStyle w:val="TableText0"/>
              <w:numPr>
                <w:ilvl w:val="0"/>
                <w:numId w:val="10"/>
              </w:numPr>
              <w:ind w:left="113" w:hanging="113"/>
            </w:pPr>
            <w:r w:rsidRPr="00940F72">
              <w:t>ECOG ≤ 1</w:t>
            </w:r>
          </w:p>
          <w:p w:rsidR="00955300" w:rsidRPr="00940F72" w:rsidRDefault="00955300" w:rsidP="008153D6">
            <w:pPr>
              <w:pStyle w:val="TableText0"/>
              <w:numPr>
                <w:ilvl w:val="0"/>
                <w:numId w:val="10"/>
              </w:numPr>
              <w:ind w:left="113" w:hanging="113"/>
            </w:pPr>
            <w:r w:rsidRPr="00940F72">
              <w:rPr>
                <w:szCs w:val="20"/>
              </w:rPr>
              <w:t>Exclude pts with prior BTK treatment</w:t>
            </w:r>
          </w:p>
        </w:tc>
        <w:tc>
          <w:tcPr>
            <w:tcW w:w="1072" w:type="pct"/>
            <w:shd w:val="clear" w:color="auto" w:fill="auto"/>
            <w:vAlign w:val="center"/>
          </w:tcPr>
          <w:p w:rsidR="00955300" w:rsidRPr="00940F72" w:rsidRDefault="00955300" w:rsidP="00406A95">
            <w:pPr>
              <w:pStyle w:val="TableText0"/>
              <w:jc w:val="center"/>
            </w:pPr>
            <w:r w:rsidRPr="00940F72">
              <w:t>ORR, CR, DoR, PFS, OS, Time to next treatment, Time to response, HRQoL, AEs</w:t>
            </w:r>
          </w:p>
        </w:tc>
      </w:tr>
      <w:tr w:rsidR="00955300" w:rsidRPr="00940F72" w:rsidTr="004E7DAB">
        <w:trPr>
          <w:cantSplit/>
        </w:trPr>
        <w:tc>
          <w:tcPr>
            <w:tcW w:w="5000" w:type="pct"/>
            <w:gridSpan w:val="6"/>
            <w:shd w:val="clear" w:color="auto" w:fill="auto"/>
            <w:vAlign w:val="center"/>
          </w:tcPr>
          <w:p w:rsidR="00955300" w:rsidRPr="00940F72" w:rsidRDefault="00955300" w:rsidP="00406A95">
            <w:pPr>
              <w:pStyle w:val="TableText0"/>
              <w:rPr>
                <w:b/>
                <w:bCs w:val="0"/>
              </w:rPr>
            </w:pPr>
            <w:r w:rsidRPr="00940F72">
              <w:rPr>
                <w:b/>
                <w:bCs w:val="0"/>
              </w:rPr>
              <w:t>Ibrutinib studies (single arm)</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PCYC-1104</w:t>
            </w:r>
          </w:p>
        </w:tc>
        <w:tc>
          <w:tcPr>
            <w:tcW w:w="466" w:type="pct"/>
            <w:shd w:val="clear" w:color="auto" w:fill="auto"/>
            <w:vAlign w:val="center"/>
          </w:tcPr>
          <w:p w:rsidR="00955300" w:rsidRPr="00940F72" w:rsidRDefault="00955300" w:rsidP="00406A95">
            <w:pPr>
              <w:pStyle w:val="TableText0"/>
              <w:jc w:val="center"/>
            </w:pPr>
            <w:r w:rsidRPr="00940F72">
              <w:t>111</w:t>
            </w:r>
          </w:p>
        </w:tc>
        <w:tc>
          <w:tcPr>
            <w:tcW w:w="782" w:type="pct"/>
            <w:shd w:val="clear" w:color="auto" w:fill="auto"/>
            <w:vAlign w:val="center"/>
          </w:tcPr>
          <w:p w:rsidR="00955300" w:rsidRPr="00940F72" w:rsidRDefault="00955300" w:rsidP="00406A95">
            <w:pPr>
              <w:pStyle w:val="TableText0"/>
              <w:jc w:val="center"/>
            </w:pPr>
            <w:r w:rsidRPr="00940F72">
              <w:t>Phase II, MC</w:t>
            </w:r>
          </w:p>
          <w:p w:rsidR="00955300" w:rsidRPr="00940F72" w:rsidRDefault="00955300" w:rsidP="00406A95">
            <w:pPr>
              <w:pStyle w:val="TableText0"/>
              <w:jc w:val="center"/>
            </w:pPr>
            <w:r w:rsidRPr="00940F72">
              <w:t>26.7 mths</w:t>
            </w:r>
          </w:p>
        </w:tc>
        <w:tc>
          <w:tcPr>
            <w:tcW w:w="621" w:type="pct"/>
            <w:shd w:val="clear" w:color="auto" w:fill="auto"/>
            <w:vAlign w:val="center"/>
          </w:tcPr>
          <w:p w:rsidR="00955300" w:rsidRPr="00940F72" w:rsidRDefault="00955300" w:rsidP="00406A95">
            <w:pPr>
              <w:pStyle w:val="TableText0"/>
              <w:jc w:val="center"/>
            </w:pPr>
            <w:r w:rsidRPr="00940F72">
              <w:t xml:space="preserve">Moderate </w:t>
            </w:r>
            <w:r w:rsidRPr="00940F72">
              <w:rPr>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One to five previous therapies</w:t>
            </w:r>
          </w:p>
          <w:p w:rsidR="00955300" w:rsidRPr="00940F72" w:rsidRDefault="00955300" w:rsidP="008153D6">
            <w:pPr>
              <w:pStyle w:val="TableText0"/>
              <w:numPr>
                <w:ilvl w:val="0"/>
                <w:numId w:val="10"/>
              </w:numPr>
              <w:ind w:left="113" w:hanging="113"/>
            </w:pPr>
            <w:r w:rsidRPr="00940F72">
              <w:t>ECOG ≤ 2</w:t>
            </w:r>
          </w:p>
        </w:tc>
        <w:tc>
          <w:tcPr>
            <w:tcW w:w="1072" w:type="pct"/>
            <w:shd w:val="clear" w:color="auto" w:fill="auto"/>
            <w:vAlign w:val="center"/>
          </w:tcPr>
          <w:p w:rsidR="00955300" w:rsidRPr="00940F72" w:rsidRDefault="00955300" w:rsidP="00406A95">
            <w:pPr>
              <w:pStyle w:val="TableText0"/>
              <w:jc w:val="center"/>
            </w:pPr>
            <w:r w:rsidRPr="00940F72">
              <w:t>ORR, CR, DoR, PFS, OS, HRQoL, AEs</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MCL-2001/ SPARK</w:t>
            </w:r>
          </w:p>
        </w:tc>
        <w:tc>
          <w:tcPr>
            <w:tcW w:w="466" w:type="pct"/>
            <w:shd w:val="clear" w:color="auto" w:fill="auto"/>
            <w:vAlign w:val="center"/>
          </w:tcPr>
          <w:p w:rsidR="00955300" w:rsidRPr="00940F72" w:rsidRDefault="00955300" w:rsidP="00406A95">
            <w:pPr>
              <w:pStyle w:val="TableText0"/>
              <w:jc w:val="center"/>
            </w:pPr>
            <w:r w:rsidRPr="00940F72">
              <w:t>120</w:t>
            </w:r>
          </w:p>
        </w:tc>
        <w:tc>
          <w:tcPr>
            <w:tcW w:w="782" w:type="pct"/>
            <w:shd w:val="clear" w:color="auto" w:fill="auto"/>
            <w:vAlign w:val="center"/>
          </w:tcPr>
          <w:p w:rsidR="00955300" w:rsidRPr="00940F72" w:rsidRDefault="00955300" w:rsidP="00406A95">
            <w:pPr>
              <w:pStyle w:val="TableText0"/>
              <w:jc w:val="center"/>
            </w:pPr>
            <w:r w:rsidRPr="00940F72">
              <w:t>Phase II, MC</w:t>
            </w:r>
          </w:p>
          <w:p w:rsidR="00955300" w:rsidRPr="00940F72" w:rsidRDefault="00955300" w:rsidP="00406A95">
            <w:pPr>
              <w:pStyle w:val="TableText0"/>
              <w:jc w:val="center"/>
            </w:pPr>
            <w:r w:rsidRPr="00940F72">
              <w:t>14.9 mths</w:t>
            </w:r>
          </w:p>
        </w:tc>
        <w:tc>
          <w:tcPr>
            <w:tcW w:w="621" w:type="pct"/>
            <w:shd w:val="clear" w:color="auto" w:fill="auto"/>
            <w:vAlign w:val="center"/>
          </w:tcPr>
          <w:p w:rsidR="00955300" w:rsidRPr="00940F72" w:rsidRDefault="00955300" w:rsidP="00406A95">
            <w:pPr>
              <w:pStyle w:val="TableText0"/>
              <w:jc w:val="center"/>
            </w:pPr>
            <w:r w:rsidRPr="00940F72">
              <w:t xml:space="preserve">Moderate </w:t>
            </w:r>
            <w:r w:rsidRPr="00940F72">
              <w:rPr>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One to five previous therapies</w:t>
            </w:r>
          </w:p>
          <w:p w:rsidR="00955300" w:rsidRPr="00940F72" w:rsidRDefault="00955300" w:rsidP="00406A95">
            <w:pPr>
              <w:pStyle w:val="TableText0"/>
              <w:ind w:left="113"/>
            </w:pPr>
            <w:r w:rsidRPr="00940F72">
              <w:t>AND at least 1 prior rituximab-containing chemotherapy regimen AND at least 2 cycles of bortezomib therapy</w:t>
            </w:r>
          </w:p>
          <w:p w:rsidR="00955300" w:rsidRPr="00940F72" w:rsidRDefault="00955300" w:rsidP="008153D6">
            <w:pPr>
              <w:pStyle w:val="TableText0"/>
              <w:numPr>
                <w:ilvl w:val="0"/>
                <w:numId w:val="10"/>
              </w:numPr>
              <w:ind w:left="113" w:hanging="113"/>
            </w:pPr>
            <w:r w:rsidRPr="00940F72">
              <w:t>ECOG ≤ 2</w:t>
            </w:r>
          </w:p>
          <w:p w:rsidR="00955300" w:rsidRPr="00940F72" w:rsidRDefault="00955300" w:rsidP="008153D6">
            <w:pPr>
              <w:pStyle w:val="TableText0"/>
              <w:numPr>
                <w:ilvl w:val="0"/>
                <w:numId w:val="10"/>
              </w:numPr>
              <w:ind w:left="113" w:hanging="113"/>
            </w:pPr>
            <w:r w:rsidRPr="00940F72">
              <w:rPr>
                <w:szCs w:val="20"/>
              </w:rPr>
              <w:t>Exclude pts with prior BTK treatment</w:t>
            </w:r>
          </w:p>
        </w:tc>
        <w:tc>
          <w:tcPr>
            <w:tcW w:w="1072" w:type="pct"/>
            <w:shd w:val="clear" w:color="auto" w:fill="auto"/>
            <w:vAlign w:val="center"/>
          </w:tcPr>
          <w:p w:rsidR="00955300" w:rsidRPr="00940F72" w:rsidRDefault="00955300" w:rsidP="00406A95">
            <w:pPr>
              <w:pStyle w:val="TableText0"/>
              <w:jc w:val="center"/>
            </w:pPr>
            <w:r w:rsidRPr="00940F72">
              <w:t>ORR, CR, PFS, OS, HRQoL, AEs</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MCL-2002</w:t>
            </w:r>
          </w:p>
        </w:tc>
        <w:tc>
          <w:tcPr>
            <w:tcW w:w="466" w:type="pct"/>
            <w:shd w:val="clear" w:color="auto" w:fill="auto"/>
            <w:vAlign w:val="center"/>
          </w:tcPr>
          <w:p w:rsidR="00955300" w:rsidRPr="00940F72" w:rsidRDefault="00955300" w:rsidP="00406A95">
            <w:pPr>
              <w:pStyle w:val="TableText0"/>
              <w:jc w:val="center"/>
            </w:pPr>
            <w:r w:rsidRPr="00940F72">
              <w:t>16</w:t>
            </w:r>
          </w:p>
        </w:tc>
        <w:tc>
          <w:tcPr>
            <w:tcW w:w="782" w:type="pct"/>
            <w:shd w:val="clear" w:color="auto" w:fill="auto"/>
            <w:vAlign w:val="center"/>
          </w:tcPr>
          <w:p w:rsidR="00955300" w:rsidRPr="00940F72" w:rsidRDefault="00955300" w:rsidP="00406A95">
            <w:pPr>
              <w:pStyle w:val="TableText0"/>
              <w:jc w:val="center"/>
            </w:pPr>
            <w:r w:rsidRPr="00940F72">
              <w:t xml:space="preserve">Phase II, OL, MC </w:t>
            </w:r>
          </w:p>
          <w:p w:rsidR="00955300" w:rsidRPr="00940F72" w:rsidRDefault="00955300" w:rsidP="00406A95">
            <w:pPr>
              <w:pStyle w:val="TableText0"/>
              <w:jc w:val="center"/>
            </w:pPr>
            <w:r w:rsidRPr="00940F72">
              <w:t xml:space="preserve">n.r. </w:t>
            </w:r>
            <w:r w:rsidRPr="00940F72">
              <w:rPr>
                <w:vertAlign w:val="superscript"/>
              </w:rPr>
              <w:t>b</w:t>
            </w:r>
          </w:p>
        </w:tc>
        <w:tc>
          <w:tcPr>
            <w:tcW w:w="621" w:type="pct"/>
            <w:shd w:val="clear" w:color="auto" w:fill="auto"/>
            <w:vAlign w:val="center"/>
          </w:tcPr>
          <w:p w:rsidR="00955300" w:rsidRPr="00940F72" w:rsidRDefault="00955300" w:rsidP="00406A95">
            <w:pPr>
              <w:pStyle w:val="TableText0"/>
              <w:jc w:val="center"/>
            </w:pPr>
            <w:r w:rsidRPr="00940F72">
              <w:t xml:space="preserve">Moderate </w:t>
            </w:r>
            <w:r w:rsidRPr="00940F72">
              <w:rPr>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Relapsed or refractory after at least one prior therapy</w:t>
            </w:r>
          </w:p>
          <w:p w:rsidR="00955300" w:rsidRPr="00940F72" w:rsidRDefault="00955300" w:rsidP="008153D6">
            <w:pPr>
              <w:pStyle w:val="TableText0"/>
              <w:numPr>
                <w:ilvl w:val="0"/>
                <w:numId w:val="10"/>
              </w:numPr>
              <w:ind w:left="113" w:hanging="113"/>
            </w:pPr>
            <w:r w:rsidRPr="00940F72">
              <w:t>ECOG 0 to 1</w:t>
            </w:r>
          </w:p>
          <w:p w:rsidR="00955300" w:rsidRPr="00940F72" w:rsidRDefault="00955300" w:rsidP="008153D6">
            <w:pPr>
              <w:pStyle w:val="TableText0"/>
              <w:numPr>
                <w:ilvl w:val="0"/>
                <w:numId w:val="10"/>
              </w:numPr>
              <w:ind w:left="113" w:hanging="113"/>
            </w:pPr>
            <w:r w:rsidRPr="00940F72">
              <w:rPr>
                <w:szCs w:val="20"/>
              </w:rPr>
              <w:t>Exclude pts with prior ibrutinib treatment</w:t>
            </w:r>
          </w:p>
        </w:tc>
        <w:tc>
          <w:tcPr>
            <w:tcW w:w="1072" w:type="pct"/>
            <w:shd w:val="clear" w:color="auto" w:fill="auto"/>
            <w:vAlign w:val="center"/>
          </w:tcPr>
          <w:p w:rsidR="00955300" w:rsidRPr="00940F72" w:rsidRDefault="00955300" w:rsidP="00406A95">
            <w:pPr>
              <w:pStyle w:val="TableText0"/>
              <w:jc w:val="center"/>
            </w:pPr>
            <w:r w:rsidRPr="00940F72">
              <w:t>ORR, DoR, PFS, OS, AEs, time to response</w:t>
            </w:r>
          </w:p>
        </w:tc>
      </w:tr>
      <w:tr w:rsidR="00955300" w:rsidRPr="00940F72" w:rsidTr="004E7DAB">
        <w:trPr>
          <w:cantSplit/>
        </w:trPr>
        <w:tc>
          <w:tcPr>
            <w:tcW w:w="5000" w:type="pct"/>
            <w:gridSpan w:val="6"/>
            <w:shd w:val="clear" w:color="auto" w:fill="auto"/>
            <w:vAlign w:val="center"/>
          </w:tcPr>
          <w:p w:rsidR="00955300" w:rsidRPr="00940F72" w:rsidRDefault="00955300" w:rsidP="00406A95">
            <w:pPr>
              <w:pStyle w:val="TableText0"/>
              <w:rPr>
                <w:b/>
                <w:bCs w:val="0"/>
                <w:iCs/>
              </w:rPr>
            </w:pPr>
            <w:r w:rsidRPr="00940F72">
              <w:rPr>
                <w:b/>
                <w:bCs w:val="0"/>
                <w:iCs/>
              </w:rPr>
              <w:t>Pooled analysis of ibrutinib studies</w:t>
            </w:r>
            <w:r w:rsidRPr="00940F72">
              <w:rPr>
                <w:b/>
                <w:bCs w:val="0"/>
                <w:iCs/>
                <w:vertAlign w:val="superscript"/>
              </w:rPr>
              <w:t xml:space="preserve"> </w:t>
            </w:r>
            <w:r w:rsidRPr="00940F72">
              <w:rPr>
                <w:b/>
                <w:bCs w:val="0"/>
                <w:iCs/>
              </w:rPr>
              <w:t>(excluding MCL-2002)</w:t>
            </w:r>
            <w:r w:rsidRPr="00940F72">
              <w:rPr>
                <w:b/>
                <w:bCs w:val="0"/>
                <w:iCs/>
                <w:vertAlign w:val="superscript"/>
              </w:rPr>
              <w:t xml:space="preserve"> c</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rPr>
                <w:iCs/>
              </w:rPr>
            </w:pPr>
            <w:r w:rsidRPr="00940F72">
              <w:rPr>
                <w:iCs/>
              </w:rPr>
              <w:t>MCL-3001/RAY, PCYC-1004, MCL-2001/ SPARK</w:t>
            </w:r>
          </w:p>
        </w:tc>
        <w:tc>
          <w:tcPr>
            <w:tcW w:w="466" w:type="pct"/>
            <w:shd w:val="clear" w:color="auto" w:fill="auto"/>
            <w:vAlign w:val="center"/>
          </w:tcPr>
          <w:p w:rsidR="00955300" w:rsidRPr="00940F72" w:rsidRDefault="00955300" w:rsidP="00406A95">
            <w:pPr>
              <w:pStyle w:val="TableText0"/>
              <w:jc w:val="center"/>
              <w:rPr>
                <w:iCs/>
              </w:rPr>
            </w:pPr>
            <w:r w:rsidRPr="00940F72">
              <w:rPr>
                <w:iCs/>
              </w:rPr>
              <w:t>370</w:t>
            </w:r>
          </w:p>
        </w:tc>
        <w:tc>
          <w:tcPr>
            <w:tcW w:w="782" w:type="pct"/>
            <w:shd w:val="clear" w:color="auto" w:fill="auto"/>
            <w:vAlign w:val="center"/>
          </w:tcPr>
          <w:p w:rsidR="00955300" w:rsidRPr="00940F72" w:rsidRDefault="00955300" w:rsidP="00406A95">
            <w:pPr>
              <w:pStyle w:val="TableText0"/>
              <w:jc w:val="center"/>
              <w:rPr>
                <w:iCs/>
              </w:rPr>
            </w:pPr>
            <w:r w:rsidRPr="00940F72">
              <w:rPr>
                <w:iCs/>
              </w:rPr>
              <w:t>Pooled analysis</w:t>
            </w:r>
          </w:p>
          <w:p w:rsidR="00955300" w:rsidRPr="00940F72" w:rsidRDefault="00955300" w:rsidP="00406A95">
            <w:pPr>
              <w:pStyle w:val="TableText0"/>
              <w:jc w:val="center"/>
              <w:rPr>
                <w:iCs/>
              </w:rPr>
            </w:pPr>
            <w:r w:rsidRPr="00940F72">
              <w:rPr>
                <w:iCs/>
              </w:rPr>
              <w:t>41.4 mths</w:t>
            </w:r>
          </w:p>
        </w:tc>
        <w:tc>
          <w:tcPr>
            <w:tcW w:w="621" w:type="pct"/>
            <w:shd w:val="clear" w:color="auto" w:fill="auto"/>
            <w:vAlign w:val="center"/>
          </w:tcPr>
          <w:p w:rsidR="00955300" w:rsidRPr="00940F72" w:rsidRDefault="00955300" w:rsidP="00406A95">
            <w:pPr>
              <w:pStyle w:val="TableText0"/>
              <w:jc w:val="center"/>
              <w:rPr>
                <w:iCs/>
              </w:rPr>
            </w:pPr>
            <w:r w:rsidRPr="00940F72">
              <w:rPr>
                <w:iCs/>
              </w:rPr>
              <w:t xml:space="preserve">Moderate </w:t>
            </w:r>
            <w:r w:rsidRPr="00940F72">
              <w:rPr>
                <w:iCs/>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rPr>
                <w:iCs/>
              </w:rPr>
            </w:pPr>
            <w:r w:rsidRPr="00940F72">
              <w:rPr>
                <w:iCs/>
              </w:rPr>
              <w:t>Per trial populations above</w:t>
            </w:r>
          </w:p>
        </w:tc>
        <w:tc>
          <w:tcPr>
            <w:tcW w:w="1072" w:type="pct"/>
            <w:shd w:val="clear" w:color="auto" w:fill="auto"/>
            <w:vAlign w:val="center"/>
          </w:tcPr>
          <w:p w:rsidR="00955300" w:rsidRPr="00940F72" w:rsidRDefault="00955300" w:rsidP="00406A95">
            <w:pPr>
              <w:pStyle w:val="TableText0"/>
              <w:jc w:val="center"/>
              <w:rPr>
                <w:iCs/>
              </w:rPr>
            </w:pPr>
            <w:r w:rsidRPr="00940F72">
              <w:rPr>
                <w:iCs/>
              </w:rPr>
              <w:t>ORR, CR, DoR, PFS, OS, AEs</w:t>
            </w:r>
          </w:p>
        </w:tc>
      </w:tr>
      <w:tr w:rsidR="00955300" w:rsidRPr="00940F72" w:rsidTr="004E7DAB">
        <w:trPr>
          <w:cantSplit/>
        </w:trPr>
        <w:tc>
          <w:tcPr>
            <w:tcW w:w="5000" w:type="pct"/>
            <w:gridSpan w:val="6"/>
            <w:shd w:val="clear" w:color="auto" w:fill="auto"/>
            <w:vAlign w:val="center"/>
          </w:tcPr>
          <w:p w:rsidR="00955300" w:rsidRPr="00940F72" w:rsidRDefault="00955300" w:rsidP="00406A95">
            <w:pPr>
              <w:pStyle w:val="TableText0"/>
              <w:rPr>
                <w:b/>
                <w:bCs w:val="0"/>
              </w:rPr>
            </w:pPr>
            <w:r w:rsidRPr="00940F72">
              <w:rPr>
                <w:b/>
                <w:bCs w:val="0"/>
              </w:rPr>
              <w:t>Acalabrutinib study (single arm; near market comparator)</w:t>
            </w:r>
          </w:p>
        </w:tc>
      </w:tr>
      <w:tr w:rsidR="00955300" w:rsidRPr="00940F72" w:rsidTr="004E7DAB">
        <w:trPr>
          <w:cantSplit/>
        </w:trPr>
        <w:tc>
          <w:tcPr>
            <w:tcW w:w="714" w:type="pct"/>
            <w:shd w:val="clear" w:color="auto" w:fill="auto"/>
            <w:vAlign w:val="center"/>
          </w:tcPr>
          <w:p w:rsidR="00955300" w:rsidRPr="00940F72" w:rsidRDefault="00955300" w:rsidP="00406A95">
            <w:pPr>
              <w:pStyle w:val="TableText0"/>
            </w:pPr>
            <w:r w:rsidRPr="00940F72">
              <w:t>ACE-LY-004</w:t>
            </w:r>
          </w:p>
        </w:tc>
        <w:tc>
          <w:tcPr>
            <w:tcW w:w="466" w:type="pct"/>
            <w:shd w:val="clear" w:color="auto" w:fill="auto"/>
            <w:vAlign w:val="center"/>
          </w:tcPr>
          <w:p w:rsidR="00955300" w:rsidRPr="00940F72" w:rsidRDefault="00955300" w:rsidP="00406A95">
            <w:pPr>
              <w:pStyle w:val="TableText0"/>
              <w:jc w:val="center"/>
            </w:pPr>
            <w:r w:rsidRPr="00940F72">
              <w:t>124</w:t>
            </w:r>
          </w:p>
        </w:tc>
        <w:tc>
          <w:tcPr>
            <w:tcW w:w="782" w:type="pct"/>
            <w:shd w:val="clear" w:color="auto" w:fill="auto"/>
            <w:vAlign w:val="center"/>
          </w:tcPr>
          <w:p w:rsidR="00955300" w:rsidRPr="00940F72" w:rsidRDefault="00955300" w:rsidP="00406A95">
            <w:pPr>
              <w:pStyle w:val="TableText0"/>
              <w:jc w:val="center"/>
            </w:pPr>
            <w:r w:rsidRPr="00940F72">
              <w:t>Phase II, MC</w:t>
            </w:r>
          </w:p>
          <w:p w:rsidR="00955300" w:rsidRPr="00940F72" w:rsidRDefault="00955300" w:rsidP="00406A95">
            <w:pPr>
              <w:pStyle w:val="TableText0"/>
              <w:jc w:val="center"/>
            </w:pPr>
            <w:r w:rsidRPr="00940F72">
              <w:t>38.1 mths</w:t>
            </w:r>
          </w:p>
        </w:tc>
        <w:tc>
          <w:tcPr>
            <w:tcW w:w="621" w:type="pct"/>
            <w:shd w:val="clear" w:color="auto" w:fill="auto"/>
            <w:vAlign w:val="center"/>
          </w:tcPr>
          <w:p w:rsidR="00955300" w:rsidRPr="00940F72" w:rsidRDefault="00955300" w:rsidP="00406A95">
            <w:pPr>
              <w:pStyle w:val="TableText0"/>
              <w:jc w:val="center"/>
            </w:pPr>
            <w:r w:rsidRPr="00940F72">
              <w:t xml:space="preserve">Moderate </w:t>
            </w:r>
            <w:r w:rsidRPr="00940F72">
              <w:rPr>
                <w:vertAlign w:val="superscript"/>
              </w:rPr>
              <w:t>a</w:t>
            </w:r>
          </w:p>
        </w:tc>
        <w:tc>
          <w:tcPr>
            <w:tcW w:w="1345" w:type="pct"/>
            <w:shd w:val="clear" w:color="auto" w:fill="auto"/>
            <w:vAlign w:val="center"/>
          </w:tcPr>
          <w:p w:rsidR="00955300" w:rsidRPr="00940F72" w:rsidRDefault="00955300" w:rsidP="008153D6">
            <w:pPr>
              <w:pStyle w:val="TableText0"/>
              <w:numPr>
                <w:ilvl w:val="0"/>
                <w:numId w:val="10"/>
              </w:numPr>
              <w:ind w:left="113" w:hanging="113"/>
            </w:pPr>
            <w:r w:rsidRPr="00940F72">
              <w:t>One to five previous therapies</w:t>
            </w:r>
          </w:p>
          <w:p w:rsidR="00955300" w:rsidRPr="00940F72" w:rsidRDefault="00955300" w:rsidP="008153D6">
            <w:pPr>
              <w:pStyle w:val="TableText0"/>
              <w:numPr>
                <w:ilvl w:val="0"/>
                <w:numId w:val="10"/>
              </w:numPr>
              <w:ind w:left="113" w:hanging="113"/>
              <w:rPr>
                <w:szCs w:val="20"/>
              </w:rPr>
            </w:pPr>
            <w:r w:rsidRPr="00940F72">
              <w:t xml:space="preserve">ECOG </w:t>
            </w:r>
            <w:r w:rsidRPr="00940F72">
              <w:rPr>
                <w:szCs w:val="20"/>
              </w:rPr>
              <w:t>≤ 2</w:t>
            </w:r>
          </w:p>
          <w:p w:rsidR="00955300" w:rsidRPr="00940F72" w:rsidRDefault="00955300" w:rsidP="008153D6">
            <w:pPr>
              <w:pStyle w:val="TableText0"/>
              <w:numPr>
                <w:ilvl w:val="0"/>
                <w:numId w:val="10"/>
              </w:numPr>
              <w:ind w:left="113" w:hanging="113"/>
              <w:rPr>
                <w:szCs w:val="20"/>
              </w:rPr>
            </w:pPr>
            <w:r w:rsidRPr="00940F72">
              <w:rPr>
                <w:szCs w:val="20"/>
              </w:rPr>
              <w:t>Exclude pts with prior BTK treatment</w:t>
            </w:r>
          </w:p>
        </w:tc>
        <w:tc>
          <w:tcPr>
            <w:tcW w:w="1072" w:type="pct"/>
            <w:shd w:val="clear" w:color="auto" w:fill="auto"/>
            <w:vAlign w:val="center"/>
          </w:tcPr>
          <w:p w:rsidR="00955300" w:rsidRPr="00940F72" w:rsidRDefault="00955300" w:rsidP="00406A95">
            <w:pPr>
              <w:pStyle w:val="TableText0"/>
              <w:jc w:val="center"/>
            </w:pPr>
            <w:r w:rsidRPr="00940F72">
              <w:t>ORR, CR, DoR, PFS, OS, Time to response, HRQoL, AEs</w:t>
            </w:r>
          </w:p>
        </w:tc>
      </w:tr>
    </w:tbl>
    <w:p w:rsidR="00955300" w:rsidRPr="00940F72" w:rsidRDefault="00955300" w:rsidP="00406A95">
      <w:pPr>
        <w:pStyle w:val="TableFigureFooter"/>
        <w:keepNext/>
      </w:pPr>
      <w:r w:rsidRPr="00940F72">
        <w:t>n.r.=not reported; AEs = adverse events; BTK = Bruton’s tyrosine kinase; CR= complete response; DoR = duration of response; ECOG = Eastern Cooperative Oncology Group; HRQoL = health related quality of life; IBR = ibrutinib; Zanu=zanubrutinib; MC = multi-centre; MCL = mantle cell lymphoma; OL = open label; ORR = overall response rate; OS = overall survival; PFS = progression-free survival; R = randomised; R/R=relapsed or refractory; mths=months</w:t>
      </w:r>
      <w:r w:rsidR="005041CD" w:rsidRPr="00940F72">
        <w:t>; WM = Waldenström macroglobulinemia</w:t>
      </w:r>
      <w:r w:rsidRPr="00940F72">
        <w:t>.</w:t>
      </w:r>
    </w:p>
    <w:p w:rsidR="00955300" w:rsidRPr="00940F72" w:rsidRDefault="00955300" w:rsidP="00406A95">
      <w:pPr>
        <w:pStyle w:val="TableFigureFooter"/>
        <w:keepNext/>
        <w:rPr>
          <w:iCs/>
        </w:rPr>
      </w:pPr>
      <w:r w:rsidRPr="00940F72">
        <w:rPr>
          <w:iCs/>
          <w:vertAlign w:val="superscript"/>
        </w:rPr>
        <w:t>a</w:t>
      </w:r>
      <w:r w:rsidRPr="00940F72">
        <w:rPr>
          <w:iCs/>
        </w:rPr>
        <w:t xml:space="preserve"> The nonrandomised studies were incorrectly assessed using the Cochrane risk of bias tool in the submission, and the overall risk of bias was not stated. Use of the ROBINS-1 assessment tool is recommended in the PBAC guidelines. This tool was used as part of this evaluation.</w:t>
      </w:r>
    </w:p>
    <w:p w:rsidR="00DB659C" w:rsidRPr="00940F72" w:rsidRDefault="00DB659C" w:rsidP="00DB659C">
      <w:pPr>
        <w:pStyle w:val="TableFigureFooter"/>
      </w:pPr>
      <w:r w:rsidRPr="00940F72">
        <w:rPr>
          <w:vertAlign w:val="superscript"/>
        </w:rPr>
        <w:t>b</w:t>
      </w:r>
      <w:r w:rsidRPr="00940F72">
        <w:t xml:space="preserve"> Bias assessed as unclear in November 2017 PBAC meeting (see paragraph 6.11).</w:t>
      </w:r>
    </w:p>
    <w:p w:rsidR="00955300" w:rsidRPr="00940F72" w:rsidRDefault="00955300" w:rsidP="00406A95">
      <w:pPr>
        <w:pStyle w:val="TableFigureFooter"/>
        <w:keepNext/>
        <w:rPr>
          <w:iCs/>
        </w:rPr>
      </w:pPr>
      <w:r w:rsidRPr="00940F72">
        <w:rPr>
          <w:iCs/>
          <w:vertAlign w:val="superscript"/>
        </w:rPr>
        <w:t>b</w:t>
      </w:r>
      <w:r w:rsidRPr="00940F72">
        <w:rPr>
          <w:iCs/>
        </w:rPr>
        <w:t xml:space="preserve"> Bias assessed using the Cochrane Collaboration’s tool for assessing risk of bias.</w:t>
      </w:r>
    </w:p>
    <w:p w:rsidR="00955300" w:rsidRPr="00940F72" w:rsidRDefault="00955300" w:rsidP="00406A95">
      <w:pPr>
        <w:pStyle w:val="TableFigureFooter"/>
        <w:keepNext/>
      </w:pPr>
      <w:r w:rsidRPr="00940F72">
        <w:rPr>
          <w:iCs/>
          <w:vertAlign w:val="superscript"/>
        </w:rPr>
        <w:t xml:space="preserve">c </w:t>
      </w:r>
      <w:r w:rsidRPr="00940F72">
        <w:rPr>
          <w:iCs/>
        </w:rPr>
        <w:t>Source: Rule 2019: Rule, Simon, et al. "Ibrutinib for the treatment of relapsed/refractory mantle cell lymphoma: extended 3.5-year follow up from a pooled analysis." Haematologica 104.5 (2019): e211</w:t>
      </w:r>
      <w:r w:rsidRPr="00940F72">
        <w:t>.</w:t>
      </w:r>
    </w:p>
    <w:p w:rsidR="00955300" w:rsidRPr="00940F72" w:rsidRDefault="00955300" w:rsidP="00406A95">
      <w:pPr>
        <w:pStyle w:val="TableFigureFooter"/>
        <w:keepNext/>
        <w:rPr>
          <w:iCs/>
        </w:rPr>
      </w:pPr>
      <w:r w:rsidRPr="00940F72">
        <w:rPr>
          <w:iCs/>
        </w:rPr>
        <w:t>-The submission did not state the overall level of risk of bias for MCL-3001/RAY and ASPEN. Selection, detection, attrition, and reporting biases were assessed as low, whereas a moderate risk of bias was assigned for the performance bias in the submission.</w:t>
      </w:r>
    </w:p>
    <w:p w:rsidR="00955300" w:rsidRPr="00940F72" w:rsidRDefault="00955300" w:rsidP="00406A95">
      <w:pPr>
        <w:pStyle w:val="TableFigureFooter"/>
        <w:keepNext/>
        <w:rPr>
          <w:iCs/>
        </w:rPr>
      </w:pPr>
      <w:r w:rsidRPr="00940F72">
        <w:rPr>
          <w:iCs/>
        </w:rPr>
        <w:t>-</w:t>
      </w:r>
      <w:r w:rsidRPr="00940F72">
        <w:t xml:space="preserve"> </w:t>
      </w:r>
      <w:r w:rsidRPr="00940F72">
        <w:rPr>
          <w:iCs/>
        </w:rPr>
        <w:t>The</w:t>
      </w:r>
      <w:r w:rsidRPr="00940F72">
        <w:t xml:space="preserve"> </w:t>
      </w:r>
      <w:r w:rsidRPr="00940F72">
        <w:rPr>
          <w:iCs/>
        </w:rPr>
        <w:t>ASPEN trial was conducted in a different disease type at a lower recommended dose of ibrutinib (420mg).</w:t>
      </w:r>
    </w:p>
    <w:p w:rsidR="00955300" w:rsidRPr="00940F72" w:rsidRDefault="00955300" w:rsidP="00BC0C09">
      <w:pPr>
        <w:pStyle w:val="TableFigureFooter"/>
        <w:keepNext/>
      </w:pPr>
      <w:r w:rsidRPr="00940F72">
        <w:t>Source: Tables 2.6 to 2.13, pp42-50 of the submission; Table 2.15, 2.17, pp51, 54 of the submission; Tables 2.18 to 2.24, pp56-62 of the submission.</w:t>
      </w:r>
    </w:p>
    <w:p w:rsidR="00955300" w:rsidRPr="00940F72" w:rsidRDefault="0044073F" w:rsidP="00955300">
      <w:pPr>
        <w:pStyle w:val="3-BodyText"/>
        <w:rPr>
          <w:color w:val="0066FF"/>
        </w:rPr>
      </w:pPr>
      <w:bookmarkStart w:id="19" w:name="_Hlk71368628"/>
      <w:r w:rsidRPr="00940F72">
        <w:t>For the majority of studies</w:t>
      </w:r>
      <w:r w:rsidR="00B400A1" w:rsidRPr="00940F72">
        <w:t>,</w:t>
      </w:r>
      <w:r w:rsidRPr="00940F72">
        <w:t xml:space="preserve"> the</w:t>
      </w:r>
      <w:r w:rsidR="00B400A1" w:rsidRPr="00940F72">
        <w:t xml:space="preserve"> </w:t>
      </w:r>
      <w:r w:rsidRPr="00940F72">
        <w:t>s</w:t>
      </w:r>
      <w:r w:rsidR="00955300" w:rsidRPr="00940F72">
        <w:t>election, detection, attrition, and reporting biases were assessed as low, whereas a moderate risk of bias was assigned for the performance bias</w:t>
      </w:r>
      <w:bookmarkEnd w:id="19"/>
      <w:r w:rsidR="00955300" w:rsidRPr="00940F72">
        <w:t xml:space="preserve"> in the submission</w:t>
      </w:r>
      <w:r w:rsidR="00DB1AA9" w:rsidRPr="00940F72">
        <w:t xml:space="preserve">. </w:t>
      </w:r>
      <w:r w:rsidRPr="00940F72">
        <w:t>The submission did not state the overall level of risk of bias for MCL-3001/RAY and ASPEN.</w:t>
      </w:r>
    </w:p>
    <w:p w:rsidR="00955300" w:rsidRPr="00940F72" w:rsidRDefault="00955300" w:rsidP="00955300">
      <w:pPr>
        <w:pStyle w:val="3-BodyText"/>
        <w:rPr>
          <w:color w:val="0066FF"/>
        </w:rPr>
      </w:pPr>
      <w:bookmarkStart w:id="20" w:name="_Hlk71364233"/>
      <w:r w:rsidRPr="00940F72">
        <w:t xml:space="preserve">The MCL-3001/RAY trial was included in November 2016, November 2017, and March 2018 PBAC submissions for ibrutinib as a treatment for R/R MCL. At the November 2017 PBAC meeting, the risk of bias in MCL-3001 was reported as unclear due to the open-label nature of the trial and the large differences in patient discontinuations between the trial arms due to </w:t>
      </w:r>
      <w:r w:rsidR="00984D66" w:rsidRPr="00940F72">
        <w:t>AEs</w:t>
      </w:r>
      <w:r w:rsidRPr="00940F72">
        <w:t xml:space="preserve"> and refusing treatment (paragraph 6.10, ibrutinib</w:t>
      </w:r>
      <w:r w:rsidR="00DF2C56">
        <w:t xml:space="preserve"> PSD</w:t>
      </w:r>
      <w:r w:rsidRPr="00940F72">
        <w:t>, November 2017 PBAC Meeting)</w:t>
      </w:r>
      <w:bookmarkEnd w:id="20"/>
      <w:r w:rsidRPr="00940F72">
        <w:t>.</w:t>
      </w:r>
    </w:p>
    <w:p w:rsidR="00C47852" w:rsidRPr="00940F72" w:rsidRDefault="00955300" w:rsidP="00955300">
      <w:pPr>
        <w:pStyle w:val="3-BodyText"/>
        <w:rPr>
          <w:color w:val="0066FF"/>
        </w:rPr>
      </w:pPr>
      <w:r w:rsidRPr="00940F72">
        <w:rPr>
          <w:iCs/>
        </w:rPr>
        <w:t>The non</w:t>
      </w:r>
      <w:r w:rsidR="006555C9" w:rsidRPr="00940F72">
        <w:rPr>
          <w:iCs/>
        </w:rPr>
        <w:t>-</w:t>
      </w:r>
      <w:r w:rsidRPr="00940F72">
        <w:rPr>
          <w:iCs/>
        </w:rPr>
        <w:t xml:space="preserve">randomised studies were incorrectly assessed using the Cochrane risk of bias tool in the submission, </w:t>
      </w:r>
      <w:bookmarkStart w:id="21" w:name="_Hlk71363851"/>
      <w:r w:rsidRPr="00940F72">
        <w:rPr>
          <w:iCs/>
        </w:rPr>
        <w:t>and the overall risk of bias wa</w:t>
      </w:r>
      <w:r w:rsidR="006555C9" w:rsidRPr="00940F72">
        <w:rPr>
          <w:iCs/>
        </w:rPr>
        <w:t>s not stated. Use of the ROBINS</w:t>
      </w:r>
      <w:r w:rsidR="006555C9" w:rsidRPr="00940F72">
        <w:rPr>
          <w:iCs/>
        </w:rPr>
        <w:noBreakHyphen/>
      </w:r>
      <w:r w:rsidRPr="00940F72">
        <w:rPr>
          <w:iCs/>
        </w:rPr>
        <w:t>1 assessment t</w:t>
      </w:r>
      <w:r w:rsidR="006555C9" w:rsidRPr="00940F72">
        <w:rPr>
          <w:iCs/>
        </w:rPr>
        <w:t>ool is recommended in the PBAC G</w:t>
      </w:r>
      <w:r w:rsidRPr="00940F72">
        <w:rPr>
          <w:iCs/>
        </w:rPr>
        <w:t>uidelines</w:t>
      </w:r>
      <w:r w:rsidR="006555C9" w:rsidRPr="00940F72">
        <w:rPr>
          <w:iCs/>
        </w:rPr>
        <w:t xml:space="preserve"> v5.0</w:t>
      </w:r>
      <w:r w:rsidRPr="00940F72">
        <w:t xml:space="preserve">. </w:t>
      </w:r>
      <w:r w:rsidRPr="00940F72">
        <w:rPr>
          <w:iCs/>
        </w:rPr>
        <w:t>This tool was used as part of th</w:t>
      </w:r>
      <w:r w:rsidR="001E49BB" w:rsidRPr="00940F72">
        <w:rPr>
          <w:iCs/>
        </w:rPr>
        <w:t>e</w:t>
      </w:r>
      <w:r w:rsidRPr="00940F72">
        <w:rPr>
          <w:iCs/>
        </w:rPr>
        <w:t xml:space="preserve"> evaluation</w:t>
      </w:r>
      <w:bookmarkEnd w:id="21"/>
      <w:r w:rsidRPr="00940F72">
        <w:rPr>
          <w:iCs/>
        </w:rPr>
        <w:t>.</w:t>
      </w:r>
      <w:r w:rsidR="0082630B" w:rsidRPr="00940F72">
        <w:rPr>
          <w:iCs/>
        </w:rPr>
        <w:t xml:space="preserve"> </w:t>
      </w:r>
    </w:p>
    <w:p w:rsidR="00DF69D8" w:rsidRPr="00940F72" w:rsidRDefault="00064948" w:rsidP="00775C53">
      <w:pPr>
        <w:pStyle w:val="3-BodyText"/>
        <w:rPr>
          <w:iCs/>
          <w:color w:val="0066FF"/>
        </w:rPr>
      </w:pPr>
      <w:bookmarkStart w:id="22" w:name="_Hlk71363767"/>
      <w:r w:rsidRPr="00940F72">
        <w:rPr>
          <w:iCs/>
        </w:rPr>
        <w:t>A</w:t>
      </w:r>
      <w:r w:rsidR="00955300" w:rsidRPr="00940F72">
        <w:rPr>
          <w:iCs/>
        </w:rPr>
        <w:t>s unblinded single-arm studies, the</w:t>
      </w:r>
      <w:r w:rsidRPr="00940F72">
        <w:rPr>
          <w:iCs/>
        </w:rPr>
        <w:t xml:space="preserve"> included trials</w:t>
      </w:r>
      <w:r w:rsidR="00955300" w:rsidRPr="00940F72">
        <w:rPr>
          <w:iCs/>
        </w:rPr>
        <w:t xml:space="preserve"> cannot be considered comparable to a well-performed randomised trial due to unobserved confounders. The risk of bias was considered to be moderate for the non</w:t>
      </w:r>
      <w:r w:rsidR="006555C9" w:rsidRPr="00940F72">
        <w:rPr>
          <w:iCs/>
        </w:rPr>
        <w:t>-</w:t>
      </w:r>
      <w:r w:rsidR="00955300" w:rsidRPr="00940F72">
        <w:rPr>
          <w:iCs/>
        </w:rPr>
        <w:t>randomised studies</w:t>
      </w:r>
      <w:bookmarkEnd w:id="22"/>
      <w:r w:rsidR="00955300" w:rsidRPr="00940F72">
        <w:rPr>
          <w:iCs/>
        </w:rPr>
        <w:t xml:space="preserve"> because, as single</w:t>
      </w:r>
      <w:r w:rsidR="00FC7386" w:rsidRPr="00940F72">
        <w:rPr>
          <w:iCs/>
        </w:rPr>
        <w:t>-</w:t>
      </w:r>
      <w:r w:rsidR="00955300" w:rsidRPr="00940F72">
        <w:rPr>
          <w:iCs/>
        </w:rPr>
        <w:t>arm studies, it is not possible to determine if the results are due to the intervention or baseline prognostic variables.</w:t>
      </w:r>
      <w:r w:rsidR="00775C53" w:rsidRPr="00940F72">
        <w:t xml:space="preserve"> </w:t>
      </w:r>
    </w:p>
    <w:p w:rsidR="00955300" w:rsidRPr="00940F72" w:rsidRDefault="00955300" w:rsidP="00775C53">
      <w:pPr>
        <w:pStyle w:val="3-BodyText"/>
        <w:rPr>
          <w:iCs/>
          <w:color w:val="0066FF"/>
        </w:rPr>
      </w:pPr>
      <w:r w:rsidRPr="00940F72">
        <w:rPr>
          <w:iCs/>
        </w:rPr>
        <w:t xml:space="preserve">The included studies differed in terms of inclusion/exclusion criteria, baseline disease characteristics and duration of treatment. </w:t>
      </w:r>
      <w:r w:rsidR="00C11D4D" w:rsidRPr="00940F72">
        <w:rPr>
          <w:iCs/>
        </w:rPr>
        <w:t>The evaluation considered that t</w:t>
      </w:r>
      <w:r w:rsidRPr="00940F72">
        <w:rPr>
          <w:iCs/>
        </w:rPr>
        <w:t>hese differences may confound the results of the naïve comparisons. In particular:</w:t>
      </w:r>
    </w:p>
    <w:p w:rsidR="00955300" w:rsidRPr="00940F72" w:rsidRDefault="00955300" w:rsidP="001E49BB">
      <w:pPr>
        <w:pStyle w:val="ListParagraph"/>
      </w:pPr>
      <w:r w:rsidRPr="00940F72">
        <w:t xml:space="preserve">ECOG status was limited to </w:t>
      </w:r>
      <w:r w:rsidRPr="00940F72">
        <w:rPr>
          <w:rFonts w:cs="Calibri"/>
        </w:rPr>
        <w:t>≤</w:t>
      </w:r>
      <w:r w:rsidRPr="00940F72">
        <w:t xml:space="preserve">1 in </w:t>
      </w:r>
      <w:r w:rsidR="0044073F" w:rsidRPr="00940F72">
        <w:t xml:space="preserve">two of </w:t>
      </w:r>
      <w:r w:rsidRPr="00940F72">
        <w:t xml:space="preserve">the </w:t>
      </w:r>
      <w:r w:rsidR="0044073F" w:rsidRPr="00940F72">
        <w:t xml:space="preserve">four </w:t>
      </w:r>
      <w:r w:rsidRPr="00940F72">
        <w:t xml:space="preserve">ibrutinib studies (MCL-3001/RAY and MCL-2002) but </w:t>
      </w:r>
      <w:r w:rsidRPr="00940F72">
        <w:rPr>
          <w:rFonts w:cs="Calibri"/>
        </w:rPr>
        <w:t>≤</w:t>
      </w:r>
      <w:r w:rsidRPr="00940F72">
        <w:t>2 in the zanubrutinib studies (Study 206 and Study AU-003)</w:t>
      </w:r>
      <w:r w:rsidR="001E49BB" w:rsidRPr="00940F72">
        <w:t xml:space="preserve">; the requested listing specifies </w:t>
      </w:r>
      <w:r w:rsidR="001E49BB" w:rsidRPr="00940F72">
        <w:rPr>
          <w:iCs/>
        </w:rPr>
        <w:t>a WHO performance status of 0 or 1</w:t>
      </w:r>
      <w:r w:rsidR="00DB1AA9" w:rsidRPr="00940F72">
        <w:t xml:space="preserve">. </w:t>
      </w:r>
    </w:p>
    <w:p w:rsidR="00955300" w:rsidRPr="00940F72" w:rsidRDefault="00955300" w:rsidP="00DF4B29">
      <w:pPr>
        <w:pStyle w:val="ListParagraph"/>
        <w:rPr>
          <w:iCs/>
        </w:rPr>
      </w:pPr>
      <w:r w:rsidRPr="00940F72">
        <w:rPr>
          <w:iCs/>
        </w:rPr>
        <w:t xml:space="preserve">The diagnostic criteria in Study 206 involved </w:t>
      </w:r>
      <w:r w:rsidR="00FC7386" w:rsidRPr="00940F72">
        <w:rPr>
          <w:iCs/>
        </w:rPr>
        <w:t>using</w:t>
      </w:r>
      <w:r w:rsidRPr="00940F72">
        <w:rPr>
          <w:iCs/>
        </w:rPr>
        <w:t xml:space="preserve"> advanced imaging modalities such as positron emission tomography, which can potentially increase the number of patients with a complete response, and to a lesser extent</w:t>
      </w:r>
      <w:r w:rsidR="008B0A56" w:rsidRPr="00940F72">
        <w:rPr>
          <w:iCs/>
        </w:rPr>
        <w:t xml:space="preserve"> objective response rate</w:t>
      </w:r>
      <w:r w:rsidRPr="00940F72">
        <w:rPr>
          <w:iCs/>
        </w:rPr>
        <w:t>. Positron emission tomography was used only in Study 206.</w:t>
      </w:r>
    </w:p>
    <w:p w:rsidR="00955300" w:rsidRPr="00940F72" w:rsidRDefault="00955300" w:rsidP="00DF4B29">
      <w:pPr>
        <w:pStyle w:val="ListParagraph"/>
        <w:rPr>
          <w:iCs/>
        </w:rPr>
      </w:pPr>
      <w:r w:rsidRPr="00940F72">
        <w:rPr>
          <w:iCs/>
        </w:rPr>
        <w:t>Study 206 had slightly younger patients (60.5 years, median age) than the other studies (median age range, 67.5 to 72 years).</w:t>
      </w:r>
    </w:p>
    <w:p w:rsidR="00955300" w:rsidRPr="00940F72" w:rsidRDefault="00955300" w:rsidP="00DF4B29">
      <w:pPr>
        <w:pStyle w:val="ListParagraph"/>
        <w:rPr>
          <w:iCs/>
        </w:rPr>
      </w:pPr>
      <w:r w:rsidRPr="00940F72">
        <w:rPr>
          <w:iCs/>
        </w:rPr>
        <w:t>The median duration of treatment with zanubrutinib (Study 206: 17.75 months and Study AU-003: 15.41 months) was longer than with the ibrutinib studies (PCYC-1104: 8.3 months; SPARK: 8.0 months; RAY: 14.4 months; pooled: 11.1 months).</w:t>
      </w:r>
    </w:p>
    <w:p w:rsidR="00955300" w:rsidRPr="00940F72" w:rsidRDefault="00955300" w:rsidP="00DF4B29">
      <w:pPr>
        <w:pStyle w:val="ListParagraph"/>
        <w:rPr>
          <w:iCs/>
        </w:rPr>
      </w:pPr>
      <w:r w:rsidRPr="00940F72">
        <w:rPr>
          <w:iCs/>
        </w:rPr>
        <w:t xml:space="preserve">Study 206 was conducted exclusively in Chinese patients, and mainly </w:t>
      </w:r>
      <w:r w:rsidR="00CB20E8">
        <w:rPr>
          <w:iCs/>
        </w:rPr>
        <w:t xml:space="preserve">Caucasian </w:t>
      </w:r>
      <w:r w:rsidRPr="00940F72">
        <w:rPr>
          <w:iCs/>
        </w:rPr>
        <w:t>patients were recruited in the ASPEN trial.</w:t>
      </w:r>
    </w:p>
    <w:p w:rsidR="00955300" w:rsidRPr="00940F72" w:rsidRDefault="00955300" w:rsidP="00DF4B29">
      <w:pPr>
        <w:pStyle w:val="ListParagraph"/>
        <w:rPr>
          <w:iCs/>
        </w:rPr>
      </w:pPr>
      <w:r w:rsidRPr="00940F72">
        <w:rPr>
          <w:iCs/>
        </w:rPr>
        <w:t xml:space="preserve">The patient baseline characteristics also varied among the studies in terms of prior stem cell transplant rates, extranodal disease, and </w:t>
      </w:r>
      <w:r w:rsidR="00FC7386" w:rsidRPr="00940F72">
        <w:rPr>
          <w:iCs/>
        </w:rPr>
        <w:t xml:space="preserve">the </w:t>
      </w:r>
      <w:r w:rsidRPr="00940F72">
        <w:rPr>
          <w:iCs/>
        </w:rPr>
        <w:t xml:space="preserve">number of prior therapies. However, as shown in Table </w:t>
      </w:r>
      <w:r w:rsidR="005A7831" w:rsidRPr="00940F72">
        <w:rPr>
          <w:iCs/>
        </w:rPr>
        <w:t xml:space="preserve">6 </w:t>
      </w:r>
      <w:r w:rsidRPr="00940F72">
        <w:rPr>
          <w:iCs/>
        </w:rPr>
        <w:t>below, most clinically significant differences, except disease measurement and race, were adjusted for in the MAIC analysis.</w:t>
      </w:r>
    </w:p>
    <w:p w:rsidR="006555C9" w:rsidRPr="00940F72" w:rsidRDefault="00955300" w:rsidP="009311AC">
      <w:pPr>
        <w:pStyle w:val="ListParagraph"/>
      </w:pPr>
      <w:r w:rsidRPr="00940F72">
        <w:t xml:space="preserve">Furthermore, there may be unobserved confounders. </w:t>
      </w:r>
      <w:r w:rsidR="006555C9" w:rsidRPr="00940F72">
        <w:t>Whilst acknowledging the risk of bias in non-randomised studies, the PSCR noted that both single-arm studies were conducted at multiple-centres, with Study AU-003 conducted globally with a large contribution of centres in Australia. The PSCR also stated that results were consistent between the studies, with a similar overall response rate and median duration of response. Further, the PSCR highlighted the similarities between zanubrutinib and ibrutinib trials in terms of trial design and execution, median follow-up, consistency of dosing and the broad similarities across the baseline characteristics of study participants.</w:t>
      </w:r>
    </w:p>
    <w:p w:rsidR="00ED42AB" w:rsidRPr="00940F72" w:rsidRDefault="00ED42AB" w:rsidP="00ED42AB">
      <w:pPr>
        <w:pStyle w:val="3-BodyText"/>
      </w:pPr>
      <w:r w:rsidRPr="00940F72">
        <w:t>The ESC considered there is potential for historical bias because the ibrutinib trials were conducted earlier than the zanubrutinib trial, and post-progression treatments were likely different.</w:t>
      </w:r>
    </w:p>
    <w:p w:rsidR="00955300" w:rsidRPr="00940F72" w:rsidRDefault="00955300" w:rsidP="00ED42AB">
      <w:pPr>
        <w:pStyle w:val="3-BodyText"/>
      </w:pPr>
      <w:r w:rsidRPr="00940F72">
        <w:rPr>
          <w:color w:val="000000" w:themeColor="text1"/>
        </w:rPr>
        <w:t>Non</w:t>
      </w:r>
      <w:r w:rsidR="00556D85" w:rsidRPr="00940F72">
        <w:rPr>
          <w:color w:val="000000" w:themeColor="text1"/>
        </w:rPr>
        <w:t>-</w:t>
      </w:r>
      <w:r w:rsidRPr="00940F72">
        <w:rPr>
          <w:color w:val="000000" w:themeColor="text1"/>
        </w:rPr>
        <w:t xml:space="preserve">inferiority margins for ORR, </w:t>
      </w:r>
      <w:r w:rsidR="008B0A56" w:rsidRPr="00940F72">
        <w:rPr>
          <w:color w:val="000000" w:themeColor="text1"/>
        </w:rPr>
        <w:t>progression-free survival (</w:t>
      </w:r>
      <w:r w:rsidRPr="00940F72">
        <w:rPr>
          <w:color w:val="000000" w:themeColor="text1"/>
        </w:rPr>
        <w:t>PFS</w:t>
      </w:r>
      <w:r w:rsidR="008B0A56" w:rsidRPr="00940F72">
        <w:rPr>
          <w:color w:val="000000" w:themeColor="text1"/>
        </w:rPr>
        <w:t>)</w:t>
      </w:r>
      <w:r w:rsidRPr="00940F72">
        <w:rPr>
          <w:color w:val="000000" w:themeColor="text1"/>
        </w:rPr>
        <w:t xml:space="preserve"> and </w:t>
      </w:r>
      <w:r w:rsidR="008B0A56" w:rsidRPr="00940F72">
        <w:rPr>
          <w:color w:val="000000" w:themeColor="text1"/>
        </w:rPr>
        <w:t>overall survival (</w:t>
      </w:r>
      <w:r w:rsidRPr="00940F72">
        <w:rPr>
          <w:color w:val="000000" w:themeColor="text1"/>
        </w:rPr>
        <w:t>OS</w:t>
      </w:r>
      <w:r w:rsidR="008B0A56" w:rsidRPr="00940F72">
        <w:rPr>
          <w:color w:val="000000" w:themeColor="text1"/>
        </w:rPr>
        <w:t>)</w:t>
      </w:r>
      <w:r w:rsidRPr="00940F72">
        <w:rPr>
          <w:color w:val="000000" w:themeColor="text1"/>
        </w:rPr>
        <w:t xml:space="preserve"> were not nominated. </w:t>
      </w:r>
    </w:p>
    <w:p w:rsidR="00955300" w:rsidRPr="00940F72" w:rsidRDefault="00955300" w:rsidP="00955300">
      <w:pPr>
        <w:pStyle w:val="4-SubsectionHeading"/>
      </w:pPr>
      <w:bookmarkStart w:id="23" w:name="_Toc22897641"/>
      <w:bookmarkStart w:id="24" w:name="_Toc22898853"/>
      <w:bookmarkStart w:id="25" w:name="_Toc72318701"/>
      <w:r w:rsidRPr="00940F72">
        <w:t>Comparative effectiveness</w:t>
      </w:r>
      <w:bookmarkEnd w:id="23"/>
      <w:bookmarkEnd w:id="24"/>
      <w:bookmarkEnd w:id="25"/>
    </w:p>
    <w:p w:rsidR="00955300" w:rsidRPr="00940F72" w:rsidRDefault="00955300" w:rsidP="00955300">
      <w:pPr>
        <w:pStyle w:val="5-SubsectionSubheading"/>
      </w:pPr>
      <w:bookmarkStart w:id="26" w:name="_Toc72318702"/>
      <w:r w:rsidRPr="00940F72">
        <w:t>Whole Trial Population</w:t>
      </w:r>
      <w:bookmarkEnd w:id="26"/>
    </w:p>
    <w:p w:rsidR="00955300" w:rsidRPr="00940F72" w:rsidRDefault="00955300" w:rsidP="00B815A0">
      <w:pPr>
        <w:pStyle w:val="3-BodyText"/>
        <w:widowControl w:val="0"/>
      </w:pPr>
      <w:r w:rsidRPr="00940F72">
        <w:t xml:space="preserve">Table </w:t>
      </w:r>
      <w:r w:rsidR="00053418" w:rsidRPr="00940F72">
        <w:t>4</w:t>
      </w:r>
      <w:r w:rsidR="00361356" w:rsidRPr="00940F72">
        <w:t xml:space="preserve"> presents the ORR,</w:t>
      </w:r>
      <w:r w:rsidRPr="00940F72">
        <w:t xml:space="preserve"> </w:t>
      </w:r>
      <w:r w:rsidR="00361356" w:rsidRPr="00940F72">
        <w:t>complete response (</w:t>
      </w:r>
      <w:r w:rsidRPr="00940F72">
        <w:t>CR</w:t>
      </w:r>
      <w:r w:rsidR="00361356" w:rsidRPr="00940F72">
        <w:t>)</w:t>
      </w:r>
      <w:r w:rsidRPr="00940F72">
        <w:t xml:space="preserve">, </w:t>
      </w:r>
      <w:r w:rsidRPr="00940F72">
        <w:rPr>
          <w:snapToGrid/>
        </w:rPr>
        <w:t>PFS, and OS reported for the whole trial population for each study.</w:t>
      </w:r>
    </w:p>
    <w:p w:rsidR="00865B1E" w:rsidRPr="00940F72" w:rsidRDefault="00865B1E">
      <w:pPr>
        <w:jc w:val="left"/>
      </w:pPr>
      <w:r w:rsidRPr="00940F72">
        <w:br w:type="page"/>
      </w:r>
    </w:p>
    <w:p w:rsidR="0093233A" w:rsidRPr="00940F72" w:rsidRDefault="0093233A" w:rsidP="00B815A0">
      <w:pPr>
        <w:pStyle w:val="TableFigureHeading"/>
        <w:keepNext w:val="0"/>
        <w:widowControl w:val="0"/>
      </w:pPr>
      <w:bookmarkStart w:id="27" w:name="_Hlk72245715"/>
      <w:r w:rsidRPr="00940F72">
        <w:t xml:space="preserve">Table </w:t>
      </w:r>
      <w:r w:rsidR="00053418" w:rsidRPr="00940F72">
        <w:t>4</w:t>
      </w:r>
      <w:r w:rsidRPr="00940F72">
        <w:t>: Results for ORR, CR, PFS and OS across the studies</w:t>
      </w:r>
    </w:p>
    <w:tbl>
      <w:tblPr>
        <w:tblStyle w:val="Sourcetable1"/>
        <w:tblpPr w:leftFromText="180" w:rightFromText="180" w:vertAnchor="text" w:tblpY="1"/>
        <w:tblOverlap w:val="never"/>
        <w:tblW w:w="5006" w:type="pct"/>
        <w:tblLayout w:type="fixed"/>
        <w:tblLook w:val="04A0" w:firstRow="1" w:lastRow="0" w:firstColumn="1" w:lastColumn="0" w:noHBand="0" w:noVBand="1"/>
        <w:tblCaption w:val="Table 4: Results for ORR, CR, PFS and OS across the studies"/>
      </w:tblPr>
      <w:tblGrid>
        <w:gridCol w:w="1415"/>
        <w:gridCol w:w="989"/>
        <w:gridCol w:w="1015"/>
        <w:gridCol w:w="1114"/>
        <w:gridCol w:w="1134"/>
        <w:gridCol w:w="1136"/>
        <w:gridCol w:w="995"/>
        <w:gridCol w:w="1230"/>
      </w:tblGrid>
      <w:tr w:rsidR="00955300" w:rsidRPr="00940F72" w:rsidTr="0009553F">
        <w:trPr>
          <w:cantSplit/>
          <w:tblHeader/>
        </w:trPr>
        <w:tc>
          <w:tcPr>
            <w:tcW w:w="784" w:type="pct"/>
          </w:tcPr>
          <w:p w:rsidR="00955300" w:rsidRPr="00940F72" w:rsidRDefault="00955300" w:rsidP="00B815A0">
            <w:pPr>
              <w:pStyle w:val="In-tableHeading"/>
              <w:keepNext w:val="0"/>
              <w:widowControl w:val="0"/>
              <w:rPr>
                <w:lang w:val="en-AU"/>
              </w:rPr>
            </w:pPr>
            <w:r w:rsidRPr="00940F72">
              <w:rPr>
                <w:lang w:val="en-AU"/>
              </w:rPr>
              <w:t>Trial/study ID</w:t>
            </w:r>
          </w:p>
        </w:tc>
        <w:tc>
          <w:tcPr>
            <w:tcW w:w="1110" w:type="pct"/>
            <w:gridSpan w:val="2"/>
          </w:tcPr>
          <w:p w:rsidR="00955300" w:rsidRPr="00940F72" w:rsidRDefault="00955300" w:rsidP="00B815A0">
            <w:pPr>
              <w:pStyle w:val="TableHeading0"/>
              <w:keepNext w:val="0"/>
              <w:keepLines w:val="0"/>
              <w:widowControl w:val="0"/>
              <w:spacing w:after="0"/>
              <w:jc w:val="center"/>
              <w:rPr>
                <w:lang w:val="en-AU"/>
              </w:rPr>
            </w:pPr>
            <w:r w:rsidRPr="00940F72">
              <w:rPr>
                <w:lang w:val="en-AU"/>
              </w:rPr>
              <w:t>Zanubrutinib</w:t>
            </w:r>
          </w:p>
        </w:tc>
        <w:tc>
          <w:tcPr>
            <w:tcW w:w="3106" w:type="pct"/>
            <w:gridSpan w:val="5"/>
          </w:tcPr>
          <w:p w:rsidR="00955300" w:rsidRPr="00940F72" w:rsidRDefault="00955300" w:rsidP="00B815A0">
            <w:pPr>
              <w:pStyle w:val="TableHeading0"/>
              <w:keepNext w:val="0"/>
              <w:keepLines w:val="0"/>
              <w:widowControl w:val="0"/>
              <w:spacing w:after="0"/>
              <w:jc w:val="center"/>
              <w:rPr>
                <w:lang w:val="en-AU"/>
              </w:rPr>
            </w:pPr>
            <w:r w:rsidRPr="00940F72">
              <w:rPr>
                <w:lang w:val="en-AU"/>
              </w:rPr>
              <w:t>Ibrutinib</w:t>
            </w:r>
          </w:p>
        </w:tc>
      </w:tr>
      <w:tr w:rsidR="00955300" w:rsidRPr="00940F72" w:rsidTr="0009553F">
        <w:trPr>
          <w:cantSplit/>
        </w:trPr>
        <w:tc>
          <w:tcPr>
            <w:tcW w:w="784" w:type="pct"/>
          </w:tcPr>
          <w:p w:rsidR="00955300" w:rsidRPr="00940F72" w:rsidRDefault="00955300" w:rsidP="00B815A0">
            <w:pPr>
              <w:pStyle w:val="In-tableHeading"/>
              <w:keepNext w:val="0"/>
              <w:widowControl w:val="0"/>
              <w:rPr>
                <w:lang w:val="en-AU"/>
              </w:rPr>
            </w:pPr>
          </w:p>
        </w:tc>
        <w:tc>
          <w:tcPr>
            <w:tcW w:w="548"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Study</w:t>
            </w:r>
          </w:p>
          <w:p w:rsidR="00955300" w:rsidRPr="00940F72" w:rsidRDefault="00955300" w:rsidP="00B815A0">
            <w:pPr>
              <w:pStyle w:val="TableHeading0"/>
              <w:keepNext w:val="0"/>
              <w:keepLines w:val="0"/>
              <w:widowControl w:val="0"/>
              <w:spacing w:after="0"/>
              <w:jc w:val="center"/>
              <w:rPr>
                <w:lang w:val="en-AU"/>
              </w:rPr>
            </w:pPr>
            <w:r w:rsidRPr="00940F72">
              <w:rPr>
                <w:lang w:val="en-AU"/>
              </w:rPr>
              <w:t>AU-003</w:t>
            </w:r>
          </w:p>
        </w:tc>
        <w:tc>
          <w:tcPr>
            <w:tcW w:w="562"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Study 206</w:t>
            </w:r>
          </w:p>
        </w:tc>
        <w:tc>
          <w:tcPr>
            <w:tcW w:w="617"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MCL-3001/RAY</w:t>
            </w:r>
          </w:p>
        </w:tc>
        <w:tc>
          <w:tcPr>
            <w:tcW w:w="628"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PCYC-1104</w:t>
            </w:r>
          </w:p>
        </w:tc>
        <w:tc>
          <w:tcPr>
            <w:tcW w:w="629"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MCL-2001/ SPARK</w:t>
            </w:r>
          </w:p>
        </w:tc>
        <w:tc>
          <w:tcPr>
            <w:tcW w:w="551"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MCL-2002</w:t>
            </w:r>
          </w:p>
        </w:tc>
        <w:tc>
          <w:tcPr>
            <w:tcW w:w="681" w:type="pct"/>
          </w:tcPr>
          <w:p w:rsidR="00955300" w:rsidRPr="00940F72" w:rsidRDefault="00955300" w:rsidP="00B815A0">
            <w:pPr>
              <w:pStyle w:val="TableHeading0"/>
              <w:keepNext w:val="0"/>
              <w:keepLines w:val="0"/>
              <w:widowControl w:val="0"/>
              <w:spacing w:after="0"/>
              <w:jc w:val="center"/>
              <w:rPr>
                <w:lang w:val="en-AU"/>
              </w:rPr>
            </w:pPr>
            <w:r w:rsidRPr="00940F72">
              <w:rPr>
                <w:lang w:val="en-AU"/>
              </w:rPr>
              <w:t xml:space="preserve">Pooled Ibrutinib studies (incl. MCL-2002) </w:t>
            </w:r>
            <w:r w:rsidRPr="00940F72">
              <w:rPr>
                <w:vertAlign w:val="superscript"/>
                <w:lang w:val="en-AU"/>
              </w:rPr>
              <w:t>a</w:t>
            </w:r>
          </w:p>
        </w:tc>
      </w:tr>
      <w:tr w:rsidR="00955300" w:rsidRPr="00940F72" w:rsidTr="0009553F">
        <w:trPr>
          <w:cantSplit/>
        </w:trPr>
        <w:tc>
          <w:tcPr>
            <w:tcW w:w="784" w:type="pct"/>
          </w:tcPr>
          <w:p w:rsidR="00955300" w:rsidRPr="00940F72" w:rsidRDefault="00955300" w:rsidP="00B815A0">
            <w:pPr>
              <w:pStyle w:val="In-tableHeading"/>
              <w:keepNext w:val="0"/>
              <w:widowControl w:val="0"/>
              <w:rPr>
                <w:b w:val="0"/>
                <w:bCs/>
                <w:lang w:val="en-AU"/>
              </w:rPr>
            </w:pPr>
            <w:r w:rsidRPr="00940F72">
              <w:rPr>
                <w:b w:val="0"/>
                <w:bCs/>
                <w:lang w:val="en-AU"/>
              </w:rPr>
              <w:t>N</w:t>
            </w:r>
          </w:p>
        </w:tc>
        <w:tc>
          <w:tcPr>
            <w:tcW w:w="548" w:type="pct"/>
          </w:tcPr>
          <w:p w:rsidR="00955300" w:rsidRPr="00940F72" w:rsidRDefault="00955300" w:rsidP="00B815A0">
            <w:pPr>
              <w:pStyle w:val="In-tableHeading"/>
              <w:keepNext w:val="0"/>
              <w:widowControl w:val="0"/>
              <w:jc w:val="center"/>
              <w:rPr>
                <w:b w:val="0"/>
                <w:bCs/>
                <w:lang w:val="en-AU"/>
              </w:rPr>
            </w:pPr>
            <w:r w:rsidRPr="00940F72">
              <w:rPr>
                <w:b w:val="0"/>
                <w:bCs/>
                <w:lang w:val="en-AU"/>
              </w:rPr>
              <w:t>37</w:t>
            </w:r>
          </w:p>
        </w:tc>
        <w:tc>
          <w:tcPr>
            <w:tcW w:w="562" w:type="pct"/>
          </w:tcPr>
          <w:p w:rsidR="00955300" w:rsidRPr="00940F72" w:rsidRDefault="00955300" w:rsidP="00B815A0">
            <w:pPr>
              <w:pStyle w:val="In-tableHeading"/>
              <w:keepNext w:val="0"/>
              <w:widowControl w:val="0"/>
              <w:jc w:val="center"/>
              <w:rPr>
                <w:b w:val="0"/>
                <w:bCs/>
                <w:lang w:val="en-AU"/>
              </w:rPr>
            </w:pPr>
            <w:r w:rsidRPr="00940F72">
              <w:rPr>
                <w:b w:val="0"/>
                <w:bCs/>
                <w:lang w:val="en-AU"/>
              </w:rPr>
              <w:t>86</w:t>
            </w:r>
          </w:p>
        </w:tc>
        <w:tc>
          <w:tcPr>
            <w:tcW w:w="617" w:type="pct"/>
          </w:tcPr>
          <w:p w:rsidR="00955300" w:rsidRPr="00940F72" w:rsidRDefault="00955300" w:rsidP="00B815A0">
            <w:pPr>
              <w:pStyle w:val="In-tableHeading"/>
              <w:keepNext w:val="0"/>
              <w:widowControl w:val="0"/>
              <w:jc w:val="center"/>
              <w:rPr>
                <w:b w:val="0"/>
                <w:bCs/>
                <w:lang w:val="en-AU"/>
              </w:rPr>
            </w:pPr>
            <w:r w:rsidRPr="00940F72">
              <w:rPr>
                <w:b w:val="0"/>
                <w:bCs/>
                <w:lang w:val="en-AU"/>
              </w:rPr>
              <w:t>139</w:t>
            </w:r>
          </w:p>
        </w:tc>
        <w:tc>
          <w:tcPr>
            <w:tcW w:w="628" w:type="pct"/>
          </w:tcPr>
          <w:p w:rsidR="00955300" w:rsidRPr="00940F72" w:rsidRDefault="00955300" w:rsidP="00B815A0">
            <w:pPr>
              <w:pStyle w:val="In-tableHeading"/>
              <w:keepNext w:val="0"/>
              <w:widowControl w:val="0"/>
              <w:jc w:val="center"/>
              <w:rPr>
                <w:b w:val="0"/>
                <w:bCs/>
                <w:lang w:val="en-AU"/>
              </w:rPr>
            </w:pPr>
            <w:r w:rsidRPr="00940F72">
              <w:rPr>
                <w:b w:val="0"/>
                <w:bCs/>
                <w:lang w:val="en-AU"/>
              </w:rPr>
              <w:t>111</w:t>
            </w:r>
          </w:p>
        </w:tc>
        <w:tc>
          <w:tcPr>
            <w:tcW w:w="629" w:type="pct"/>
          </w:tcPr>
          <w:p w:rsidR="00955300" w:rsidRPr="00940F72" w:rsidRDefault="00955300" w:rsidP="00B815A0">
            <w:pPr>
              <w:pStyle w:val="In-tableHeading"/>
              <w:keepNext w:val="0"/>
              <w:widowControl w:val="0"/>
              <w:jc w:val="center"/>
              <w:rPr>
                <w:b w:val="0"/>
                <w:bCs/>
                <w:vertAlign w:val="superscript"/>
                <w:lang w:val="en-AU"/>
              </w:rPr>
            </w:pPr>
            <w:r w:rsidRPr="00940F72">
              <w:rPr>
                <w:b w:val="0"/>
                <w:bCs/>
                <w:lang w:val="en-AU"/>
              </w:rPr>
              <w:t xml:space="preserve">110 </w:t>
            </w:r>
            <w:r w:rsidR="008D0E42" w:rsidRPr="00940F72">
              <w:rPr>
                <w:b w:val="0"/>
                <w:bCs/>
                <w:vertAlign w:val="superscript"/>
                <w:lang w:val="en-AU"/>
              </w:rPr>
              <w:t>d</w:t>
            </w:r>
          </w:p>
        </w:tc>
        <w:tc>
          <w:tcPr>
            <w:tcW w:w="551" w:type="pct"/>
          </w:tcPr>
          <w:p w:rsidR="00955300" w:rsidRPr="00940F72" w:rsidRDefault="00955300" w:rsidP="00B815A0">
            <w:pPr>
              <w:pStyle w:val="In-tableHeading"/>
              <w:keepNext w:val="0"/>
              <w:widowControl w:val="0"/>
              <w:jc w:val="center"/>
              <w:rPr>
                <w:b w:val="0"/>
                <w:bCs/>
                <w:lang w:val="en-AU"/>
              </w:rPr>
            </w:pPr>
            <w:r w:rsidRPr="00940F72">
              <w:rPr>
                <w:b w:val="0"/>
                <w:bCs/>
                <w:lang w:val="en-AU"/>
              </w:rPr>
              <w:t>16</w:t>
            </w:r>
          </w:p>
        </w:tc>
        <w:tc>
          <w:tcPr>
            <w:tcW w:w="681" w:type="pct"/>
          </w:tcPr>
          <w:p w:rsidR="00955300" w:rsidRPr="00940F72" w:rsidRDefault="00955300" w:rsidP="00B815A0">
            <w:pPr>
              <w:pStyle w:val="In-tableHeading"/>
              <w:keepNext w:val="0"/>
              <w:widowControl w:val="0"/>
              <w:jc w:val="center"/>
              <w:rPr>
                <w:b w:val="0"/>
                <w:bCs/>
                <w:lang w:val="en-AU"/>
              </w:rPr>
            </w:pPr>
            <w:r w:rsidRPr="00940F72">
              <w:rPr>
                <w:b w:val="0"/>
                <w:bCs/>
                <w:lang w:val="en-AU"/>
              </w:rPr>
              <w:t>376</w:t>
            </w:r>
          </w:p>
        </w:tc>
      </w:tr>
      <w:tr w:rsidR="00955300" w:rsidRPr="00940F72" w:rsidTr="0009553F">
        <w:trPr>
          <w:cantSplit/>
        </w:trPr>
        <w:tc>
          <w:tcPr>
            <w:tcW w:w="784" w:type="pct"/>
          </w:tcPr>
          <w:p w:rsidR="00955300" w:rsidRPr="00940F72" w:rsidRDefault="00955300" w:rsidP="00B815A0">
            <w:pPr>
              <w:pStyle w:val="In-tableHeading"/>
              <w:keepNext w:val="0"/>
              <w:widowControl w:val="0"/>
              <w:rPr>
                <w:b w:val="0"/>
                <w:bCs/>
                <w:lang w:val="en-AU"/>
              </w:rPr>
            </w:pPr>
            <w:r w:rsidRPr="00940F72">
              <w:rPr>
                <w:b w:val="0"/>
                <w:bCs/>
                <w:lang w:val="en-AU"/>
              </w:rPr>
              <w:t xml:space="preserve">Median Follow-up, months </w:t>
            </w:r>
            <w:r w:rsidRPr="00940F72">
              <w:rPr>
                <w:b w:val="0"/>
                <w:bCs/>
                <w:iCs/>
                <w:lang w:val="en-AU"/>
              </w:rPr>
              <w:t>[Data cut used in the submission]</w:t>
            </w:r>
          </w:p>
        </w:tc>
        <w:tc>
          <w:tcPr>
            <w:tcW w:w="548" w:type="pct"/>
          </w:tcPr>
          <w:p w:rsidR="00955300" w:rsidRPr="00940F72" w:rsidRDefault="00955300" w:rsidP="00B815A0">
            <w:pPr>
              <w:pStyle w:val="In-tableHeading"/>
              <w:keepNext w:val="0"/>
              <w:widowControl w:val="0"/>
              <w:jc w:val="center"/>
              <w:rPr>
                <w:b w:val="0"/>
                <w:lang w:val="en-AU"/>
              </w:rPr>
            </w:pPr>
            <w:r w:rsidRPr="00940F72">
              <w:rPr>
                <w:b w:val="0"/>
                <w:bCs/>
                <w:iCs/>
                <w:lang w:val="en-AU"/>
              </w:rPr>
              <w:t>19.42</w:t>
            </w:r>
          </w:p>
        </w:tc>
        <w:tc>
          <w:tcPr>
            <w:tcW w:w="562" w:type="pct"/>
          </w:tcPr>
          <w:p w:rsidR="00955300" w:rsidRPr="00940F72" w:rsidRDefault="00955300" w:rsidP="00B815A0">
            <w:pPr>
              <w:pStyle w:val="In-tableHeading"/>
              <w:keepNext w:val="0"/>
              <w:widowControl w:val="0"/>
              <w:jc w:val="center"/>
              <w:rPr>
                <w:b w:val="0"/>
                <w:lang w:val="en-AU"/>
              </w:rPr>
            </w:pPr>
            <w:r w:rsidRPr="00940F72">
              <w:rPr>
                <w:b w:val="0"/>
                <w:bCs/>
                <w:iCs/>
                <w:lang w:val="en-AU"/>
              </w:rPr>
              <w:t>18.43</w:t>
            </w:r>
          </w:p>
        </w:tc>
        <w:tc>
          <w:tcPr>
            <w:tcW w:w="617" w:type="pct"/>
          </w:tcPr>
          <w:p w:rsidR="00955300" w:rsidRPr="00940F72" w:rsidRDefault="00955300" w:rsidP="00B815A0">
            <w:pPr>
              <w:pStyle w:val="In-tableHeading"/>
              <w:keepNext w:val="0"/>
              <w:widowControl w:val="0"/>
              <w:jc w:val="center"/>
              <w:rPr>
                <w:lang w:val="en-AU"/>
              </w:rPr>
            </w:pPr>
            <w:r w:rsidRPr="00940F72">
              <w:rPr>
                <w:b w:val="0"/>
                <w:lang w:val="en-AU"/>
              </w:rPr>
              <w:t>20</w:t>
            </w:r>
          </w:p>
        </w:tc>
        <w:tc>
          <w:tcPr>
            <w:tcW w:w="628" w:type="pct"/>
          </w:tcPr>
          <w:p w:rsidR="00955300" w:rsidRPr="00940F72" w:rsidRDefault="00955300" w:rsidP="00B815A0">
            <w:pPr>
              <w:pStyle w:val="In-tableHeading"/>
              <w:keepNext w:val="0"/>
              <w:widowControl w:val="0"/>
              <w:jc w:val="center"/>
              <w:rPr>
                <w:lang w:val="en-AU"/>
              </w:rPr>
            </w:pPr>
            <w:r w:rsidRPr="00940F72">
              <w:rPr>
                <w:b w:val="0"/>
                <w:bCs/>
                <w:lang w:val="en-AU"/>
              </w:rPr>
              <w:t>15.3</w:t>
            </w:r>
          </w:p>
        </w:tc>
        <w:tc>
          <w:tcPr>
            <w:tcW w:w="629" w:type="pct"/>
          </w:tcPr>
          <w:p w:rsidR="00955300" w:rsidRPr="00940F72" w:rsidRDefault="00955300" w:rsidP="00B815A0">
            <w:pPr>
              <w:pStyle w:val="In-tableHeading"/>
              <w:keepNext w:val="0"/>
              <w:widowControl w:val="0"/>
              <w:jc w:val="center"/>
              <w:rPr>
                <w:lang w:val="en-AU"/>
              </w:rPr>
            </w:pPr>
            <w:r w:rsidRPr="00940F72">
              <w:rPr>
                <w:b w:val="0"/>
                <w:lang w:val="en-AU"/>
              </w:rPr>
              <w:t>14.9</w:t>
            </w:r>
          </w:p>
        </w:tc>
        <w:tc>
          <w:tcPr>
            <w:tcW w:w="551" w:type="pct"/>
          </w:tcPr>
          <w:p w:rsidR="00955300" w:rsidRPr="00940F72" w:rsidRDefault="00955300" w:rsidP="00B815A0">
            <w:pPr>
              <w:pStyle w:val="In-tableHeading"/>
              <w:keepNext w:val="0"/>
              <w:widowControl w:val="0"/>
              <w:jc w:val="center"/>
              <w:rPr>
                <w:b w:val="0"/>
                <w:lang w:val="en-AU"/>
              </w:rPr>
            </w:pPr>
            <w:r w:rsidRPr="00940F72">
              <w:rPr>
                <w:b w:val="0"/>
                <w:lang w:val="en-AU"/>
              </w:rPr>
              <w:t>27</w:t>
            </w:r>
          </w:p>
        </w:tc>
        <w:tc>
          <w:tcPr>
            <w:tcW w:w="681" w:type="pct"/>
          </w:tcPr>
          <w:p w:rsidR="00955300" w:rsidRPr="00940F72" w:rsidRDefault="00955300" w:rsidP="00B815A0">
            <w:pPr>
              <w:pStyle w:val="In-tableHeading"/>
              <w:keepNext w:val="0"/>
              <w:widowControl w:val="0"/>
              <w:jc w:val="center"/>
              <w:rPr>
                <w:b w:val="0"/>
                <w:bCs/>
                <w:lang w:val="en-AU"/>
              </w:rPr>
            </w:pPr>
            <w:r w:rsidRPr="00940F72">
              <w:rPr>
                <w:b w:val="0"/>
                <w:bCs/>
                <w:lang w:val="en-AU"/>
              </w:rPr>
              <w:t>NR</w:t>
            </w:r>
          </w:p>
        </w:tc>
      </w:tr>
      <w:tr w:rsidR="00955300" w:rsidRPr="00940F72" w:rsidTr="0009553F">
        <w:trPr>
          <w:cantSplit/>
        </w:trPr>
        <w:tc>
          <w:tcPr>
            <w:tcW w:w="784" w:type="pct"/>
          </w:tcPr>
          <w:p w:rsidR="00955300" w:rsidRPr="00940F72" w:rsidRDefault="00955300" w:rsidP="00B815A0">
            <w:pPr>
              <w:pStyle w:val="In-tableHeading"/>
              <w:keepNext w:val="0"/>
              <w:widowControl w:val="0"/>
              <w:rPr>
                <w:b w:val="0"/>
                <w:bCs/>
                <w:lang w:val="en-AU"/>
              </w:rPr>
            </w:pPr>
            <w:r w:rsidRPr="00940F72">
              <w:rPr>
                <w:b w:val="0"/>
                <w:bCs/>
                <w:lang w:val="en-AU"/>
              </w:rPr>
              <w:t xml:space="preserve">Median Follow-up, months </w:t>
            </w:r>
            <w:r w:rsidRPr="00940F72">
              <w:rPr>
                <w:b w:val="0"/>
                <w:bCs/>
                <w:iCs/>
                <w:lang w:val="en-AU"/>
              </w:rPr>
              <w:t>[Latest data cut]</w:t>
            </w:r>
          </w:p>
        </w:tc>
        <w:tc>
          <w:tcPr>
            <w:tcW w:w="548" w:type="pct"/>
          </w:tcPr>
          <w:p w:rsidR="00955300" w:rsidRPr="00940F72" w:rsidRDefault="00955300" w:rsidP="00B815A0">
            <w:pPr>
              <w:pStyle w:val="In-tableHeading"/>
              <w:keepNext w:val="0"/>
              <w:widowControl w:val="0"/>
              <w:jc w:val="center"/>
              <w:rPr>
                <w:b w:val="0"/>
                <w:bCs/>
                <w:iCs/>
                <w:szCs w:val="20"/>
                <w:vertAlign w:val="superscript"/>
                <w:lang w:val="en-AU"/>
              </w:rPr>
            </w:pPr>
            <w:r w:rsidRPr="00940F72">
              <w:rPr>
                <w:b w:val="0"/>
                <w:bCs/>
                <w:iCs/>
                <w:szCs w:val="20"/>
                <w:lang w:val="en-AU"/>
              </w:rPr>
              <w:t>19.42</w:t>
            </w:r>
            <w:r w:rsidR="00AB7DA5" w:rsidRPr="00940F72">
              <w:rPr>
                <w:b w:val="0"/>
                <w:bCs/>
                <w:iCs/>
                <w:szCs w:val="20"/>
                <w:vertAlign w:val="superscript"/>
                <w:lang w:val="en-AU"/>
              </w:rPr>
              <w:t>b</w:t>
            </w:r>
          </w:p>
        </w:tc>
        <w:tc>
          <w:tcPr>
            <w:tcW w:w="562" w:type="pct"/>
          </w:tcPr>
          <w:p w:rsidR="00955300" w:rsidRPr="00940F72" w:rsidRDefault="00955300" w:rsidP="00B815A0">
            <w:pPr>
              <w:pStyle w:val="In-tableHeading"/>
              <w:keepNext w:val="0"/>
              <w:widowControl w:val="0"/>
              <w:jc w:val="center"/>
              <w:rPr>
                <w:b w:val="0"/>
                <w:iCs/>
                <w:szCs w:val="20"/>
                <w:lang w:val="en-AU"/>
              </w:rPr>
            </w:pPr>
            <w:r w:rsidRPr="00940F72">
              <w:rPr>
                <w:b w:val="0"/>
                <w:bCs/>
                <w:iCs/>
                <w:szCs w:val="20"/>
                <w:lang w:val="en-AU"/>
              </w:rPr>
              <w:t>18.4</w:t>
            </w:r>
            <w:r w:rsidR="00AB7DA5" w:rsidRPr="00940F72">
              <w:rPr>
                <w:b w:val="0"/>
                <w:bCs/>
                <w:iCs/>
                <w:szCs w:val="20"/>
                <w:vertAlign w:val="superscript"/>
                <w:lang w:val="en-AU"/>
              </w:rPr>
              <w:t>b</w:t>
            </w:r>
          </w:p>
        </w:tc>
        <w:tc>
          <w:tcPr>
            <w:tcW w:w="617" w:type="pct"/>
          </w:tcPr>
          <w:p w:rsidR="00955300" w:rsidRPr="00940F72" w:rsidRDefault="00955300" w:rsidP="00B815A0">
            <w:pPr>
              <w:pStyle w:val="In-tableHeading"/>
              <w:keepNext w:val="0"/>
              <w:widowControl w:val="0"/>
              <w:jc w:val="center"/>
              <w:rPr>
                <w:b w:val="0"/>
                <w:iCs/>
                <w:szCs w:val="20"/>
                <w:lang w:val="en-AU"/>
              </w:rPr>
            </w:pPr>
            <w:r w:rsidRPr="00940F72">
              <w:rPr>
                <w:b w:val="0"/>
                <w:iCs/>
                <w:szCs w:val="20"/>
                <w:lang w:val="en-AU"/>
              </w:rPr>
              <w:t>38.7</w:t>
            </w:r>
            <w:r w:rsidR="008D0E42" w:rsidRPr="00940F72">
              <w:rPr>
                <w:b w:val="0"/>
                <w:iCs/>
                <w:szCs w:val="20"/>
                <w:vertAlign w:val="superscript"/>
                <w:lang w:val="en-AU"/>
              </w:rPr>
              <w:t>c</w:t>
            </w:r>
          </w:p>
        </w:tc>
        <w:tc>
          <w:tcPr>
            <w:tcW w:w="628" w:type="pct"/>
          </w:tcPr>
          <w:p w:rsidR="00955300" w:rsidRPr="00940F72" w:rsidRDefault="00955300" w:rsidP="00B815A0">
            <w:pPr>
              <w:pStyle w:val="In-tableHeading"/>
              <w:keepNext w:val="0"/>
              <w:widowControl w:val="0"/>
              <w:jc w:val="center"/>
              <w:rPr>
                <w:b w:val="0"/>
                <w:bCs/>
                <w:iCs/>
                <w:szCs w:val="20"/>
                <w:lang w:val="en-AU"/>
              </w:rPr>
            </w:pPr>
            <w:r w:rsidRPr="00940F72">
              <w:rPr>
                <w:b w:val="0"/>
                <w:bCs/>
                <w:iCs/>
                <w:szCs w:val="20"/>
                <w:lang w:val="en-AU"/>
              </w:rPr>
              <w:t>26.7</w:t>
            </w:r>
            <w:r w:rsidR="008D0E42" w:rsidRPr="00940F72">
              <w:rPr>
                <w:b w:val="0"/>
                <w:bCs/>
                <w:iCs/>
                <w:szCs w:val="20"/>
                <w:vertAlign w:val="superscript"/>
                <w:lang w:val="en-AU"/>
              </w:rPr>
              <w:t>c</w:t>
            </w:r>
          </w:p>
        </w:tc>
        <w:tc>
          <w:tcPr>
            <w:tcW w:w="629" w:type="pct"/>
          </w:tcPr>
          <w:p w:rsidR="00955300" w:rsidRPr="00940F72" w:rsidRDefault="00955300" w:rsidP="00B815A0">
            <w:pPr>
              <w:pStyle w:val="In-tableHeading"/>
              <w:keepNext w:val="0"/>
              <w:widowControl w:val="0"/>
              <w:jc w:val="center"/>
              <w:rPr>
                <w:b w:val="0"/>
                <w:szCs w:val="20"/>
                <w:lang w:val="en-AU"/>
              </w:rPr>
            </w:pPr>
            <w:r w:rsidRPr="00940F72">
              <w:rPr>
                <w:b w:val="0"/>
                <w:szCs w:val="20"/>
                <w:lang w:val="en-AU"/>
              </w:rPr>
              <w:t>14.9</w:t>
            </w:r>
            <w:r w:rsidR="00AB7DA5" w:rsidRPr="00940F72">
              <w:rPr>
                <w:b w:val="0"/>
                <w:bCs/>
                <w:iCs/>
                <w:szCs w:val="20"/>
                <w:vertAlign w:val="superscript"/>
                <w:lang w:val="en-AU"/>
              </w:rPr>
              <w:t>b</w:t>
            </w:r>
          </w:p>
        </w:tc>
        <w:tc>
          <w:tcPr>
            <w:tcW w:w="551" w:type="pct"/>
          </w:tcPr>
          <w:p w:rsidR="00955300" w:rsidRPr="00940F72" w:rsidRDefault="00955300" w:rsidP="00B815A0">
            <w:pPr>
              <w:pStyle w:val="In-tableHeading"/>
              <w:keepNext w:val="0"/>
              <w:widowControl w:val="0"/>
              <w:jc w:val="center"/>
              <w:rPr>
                <w:b w:val="0"/>
                <w:szCs w:val="20"/>
                <w:lang w:val="en-AU"/>
              </w:rPr>
            </w:pPr>
            <w:r w:rsidRPr="00940F72">
              <w:rPr>
                <w:b w:val="0"/>
                <w:szCs w:val="20"/>
                <w:lang w:val="en-AU"/>
              </w:rPr>
              <w:t>27</w:t>
            </w:r>
            <w:r w:rsidR="00AB7DA5" w:rsidRPr="00940F72">
              <w:rPr>
                <w:b w:val="0"/>
                <w:bCs/>
                <w:iCs/>
                <w:szCs w:val="20"/>
                <w:vertAlign w:val="superscript"/>
                <w:lang w:val="en-AU"/>
              </w:rPr>
              <w:t>b</w:t>
            </w:r>
          </w:p>
        </w:tc>
        <w:tc>
          <w:tcPr>
            <w:tcW w:w="681" w:type="pct"/>
          </w:tcPr>
          <w:p w:rsidR="00955300" w:rsidRPr="00940F72" w:rsidRDefault="00955300" w:rsidP="00B815A0">
            <w:pPr>
              <w:pStyle w:val="In-tableHeading"/>
              <w:keepNext w:val="0"/>
              <w:widowControl w:val="0"/>
              <w:jc w:val="center"/>
              <w:rPr>
                <w:b w:val="0"/>
                <w:bCs/>
                <w:iCs/>
                <w:szCs w:val="20"/>
                <w:lang w:val="en-AU"/>
              </w:rPr>
            </w:pPr>
            <w:r w:rsidRPr="00940F72">
              <w:rPr>
                <w:b w:val="0"/>
                <w:bCs/>
                <w:iCs/>
                <w:szCs w:val="20"/>
                <w:lang w:val="en-AU"/>
              </w:rPr>
              <w:t>NR</w:t>
            </w:r>
          </w:p>
        </w:tc>
      </w:tr>
      <w:tr w:rsidR="00955300" w:rsidRPr="00940F72" w:rsidTr="0009553F">
        <w:trPr>
          <w:cantSplit/>
        </w:trPr>
        <w:tc>
          <w:tcPr>
            <w:tcW w:w="1332" w:type="pct"/>
            <w:gridSpan w:val="2"/>
            <w:tcBorders>
              <w:right w:val="nil"/>
            </w:tcBorders>
          </w:tcPr>
          <w:p w:rsidR="00955300" w:rsidRPr="00940F72" w:rsidRDefault="00955300" w:rsidP="00B815A0">
            <w:pPr>
              <w:pStyle w:val="TableText0"/>
              <w:widowControl w:val="0"/>
              <w:rPr>
                <w:b/>
                <w:bCs w:val="0"/>
                <w:lang w:val="en-AU"/>
              </w:rPr>
            </w:pPr>
            <w:r w:rsidRPr="00940F72">
              <w:rPr>
                <w:b/>
                <w:bCs w:val="0"/>
                <w:lang w:val="en-AU"/>
              </w:rPr>
              <w:t>Overall response rate</w:t>
            </w:r>
          </w:p>
        </w:tc>
        <w:tc>
          <w:tcPr>
            <w:tcW w:w="562" w:type="pct"/>
            <w:tcBorders>
              <w:left w:val="nil"/>
              <w:right w:val="nil"/>
            </w:tcBorders>
          </w:tcPr>
          <w:p w:rsidR="00955300" w:rsidRPr="00940F72" w:rsidRDefault="00955300" w:rsidP="00B815A0">
            <w:pPr>
              <w:pStyle w:val="TableText0"/>
              <w:widowControl w:val="0"/>
              <w:jc w:val="center"/>
              <w:rPr>
                <w:b/>
                <w:bCs w:val="0"/>
                <w:lang w:val="en-AU"/>
              </w:rPr>
            </w:pPr>
          </w:p>
        </w:tc>
        <w:tc>
          <w:tcPr>
            <w:tcW w:w="617" w:type="pct"/>
            <w:tcBorders>
              <w:left w:val="nil"/>
              <w:right w:val="nil"/>
            </w:tcBorders>
          </w:tcPr>
          <w:p w:rsidR="00955300" w:rsidRPr="00940F72" w:rsidRDefault="00955300" w:rsidP="00B815A0">
            <w:pPr>
              <w:pStyle w:val="TableText0"/>
              <w:widowControl w:val="0"/>
              <w:jc w:val="center"/>
              <w:rPr>
                <w:b/>
                <w:bCs w:val="0"/>
                <w:lang w:val="en-AU"/>
              </w:rPr>
            </w:pPr>
          </w:p>
        </w:tc>
        <w:tc>
          <w:tcPr>
            <w:tcW w:w="628" w:type="pct"/>
            <w:tcBorders>
              <w:left w:val="nil"/>
              <w:right w:val="nil"/>
            </w:tcBorders>
          </w:tcPr>
          <w:p w:rsidR="00955300" w:rsidRPr="00940F72" w:rsidRDefault="00955300" w:rsidP="00B815A0">
            <w:pPr>
              <w:pStyle w:val="TableText0"/>
              <w:widowControl w:val="0"/>
              <w:jc w:val="center"/>
              <w:rPr>
                <w:b/>
                <w:bCs w:val="0"/>
                <w:lang w:val="en-AU"/>
              </w:rPr>
            </w:pPr>
          </w:p>
        </w:tc>
        <w:tc>
          <w:tcPr>
            <w:tcW w:w="629" w:type="pct"/>
            <w:tcBorders>
              <w:left w:val="nil"/>
              <w:right w:val="nil"/>
            </w:tcBorders>
          </w:tcPr>
          <w:p w:rsidR="00955300" w:rsidRPr="00940F72" w:rsidRDefault="00955300" w:rsidP="00B815A0">
            <w:pPr>
              <w:pStyle w:val="TableText0"/>
              <w:widowControl w:val="0"/>
              <w:jc w:val="center"/>
              <w:rPr>
                <w:b/>
                <w:bCs w:val="0"/>
                <w:lang w:val="en-AU"/>
              </w:rPr>
            </w:pPr>
          </w:p>
        </w:tc>
        <w:tc>
          <w:tcPr>
            <w:tcW w:w="551" w:type="pct"/>
            <w:tcBorders>
              <w:left w:val="nil"/>
              <w:right w:val="nil"/>
            </w:tcBorders>
          </w:tcPr>
          <w:p w:rsidR="00955300" w:rsidRPr="00940F72" w:rsidRDefault="00955300" w:rsidP="00B815A0">
            <w:pPr>
              <w:pStyle w:val="TableText0"/>
              <w:widowControl w:val="0"/>
              <w:jc w:val="center"/>
              <w:rPr>
                <w:b/>
                <w:bCs w:val="0"/>
                <w:lang w:val="en-AU"/>
              </w:rPr>
            </w:pPr>
          </w:p>
        </w:tc>
        <w:tc>
          <w:tcPr>
            <w:tcW w:w="681" w:type="pct"/>
            <w:tcBorders>
              <w:left w:val="nil"/>
            </w:tcBorders>
          </w:tcPr>
          <w:p w:rsidR="00955300" w:rsidRPr="00940F72" w:rsidRDefault="00955300" w:rsidP="00B815A0">
            <w:pPr>
              <w:pStyle w:val="TableText0"/>
              <w:widowControl w:val="0"/>
              <w:jc w:val="center"/>
              <w:rPr>
                <w:b/>
                <w:bCs w:val="0"/>
                <w:lang w:val="en-AU"/>
              </w:rPr>
            </w:pPr>
          </w:p>
        </w:tc>
      </w:tr>
      <w:tr w:rsidR="00955300" w:rsidRPr="00940F72" w:rsidTr="0009553F">
        <w:trPr>
          <w:cantSplit/>
        </w:trPr>
        <w:tc>
          <w:tcPr>
            <w:tcW w:w="784" w:type="pct"/>
            <w:tcBorders>
              <w:bottom w:val="nil"/>
            </w:tcBorders>
          </w:tcPr>
          <w:p w:rsidR="00955300" w:rsidRPr="00940F72" w:rsidRDefault="00955300" w:rsidP="00B815A0">
            <w:pPr>
              <w:pStyle w:val="TableText0"/>
              <w:widowControl w:val="0"/>
              <w:rPr>
                <w:lang w:val="en-AU"/>
              </w:rPr>
            </w:pPr>
            <w:r w:rsidRPr="00940F72">
              <w:rPr>
                <w:lang w:val="en-AU"/>
              </w:rPr>
              <w:t>ORR (CR+PR; n (%)</w:t>
            </w:r>
          </w:p>
        </w:tc>
        <w:tc>
          <w:tcPr>
            <w:tcW w:w="548" w:type="pct"/>
            <w:tcBorders>
              <w:bottom w:val="nil"/>
            </w:tcBorders>
          </w:tcPr>
          <w:p w:rsidR="00955300" w:rsidRPr="00940F72" w:rsidRDefault="00955300" w:rsidP="00B815A0">
            <w:pPr>
              <w:pStyle w:val="TableHeading0"/>
              <w:keepLines w:val="0"/>
              <w:widowControl w:val="0"/>
              <w:spacing w:after="0"/>
              <w:jc w:val="center"/>
              <w:rPr>
                <w:b w:val="0"/>
                <w:lang w:val="en-AU"/>
              </w:rPr>
            </w:pPr>
            <w:r w:rsidRPr="00940F72">
              <w:rPr>
                <w:b w:val="0"/>
                <w:lang w:val="en-AU"/>
              </w:rPr>
              <w:t>30 (81.1)</w:t>
            </w:r>
          </w:p>
          <w:p w:rsidR="00955300" w:rsidRPr="00940F72" w:rsidRDefault="00955300" w:rsidP="00B815A0">
            <w:pPr>
              <w:pStyle w:val="TableHeading0"/>
              <w:keepLines w:val="0"/>
              <w:widowControl w:val="0"/>
              <w:spacing w:after="0"/>
              <w:jc w:val="center"/>
              <w:rPr>
                <w:b w:val="0"/>
                <w:bCs/>
                <w:lang w:val="en-AU"/>
              </w:rPr>
            </w:pPr>
          </w:p>
        </w:tc>
        <w:tc>
          <w:tcPr>
            <w:tcW w:w="562" w:type="pct"/>
            <w:tcBorders>
              <w:bottom w:val="nil"/>
            </w:tcBorders>
          </w:tcPr>
          <w:p w:rsidR="00955300" w:rsidRPr="00940F72" w:rsidRDefault="00955300" w:rsidP="00B815A0">
            <w:pPr>
              <w:pStyle w:val="TableHeading0"/>
              <w:keepLines w:val="0"/>
              <w:widowControl w:val="0"/>
              <w:spacing w:after="0"/>
              <w:jc w:val="center"/>
              <w:rPr>
                <w:b w:val="0"/>
                <w:bCs/>
                <w:lang w:val="en-AU"/>
              </w:rPr>
            </w:pPr>
            <w:r w:rsidRPr="00940F72">
              <w:rPr>
                <w:b w:val="0"/>
                <w:bCs/>
                <w:lang w:val="en-AU"/>
              </w:rPr>
              <w:t>72 (83.7)</w:t>
            </w:r>
          </w:p>
        </w:tc>
        <w:tc>
          <w:tcPr>
            <w:tcW w:w="617" w:type="pct"/>
            <w:tcBorders>
              <w:bottom w:val="nil"/>
            </w:tcBorders>
          </w:tcPr>
          <w:p w:rsidR="00955300" w:rsidRPr="00940F72" w:rsidRDefault="00955300" w:rsidP="00B815A0">
            <w:pPr>
              <w:pStyle w:val="TableHeading0"/>
              <w:keepLines w:val="0"/>
              <w:widowControl w:val="0"/>
              <w:spacing w:after="0"/>
              <w:jc w:val="center"/>
              <w:rPr>
                <w:b w:val="0"/>
                <w:bCs/>
                <w:lang w:val="en-AU"/>
              </w:rPr>
            </w:pPr>
            <w:r w:rsidRPr="00940F72">
              <w:rPr>
                <w:b w:val="0"/>
                <w:bCs/>
                <w:lang w:val="en-AU"/>
              </w:rPr>
              <w:t>100 (72.0)</w:t>
            </w:r>
          </w:p>
          <w:p w:rsidR="00955300" w:rsidRPr="00940F72" w:rsidRDefault="00955300" w:rsidP="00B815A0">
            <w:pPr>
              <w:pStyle w:val="TableHeading0"/>
              <w:keepLines w:val="0"/>
              <w:widowControl w:val="0"/>
              <w:spacing w:after="0"/>
              <w:jc w:val="center"/>
              <w:rPr>
                <w:b w:val="0"/>
                <w:bCs/>
                <w:iCs/>
                <w:lang w:val="en-AU"/>
              </w:rPr>
            </w:pPr>
            <w:r w:rsidRPr="00940F72">
              <w:rPr>
                <w:b w:val="0"/>
                <w:bCs/>
                <w:iCs/>
                <w:lang w:val="en-AU"/>
              </w:rPr>
              <w:t>107 (77.0</w:t>
            </w:r>
            <w:r w:rsidR="008D0E42" w:rsidRPr="00940F72">
              <w:rPr>
                <w:b w:val="0"/>
                <w:bCs/>
                <w:iCs/>
                <w:lang w:val="en-AU"/>
              </w:rPr>
              <w:t>)</w:t>
            </w:r>
            <w:r w:rsidR="008D0E42" w:rsidRPr="00940F72">
              <w:rPr>
                <w:b w:val="0"/>
                <w:bCs/>
                <w:iCs/>
                <w:vertAlign w:val="superscript"/>
                <w:lang w:val="en-AU"/>
              </w:rPr>
              <w:t>c</w:t>
            </w:r>
          </w:p>
        </w:tc>
        <w:tc>
          <w:tcPr>
            <w:tcW w:w="628" w:type="pct"/>
            <w:tcBorders>
              <w:bottom w:val="nil"/>
            </w:tcBorders>
          </w:tcPr>
          <w:p w:rsidR="00955300" w:rsidRPr="00940F72" w:rsidRDefault="00955300" w:rsidP="00B815A0">
            <w:pPr>
              <w:pStyle w:val="TableHeading0"/>
              <w:keepLines w:val="0"/>
              <w:widowControl w:val="0"/>
              <w:spacing w:after="0"/>
              <w:jc w:val="center"/>
              <w:rPr>
                <w:b w:val="0"/>
                <w:lang w:val="en-AU"/>
              </w:rPr>
            </w:pPr>
            <w:r w:rsidRPr="00940F72">
              <w:rPr>
                <w:b w:val="0"/>
                <w:lang w:val="en-AU"/>
              </w:rPr>
              <w:t>75 (67.6)</w:t>
            </w:r>
          </w:p>
          <w:p w:rsidR="00955300" w:rsidRPr="00940F72" w:rsidRDefault="00955300" w:rsidP="00B815A0">
            <w:pPr>
              <w:pStyle w:val="TableHeading0"/>
              <w:keepLines w:val="0"/>
              <w:widowControl w:val="0"/>
              <w:spacing w:after="0"/>
              <w:jc w:val="center"/>
              <w:rPr>
                <w:b w:val="0"/>
                <w:bCs/>
                <w:lang w:val="en-AU"/>
              </w:rPr>
            </w:pPr>
            <w:r w:rsidRPr="00940F72">
              <w:rPr>
                <w:b w:val="0"/>
                <w:bCs/>
                <w:iCs/>
                <w:lang w:val="en-AU"/>
              </w:rPr>
              <w:t>74 (67.0</w:t>
            </w:r>
            <w:r w:rsidR="008D0E42" w:rsidRPr="00940F72">
              <w:rPr>
                <w:b w:val="0"/>
                <w:bCs/>
                <w:iCs/>
                <w:lang w:val="en-AU"/>
              </w:rPr>
              <w:t>)</w:t>
            </w:r>
            <w:r w:rsidR="008D0E42" w:rsidRPr="00940F72">
              <w:rPr>
                <w:b w:val="0"/>
                <w:bCs/>
                <w:iCs/>
                <w:vertAlign w:val="superscript"/>
                <w:lang w:val="en-AU"/>
              </w:rPr>
              <w:t>c</w:t>
            </w:r>
          </w:p>
        </w:tc>
        <w:tc>
          <w:tcPr>
            <w:tcW w:w="629" w:type="pct"/>
            <w:tcBorders>
              <w:bottom w:val="nil"/>
            </w:tcBorders>
          </w:tcPr>
          <w:p w:rsidR="00955300" w:rsidRPr="00940F72" w:rsidRDefault="00955300" w:rsidP="00B815A0">
            <w:pPr>
              <w:pStyle w:val="TableHeading0"/>
              <w:keepLines w:val="0"/>
              <w:widowControl w:val="0"/>
              <w:spacing w:after="0"/>
              <w:jc w:val="center"/>
              <w:rPr>
                <w:lang w:val="en-AU"/>
              </w:rPr>
            </w:pPr>
            <w:r w:rsidRPr="00940F72">
              <w:rPr>
                <w:b w:val="0"/>
                <w:lang w:val="en-AU"/>
              </w:rPr>
              <w:t>69 (62.7)</w:t>
            </w:r>
          </w:p>
        </w:tc>
        <w:tc>
          <w:tcPr>
            <w:tcW w:w="551" w:type="pct"/>
            <w:tcBorders>
              <w:bottom w:val="nil"/>
            </w:tcBorders>
          </w:tcPr>
          <w:p w:rsidR="00955300" w:rsidRPr="00940F72" w:rsidRDefault="00955300" w:rsidP="00B815A0">
            <w:pPr>
              <w:pStyle w:val="TableHeading0"/>
              <w:keepLines w:val="0"/>
              <w:widowControl w:val="0"/>
              <w:spacing w:after="0"/>
              <w:jc w:val="center"/>
              <w:rPr>
                <w:b w:val="0"/>
                <w:lang w:val="en-AU"/>
              </w:rPr>
            </w:pPr>
            <w:r w:rsidRPr="00940F72">
              <w:rPr>
                <w:b w:val="0"/>
                <w:lang w:val="en-AU"/>
              </w:rPr>
              <w:t>14 (87.5)</w:t>
            </w:r>
          </w:p>
        </w:tc>
        <w:tc>
          <w:tcPr>
            <w:tcW w:w="681" w:type="pct"/>
            <w:tcBorders>
              <w:bottom w:val="nil"/>
            </w:tcBorders>
          </w:tcPr>
          <w:p w:rsidR="00955300" w:rsidRPr="00940F72" w:rsidRDefault="00955300" w:rsidP="00B815A0">
            <w:pPr>
              <w:pStyle w:val="TableHeading0"/>
              <w:keepLines w:val="0"/>
              <w:widowControl w:val="0"/>
              <w:spacing w:after="0"/>
              <w:jc w:val="center"/>
              <w:rPr>
                <w:lang w:val="en-AU"/>
              </w:rPr>
            </w:pPr>
            <w:r w:rsidRPr="00940F72">
              <w:rPr>
                <w:b w:val="0"/>
                <w:lang w:val="en-AU"/>
              </w:rPr>
              <w:t>258 (69.7)</w:t>
            </w:r>
          </w:p>
        </w:tc>
      </w:tr>
      <w:tr w:rsidR="00955300" w:rsidRPr="00940F72" w:rsidTr="0009553F">
        <w:trPr>
          <w:cantSplit/>
        </w:trPr>
        <w:tc>
          <w:tcPr>
            <w:tcW w:w="784" w:type="pct"/>
            <w:tcBorders>
              <w:top w:val="nil"/>
            </w:tcBorders>
          </w:tcPr>
          <w:p w:rsidR="00955300" w:rsidRPr="00940F72" w:rsidRDefault="00955300" w:rsidP="00B815A0">
            <w:pPr>
              <w:pStyle w:val="TableText0"/>
              <w:widowControl w:val="0"/>
              <w:ind w:left="153"/>
              <w:rPr>
                <w:lang w:val="en-AU"/>
              </w:rPr>
            </w:pPr>
            <w:r w:rsidRPr="00940F72">
              <w:rPr>
                <w:lang w:val="en-AU"/>
              </w:rPr>
              <w:t>95% CI (%)</w:t>
            </w:r>
          </w:p>
        </w:tc>
        <w:tc>
          <w:tcPr>
            <w:tcW w:w="548" w:type="pct"/>
            <w:tcBorders>
              <w:top w:val="nil"/>
            </w:tcBorders>
          </w:tcPr>
          <w:p w:rsidR="00955300" w:rsidRPr="00940F72" w:rsidRDefault="00955300" w:rsidP="00B815A0">
            <w:pPr>
              <w:pStyle w:val="TableText0"/>
              <w:widowControl w:val="0"/>
              <w:jc w:val="center"/>
              <w:rPr>
                <w:lang w:val="en-AU"/>
              </w:rPr>
            </w:pPr>
            <w:r w:rsidRPr="00940F72">
              <w:rPr>
                <w:lang w:val="en-AU"/>
              </w:rPr>
              <w:t>64.8, 92.0</w:t>
            </w:r>
          </w:p>
        </w:tc>
        <w:tc>
          <w:tcPr>
            <w:tcW w:w="562" w:type="pct"/>
            <w:tcBorders>
              <w:top w:val="nil"/>
            </w:tcBorders>
          </w:tcPr>
          <w:p w:rsidR="00955300" w:rsidRPr="00940F72" w:rsidRDefault="00955300" w:rsidP="00B815A0">
            <w:pPr>
              <w:pStyle w:val="TableText0"/>
              <w:widowControl w:val="0"/>
              <w:jc w:val="center"/>
              <w:rPr>
                <w:lang w:val="en-AU"/>
              </w:rPr>
            </w:pPr>
            <w:r w:rsidRPr="00940F72">
              <w:rPr>
                <w:lang w:val="en-AU"/>
              </w:rPr>
              <w:t>74.2, 90.8</w:t>
            </w:r>
          </w:p>
        </w:tc>
        <w:tc>
          <w:tcPr>
            <w:tcW w:w="617" w:type="pct"/>
            <w:tcBorders>
              <w:top w:val="nil"/>
            </w:tcBorders>
          </w:tcPr>
          <w:p w:rsidR="00955300" w:rsidRPr="00940F72" w:rsidRDefault="00955300" w:rsidP="00B815A0">
            <w:pPr>
              <w:pStyle w:val="TableText0"/>
              <w:widowControl w:val="0"/>
              <w:jc w:val="center"/>
              <w:rPr>
                <w:lang w:val="en-AU"/>
              </w:rPr>
            </w:pPr>
            <w:r w:rsidRPr="00940F72">
              <w:rPr>
                <w:lang w:val="en-AU"/>
              </w:rPr>
              <w:t>20.5, 42.5</w:t>
            </w:r>
          </w:p>
          <w:p w:rsidR="00955300" w:rsidRPr="00940F72" w:rsidRDefault="00955300" w:rsidP="00B815A0">
            <w:pPr>
              <w:pStyle w:val="TableText0"/>
              <w:widowControl w:val="0"/>
              <w:jc w:val="center"/>
              <w:rPr>
                <w:iCs/>
                <w:lang w:val="en-AU"/>
              </w:rPr>
            </w:pPr>
            <w:r w:rsidRPr="00940F72">
              <w:rPr>
                <w:iCs/>
                <w:lang w:val="en-AU"/>
              </w:rPr>
              <w:t>69.1, 83.7</w:t>
            </w:r>
          </w:p>
        </w:tc>
        <w:tc>
          <w:tcPr>
            <w:tcW w:w="628" w:type="pct"/>
            <w:tcBorders>
              <w:top w:val="nil"/>
            </w:tcBorders>
          </w:tcPr>
          <w:p w:rsidR="00955300" w:rsidRPr="00940F72" w:rsidRDefault="00955300" w:rsidP="00B815A0">
            <w:pPr>
              <w:pStyle w:val="TableText0"/>
              <w:widowControl w:val="0"/>
              <w:jc w:val="center"/>
              <w:rPr>
                <w:lang w:val="en-AU"/>
              </w:rPr>
            </w:pPr>
            <w:r w:rsidRPr="00940F72">
              <w:rPr>
                <w:lang w:val="en-AU"/>
              </w:rPr>
              <w:t>58.9, 76.3</w:t>
            </w:r>
          </w:p>
          <w:p w:rsidR="00955300" w:rsidRPr="00940F72" w:rsidRDefault="00955300" w:rsidP="00B815A0">
            <w:pPr>
              <w:pStyle w:val="TableText0"/>
              <w:widowControl w:val="0"/>
              <w:jc w:val="center"/>
              <w:rPr>
                <w:lang w:val="en-AU"/>
              </w:rPr>
            </w:pPr>
            <w:r w:rsidRPr="00940F72">
              <w:rPr>
                <w:iCs/>
                <w:lang w:val="en-AU"/>
              </w:rPr>
              <w:t>57.1, 75.3</w:t>
            </w:r>
          </w:p>
        </w:tc>
        <w:tc>
          <w:tcPr>
            <w:tcW w:w="629" w:type="pct"/>
            <w:tcBorders>
              <w:top w:val="nil"/>
            </w:tcBorders>
          </w:tcPr>
          <w:p w:rsidR="00955300" w:rsidRPr="00940F72" w:rsidRDefault="00955300" w:rsidP="00B815A0">
            <w:pPr>
              <w:pStyle w:val="TableText0"/>
              <w:widowControl w:val="0"/>
              <w:jc w:val="center"/>
              <w:rPr>
                <w:lang w:val="en-AU"/>
              </w:rPr>
            </w:pPr>
            <w:r w:rsidRPr="00940F72">
              <w:rPr>
                <w:lang w:val="en-AU"/>
              </w:rPr>
              <w:t>53.7, 71.8</w:t>
            </w:r>
          </w:p>
        </w:tc>
        <w:tc>
          <w:tcPr>
            <w:tcW w:w="551" w:type="pct"/>
            <w:tcBorders>
              <w:top w:val="nil"/>
            </w:tcBorders>
          </w:tcPr>
          <w:p w:rsidR="00955300" w:rsidRPr="00940F72" w:rsidRDefault="00955300" w:rsidP="00B815A0">
            <w:pPr>
              <w:pStyle w:val="TableText0"/>
              <w:widowControl w:val="0"/>
              <w:jc w:val="center"/>
              <w:rPr>
                <w:iCs/>
                <w:lang w:val="en-AU"/>
              </w:rPr>
            </w:pPr>
            <w:r w:rsidRPr="00940F72">
              <w:rPr>
                <w:lang w:val="en-AU"/>
              </w:rPr>
              <w:t>65.6, 97.7</w:t>
            </w:r>
          </w:p>
        </w:tc>
        <w:tc>
          <w:tcPr>
            <w:tcW w:w="681" w:type="pct"/>
            <w:tcBorders>
              <w:top w:val="nil"/>
            </w:tcBorders>
          </w:tcPr>
          <w:p w:rsidR="00955300" w:rsidRPr="00940F72" w:rsidRDefault="00955300" w:rsidP="00B815A0">
            <w:pPr>
              <w:pStyle w:val="TableText0"/>
              <w:widowControl w:val="0"/>
              <w:jc w:val="center"/>
              <w:rPr>
                <w:lang w:val="en-AU"/>
              </w:rPr>
            </w:pPr>
            <w:r w:rsidRPr="00940F72">
              <w:rPr>
                <w:iCs/>
                <w:lang w:val="en-AU"/>
              </w:rPr>
              <w:t>64.1, 75.3</w:t>
            </w:r>
          </w:p>
        </w:tc>
      </w:tr>
      <w:tr w:rsidR="00955300" w:rsidRPr="00940F72" w:rsidTr="0009553F">
        <w:trPr>
          <w:cantSplit/>
        </w:trPr>
        <w:tc>
          <w:tcPr>
            <w:tcW w:w="1332" w:type="pct"/>
            <w:gridSpan w:val="2"/>
            <w:tcBorders>
              <w:right w:val="nil"/>
            </w:tcBorders>
          </w:tcPr>
          <w:p w:rsidR="00955300" w:rsidRPr="00940F72" w:rsidRDefault="00955300" w:rsidP="00B815A0">
            <w:pPr>
              <w:pStyle w:val="TableText0"/>
              <w:keepNext w:val="0"/>
              <w:widowControl w:val="0"/>
              <w:rPr>
                <w:b/>
                <w:bCs w:val="0"/>
                <w:lang w:val="en-AU"/>
              </w:rPr>
            </w:pPr>
            <w:r w:rsidRPr="00940F72">
              <w:rPr>
                <w:b/>
                <w:bCs w:val="0"/>
                <w:lang w:val="en-AU"/>
              </w:rPr>
              <w:t>Complete response</w:t>
            </w:r>
          </w:p>
        </w:tc>
        <w:tc>
          <w:tcPr>
            <w:tcW w:w="562" w:type="pct"/>
            <w:tcBorders>
              <w:left w:val="nil"/>
              <w:right w:val="nil"/>
            </w:tcBorders>
          </w:tcPr>
          <w:p w:rsidR="00955300" w:rsidRPr="00940F72" w:rsidRDefault="00955300" w:rsidP="00B815A0">
            <w:pPr>
              <w:pStyle w:val="TableText0"/>
              <w:keepNext w:val="0"/>
              <w:widowControl w:val="0"/>
              <w:jc w:val="center"/>
              <w:rPr>
                <w:b/>
                <w:bCs w:val="0"/>
                <w:lang w:val="en-AU"/>
              </w:rPr>
            </w:pPr>
          </w:p>
        </w:tc>
        <w:tc>
          <w:tcPr>
            <w:tcW w:w="617" w:type="pct"/>
            <w:tcBorders>
              <w:left w:val="nil"/>
              <w:right w:val="nil"/>
            </w:tcBorders>
          </w:tcPr>
          <w:p w:rsidR="00955300" w:rsidRPr="00940F72" w:rsidRDefault="00955300" w:rsidP="00B815A0">
            <w:pPr>
              <w:pStyle w:val="TableText0"/>
              <w:keepNext w:val="0"/>
              <w:widowControl w:val="0"/>
              <w:jc w:val="center"/>
              <w:rPr>
                <w:b/>
                <w:bCs w:val="0"/>
                <w:lang w:val="en-AU"/>
              </w:rPr>
            </w:pPr>
          </w:p>
        </w:tc>
        <w:tc>
          <w:tcPr>
            <w:tcW w:w="628" w:type="pct"/>
            <w:tcBorders>
              <w:left w:val="nil"/>
              <w:right w:val="nil"/>
            </w:tcBorders>
          </w:tcPr>
          <w:p w:rsidR="00955300" w:rsidRPr="00940F72" w:rsidRDefault="00955300" w:rsidP="00B815A0">
            <w:pPr>
              <w:pStyle w:val="TableText0"/>
              <w:keepNext w:val="0"/>
              <w:widowControl w:val="0"/>
              <w:jc w:val="center"/>
              <w:rPr>
                <w:b/>
                <w:bCs w:val="0"/>
                <w:lang w:val="en-AU"/>
              </w:rPr>
            </w:pPr>
          </w:p>
        </w:tc>
        <w:tc>
          <w:tcPr>
            <w:tcW w:w="629" w:type="pct"/>
            <w:tcBorders>
              <w:left w:val="nil"/>
              <w:right w:val="nil"/>
            </w:tcBorders>
          </w:tcPr>
          <w:p w:rsidR="00955300" w:rsidRPr="00940F72" w:rsidRDefault="00955300" w:rsidP="00B815A0">
            <w:pPr>
              <w:pStyle w:val="TableText0"/>
              <w:keepNext w:val="0"/>
              <w:widowControl w:val="0"/>
              <w:jc w:val="center"/>
              <w:rPr>
                <w:b/>
                <w:bCs w:val="0"/>
                <w:lang w:val="en-AU"/>
              </w:rPr>
            </w:pPr>
          </w:p>
        </w:tc>
        <w:tc>
          <w:tcPr>
            <w:tcW w:w="551" w:type="pct"/>
            <w:tcBorders>
              <w:left w:val="nil"/>
              <w:right w:val="nil"/>
            </w:tcBorders>
          </w:tcPr>
          <w:p w:rsidR="00955300" w:rsidRPr="00940F72" w:rsidRDefault="00955300" w:rsidP="00B815A0">
            <w:pPr>
              <w:pStyle w:val="TableText0"/>
              <w:keepNext w:val="0"/>
              <w:widowControl w:val="0"/>
              <w:jc w:val="center"/>
              <w:rPr>
                <w:b/>
                <w:bCs w:val="0"/>
                <w:lang w:val="en-AU"/>
              </w:rPr>
            </w:pPr>
          </w:p>
        </w:tc>
        <w:tc>
          <w:tcPr>
            <w:tcW w:w="681" w:type="pct"/>
            <w:tcBorders>
              <w:left w:val="nil"/>
            </w:tcBorders>
          </w:tcPr>
          <w:p w:rsidR="00955300" w:rsidRPr="00940F72" w:rsidRDefault="00955300" w:rsidP="00B815A0">
            <w:pPr>
              <w:pStyle w:val="TableText0"/>
              <w:keepNext w:val="0"/>
              <w:widowControl w:val="0"/>
              <w:jc w:val="center"/>
              <w:rPr>
                <w:b/>
                <w:bCs w:val="0"/>
                <w:lang w:val="en-AU"/>
              </w:rPr>
            </w:pPr>
          </w:p>
        </w:tc>
      </w:tr>
      <w:tr w:rsidR="00955300" w:rsidRPr="00940F72" w:rsidTr="0009553F">
        <w:trPr>
          <w:cantSplit/>
        </w:trPr>
        <w:tc>
          <w:tcPr>
            <w:tcW w:w="784" w:type="pct"/>
            <w:tcBorders>
              <w:bottom w:val="nil"/>
            </w:tcBorders>
          </w:tcPr>
          <w:p w:rsidR="00955300" w:rsidRPr="00940F72" w:rsidRDefault="00955300" w:rsidP="00B815A0">
            <w:pPr>
              <w:pStyle w:val="TableText0"/>
              <w:keepNext w:val="0"/>
              <w:widowControl w:val="0"/>
              <w:rPr>
                <w:lang w:val="en-AU"/>
              </w:rPr>
            </w:pPr>
            <w:r w:rsidRPr="00940F72">
              <w:rPr>
                <w:lang w:val="en-AU"/>
              </w:rPr>
              <w:t>CR(</w:t>
            </w:r>
            <w:r w:rsidRPr="00940F72">
              <w:rPr>
                <w:iCs/>
                <w:lang w:val="en-AU"/>
              </w:rPr>
              <w:t>data cut used in the submission)</w:t>
            </w:r>
          </w:p>
        </w:tc>
        <w:tc>
          <w:tcPr>
            <w:tcW w:w="548" w:type="pct"/>
            <w:tcBorders>
              <w:bottom w:val="nil"/>
            </w:tcBorders>
          </w:tcPr>
          <w:p w:rsidR="00955300" w:rsidRPr="00940F72" w:rsidRDefault="00955300" w:rsidP="00B815A0">
            <w:pPr>
              <w:pStyle w:val="TableText0"/>
              <w:keepNext w:val="0"/>
              <w:widowControl w:val="0"/>
              <w:jc w:val="center"/>
              <w:rPr>
                <w:lang w:val="en-AU"/>
              </w:rPr>
            </w:pPr>
            <w:r w:rsidRPr="00940F72">
              <w:rPr>
                <w:lang w:val="en-AU"/>
              </w:rPr>
              <w:t>9 (24.3)</w:t>
            </w:r>
          </w:p>
        </w:tc>
        <w:tc>
          <w:tcPr>
            <w:tcW w:w="562" w:type="pct"/>
            <w:tcBorders>
              <w:bottom w:val="nil"/>
            </w:tcBorders>
          </w:tcPr>
          <w:p w:rsidR="00955300" w:rsidRPr="00940F72" w:rsidRDefault="00955300" w:rsidP="00B815A0">
            <w:pPr>
              <w:pStyle w:val="TableText0"/>
              <w:keepNext w:val="0"/>
              <w:widowControl w:val="0"/>
              <w:jc w:val="center"/>
              <w:rPr>
                <w:lang w:val="en-AU"/>
              </w:rPr>
            </w:pPr>
            <w:r w:rsidRPr="00940F72">
              <w:rPr>
                <w:lang w:val="en-AU"/>
              </w:rPr>
              <w:t>59 (68.6)</w:t>
            </w:r>
          </w:p>
        </w:tc>
        <w:tc>
          <w:tcPr>
            <w:tcW w:w="617" w:type="pct"/>
            <w:tcBorders>
              <w:bottom w:val="nil"/>
            </w:tcBorders>
          </w:tcPr>
          <w:p w:rsidR="00955300" w:rsidRPr="00940F72" w:rsidRDefault="00955300" w:rsidP="00B815A0">
            <w:pPr>
              <w:pStyle w:val="TableText0"/>
              <w:keepNext w:val="0"/>
              <w:widowControl w:val="0"/>
              <w:jc w:val="center"/>
              <w:rPr>
                <w:lang w:val="en-AU"/>
              </w:rPr>
            </w:pPr>
            <w:r w:rsidRPr="00940F72">
              <w:rPr>
                <w:lang w:val="en-AU"/>
              </w:rPr>
              <w:t>26 (19)</w:t>
            </w:r>
          </w:p>
          <w:p w:rsidR="00955300" w:rsidRPr="00940F72" w:rsidRDefault="00955300" w:rsidP="00B815A0">
            <w:pPr>
              <w:pStyle w:val="TableText0"/>
              <w:keepNext w:val="0"/>
              <w:widowControl w:val="0"/>
              <w:jc w:val="center"/>
              <w:rPr>
                <w:iCs/>
                <w:vertAlign w:val="superscript"/>
                <w:lang w:val="en-AU"/>
              </w:rPr>
            </w:pPr>
            <w:r w:rsidRPr="00940F72">
              <w:rPr>
                <w:iCs/>
                <w:lang w:val="en-AU"/>
              </w:rPr>
              <w:t>32 (23)</w:t>
            </w:r>
            <w:r w:rsidR="008D0E42" w:rsidRPr="00940F72">
              <w:rPr>
                <w:iCs/>
                <w:vertAlign w:val="superscript"/>
                <w:lang w:val="en-AU"/>
              </w:rPr>
              <w:t>c</w:t>
            </w:r>
          </w:p>
        </w:tc>
        <w:tc>
          <w:tcPr>
            <w:tcW w:w="628" w:type="pct"/>
            <w:tcBorders>
              <w:bottom w:val="nil"/>
            </w:tcBorders>
          </w:tcPr>
          <w:p w:rsidR="00955300" w:rsidRPr="00940F72" w:rsidRDefault="00955300" w:rsidP="00B815A0">
            <w:pPr>
              <w:pStyle w:val="TableText0"/>
              <w:keepNext w:val="0"/>
              <w:widowControl w:val="0"/>
              <w:jc w:val="center"/>
              <w:rPr>
                <w:lang w:val="en-AU"/>
              </w:rPr>
            </w:pPr>
            <w:r w:rsidRPr="00940F72">
              <w:rPr>
                <w:lang w:val="en-AU"/>
              </w:rPr>
              <w:t>23 (21.0)</w:t>
            </w:r>
          </w:p>
          <w:p w:rsidR="00955300" w:rsidRPr="00940F72" w:rsidRDefault="00955300" w:rsidP="00B815A0">
            <w:pPr>
              <w:pStyle w:val="TableText0"/>
              <w:keepNext w:val="0"/>
              <w:widowControl w:val="0"/>
              <w:jc w:val="center"/>
              <w:rPr>
                <w:vertAlign w:val="superscript"/>
                <w:lang w:val="en-AU"/>
              </w:rPr>
            </w:pPr>
            <w:r w:rsidRPr="00940F72">
              <w:rPr>
                <w:iCs/>
                <w:lang w:val="en-AU"/>
              </w:rPr>
              <w:t>26 (23.4)</w:t>
            </w:r>
            <w:r w:rsidR="008D0E42" w:rsidRPr="00940F72">
              <w:rPr>
                <w:iCs/>
                <w:vertAlign w:val="superscript"/>
                <w:lang w:val="en-AU"/>
              </w:rPr>
              <w:t>c</w:t>
            </w:r>
          </w:p>
        </w:tc>
        <w:tc>
          <w:tcPr>
            <w:tcW w:w="629" w:type="pct"/>
            <w:tcBorders>
              <w:bottom w:val="nil"/>
            </w:tcBorders>
          </w:tcPr>
          <w:p w:rsidR="00955300" w:rsidRPr="00940F72" w:rsidRDefault="00955300" w:rsidP="00B815A0">
            <w:pPr>
              <w:pStyle w:val="TableText0"/>
              <w:keepNext w:val="0"/>
              <w:widowControl w:val="0"/>
              <w:jc w:val="center"/>
              <w:rPr>
                <w:lang w:val="en-AU"/>
              </w:rPr>
            </w:pPr>
            <w:r w:rsidRPr="00940F72">
              <w:rPr>
                <w:lang w:val="en-AU"/>
              </w:rPr>
              <w:t>23 (19.2)</w:t>
            </w:r>
          </w:p>
          <w:p w:rsidR="00955300" w:rsidRPr="00940F72" w:rsidRDefault="00955300" w:rsidP="00B815A0">
            <w:pPr>
              <w:pStyle w:val="TableText0"/>
              <w:keepNext w:val="0"/>
              <w:widowControl w:val="0"/>
              <w:jc w:val="center"/>
              <w:rPr>
                <w:vertAlign w:val="superscript"/>
                <w:lang w:val="en-AU"/>
              </w:rPr>
            </w:pPr>
            <w:r w:rsidRPr="00940F72">
              <w:rPr>
                <w:iCs/>
                <w:lang w:val="en-AU"/>
              </w:rPr>
              <w:t>25 (20.9)</w:t>
            </w:r>
            <w:r w:rsidR="008D0E42" w:rsidRPr="00940F72">
              <w:rPr>
                <w:iCs/>
                <w:vertAlign w:val="superscript"/>
                <w:lang w:val="en-AU"/>
              </w:rPr>
              <w:t>c</w:t>
            </w:r>
          </w:p>
        </w:tc>
        <w:tc>
          <w:tcPr>
            <w:tcW w:w="551" w:type="pct"/>
            <w:tcBorders>
              <w:bottom w:val="nil"/>
            </w:tcBorders>
          </w:tcPr>
          <w:p w:rsidR="00955300" w:rsidRPr="00940F72" w:rsidRDefault="00955300" w:rsidP="00B815A0">
            <w:pPr>
              <w:pStyle w:val="TableText0"/>
              <w:keepNext w:val="0"/>
              <w:widowControl w:val="0"/>
              <w:jc w:val="center"/>
              <w:rPr>
                <w:lang w:val="en-AU"/>
              </w:rPr>
            </w:pPr>
            <w:r w:rsidRPr="00940F72">
              <w:rPr>
                <w:lang w:val="en-AU"/>
              </w:rPr>
              <w:t>1 (6.3)</w:t>
            </w:r>
          </w:p>
          <w:p w:rsidR="00955300" w:rsidRPr="00940F72" w:rsidRDefault="00955300" w:rsidP="00B815A0">
            <w:pPr>
              <w:pStyle w:val="TableText0"/>
              <w:keepNext w:val="0"/>
              <w:widowControl w:val="0"/>
              <w:jc w:val="center"/>
              <w:rPr>
                <w:lang w:val="en-AU"/>
              </w:rPr>
            </w:pPr>
          </w:p>
        </w:tc>
        <w:tc>
          <w:tcPr>
            <w:tcW w:w="681" w:type="pct"/>
            <w:tcBorders>
              <w:bottom w:val="nil"/>
            </w:tcBorders>
          </w:tcPr>
          <w:p w:rsidR="00955300" w:rsidRPr="00940F72" w:rsidRDefault="00955300" w:rsidP="00B815A0">
            <w:pPr>
              <w:pStyle w:val="TableText0"/>
              <w:keepNext w:val="0"/>
              <w:widowControl w:val="0"/>
              <w:jc w:val="center"/>
              <w:rPr>
                <w:lang w:val="en-AU"/>
              </w:rPr>
            </w:pPr>
            <w:r w:rsidRPr="00940F72">
              <w:rPr>
                <w:iCs/>
                <w:lang w:val="en-AU"/>
              </w:rPr>
              <w:t>73 (18.9)</w:t>
            </w:r>
          </w:p>
        </w:tc>
      </w:tr>
      <w:tr w:rsidR="00955300" w:rsidRPr="00940F72" w:rsidTr="0009553F">
        <w:trPr>
          <w:cantSplit/>
        </w:trPr>
        <w:tc>
          <w:tcPr>
            <w:tcW w:w="784" w:type="pct"/>
            <w:tcBorders>
              <w:top w:val="nil"/>
            </w:tcBorders>
          </w:tcPr>
          <w:p w:rsidR="00955300" w:rsidRPr="00940F72" w:rsidRDefault="00955300" w:rsidP="00B815A0">
            <w:pPr>
              <w:pStyle w:val="TableText0"/>
              <w:keepNext w:val="0"/>
              <w:widowControl w:val="0"/>
              <w:ind w:left="153"/>
              <w:rPr>
                <w:iCs/>
                <w:lang w:val="en-AU"/>
              </w:rPr>
            </w:pPr>
            <w:r w:rsidRPr="00940F72">
              <w:rPr>
                <w:iCs/>
                <w:lang w:val="en-AU"/>
              </w:rPr>
              <w:t xml:space="preserve">95% CI (%) </w:t>
            </w:r>
          </w:p>
        </w:tc>
        <w:tc>
          <w:tcPr>
            <w:tcW w:w="548" w:type="pct"/>
            <w:tcBorders>
              <w:top w:val="nil"/>
            </w:tcBorders>
          </w:tcPr>
          <w:p w:rsidR="00955300" w:rsidRPr="00940F72" w:rsidRDefault="00955300" w:rsidP="00B815A0">
            <w:pPr>
              <w:pStyle w:val="TableText0"/>
              <w:keepNext w:val="0"/>
              <w:widowControl w:val="0"/>
              <w:jc w:val="center"/>
              <w:rPr>
                <w:lang w:val="en-AU"/>
              </w:rPr>
            </w:pPr>
            <w:r w:rsidRPr="00940F72">
              <w:rPr>
                <w:lang w:val="en-AU"/>
              </w:rPr>
              <w:t>11.8, 41.2</w:t>
            </w:r>
          </w:p>
        </w:tc>
        <w:tc>
          <w:tcPr>
            <w:tcW w:w="562" w:type="pct"/>
            <w:tcBorders>
              <w:top w:val="nil"/>
            </w:tcBorders>
          </w:tcPr>
          <w:p w:rsidR="00955300" w:rsidRPr="00940F72" w:rsidRDefault="00955300" w:rsidP="00B815A0">
            <w:pPr>
              <w:pStyle w:val="TableText0"/>
              <w:keepNext w:val="0"/>
              <w:widowControl w:val="0"/>
              <w:jc w:val="center"/>
              <w:rPr>
                <w:lang w:val="en-AU"/>
              </w:rPr>
            </w:pPr>
            <w:r w:rsidRPr="00940F72">
              <w:rPr>
                <w:lang w:val="en-AU"/>
              </w:rPr>
              <w:t>57.7, 78.2</w:t>
            </w:r>
          </w:p>
        </w:tc>
        <w:tc>
          <w:tcPr>
            <w:tcW w:w="617" w:type="pct"/>
            <w:tcBorders>
              <w:top w:val="nil"/>
            </w:tcBorders>
          </w:tcPr>
          <w:p w:rsidR="00955300" w:rsidRPr="00940F72" w:rsidRDefault="00955300" w:rsidP="00B815A0">
            <w:pPr>
              <w:pStyle w:val="TableText0"/>
              <w:keepNext w:val="0"/>
              <w:widowControl w:val="0"/>
              <w:jc w:val="center"/>
              <w:rPr>
                <w:iCs/>
                <w:lang w:val="en-AU"/>
              </w:rPr>
            </w:pPr>
            <w:r w:rsidRPr="00940F72">
              <w:rPr>
                <w:iCs/>
                <w:lang w:val="en-AU"/>
              </w:rPr>
              <w:t>16.0, 30.0</w:t>
            </w:r>
          </w:p>
          <w:p w:rsidR="00955300" w:rsidRPr="00940F72" w:rsidRDefault="00955300" w:rsidP="00B815A0">
            <w:pPr>
              <w:pStyle w:val="TableText0"/>
              <w:keepNext w:val="0"/>
              <w:widowControl w:val="0"/>
              <w:jc w:val="center"/>
              <w:rPr>
                <w:iCs/>
                <w:lang w:val="en-AU"/>
              </w:rPr>
            </w:pPr>
            <w:r w:rsidRPr="00940F72">
              <w:rPr>
                <w:iCs/>
                <w:lang w:val="en-AU"/>
              </w:rPr>
              <w:t>16.3, 30.9</w:t>
            </w:r>
          </w:p>
        </w:tc>
        <w:tc>
          <w:tcPr>
            <w:tcW w:w="628" w:type="pct"/>
            <w:tcBorders>
              <w:top w:val="nil"/>
            </w:tcBorders>
          </w:tcPr>
          <w:p w:rsidR="00955300" w:rsidRPr="00940F72" w:rsidRDefault="00955300" w:rsidP="00B815A0">
            <w:pPr>
              <w:pStyle w:val="TableText0"/>
              <w:keepNext w:val="0"/>
              <w:widowControl w:val="0"/>
              <w:jc w:val="center"/>
              <w:rPr>
                <w:iCs/>
                <w:lang w:val="en-AU"/>
              </w:rPr>
            </w:pPr>
            <w:r w:rsidRPr="00940F72">
              <w:rPr>
                <w:iCs/>
                <w:lang w:val="en-AU"/>
              </w:rPr>
              <w:t>15.2, 30.8</w:t>
            </w:r>
          </w:p>
          <w:p w:rsidR="00955300" w:rsidRPr="00940F72" w:rsidRDefault="00955300" w:rsidP="00B815A0">
            <w:pPr>
              <w:pStyle w:val="TableText0"/>
              <w:keepNext w:val="0"/>
              <w:widowControl w:val="0"/>
              <w:jc w:val="center"/>
              <w:rPr>
                <w:iCs/>
                <w:lang w:val="en-AU"/>
              </w:rPr>
            </w:pPr>
            <w:r w:rsidRPr="00940F72">
              <w:rPr>
                <w:iCs/>
                <w:lang w:val="en-AU"/>
              </w:rPr>
              <w:t>15.9, 32.4</w:t>
            </w:r>
          </w:p>
        </w:tc>
        <w:tc>
          <w:tcPr>
            <w:tcW w:w="629" w:type="pct"/>
            <w:tcBorders>
              <w:top w:val="nil"/>
            </w:tcBorders>
          </w:tcPr>
          <w:p w:rsidR="00955300" w:rsidRPr="00940F72" w:rsidRDefault="00955300" w:rsidP="00B815A0">
            <w:pPr>
              <w:pStyle w:val="TableText0"/>
              <w:keepNext w:val="0"/>
              <w:widowControl w:val="0"/>
              <w:jc w:val="center"/>
              <w:rPr>
                <w:iCs/>
                <w:lang w:val="en-AU"/>
              </w:rPr>
            </w:pPr>
            <w:r w:rsidRPr="00940F72">
              <w:rPr>
                <w:iCs/>
                <w:lang w:val="en-AU"/>
              </w:rPr>
              <w:t>13.3, 28.5</w:t>
            </w:r>
          </w:p>
          <w:p w:rsidR="00955300" w:rsidRPr="00940F72" w:rsidRDefault="00955300" w:rsidP="00B815A0">
            <w:pPr>
              <w:pStyle w:val="TableText0"/>
              <w:keepNext w:val="0"/>
              <w:widowControl w:val="0"/>
              <w:jc w:val="center"/>
              <w:rPr>
                <w:iCs/>
                <w:lang w:val="en-AU"/>
              </w:rPr>
            </w:pPr>
            <w:r w:rsidRPr="00940F72">
              <w:rPr>
                <w:iCs/>
                <w:lang w:val="en-AU"/>
              </w:rPr>
              <w:t>14, 30.9</w:t>
            </w:r>
          </w:p>
        </w:tc>
        <w:tc>
          <w:tcPr>
            <w:tcW w:w="551" w:type="pct"/>
            <w:tcBorders>
              <w:top w:val="nil"/>
            </w:tcBorders>
          </w:tcPr>
          <w:p w:rsidR="00955300" w:rsidRPr="00940F72" w:rsidRDefault="00955300" w:rsidP="00B815A0">
            <w:pPr>
              <w:pStyle w:val="TableText0"/>
              <w:keepNext w:val="0"/>
              <w:widowControl w:val="0"/>
              <w:jc w:val="center"/>
              <w:rPr>
                <w:iCs/>
                <w:lang w:val="en-AU"/>
              </w:rPr>
            </w:pPr>
            <w:r w:rsidRPr="00940F72">
              <w:rPr>
                <w:iCs/>
                <w:lang w:val="en-AU"/>
              </w:rPr>
              <w:t>0.2, 30.2</w:t>
            </w:r>
          </w:p>
        </w:tc>
        <w:tc>
          <w:tcPr>
            <w:tcW w:w="681" w:type="pct"/>
            <w:tcBorders>
              <w:top w:val="nil"/>
            </w:tcBorders>
          </w:tcPr>
          <w:p w:rsidR="00955300" w:rsidRPr="00940F72" w:rsidRDefault="00955300" w:rsidP="00B815A0">
            <w:pPr>
              <w:pStyle w:val="TableText0"/>
              <w:keepNext w:val="0"/>
              <w:widowControl w:val="0"/>
              <w:jc w:val="center"/>
              <w:rPr>
                <w:iCs/>
                <w:lang w:val="en-AU"/>
              </w:rPr>
            </w:pPr>
            <w:r w:rsidRPr="00940F72">
              <w:rPr>
                <w:iCs/>
                <w:lang w:val="en-AU"/>
              </w:rPr>
              <w:t>15.5, 23.8</w:t>
            </w:r>
          </w:p>
        </w:tc>
      </w:tr>
      <w:tr w:rsidR="00955300" w:rsidRPr="00940F72" w:rsidTr="0009553F">
        <w:trPr>
          <w:cantSplit/>
        </w:trPr>
        <w:tc>
          <w:tcPr>
            <w:tcW w:w="1332" w:type="pct"/>
            <w:gridSpan w:val="2"/>
            <w:tcBorders>
              <w:right w:val="nil"/>
            </w:tcBorders>
          </w:tcPr>
          <w:p w:rsidR="00955300" w:rsidRPr="00940F72" w:rsidRDefault="00955300" w:rsidP="00B815A0">
            <w:pPr>
              <w:pStyle w:val="TableText0"/>
              <w:keepNext w:val="0"/>
              <w:widowControl w:val="0"/>
              <w:rPr>
                <w:lang w:val="en-AU"/>
              </w:rPr>
            </w:pPr>
            <w:r w:rsidRPr="00940F72">
              <w:rPr>
                <w:b/>
                <w:bCs w:val="0"/>
                <w:lang w:val="en-AU"/>
              </w:rPr>
              <w:t>Progression-free survival</w:t>
            </w:r>
          </w:p>
        </w:tc>
        <w:tc>
          <w:tcPr>
            <w:tcW w:w="562" w:type="pct"/>
            <w:tcBorders>
              <w:left w:val="nil"/>
              <w:right w:val="nil"/>
            </w:tcBorders>
          </w:tcPr>
          <w:p w:rsidR="00955300" w:rsidRPr="00940F72" w:rsidRDefault="00955300" w:rsidP="00B815A0">
            <w:pPr>
              <w:pStyle w:val="TableText0"/>
              <w:keepNext w:val="0"/>
              <w:widowControl w:val="0"/>
              <w:jc w:val="center"/>
              <w:rPr>
                <w:iCs/>
                <w:lang w:val="en-AU"/>
              </w:rPr>
            </w:pPr>
          </w:p>
        </w:tc>
        <w:tc>
          <w:tcPr>
            <w:tcW w:w="617" w:type="pct"/>
            <w:tcBorders>
              <w:left w:val="nil"/>
              <w:right w:val="nil"/>
            </w:tcBorders>
          </w:tcPr>
          <w:p w:rsidR="00955300" w:rsidRPr="00940F72" w:rsidRDefault="00955300" w:rsidP="00B815A0">
            <w:pPr>
              <w:pStyle w:val="TableText0"/>
              <w:keepNext w:val="0"/>
              <w:widowControl w:val="0"/>
              <w:jc w:val="center"/>
              <w:rPr>
                <w:lang w:val="en-AU"/>
              </w:rPr>
            </w:pPr>
          </w:p>
        </w:tc>
        <w:tc>
          <w:tcPr>
            <w:tcW w:w="628" w:type="pct"/>
            <w:tcBorders>
              <w:left w:val="nil"/>
              <w:right w:val="nil"/>
            </w:tcBorders>
          </w:tcPr>
          <w:p w:rsidR="00955300" w:rsidRPr="00940F72" w:rsidRDefault="00955300" w:rsidP="00B815A0">
            <w:pPr>
              <w:pStyle w:val="TableText0"/>
              <w:keepNext w:val="0"/>
              <w:widowControl w:val="0"/>
              <w:jc w:val="center"/>
              <w:rPr>
                <w:lang w:val="en-AU"/>
              </w:rPr>
            </w:pPr>
          </w:p>
        </w:tc>
        <w:tc>
          <w:tcPr>
            <w:tcW w:w="629" w:type="pct"/>
            <w:tcBorders>
              <w:left w:val="nil"/>
              <w:right w:val="nil"/>
            </w:tcBorders>
          </w:tcPr>
          <w:p w:rsidR="00955300" w:rsidRPr="00940F72" w:rsidRDefault="00955300" w:rsidP="00B815A0">
            <w:pPr>
              <w:pStyle w:val="TableText0"/>
              <w:keepNext w:val="0"/>
              <w:widowControl w:val="0"/>
              <w:jc w:val="center"/>
              <w:rPr>
                <w:lang w:val="en-AU"/>
              </w:rPr>
            </w:pPr>
          </w:p>
        </w:tc>
        <w:tc>
          <w:tcPr>
            <w:tcW w:w="551" w:type="pct"/>
            <w:tcBorders>
              <w:left w:val="nil"/>
              <w:right w:val="nil"/>
            </w:tcBorders>
          </w:tcPr>
          <w:p w:rsidR="00955300" w:rsidRPr="00940F72" w:rsidRDefault="00955300" w:rsidP="00B815A0">
            <w:pPr>
              <w:pStyle w:val="TableText0"/>
              <w:keepNext w:val="0"/>
              <w:widowControl w:val="0"/>
              <w:jc w:val="center"/>
              <w:rPr>
                <w:lang w:val="en-AU"/>
              </w:rPr>
            </w:pPr>
          </w:p>
        </w:tc>
        <w:tc>
          <w:tcPr>
            <w:tcW w:w="681" w:type="pct"/>
            <w:tcBorders>
              <w:left w:val="nil"/>
            </w:tcBorders>
          </w:tcPr>
          <w:p w:rsidR="00955300" w:rsidRPr="00940F72" w:rsidRDefault="00955300" w:rsidP="00B815A0">
            <w:pPr>
              <w:pStyle w:val="TableText0"/>
              <w:keepNext w:val="0"/>
              <w:widowControl w:val="0"/>
              <w:jc w:val="center"/>
              <w:rPr>
                <w:lang w:val="en-AU"/>
              </w:rPr>
            </w:pPr>
          </w:p>
        </w:tc>
      </w:tr>
      <w:tr w:rsidR="00955300" w:rsidRPr="00940F72" w:rsidTr="0009553F">
        <w:trPr>
          <w:cantSplit/>
        </w:trPr>
        <w:tc>
          <w:tcPr>
            <w:tcW w:w="784" w:type="pct"/>
          </w:tcPr>
          <w:p w:rsidR="00955300" w:rsidRPr="00940F72" w:rsidRDefault="00955300" w:rsidP="00B815A0">
            <w:pPr>
              <w:pStyle w:val="TableText0"/>
              <w:keepNext w:val="0"/>
              <w:widowControl w:val="0"/>
              <w:rPr>
                <w:bCs w:val="0"/>
                <w:lang w:val="en-AU"/>
              </w:rPr>
            </w:pPr>
            <w:r w:rsidRPr="00940F72">
              <w:rPr>
                <w:bCs w:val="0"/>
                <w:lang w:val="en-AU"/>
              </w:rPr>
              <w:t xml:space="preserve">Median PFS (months) </w:t>
            </w:r>
          </w:p>
        </w:tc>
        <w:tc>
          <w:tcPr>
            <w:tcW w:w="548" w:type="pct"/>
          </w:tcPr>
          <w:p w:rsidR="00955300" w:rsidRPr="00940F72" w:rsidRDefault="00955300" w:rsidP="00B815A0">
            <w:pPr>
              <w:pStyle w:val="TableText0"/>
              <w:keepNext w:val="0"/>
              <w:widowControl w:val="0"/>
              <w:jc w:val="center"/>
              <w:rPr>
                <w:lang w:val="en-AU"/>
              </w:rPr>
            </w:pPr>
            <w:r w:rsidRPr="00940F72">
              <w:rPr>
                <w:lang w:val="en-AU"/>
              </w:rPr>
              <w:t>17.3</w:t>
            </w:r>
          </w:p>
        </w:tc>
        <w:tc>
          <w:tcPr>
            <w:tcW w:w="562" w:type="pct"/>
          </w:tcPr>
          <w:p w:rsidR="00955300" w:rsidRPr="00940F72" w:rsidRDefault="00955300" w:rsidP="00B815A0">
            <w:pPr>
              <w:pStyle w:val="TableText0"/>
              <w:keepNext w:val="0"/>
              <w:widowControl w:val="0"/>
              <w:jc w:val="center"/>
              <w:rPr>
                <w:iCs/>
                <w:lang w:val="en-AU"/>
              </w:rPr>
            </w:pPr>
            <w:r w:rsidRPr="00940F72">
              <w:rPr>
                <w:lang w:val="en-AU"/>
              </w:rPr>
              <w:t>22.1</w:t>
            </w:r>
          </w:p>
        </w:tc>
        <w:tc>
          <w:tcPr>
            <w:tcW w:w="617" w:type="pct"/>
          </w:tcPr>
          <w:p w:rsidR="00955300" w:rsidRPr="00940F72" w:rsidRDefault="00955300" w:rsidP="00B815A0">
            <w:pPr>
              <w:pStyle w:val="TableText0"/>
              <w:keepNext w:val="0"/>
              <w:widowControl w:val="0"/>
              <w:jc w:val="center"/>
              <w:rPr>
                <w:lang w:val="en-AU"/>
              </w:rPr>
            </w:pPr>
            <w:r w:rsidRPr="00940F72">
              <w:rPr>
                <w:lang w:val="en-AU"/>
              </w:rPr>
              <w:t>15.6</w:t>
            </w:r>
          </w:p>
        </w:tc>
        <w:tc>
          <w:tcPr>
            <w:tcW w:w="628" w:type="pct"/>
          </w:tcPr>
          <w:p w:rsidR="00955300" w:rsidRPr="00940F72" w:rsidRDefault="00955300" w:rsidP="00B815A0">
            <w:pPr>
              <w:pStyle w:val="TableText0"/>
              <w:keepNext w:val="0"/>
              <w:widowControl w:val="0"/>
              <w:jc w:val="center"/>
              <w:rPr>
                <w:lang w:val="en-AU"/>
              </w:rPr>
            </w:pPr>
            <w:r w:rsidRPr="00940F72">
              <w:rPr>
                <w:lang w:val="en-AU"/>
              </w:rPr>
              <w:t>13.0</w:t>
            </w:r>
          </w:p>
        </w:tc>
        <w:tc>
          <w:tcPr>
            <w:tcW w:w="629" w:type="pct"/>
          </w:tcPr>
          <w:p w:rsidR="00955300" w:rsidRPr="00940F72" w:rsidRDefault="00955300" w:rsidP="00B815A0">
            <w:pPr>
              <w:pStyle w:val="TableText0"/>
              <w:keepNext w:val="0"/>
              <w:widowControl w:val="0"/>
              <w:jc w:val="center"/>
              <w:rPr>
                <w:lang w:val="en-AU"/>
              </w:rPr>
            </w:pPr>
            <w:r w:rsidRPr="00940F72">
              <w:rPr>
                <w:lang w:val="en-AU"/>
              </w:rPr>
              <w:t>10.5</w:t>
            </w:r>
          </w:p>
        </w:tc>
        <w:tc>
          <w:tcPr>
            <w:tcW w:w="551" w:type="pct"/>
          </w:tcPr>
          <w:p w:rsidR="00955300" w:rsidRPr="00940F72" w:rsidRDefault="00955300" w:rsidP="00B815A0">
            <w:pPr>
              <w:pStyle w:val="TableText0"/>
              <w:keepNext w:val="0"/>
              <w:widowControl w:val="0"/>
              <w:jc w:val="center"/>
              <w:rPr>
                <w:lang w:val="en-AU"/>
              </w:rPr>
            </w:pPr>
            <w:r w:rsidRPr="00940F72">
              <w:rPr>
                <w:lang w:val="en-AU"/>
              </w:rPr>
              <w:t>NE</w:t>
            </w:r>
          </w:p>
        </w:tc>
        <w:tc>
          <w:tcPr>
            <w:tcW w:w="681" w:type="pct"/>
          </w:tcPr>
          <w:p w:rsidR="00955300" w:rsidRPr="00940F72" w:rsidRDefault="00955300" w:rsidP="00B815A0">
            <w:pPr>
              <w:pStyle w:val="TableText0"/>
              <w:keepNext w:val="0"/>
              <w:widowControl w:val="0"/>
              <w:jc w:val="center"/>
              <w:rPr>
                <w:lang w:val="en-AU"/>
              </w:rPr>
            </w:pPr>
            <w:r w:rsidRPr="00940F72">
              <w:rPr>
                <w:lang w:val="en-AU"/>
              </w:rPr>
              <w:t>NR</w:t>
            </w:r>
          </w:p>
        </w:tc>
      </w:tr>
      <w:tr w:rsidR="00955300" w:rsidRPr="00940F72" w:rsidTr="0009553F">
        <w:trPr>
          <w:cantSplit/>
        </w:trPr>
        <w:tc>
          <w:tcPr>
            <w:tcW w:w="784" w:type="pct"/>
          </w:tcPr>
          <w:p w:rsidR="00955300" w:rsidRPr="00940F72" w:rsidRDefault="00955300" w:rsidP="00B815A0">
            <w:pPr>
              <w:pStyle w:val="TableText0"/>
              <w:keepNext w:val="0"/>
              <w:widowControl w:val="0"/>
              <w:rPr>
                <w:bCs w:val="0"/>
                <w:lang w:val="en-AU"/>
              </w:rPr>
            </w:pPr>
            <w:r w:rsidRPr="00940F72">
              <w:rPr>
                <w:bCs w:val="0"/>
                <w:lang w:val="en-AU"/>
              </w:rPr>
              <w:t>95% CI</w:t>
            </w:r>
          </w:p>
        </w:tc>
        <w:tc>
          <w:tcPr>
            <w:tcW w:w="548" w:type="pct"/>
          </w:tcPr>
          <w:p w:rsidR="00955300" w:rsidRPr="00940F72" w:rsidRDefault="00955300" w:rsidP="00B815A0">
            <w:pPr>
              <w:pStyle w:val="TableText0"/>
              <w:keepNext w:val="0"/>
              <w:widowControl w:val="0"/>
              <w:jc w:val="center"/>
              <w:rPr>
                <w:lang w:val="en-AU"/>
              </w:rPr>
            </w:pPr>
            <w:r w:rsidRPr="00940F72">
              <w:rPr>
                <w:lang w:val="en-AU"/>
              </w:rPr>
              <w:t>(13.2, 30.7)</w:t>
            </w:r>
          </w:p>
        </w:tc>
        <w:tc>
          <w:tcPr>
            <w:tcW w:w="562" w:type="pct"/>
          </w:tcPr>
          <w:p w:rsidR="00955300" w:rsidRPr="00940F72" w:rsidRDefault="00955300" w:rsidP="00B815A0">
            <w:pPr>
              <w:pStyle w:val="TableText0"/>
              <w:keepNext w:val="0"/>
              <w:widowControl w:val="0"/>
              <w:jc w:val="center"/>
              <w:rPr>
                <w:lang w:val="en-AU"/>
              </w:rPr>
            </w:pPr>
            <w:r w:rsidRPr="00940F72">
              <w:rPr>
                <w:lang w:val="en-AU"/>
              </w:rPr>
              <w:t>(17.4, NE)</w:t>
            </w:r>
          </w:p>
        </w:tc>
        <w:tc>
          <w:tcPr>
            <w:tcW w:w="617" w:type="pct"/>
          </w:tcPr>
          <w:p w:rsidR="00955300" w:rsidRPr="00940F72" w:rsidRDefault="00955300" w:rsidP="00B815A0">
            <w:pPr>
              <w:pStyle w:val="TableText0"/>
              <w:keepNext w:val="0"/>
              <w:widowControl w:val="0"/>
              <w:jc w:val="center"/>
              <w:rPr>
                <w:lang w:val="en-AU"/>
              </w:rPr>
            </w:pPr>
            <w:r w:rsidRPr="00940F72">
              <w:rPr>
                <w:lang w:val="en-AU"/>
              </w:rPr>
              <w:t>NR</w:t>
            </w:r>
          </w:p>
        </w:tc>
        <w:tc>
          <w:tcPr>
            <w:tcW w:w="628" w:type="pct"/>
          </w:tcPr>
          <w:p w:rsidR="00955300" w:rsidRPr="00940F72" w:rsidRDefault="00955300" w:rsidP="00B815A0">
            <w:pPr>
              <w:pStyle w:val="TableText0"/>
              <w:keepNext w:val="0"/>
              <w:widowControl w:val="0"/>
              <w:jc w:val="center"/>
              <w:rPr>
                <w:lang w:val="en-AU"/>
              </w:rPr>
            </w:pPr>
            <w:r w:rsidRPr="00940F72">
              <w:rPr>
                <w:lang w:val="en-AU"/>
              </w:rPr>
              <w:t>(7.0, 17.5)</w:t>
            </w:r>
          </w:p>
        </w:tc>
        <w:tc>
          <w:tcPr>
            <w:tcW w:w="629" w:type="pct"/>
          </w:tcPr>
          <w:p w:rsidR="00955300" w:rsidRPr="00940F72" w:rsidRDefault="00955300" w:rsidP="00B815A0">
            <w:pPr>
              <w:pStyle w:val="TableText0"/>
              <w:keepNext w:val="0"/>
              <w:widowControl w:val="0"/>
              <w:jc w:val="center"/>
              <w:rPr>
                <w:lang w:val="en-AU"/>
              </w:rPr>
            </w:pPr>
            <w:r w:rsidRPr="00940F72">
              <w:rPr>
                <w:lang w:val="en-AU"/>
              </w:rPr>
              <w:t>(4.4, 15.0)</w:t>
            </w:r>
          </w:p>
        </w:tc>
        <w:tc>
          <w:tcPr>
            <w:tcW w:w="551" w:type="pct"/>
          </w:tcPr>
          <w:p w:rsidR="00955300" w:rsidRPr="00940F72" w:rsidRDefault="00955300" w:rsidP="00B815A0">
            <w:pPr>
              <w:pStyle w:val="TableText0"/>
              <w:keepNext w:val="0"/>
              <w:widowControl w:val="0"/>
              <w:jc w:val="center"/>
              <w:rPr>
                <w:lang w:val="en-AU"/>
              </w:rPr>
            </w:pPr>
            <w:r w:rsidRPr="00940F72">
              <w:rPr>
                <w:lang w:val="en-AU"/>
              </w:rPr>
              <w:t>(NE,NE)</w:t>
            </w:r>
          </w:p>
        </w:tc>
        <w:tc>
          <w:tcPr>
            <w:tcW w:w="681" w:type="pct"/>
          </w:tcPr>
          <w:p w:rsidR="00955300" w:rsidRPr="00940F72" w:rsidRDefault="00955300" w:rsidP="00B815A0">
            <w:pPr>
              <w:pStyle w:val="TableText0"/>
              <w:keepNext w:val="0"/>
              <w:widowControl w:val="0"/>
              <w:jc w:val="center"/>
              <w:rPr>
                <w:lang w:val="en-AU"/>
              </w:rPr>
            </w:pPr>
            <w:r w:rsidRPr="00940F72">
              <w:rPr>
                <w:lang w:val="en-AU"/>
              </w:rPr>
              <w:t>NR</w:t>
            </w:r>
          </w:p>
        </w:tc>
      </w:tr>
      <w:tr w:rsidR="00955300" w:rsidRPr="00940F72" w:rsidTr="0009553F">
        <w:trPr>
          <w:cantSplit/>
        </w:trPr>
        <w:tc>
          <w:tcPr>
            <w:tcW w:w="784" w:type="pct"/>
          </w:tcPr>
          <w:p w:rsidR="00955300" w:rsidRPr="00940F72" w:rsidRDefault="00955300" w:rsidP="00B815A0">
            <w:pPr>
              <w:pStyle w:val="TableText0"/>
              <w:keepNext w:val="0"/>
              <w:widowControl w:val="0"/>
              <w:rPr>
                <w:lang w:val="en-AU"/>
              </w:rPr>
            </w:pPr>
            <w:r w:rsidRPr="00940F72">
              <w:rPr>
                <w:lang w:val="en-AU"/>
              </w:rPr>
              <w:t xml:space="preserve">15 Months </w:t>
            </w:r>
            <w:r w:rsidR="00AB7DA5" w:rsidRPr="00940F72">
              <w:rPr>
                <w:lang w:val="en-AU"/>
              </w:rPr>
              <w:t>PFS rate, %</w:t>
            </w:r>
          </w:p>
          <w:p w:rsidR="00955300" w:rsidRPr="00940F72" w:rsidRDefault="00955300" w:rsidP="00B815A0">
            <w:pPr>
              <w:pStyle w:val="TableText0"/>
              <w:keepNext w:val="0"/>
              <w:widowControl w:val="0"/>
              <w:rPr>
                <w:bCs w:val="0"/>
                <w:lang w:val="en-AU"/>
              </w:rPr>
            </w:pPr>
            <w:r w:rsidRPr="00940F72">
              <w:rPr>
                <w:lang w:val="en-AU"/>
              </w:rPr>
              <w:t>(95% CI)</w:t>
            </w:r>
          </w:p>
        </w:tc>
        <w:tc>
          <w:tcPr>
            <w:tcW w:w="548" w:type="pct"/>
          </w:tcPr>
          <w:p w:rsidR="00955300" w:rsidRPr="00940F72" w:rsidRDefault="00955300" w:rsidP="00B815A0">
            <w:pPr>
              <w:pStyle w:val="TableText0"/>
              <w:keepNext w:val="0"/>
              <w:widowControl w:val="0"/>
              <w:jc w:val="center"/>
              <w:rPr>
                <w:lang w:val="en-AU"/>
              </w:rPr>
            </w:pPr>
            <w:r w:rsidRPr="00940F72">
              <w:rPr>
                <w:lang w:val="en-AU"/>
              </w:rPr>
              <w:t xml:space="preserve">64.2 </w:t>
            </w:r>
          </w:p>
          <w:p w:rsidR="00955300" w:rsidRPr="00940F72" w:rsidRDefault="00955300" w:rsidP="00B815A0">
            <w:pPr>
              <w:pStyle w:val="TableText0"/>
              <w:keepNext w:val="0"/>
              <w:widowControl w:val="0"/>
              <w:jc w:val="center"/>
              <w:rPr>
                <w:lang w:val="en-AU"/>
              </w:rPr>
            </w:pPr>
            <w:r w:rsidRPr="00940F72">
              <w:rPr>
                <w:lang w:val="en-AU"/>
              </w:rPr>
              <w:t>(45.3, 78.0)</w:t>
            </w:r>
          </w:p>
        </w:tc>
        <w:tc>
          <w:tcPr>
            <w:tcW w:w="562" w:type="pct"/>
          </w:tcPr>
          <w:p w:rsidR="00955300" w:rsidRPr="00940F72" w:rsidRDefault="00955300" w:rsidP="00B815A0">
            <w:pPr>
              <w:pStyle w:val="TableText0"/>
              <w:keepNext w:val="0"/>
              <w:widowControl w:val="0"/>
              <w:jc w:val="center"/>
              <w:rPr>
                <w:lang w:val="en-AU"/>
              </w:rPr>
            </w:pPr>
            <w:r w:rsidRPr="00940F72">
              <w:rPr>
                <w:lang w:val="en-AU"/>
              </w:rPr>
              <w:t xml:space="preserve">71.6 </w:t>
            </w:r>
          </w:p>
          <w:p w:rsidR="00955300" w:rsidRPr="00940F72" w:rsidRDefault="00955300" w:rsidP="00B815A0">
            <w:pPr>
              <w:pStyle w:val="TableText0"/>
              <w:keepNext w:val="0"/>
              <w:widowControl w:val="0"/>
              <w:jc w:val="center"/>
              <w:rPr>
                <w:lang w:val="en-AU"/>
              </w:rPr>
            </w:pPr>
            <w:r w:rsidRPr="00940F72">
              <w:rPr>
                <w:lang w:val="en-AU"/>
              </w:rPr>
              <w:t>(60.4, 80.2)</w:t>
            </w:r>
          </w:p>
        </w:tc>
        <w:tc>
          <w:tcPr>
            <w:tcW w:w="617" w:type="pct"/>
          </w:tcPr>
          <w:p w:rsidR="00955300" w:rsidRPr="00940F72" w:rsidRDefault="00955300" w:rsidP="00B815A0">
            <w:pPr>
              <w:pStyle w:val="TableText0"/>
              <w:keepNext w:val="0"/>
              <w:widowControl w:val="0"/>
              <w:jc w:val="center"/>
              <w:rPr>
                <w:lang w:val="en-AU"/>
              </w:rPr>
            </w:pPr>
            <w:r w:rsidRPr="00940F72">
              <w:rPr>
                <w:lang w:val="en-AU"/>
              </w:rPr>
              <w:t>NR</w:t>
            </w:r>
          </w:p>
        </w:tc>
        <w:tc>
          <w:tcPr>
            <w:tcW w:w="628" w:type="pct"/>
          </w:tcPr>
          <w:p w:rsidR="00955300" w:rsidRPr="00940F72" w:rsidRDefault="00955300" w:rsidP="00B815A0">
            <w:pPr>
              <w:pStyle w:val="TableText0"/>
              <w:keepNext w:val="0"/>
              <w:widowControl w:val="0"/>
              <w:jc w:val="center"/>
              <w:rPr>
                <w:lang w:val="en-AU"/>
              </w:rPr>
            </w:pPr>
            <w:r w:rsidRPr="00940F72">
              <w:rPr>
                <w:lang w:val="en-AU"/>
              </w:rPr>
              <w:t>NR</w:t>
            </w:r>
          </w:p>
        </w:tc>
        <w:tc>
          <w:tcPr>
            <w:tcW w:w="629" w:type="pct"/>
          </w:tcPr>
          <w:p w:rsidR="00955300" w:rsidRPr="00940F72" w:rsidRDefault="00955300" w:rsidP="00B815A0">
            <w:pPr>
              <w:pStyle w:val="TableText0"/>
              <w:keepNext w:val="0"/>
              <w:widowControl w:val="0"/>
              <w:jc w:val="center"/>
              <w:rPr>
                <w:lang w:val="en-AU"/>
              </w:rPr>
            </w:pPr>
            <w:r w:rsidRPr="00940F72">
              <w:rPr>
                <w:lang w:val="en-AU"/>
              </w:rPr>
              <w:t>NR</w:t>
            </w:r>
          </w:p>
        </w:tc>
        <w:tc>
          <w:tcPr>
            <w:tcW w:w="551" w:type="pct"/>
          </w:tcPr>
          <w:p w:rsidR="00955300" w:rsidRPr="00940F72" w:rsidRDefault="00955300" w:rsidP="00B815A0">
            <w:pPr>
              <w:pStyle w:val="TableText0"/>
              <w:keepNext w:val="0"/>
              <w:widowControl w:val="0"/>
              <w:jc w:val="center"/>
              <w:rPr>
                <w:lang w:val="en-AU"/>
              </w:rPr>
            </w:pPr>
            <w:r w:rsidRPr="00940F72">
              <w:rPr>
                <w:lang w:val="en-AU"/>
              </w:rPr>
              <w:t>NR</w:t>
            </w:r>
          </w:p>
        </w:tc>
        <w:tc>
          <w:tcPr>
            <w:tcW w:w="681" w:type="pct"/>
          </w:tcPr>
          <w:p w:rsidR="00955300" w:rsidRPr="00940F72" w:rsidRDefault="00955300" w:rsidP="00B815A0">
            <w:pPr>
              <w:pStyle w:val="TableText0"/>
              <w:keepNext w:val="0"/>
              <w:widowControl w:val="0"/>
              <w:jc w:val="center"/>
              <w:rPr>
                <w:lang w:val="en-AU"/>
              </w:rPr>
            </w:pPr>
            <w:r w:rsidRPr="00940F72">
              <w:rPr>
                <w:lang w:val="en-AU"/>
              </w:rPr>
              <w:t>NR</w:t>
            </w:r>
          </w:p>
        </w:tc>
      </w:tr>
      <w:tr w:rsidR="00955300" w:rsidRPr="00940F72" w:rsidTr="0009553F">
        <w:trPr>
          <w:cantSplit/>
        </w:trPr>
        <w:tc>
          <w:tcPr>
            <w:tcW w:w="1332" w:type="pct"/>
            <w:gridSpan w:val="2"/>
            <w:tcBorders>
              <w:right w:val="nil"/>
            </w:tcBorders>
          </w:tcPr>
          <w:p w:rsidR="00955300" w:rsidRPr="00940F72" w:rsidRDefault="00955300" w:rsidP="00B815A0">
            <w:pPr>
              <w:pStyle w:val="TableText0"/>
              <w:keepNext w:val="0"/>
              <w:widowControl w:val="0"/>
              <w:rPr>
                <w:lang w:val="en-AU"/>
              </w:rPr>
            </w:pPr>
            <w:r w:rsidRPr="00940F72">
              <w:rPr>
                <w:b/>
                <w:bCs w:val="0"/>
                <w:lang w:val="en-AU"/>
              </w:rPr>
              <w:t>Overall survival</w:t>
            </w:r>
          </w:p>
        </w:tc>
        <w:tc>
          <w:tcPr>
            <w:tcW w:w="562" w:type="pct"/>
            <w:tcBorders>
              <w:left w:val="nil"/>
              <w:right w:val="nil"/>
            </w:tcBorders>
          </w:tcPr>
          <w:p w:rsidR="00955300" w:rsidRPr="00940F72" w:rsidRDefault="00955300" w:rsidP="00B815A0">
            <w:pPr>
              <w:pStyle w:val="TableText0"/>
              <w:keepNext w:val="0"/>
              <w:widowControl w:val="0"/>
              <w:jc w:val="center"/>
              <w:rPr>
                <w:lang w:val="en-AU"/>
              </w:rPr>
            </w:pPr>
          </w:p>
        </w:tc>
        <w:tc>
          <w:tcPr>
            <w:tcW w:w="617" w:type="pct"/>
            <w:tcBorders>
              <w:left w:val="nil"/>
              <w:right w:val="nil"/>
            </w:tcBorders>
          </w:tcPr>
          <w:p w:rsidR="00955300" w:rsidRPr="00940F72" w:rsidRDefault="00955300" w:rsidP="00B815A0">
            <w:pPr>
              <w:pStyle w:val="TableText0"/>
              <w:keepNext w:val="0"/>
              <w:widowControl w:val="0"/>
              <w:jc w:val="center"/>
              <w:rPr>
                <w:lang w:val="en-AU"/>
              </w:rPr>
            </w:pPr>
          </w:p>
        </w:tc>
        <w:tc>
          <w:tcPr>
            <w:tcW w:w="628" w:type="pct"/>
            <w:tcBorders>
              <w:left w:val="nil"/>
              <w:right w:val="nil"/>
            </w:tcBorders>
          </w:tcPr>
          <w:p w:rsidR="00955300" w:rsidRPr="00940F72" w:rsidRDefault="00955300" w:rsidP="00B815A0">
            <w:pPr>
              <w:pStyle w:val="TableText0"/>
              <w:keepNext w:val="0"/>
              <w:widowControl w:val="0"/>
              <w:jc w:val="center"/>
              <w:rPr>
                <w:lang w:val="en-AU"/>
              </w:rPr>
            </w:pPr>
          </w:p>
        </w:tc>
        <w:tc>
          <w:tcPr>
            <w:tcW w:w="629" w:type="pct"/>
            <w:tcBorders>
              <w:left w:val="nil"/>
              <w:right w:val="nil"/>
            </w:tcBorders>
          </w:tcPr>
          <w:p w:rsidR="00955300" w:rsidRPr="00940F72" w:rsidRDefault="00955300" w:rsidP="00B815A0">
            <w:pPr>
              <w:pStyle w:val="TableText0"/>
              <w:keepNext w:val="0"/>
              <w:widowControl w:val="0"/>
              <w:jc w:val="center"/>
              <w:rPr>
                <w:lang w:val="en-AU"/>
              </w:rPr>
            </w:pPr>
          </w:p>
        </w:tc>
        <w:tc>
          <w:tcPr>
            <w:tcW w:w="551" w:type="pct"/>
            <w:tcBorders>
              <w:left w:val="nil"/>
              <w:right w:val="nil"/>
            </w:tcBorders>
          </w:tcPr>
          <w:p w:rsidR="00955300" w:rsidRPr="00940F72" w:rsidRDefault="00955300" w:rsidP="00B815A0">
            <w:pPr>
              <w:pStyle w:val="TableText0"/>
              <w:keepNext w:val="0"/>
              <w:widowControl w:val="0"/>
              <w:jc w:val="center"/>
              <w:rPr>
                <w:lang w:val="en-AU"/>
              </w:rPr>
            </w:pPr>
          </w:p>
        </w:tc>
        <w:tc>
          <w:tcPr>
            <w:tcW w:w="681" w:type="pct"/>
            <w:tcBorders>
              <w:left w:val="nil"/>
            </w:tcBorders>
          </w:tcPr>
          <w:p w:rsidR="00955300" w:rsidRPr="00940F72" w:rsidRDefault="00955300" w:rsidP="00B815A0">
            <w:pPr>
              <w:pStyle w:val="TableText0"/>
              <w:keepNext w:val="0"/>
              <w:widowControl w:val="0"/>
              <w:jc w:val="center"/>
              <w:rPr>
                <w:lang w:val="en-AU"/>
              </w:rPr>
            </w:pPr>
          </w:p>
        </w:tc>
      </w:tr>
      <w:tr w:rsidR="00955300" w:rsidRPr="00940F72" w:rsidTr="0009553F">
        <w:trPr>
          <w:cantSplit/>
        </w:trPr>
        <w:tc>
          <w:tcPr>
            <w:tcW w:w="784" w:type="pct"/>
          </w:tcPr>
          <w:p w:rsidR="00955300" w:rsidRPr="00940F72" w:rsidRDefault="00955300" w:rsidP="00B815A0">
            <w:pPr>
              <w:pStyle w:val="TableText0"/>
              <w:keepNext w:val="0"/>
              <w:widowControl w:val="0"/>
              <w:rPr>
                <w:lang w:val="en-AU"/>
              </w:rPr>
            </w:pPr>
            <w:r w:rsidRPr="00940F72">
              <w:rPr>
                <w:bCs w:val="0"/>
                <w:lang w:val="en-AU"/>
              </w:rPr>
              <w:t xml:space="preserve">Median OS (months) </w:t>
            </w:r>
          </w:p>
        </w:tc>
        <w:tc>
          <w:tcPr>
            <w:tcW w:w="548" w:type="pct"/>
          </w:tcPr>
          <w:p w:rsidR="00955300" w:rsidRPr="00940F72" w:rsidRDefault="00955300" w:rsidP="00B815A0">
            <w:pPr>
              <w:pStyle w:val="TableText0"/>
              <w:keepNext w:val="0"/>
              <w:widowControl w:val="0"/>
              <w:jc w:val="center"/>
              <w:rPr>
                <w:lang w:val="en-AU"/>
              </w:rPr>
            </w:pPr>
            <w:r w:rsidRPr="00940F72">
              <w:rPr>
                <w:lang w:val="en-AU"/>
              </w:rPr>
              <w:t>27.20</w:t>
            </w:r>
          </w:p>
        </w:tc>
        <w:tc>
          <w:tcPr>
            <w:tcW w:w="562" w:type="pct"/>
          </w:tcPr>
          <w:p w:rsidR="00955300" w:rsidRPr="00940F72" w:rsidRDefault="00955300" w:rsidP="00B815A0">
            <w:pPr>
              <w:pStyle w:val="TableText0"/>
              <w:keepNext w:val="0"/>
              <w:widowControl w:val="0"/>
              <w:jc w:val="center"/>
              <w:rPr>
                <w:lang w:val="en-AU"/>
              </w:rPr>
            </w:pPr>
            <w:r w:rsidRPr="00940F72">
              <w:rPr>
                <w:lang w:val="en-AU"/>
              </w:rPr>
              <w:t>NE</w:t>
            </w:r>
          </w:p>
        </w:tc>
        <w:tc>
          <w:tcPr>
            <w:tcW w:w="617" w:type="pct"/>
          </w:tcPr>
          <w:p w:rsidR="00955300" w:rsidRPr="00940F72" w:rsidRDefault="00955300" w:rsidP="00B815A0">
            <w:pPr>
              <w:pStyle w:val="TableText0"/>
              <w:keepNext w:val="0"/>
              <w:widowControl w:val="0"/>
              <w:jc w:val="center"/>
              <w:rPr>
                <w:lang w:val="en-AU"/>
              </w:rPr>
            </w:pPr>
            <w:r w:rsidRPr="00940F72">
              <w:rPr>
                <w:iCs/>
                <w:lang w:val="en-AU"/>
              </w:rPr>
              <w:t xml:space="preserve">30.3 </w:t>
            </w:r>
          </w:p>
        </w:tc>
        <w:tc>
          <w:tcPr>
            <w:tcW w:w="628" w:type="pct"/>
          </w:tcPr>
          <w:p w:rsidR="00955300" w:rsidRPr="00940F72" w:rsidRDefault="00955300" w:rsidP="00B815A0">
            <w:pPr>
              <w:pStyle w:val="TableText0"/>
              <w:keepNext w:val="0"/>
              <w:widowControl w:val="0"/>
              <w:jc w:val="center"/>
              <w:rPr>
                <w:lang w:val="en-AU"/>
              </w:rPr>
            </w:pPr>
            <w:r w:rsidRPr="00940F72">
              <w:rPr>
                <w:iCs/>
                <w:lang w:val="en-AU"/>
              </w:rPr>
              <w:t>22.5</w:t>
            </w:r>
          </w:p>
        </w:tc>
        <w:tc>
          <w:tcPr>
            <w:tcW w:w="629" w:type="pct"/>
          </w:tcPr>
          <w:p w:rsidR="00955300" w:rsidRPr="00940F72" w:rsidRDefault="00955300" w:rsidP="00B815A0">
            <w:pPr>
              <w:pStyle w:val="TableText0"/>
              <w:keepNext w:val="0"/>
              <w:widowControl w:val="0"/>
              <w:jc w:val="center"/>
              <w:rPr>
                <w:lang w:val="en-AU"/>
              </w:rPr>
            </w:pPr>
            <w:r w:rsidRPr="00940F72">
              <w:rPr>
                <w:lang w:val="en-AU"/>
              </w:rPr>
              <w:t>NR</w:t>
            </w:r>
          </w:p>
        </w:tc>
        <w:tc>
          <w:tcPr>
            <w:tcW w:w="551" w:type="pct"/>
          </w:tcPr>
          <w:p w:rsidR="00955300" w:rsidRPr="00940F72" w:rsidRDefault="00955300" w:rsidP="00B815A0">
            <w:pPr>
              <w:pStyle w:val="TableText0"/>
              <w:keepNext w:val="0"/>
              <w:widowControl w:val="0"/>
              <w:jc w:val="center"/>
              <w:rPr>
                <w:lang w:val="en-AU"/>
              </w:rPr>
            </w:pPr>
            <w:r w:rsidRPr="00940F72">
              <w:rPr>
                <w:lang w:val="en-AU"/>
              </w:rPr>
              <w:t>NR</w:t>
            </w:r>
          </w:p>
        </w:tc>
        <w:tc>
          <w:tcPr>
            <w:tcW w:w="681" w:type="pct"/>
          </w:tcPr>
          <w:p w:rsidR="00955300" w:rsidRPr="00940F72" w:rsidRDefault="00955300" w:rsidP="00B815A0">
            <w:pPr>
              <w:pStyle w:val="TableText0"/>
              <w:keepNext w:val="0"/>
              <w:widowControl w:val="0"/>
              <w:jc w:val="center"/>
              <w:rPr>
                <w:lang w:val="en-AU"/>
              </w:rPr>
            </w:pPr>
            <w:r w:rsidRPr="00940F72">
              <w:rPr>
                <w:lang w:val="en-AU"/>
              </w:rPr>
              <w:t>NR</w:t>
            </w:r>
          </w:p>
        </w:tc>
      </w:tr>
      <w:tr w:rsidR="00955300" w:rsidRPr="00940F72" w:rsidTr="0009553F">
        <w:trPr>
          <w:cantSplit/>
        </w:trPr>
        <w:tc>
          <w:tcPr>
            <w:tcW w:w="784" w:type="pct"/>
          </w:tcPr>
          <w:p w:rsidR="00955300" w:rsidRPr="00940F72" w:rsidRDefault="00955300" w:rsidP="00B815A0">
            <w:pPr>
              <w:pStyle w:val="TableText0"/>
              <w:keepNext w:val="0"/>
              <w:widowControl w:val="0"/>
              <w:rPr>
                <w:bCs w:val="0"/>
                <w:lang w:val="en-AU"/>
              </w:rPr>
            </w:pPr>
            <w:r w:rsidRPr="00940F72">
              <w:rPr>
                <w:bCs w:val="0"/>
                <w:lang w:val="en-AU"/>
              </w:rPr>
              <w:t>95% CI</w:t>
            </w:r>
          </w:p>
        </w:tc>
        <w:tc>
          <w:tcPr>
            <w:tcW w:w="548" w:type="pct"/>
          </w:tcPr>
          <w:p w:rsidR="00955300" w:rsidRPr="00940F72" w:rsidRDefault="00955300" w:rsidP="00B815A0">
            <w:pPr>
              <w:pStyle w:val="TableText0"/>
              <w:keepNext w:val="0"/>
              <w:widowControl w:val="0"/>
              <w:jc w:val="center"/>
              <w:rPr>
                <w:lang w:val="en-AU"/>
              </w:rPr>
            </w:pPr>
            <w:r w:rsidRPr="00940F72">
              <w:rPr>
                <w:lang w:val="en-AU"/>
              </w:rPr>
              <w:t>(18.9, 38.2)</w:t>
            </w:r>
          </w:p>
        </w:tc>
        <w:tc>
          <w:tcPr>
            <w:tcW w:w="562" w:type="pct"/>
          </w:tcPr>
          <w:p w:rsidR="00955300" w:rsidRPr="00940F72" w:rsidRDefault="00955300" w:rsidP="00B815A0">
            <w:pPr>
              <w:pStyle w:val="TableText0"/>
              <w:keepNext w:val="0"/>
              <w:widowControl w:val="0"/>
              <w:jc w:val="center"/>
              <w:rPr>
                <w:lang w:val="en-AU"/>
              </w:rPr>
            </w:pPr>
            <w:r w:rsidRPr="00940F72">
              <w:rPr>
                <w:lang w:val="en-AU"/>
              </w:rPr>
              <w:t>(NE, NE)</w:t>
            </w:r>
          </w:p>
        </w:tc>
        <w:tc>
          <w:tcPr>
            <w:tcW w:w="617" w:type="pct"/>
          </w:tcPr>
          <w:p w:rsidR="00955300" w:rsidRPr="00940F72" w:rsidRDefault="00955300" w:rsidP="00B815A0">
            <w:pPr>
              <w:pStyle w:val="TableText0"/>
              <w:keepNext w:val="0"/>
              <w:widowControl w:val="0"/>
              <w:jc w:val="center"/>
              <w:rPr>
                <w:iCs/>
                <w:lang w:val="en-AU"/>
              </w:rPr>
            </w:pPr>
            <w:r w:rsidRPr="00940F72">
              <w:rPr>
                <w:iCs/>
                <w:lang w:val="en-AU"/>
              </w:rPr>
              <w:t>(NR)</w:t>
            </w:r>
          </w:p>
        </w:tc>
        <w:tc>
          <w:tcPr>
            <w:tcW w:w="628" w:type="pct"/>
          </w:tcPr>
          <w:p w:rsidR="00955300" w:rsidRPr="00940F72" w:rsidRDefault="00955300" w:rsidP="00B815A0">
            <w:pPr>
              <w:pStyle w:val="TableText0"/>
              <w:keepNext w:val="0"/>
              <w:widowControl w:val="0"/>
              <w:jc w:val="center"/>
              <w:rPr>
                <w:iCs/>
                <w:lang w:val="en-AU"/>
              </w:rPr>
            </w:pPr>
            <w:r w:rsidRPr="00940F72">
              <w:rPr>
                <w:iCs/>
                <w:lang w:val="en-AU"/>
              </w:rPr>
              <w:t>(13.7,</w:t>
            </w:r>
            <w:r w:rsidR="00766DB4" w:rsidRPr="00940F72">
              <w:rPr>
                <w:iCs/>
                <w:lang w:val="en-AU"/>
              </w:rPr>
              <w:t xml:space="preserve"> </w:t>
            </w:r>
            <w:r w:rsidRPr="00940F72">
              <w:rPr>
                <w:iCs/>
                <w:lang w:val="en-AU"/>
              </w:rPr>
              <w:t>NE)</w:t>
            </w:r>
          </w:p>
        </w:tc>
        <w:tc>
          <w:tcPr>
            <w:tcW w:w="629" w:type="pct"/>
          </w:tcPr>
          <w:p w:rsidR="00955300" w:rsidRPr="00940F72" w:rsidRDefault="00955300" w:rsidP="00B815A0">
            <w:pPr>
              <w:pStyle w:val="TableText0"/>
              <w:keepNext w:val="0"/>
              <w:widowControl w:val="0"/>
              <w:jc w:val="center"/>
              <w:rPr>
                <w:lang w:val="en-AU"/>
              </w:rPr>
            </w:pPr>
          </w:p>
        </w:tc>
        <w:tc>
          <w:tcPr>
            <w:tcW w:w="551" w:type="pct"/>
          </w:tcPr>
          <w:p w:rsidR="00955300" w:rsidRPr="00940F72" w:rsidRDefault="00955300" w:rsidP="00B815A0">
            <w:pPr>
              <w:pStyle w:val="TableText0"/>
              <w:keepNext w:val="0"/>
              <w:widowControl w:val="0"/>
              <w:jc w:val="center"/>
              <w:rPr>
                <w:lang w:val="en-AU"/>
              </w:rPr>
            </w:pPr>
          </w:p>
        </w:tc>
        <w:tc>
          <w:tcPr>
            <w:tcW w:w="681" w:type="pct"/>
          </w:tcPr>
          <w:p w:rsidR="00955300" w:rsidRPr="00940F72" w:rsidRDefault="00955300" w:rsidP="00B815A0">
            <w:pPr>
              <w:pStyle w:val="TableText0"/>
              <w:keepNext w:val="0"/>
              <w:widowControl w:val="0"/>
              <w:jc w:val="center"/>
              <w:rPr>
                <w:lang w:val="en-AU"/>
              </w:rPr>
            </w:pPr>
          </w:p>
        </w:tc>
      </w:tr>
      <w:tr w:rsidR="00955300" w:rsidRPr="00940F72" w:rsidTr="0009553F">
        <w:trPr>
          <w:cantSplit/>
        </w:trPr>
        <w:tc>
          <w:tcPr>
            <w:tcW w:w="784" w:type="pct"/>
          </w:tcPr>
          <w:p w:rsidR="00955300" w:rsidRPr="00940F72" w:rsidRDefault="00955300" w:rsidP="00B815A0">
            <w:pPr>
              <w:pStyle w:val="TableText0"/>
              <w:keepNext w:val="0"/>
              <w:widowControl w:val="0"/>
              <w:rPr>
                <w:bCs w:val="0"/>
                <w:lang w:val="en-AU"/>
              </w:rPr>
            </w:pPr>
            <w:r w:rsidRPr="00940F72">
              <w:rPr>
                <w:bCs w:val="0"/>
                <w:lang w:val="en-AU"/>
              </w:rPr>
              <w:t xml:space="preserve">24-month OS rate, % </w:t>
            </w:r>
          </w:p>
          <w:p w:rsidR="00955300" w:rsidRPr="00940F72" w:rsidRDefault="00955300" w:rsidP="00B815A0">
            <w:pPr>
              <w:pStyle w:val="TableText0"/>
              <w:keepNext w:val="0"/>
              <w:widowControl w:val="0"/>
              <w:rPr>
                <w:bCs w:val="0"/>
                <w:lang w:val="en-AU"/>
              </w:rPr>
            </w:pPr>
            <w:r w:rsidRPr="00940F72">
              <w:rPr>
                <w:bCs w:val="0"/>
                <w:lang w:val="en-AU"/>
              </w:rPr>
              <w:t>95% CI, %</w:t>
            </w:r>
          </w:p>
        </w:tc>
        <w:tc>
          <w:tcPr>
            <w:tcW w:w="548" w:type="pct"/>
          </w:tcPr>
          <w:p w:rsidR="00955300" w:rsidRPr="00940F72" w:rsidRDefault="00955300" w:rsidP="00B815A0">
            <w:pPr>
              <w:pStyle w:val="TableText0"/>
              <w:keepNext w:val="0"/>
              <w:widowControl w:val="0"/>
              <w:jc w:val="center"/>
              <w:rPr>
                <w:lang w:val="en-AU"/>
              </w:rPr>
            </w:pPr>
            <w:r w:rsidRPr="00940F72">
              <w:rPr>
                <w:lang w:val="en-AU"/>
              </w:rPr>
              <w:t>NR</w:t>
            </w:r>
          </w:p>
        </w:tc>
        <w:tc>
          <w:tcPr>
            <w:tcW w:w="562" w:type="pct"/>
          </w:tcPr>
          <w:p w:rsidR="00955300" w:rsidRPr="00940F72" w:rsidRDefault="00955300" w:rsidP="00B815A0">
            <w:pPr>
              <w:pStyle w:val="TableText0"/>
              <w:keepNext w:val="0"/>
              <w:widowControl w:val="0"/>
              <w:jc w:val="center"/>
              <w:rPr>
                <w:lang w:val="en-AU"/>
              </w:rPr>
            </w:pPr>
            <w:r w:rsidRPr="00940F72">
              <w:rPr>
                <w:lang w:val="en-AU"/>
              </w:rPr>
              <w:t>NR</w:t>
            </w:r>
          </w:p>
        </w:tc>
        <w:tc>
          <w:tcPr>
            <w:tcW w:w="617" w:type="pct"/>
          </w:tcPr>
          <w:p w:rsidR="00955300" w:rsidRPr="00940F72" w:rsidRDefault="00955300" w:rsidP="00B815A0">
            <w:pPr>
              <w:pStyle w:val="TableText0"/>
              <w:keepNext w:val="0"/>
              <w:widowControl w:val="0"/>
              <w:jc w:val="center"/>
              <w:rPr>
                <w:iCs/>
                <w:lang w:val="en-AU"/>
              </w:rPr>
            </w:pPr>
            <w:r w:rsidRPr="00940F72">
              <w:rPr>
                <w:lang w:val="en-AU"/>
              </w:rPr>
              <w:t>NR</w:t>
            </w:r>
          </w:p>
        </w:tc>
        <w:tc>
          <w:tcPr>
            <w:tcW w:w="628" w:type="pct"/>
          </w:tcPr>
          <w:p w:rsidR="00955300" w:rsidRPr="00940F72" w:rsidRDefault="00955300" w:rsidP="00B815A0">
            <w:pPr>
              <w:pStyle w:val="TableHeading0"/>
              <w:keepNext w:val="0"/>
              <w:keepLines w:val="0"/>
              <w:widowControl w:val="0"/>
              <w:jc w:val="center"/>
              <w:rPr>
                <w:b w:val="0"/>
                <w:iCs/>
                <w:lang w:val="en-AU"/>
              </w:rPr>
            </w:pPr>
            <w:r w:rsidRPr="00940F72">
              <w:rPr>
                <w:b w:val="0"/>
                <w:iCs/>
                <w:lang w:val="en-AU"/>
              </w:rPr>
              <w:t>47.0</w:t>
            </w:r>
            <w:r w:rsidR="008D0E42" w:rsidRPr="00940F72">
              <w:rPr>
                <w:b w:val="0"/>
                <w:iCs/>
                <w:vertAlign w:val="superscript"/>
                <w:lang w:val="en-AU"/>
              </w:rPr>
              <w:t>e</w:t>
            </w:r>
          </w:p>
          <w:p w:rsidR="00955300" w:rsidRPr="00940F72" w:rsidRDefault="00955300" w:rsidP="00B815A0">
            <w:pPr>
              <w:pStyle w:val="TableText0"/>
              <w:keepNext w:val="0"/>
              <w:widowControl w:val="0"/>
              <w:jc w:val="center"/>
              <w:rPr>
                <w:iCs/>
                <w:lang w:val="en-AU"/>
              </w:rPr>
            </w:pPr>
            <w:r w:rsidRPr="00940F72">
              <w:rPr>
                <w:iCs/>
                <w:lang w:val="en-AU"/>
              </w:rPr>
              <w:t>(37.1, 56.9)</w:t>
            </w:r>
          </w:p>
        </w:tc>
        <w:tc>
          <w:tcPr>
            <w:tcW w:w="629" w:type="pct"/>
          </w:tcPr>
          <w:p w:rsidR="00955300" w:rsidRPr="00940F72" w:rsidRDefault="00955300" w:rsidP="00B815A0">
            <w:pPr>
              <w:pStyle w:val="TableText0"/>
              <w:keepNext w:val="0"/>
              <w:widowControl w:val="0"/>
              <w:jc w:val="center"/>
              <w:rPr>
                <w:lang w:val="en-AU"/>
              </w:rPr>
            </w:pPr>
            <w:r w:rsidRPr="00940F72">
              <w:rPr>
                <w:lang w:val="en-AU"/>
              </w:rPr>
              <w:t>NR</w:t>
            </w:r>
          </w:p>
        </w:tc>
        <w:tc>
          <w:tcPr>
            <w:tcW w:w="551" w:type="pct"/>
          </w:tcPr>
          <w:p w:rsidR="00955300" w:rsidRPr="00940F72" w:rsidRDefault="00955300" w:rsidP="00B815A0">
            <w:pPr>
              <w:pStyle w:val="TableText0"/>
              <w:keepNext w:val="0"/>
              <w:widowControl w:val="0"/>
              <w:jc w:val="center"/>
              <w:rPr>
                <w:lang w:val="en-AU"/>
              </w:rPr>
            </w:pPr>
            <w:r w:rsidRPr="00940F72">
              <w:rPr>
                <w:lang w:val="en-AU"/>
              </w:rPr>
              <w:t>NR</w:t>
            </w:r>
          </w:p>
        </w:tc>
        <w:tc>
          <w:tcPr>
            <w:tcW w:w="681" w:type="pct"/>
          </w:tcPr>
          <w:p w:rsidR="00955300" w:rsidRPr="00940F72" w:rsidRDefault="00955300" w:rsidP="00B815A0">
            <w:pPr>
              <w:pStyle w:val="TableText0"/>
              <w:keepNext w:val="0"/>
              <w:widowControl w:val="0"/>
              <w:jc w:val="center"/>
              <w:rPr>
                <w:lang w:val="en-AU"/>
              </w:rPr>
            </w:pPr>
            <w:r w:rsidRPr="00940F72">
              <w:rPr>
                <w:lang w:val="en-AU"/>
              </w:rPr>
              <w:t>NR</w:t>
            </w:r>
          </w:p>
        </w:tc>
      </w:tr>
    </w:tbl>
    <w:p w:rsidR="00955300" w:rsidRPr="00940F72" w:rsidRDefault="00955300" w:rsidP="00B815A0">
      <w:pPr>
        <w:pStyle w:val="TableFigureFooter"/>
        <w:widowControl w:val="0"/>
      </w:pPr>
      <w:r w:rsidRPr="00940F72">
        <w:t>NA= not applicable, NR=not reported; NE=not estimable; ORR=overall response rate; CR=complete response; PFS=progression-free survival; OS=overall survival.</w:t>
      </w:r>
    </w:p>
    <w:p w:rsidR="00955300" w:rsidRPr="00940F72" w:rsidRDefault="00955300" w:rsidP="00B815A0">
      <w:pPr>
        <w:pStyle w:val="TableFigureFooter"/>
        <w:widowControl w:val="0"/>
      </w:pPr>
      <w:r w:rsidRPr="00940F72">
        <w:rPr>
          <w:rStyle w:val="CommentReference"/>
          <w:b w:val="0"/>
          <w:sz w:val="18"/>
          <w:szCs w:val="22"/>
          <w:vertAlign w:val="superscript"/>
        </w:rPr>
        <w:t>a</w:t>
      </w:r>
      <w:r w:rsidRPr="00940F72">
        <w:rPr>
          <w:rStyle w:val="CommentReference"/>
          <w:b w:val="0"/>
          <w:sz w:val="18"/>
          <w:szCs w:val="22"/>
        </w:rPr>
        <w:t xml:space="preserve"> Pooled ibrutinib studies= MCL-3001/ RAY + PCYC-1104 + MCL-2001/ SPARK + MCL-2002</w:t>
      </w:r>
    </w:p>
    <w:p w:rsidR="008D0E42" w:rsidRPr="00940F72" w:rsidRDefault="008D0E42" w:rsidP="00B815A0">
      <w:pPr>
        <w:pStyle w:val="TableFigureFooter"/>
        <w:widowControl w:val="0"/>
        <w:rPr>
          <w:iCs/>
          <w:vertAlign w:val="superscript"/>
        </w:rPr>
      </w:pPr>
      <w:r w:rsidRPr="00940F72">
        <w:rPr>
          <w:iCs/>
          <w:vertAlign w:val="superscript"/>
        </w:rPr>
        <w:t>b</w:t>
      </w:r>
      <w:r w:rsidRPr="00940F72">
        <w:rPr>
          <w:iCs/>
        </w:rPr>
        <w:t xml:space="preserve"> Later data cuts not reported. The submission used the latest values</w:t>
      </w:r>
      <w:r w:rsidR="005A7831" w:rsidRPr="00940F72">
        <w:rPr>
          <w:iCs/>
        </w:rPr>
        <w:t>.</w:t>
      </w:r>
      <w:r w:rsidRPr="00940F72" w:rsidDel="008D0E42">
        <w:rPr>
          <w:iCs/>
          <w:vertAlign w:val="superscript"/>
        </w:rPr>
        <w:t xml:space="preserve"> </w:t>
      </w:r>
    </w:p>
    <w:p w:rsidR="008D0E42" w:rsidRPr="00940F72" w:rsidRDefault="008D0E42" w:rsidP="00B815A0">
      <w:pPr>
        <w:pStyle w:val="TableFigureFooter"/>
        <w:widowControl w:val="0"/>
        <w:rPr>
          <w:iCs/>
          <w:vertAlign w:val="superscript"/>
        </w:rPr>
      </w:pPr>
      <w:r w:rsidRPr="00940F72">
        <w:rPr>
          <w:rFonts w:eastAsia="Calibri"/>
          <w:iCs/>
          <w:vertAlign w:val="superscript"/>
        </w:rPr>
        <w:t>c</w:t>
      </w:r>
      <w:r w:rsidR="001F4743" w:rsidRPr="00940F72">
        <w:rPr>
          <w:rFonts w:eastAsia="Calibri"/>
          <w:iCs/>
          <w:vertAlign w:val="superscript"/>
        </w:rPr>
        <w:t xml:space="preserve"> </w:t>
      </w:r>
      <w:r w:rsidRPr="00940F72">
        <w:rPr>
          <w:rFonts w:eastAsia="Calibri"/>
          <w:iCs/>
        </w:rPr>
        <w:t xml:space="preserve">For MCL-3001/RAY and PCYC-1104 ibrutinib trials, ORR and CR were available from later data cuts. Source: </w:t>
      </w:r>
      <w:r w:rsidRPr="00940F72">
        <w:rPr>
          <w:iCs/>
        </w:rPr>
        <w:t>MCL-3001/RAY latest data was extracted from Rule 2018 (p1801); PCYC-1104 from Wang 2015 p741</w:t>
      </w:r>
    </w:p>
    <w:p w:rsidR="00955300" w:rsidRPr="00940F72" w:rsidRDefault="008D0E42" w:rsidP="00B815A0">
      <w:pPr>
        <w:pStyle w:val="TableFigureFooter"/>
        <w:widowControl w:val="0"/>
        <w:rPr>
          <w:rFonts w:eastAsia="Calibri"/>
          <w:iCs/>
        </w:rPr>
      </w:pPr>
      <w:r w:rsidRPr="00940F72">
        <w:rPr>
          <w:iCs/>
          <w:vertAlign w:val="superscript"/>
        </w:rPr>
        <w:t xml:space="preserve">d </w:t>
      </w:r>
      <w:r w:rsidR="00955300" w:rsidRPr="00940F72">
        <w:rPr>
          <w:rFonts w:eastAsia="Calibri"/>
          <w:iCs/>
        </w:rPr>
        <w:t>Response evaluable population (n=110), SPARK CSR p4.</w:t>
      </w:r>
    </w:p>
    <w:p w:rsidR="008D0E42" w:rsidRPr="00940F72" w:rsidRDefault="008D0E42" w:rsidP="00B815A0">
      <w:pPr>
        <w:pStyle w:val="TableFigureFooter"/>
        <w:widowControl w:val="0"/>
      </w:pPr>
      <w:r w:rsidRPr="00940F72">
        <w:rPr>
          <w:iCs/>
          <w:vertAlign w:val="superscript"/>
        </w:rPr>
        <w:t xml:space="preserve">e </w:t>
      </w:r>
      <w:r w:rsidRPr="00940F72">
        <w:rPr>
          <w:iCs/>
        </w:rPr>
        <w:t>Source: Rule 2019, Table 1, p211</w:t>
      </w:r>
    </w:p>
    <w:p w:rsidR="00955300" w:rsidRPr="00940F72" w:rsidRDefault="00955300" w:rsidP="00B815A0">
      <w:pPr>
        <w:pStyle w:val="TableFigureFooter"/>
        <w:widowControl w:val="0"/>
      </w:pPr>
      <w:r w:rsidRPr="00940F72">
        <w:t>Source:</w:t>
      </w:r>
      <w:r w:rsidRPr="00940F72">
        <w:rPr>
          <w:iCs/>
        </w:rPr>
        <w:t xml:space="preserve"> </w:t>
      </w:r>
      <w:r w:rsidRPr="00940F72">
        <w:t>Tables 2.37- 2.39</w:t>
      </w:r>
      <w:r w:rsidR="00431B32" w:rsidRPr="00940F72">
        <w:t>, pp79</w:t>
      </w:r>
      <w:r w:rsidRPr="00940F72">
        <w:t>-81 of the submission; Tables 2.42-2.44, pp82-83 of the submission.</w:t>
      </w:r>
    </w:p>
    <w:p w:rsidR="00406A95" w:rsidRPr="00940F72" w:rsidRDefault="00406A95" w:rsidP="00B815A0">
      <w:pPr>
        <w:pStyle w:val="TableFigureFooter"/>
        <w:widowControl w:val="0"/>
      </w:pPr>
    </w:p>
    <w:bookmarkEnd w:id="27"/>
    <w:p w:rsidR="00955300" w:rsidRPr="00940F72" w:rsidRDefault="00955300" w:rsidP="00955300">
      <w:pPr>
        <w:pStyle w:val="3-BodyText"/>
      </w:pPr>
      <w:r w:rsidRPr="00940F72">
        <w:rPr>
          <w:iCs/>
        </w:rPr>
        <w:t>For MCL-3001/RAY and PCYC-1104 ibrutinib trials, ORR and CR were available from later data cuts</w:t>
      </w:r>
      <w:r w:rsidRPr="00940F72">
        <w:t>.</w:t>
      </w:r>
      <w:r w:rsidRPr="00940F72">
        <w:rPr>
          <w:rStyle w:val="FootnoteReference"/>
          <w:iCs/>
        </w:rPr>
        <w:footnoteReference w:id="1"/>
      </w:r>
      <w:r w:rsidRPr="00940F72">
        <w:rPr>
          <w:iCs/>
        </w:rPr>
        <w:t xml:space="preserve"> </w:t>
      </w:r>
      <w:r w:rsidR="00FC7386" w:rsidRPr="00940F72">
        <w:rPr>
          <w:iCs/>
        </w:rPr>
        <w:t>The l</w:t>
      </w:r>
      <w:r w:rsidRPr="00940F72">
        <w:rPr>
          <w:iCs/>
        </w:rPr>
        <w:t xml:space="preserve">atest data were not reported in the submission. Response rates with the extended follow-up data </w:t>
      </w:r>
      <w:r w:rsidR="00C57D94" w:rsidRPr="00940F72">
        <w:rPr>
          <w:iCs/>
        </w:rPr>
        <w:t xml:space="preserve">are </w:t>
      </w:r>
      <w:r w:rsidRPr="00940F72">
        <w:rPr>
          <w:iCs/>
        </w:rPr>
        <w:t xml:space="preserve">shown in Table </w:t>
      </w:r>
      <w:r w:rsidR="00DF69D8" w:rsidRPr="00940F72">
        <w:rPr>
          <w:iCs/>
        </w:rPr>
        <w:t>5</w:t>
      </w:r>
      <w:r w:rsidRPr="00940F72">
        <w:rPr>
          <w:iCs/>
        </w:rPr>
        <w:t xml:space="preserve"> for comparison.</w:t>
      </w:r>
    </w:p>
    <w:p w:rsidR="00955300" w:rsidRPr="00940F72" w:rsidRDefault="00955300" w:rsidP="00955300">
      <w:pPr>
        <w:pStyle w:val="3-BodyText"/>
        <w:rPr>
          <w:iCs/>
        </w:rPr>
      </w:pPr>
      <w:r w:rsidRPr="00940F72">
        <w:rPr>
          <w:iCs/>
        </w:rPr>
        <w:t>The ORR and CR observed for zanubrutinib were higher than that observed for ibrutinib, individually (except for ORR in MCL-2002) and pooled.</w:t>
      </w:r>
    </w:p>
    <w:p w:rsidR="00955300" w:rsidRPr="00940F72" w:rsidRDefault="00955300" w:rsidP="00955300">
      <w:pPr>
        <w:pStyle w:val="3-BodyText"/>
      </w:pPr>
      <w:r w:rsidRPr="00940F72">
        <w:rPr>
          <w:iCs/>
        </w:rPr>
        <w:t>Median PFS values observed for zanubrutinib in Study 206 and Study AU-003 were higher than those observed for ibrutinib in the MCL-3001/RAY, PCYC-1104, and MCL-2001/SPARK studies, individually and pooled. No PFS data were available for MCL-2002.</w:t>
      </w:r>
    </w:p>
    <w:p w:rsidR="00955300" w:rsidRPr="00940F72" w:rsidRDefault="00955300" w:rsidP="00955300">
      <w:pPr>
        <w:pStyle w:val="3-BodyText"/>
      </w:pPr>
      <w:r w:rsidRPr="00940F72">
        <w:rPr>
          <w:iCs/>
        </w:rPr>
        <w:t>The median OS value observed for zanubrutinib in study AU-003 (27.2 months) was higher than OS observed for PCYC-1104 (22.5 months) and lower than MCL-3001/RAY (30.3 months). OS data were not presented for the other studies. No additional OS data were found during the evaluation.</w:t>
      </w:r>
    </w:p>
    <w:p w:rsidR="00955300" w:rsidRPr="00940F72" w:rsidRDefault="00955300" w:rsidP="00955300">
      <w:pPr>
        <w:pStyle w:val="3-BodyText"/>
      </w:pPr>
      <w:r w:rsidRPr="00940F72">
        <w:rPr>
          <w:iCs/>
        </w:rPr>
        <w:t>Due to the differences in observed and unobserved baseline patient and disease characteristics (paragraph 6.1</w:t>
      </w:r>
      <w:r w:rsidR="00F414C0" w:rsidRPr="00940F72">
        <w:rPr>
          <w:iCs/>
        </w:rPr>
        <w:t>4</w:t>
      </w:r>
      <w:r w:rsidRPr="00940F72">
        <w:rPr>
          <w:iCs/>
        </w:rPr>
        <w:t>), any drug treatment effects observed in the whole study populations may be confounded.</w:t>
      </w:r>
      <w:r w:rsidRPr="00940F72">
        <w:t xml:space="preserve"> </w:t>
      </w:r>
      <w:r w:rsidRPr="00940F72">
        <w:rPr>
          <w:iCs/>
        </w:rPr>
        <w:t>A MAIC analysis was conducted to adjust for the differences</w:t>
      </w:r>
      <w:r w:rsidR="00C57D94" w:rsidRPr="00940F72">
        <w:rPr>
          <w:iCs/>
        </w:rPr>
        <w:t xml:space="preserve"> in baseline characteristics</w:t>
      </w:r>
      <w:r w:rsidRPr="00940F72">
        <w:rPr>
          <w:iCs/>
        </w:rPr>
        <w:t>.</w:t>
      </w:r>
    </w:p>
    <w:p w:rsidR="00C57D94" w:rsidRPr="00940F72" w:rsidRDefault="00C57D94" w:rsidP="00955300">
      <w:pPr>
        <w:pStyle w:val="3-BodyText"/>
      </w:pPr>
      <w:r w:rsidRPr="00940F72">
        <w:rPr>
          <w:iCs/>
        </w:rPr>
        <w:t>The submission did not discuss whether expert clinical opinion was sought to select the baseline characteristics to be matched.</w:t>
      </w:r>
      <w:r w:rsidRPr="00940F72">
        <w:t xml:space="preserve"> </w:t>
      </w:r>
      <w:r w:rsidRPr="00940F72">
        <w:rPr>
          <w:iCs/>
        </w:rPr>
        <w:t>For unanchored MAICs, all effect modifiers and prognostic variables should be taken into account (Phillippo 2018). There is an unknown risk of bias due to the potential for missing effect modifiers or prognostic variables in the MAIC</w:t>
      </w:r>
      <w:r w:rsidR="00820086" w:rsidRPr="00940F72">
        <w:rPr>
          <w:iCs/>
        </w:rPr>
        <w:t>.</w:t>
      </w:r>
    </w:p>
    <w:p w:rsidR="00955300" w:rsidRPr="00940F72" w:rsidRDefault="00955300" w:rsidP="00955300">
      <w:pPr>
        <w:pStyle w:val="3-BodyText"/>
      </w:pPr>
      <w:r w:rsidRPr="00940F72">
        <w:rPr>
          <w:iCs/>
        </w:rPr>
        <w:t>Patient-reported outcomes were not collected in the zanubrutinib trials, Study 206 and Study AU-003. No</w:t>
      </w:r>
      <w:r w:rsidR="001F157F" w:rsidRPr="00940F72">
        <w:rPr>
          <w:iCs/>
        </w:rPr>
        <w:t xml:space="preserve"> </w:t>
      </w:r>
      <w:r w:rsidR="001F157F" w:rsidRPr="00940F72">
        <w:t>health</w:t>
      </w:r>
      <w:r w:rsidR="00BC0C09">
        <w:t>-</w:t>
      </w:r>
      <w:r w:rsidR="001F157F" w:rsidRPr="00940F72">
        <w:t>related quality of life</w:t>
      </w:r>
      <w:r w:rsidRPr="00940F72">
        <w:rPr>
          <w:iCs/>
        </w:rPr>
        <w:t xml:space="preserve"> results were provided in the submission for the MCL-3001/RAY, PCYC-1104 studies or the pooled analysis of ibrutinib studies</w:t>
      </w:r>
      <w:r w:rsidR="00DB1AA9" w:rsidRPr="00940F72">
        <w:rPr>
          <w:iCs/>
        </w:rPr>
        <w:t>.</w:t>
      </w:r>
    </w:p>
    <w:p w:rsidR="00955300" w:rsidRPr="00940F72" w:rsidRDefault="00955300" w:rsidP="00955300">
      <w:pPr>
        <w:pStyle w:val="5-SubsectionSubheading"/>
      </w:pPr>
      <w:bookmarkStart w:id="28" w:name="_Toc72318703"/>
      <w:r w:rsidRPr="00940F72">
        <w:t>Matching Adjusted Indirect Comparison</w:t>
      </w:r>
      <w:bookmarkEnd w:id="28"/>
      <w:r w:rsidR="007A0236" w:rsidRPr="00940F72">
        <w:t xml:space="preserve"> (MAIC)</w:t>
      </w:r>
    </w:p>
    <w:p w:rsidR="00955300" w:rsidRPr="00940F72" w:rsidRDefault="00955300" w:rsidP="00A7092F">
      <w:pPr>
        <w:pStyle w:val="3-BodyText"/>
        <w:rPr>
          <w:color w:val="0066FF"/>
        </w:rPr>
      </w:pPr>
      <w:r w:rsidRPr="00940F72">
        <w:t xml:space="preserve">The submission presented an unanchored MAIC using individual patient data from the two zanubrutinib trials (Study 206 and Study AU-003) and aggregated pooled data from PYCY-1104, MCL-2001/SPARK and MCL-3001/RAY (ibrutinib dataset referred to as “POOLED”). The MAIC was presented as the base case analysis of clinical evidence for effectiveness. </w:t>
      </w:r>
    </w:p>
    <w:p w:rsidR="00FC262A" w:rsidRPr="00940F72" w:rsidRDefault="00FC262A" w:rsidP="00955300">
      <w:pPr>
        <w:pStyle w:val="3-BodyText"/>
        <w:rPr>
          <w:color w:val="0066FF"/>
        </w:rPr>
      </w:pPr>
      <w:r w:rsidRPr="00940F72">
        <w:rPr>
          <w:iCs/>
          <w:lang w:eastAsia="en-US"/>
        </w:rPr>
        <w:t>To adjust for differences in baseline characteristics using the entropy based MAIC analysis, patients in trials with</w:t>
      </w:r>
      <w:r w:rsidR="00C11D4D" w:rsidRPr="00940F72">
        <w:rPr>
          <w:iCs/>
          <w:lang w:eastAsia="en-US"/>
        </w:rPr>
        <w:t xml:space="preserve"> individual patient data</w:t>
      </w:r>
      <w:r w:rsidRPr="00940F72">
        <w:rPr>
          <w:iCs/>
          <w:lang w:eastAsia="en-US"/>
        </w:rPr>
        <w:t xml:space="preserve"> </w:t>
      </w:r>
      <w:r w:rsidR="00C11D4D" w:rsidRPr="00940F72">
        <w:rPr>
          <w:iCs/>
          <w:lang w:eastAsia="en-US"/>
        </w:rPr>
        <w:t>(</w:t>
      </w:r>
      <w:r w:rsidRPr="00940F72">
        <w:rPr>
          <w:iCs/>
          <w:lang w:eastAsia="en-US"/>
        </w:rPr>
        <w:t>IPD</w:t>
      </w:r>
      <w:r w:rsidR="00C11D4D" w:rsidRPr="00940F72">
        <w:rPr>
          <w:iCs/>
          <w:lang w:eastAsia="en-US"/>
        </w:rPr>
        <w:t>)</w:t>
      </w:r>
      <w:r w:rsidRPr="00940F72">
        <w:rPr>
          <w:iCs/>
          <w:lang w:eastAsia="en-US"/>
        </w:rPr>
        <w:t xml:space="preserve"> are balanced to create weighted mean baseline characteristics that match those reported for trials without IPD (Hainmueller 2012). In this submission, it is possible that IPD from patients in Study 206 and Study AU-003 were balanced such that the weighted mean baseline characteristics </w:t>
      </w:r>
      <w:r w:rsidRPr="00940F72">
        <w:rPr>
          <w:bCs/>
          <w:iCs/>
          <w:lang w:eastAsia="en-US"/>
        </w:rPr>
        <w:t>closely</w:t>
      </w:r>
      <w:r w:rsidRPr="00940F72">
        <w:rPr>
          <w:iCs/>
          <w:lang w:eastAsia="en-US"/>
        </w:rPr>
        <w:t xml:space="preserve"> matched those reported for patients in the aggregate ibrutinib studies</w:t>
      </w:r>
      <w:r w:rsidRPr="00940F72">
        <w:rPr>
          <w:lang w:eastAsia="en-US"/>
        </w:rPr>
        <w:t>.</w:t>
      </w:r>
    </w:p>
    <w:p w:rsidR="00955300" w:rsidRPr="00940F72" w:rsidRDefault="00955300" w:rsidP="00955300">
      <w:pPr>
        <w:pStyle w:val="3-BodyText"/>
        <w:rPr>
          <w:color w:val="0066FF"/>
        </w:rPr>
      </w:pPr>
      <w:r w:rsidRPr="00940F72">
        <w:rPr>
          <w:iCs/>
          <w:snapToGrid/>
        </w:rPr>
        <w:t xml:space="preserve">The R program code and output for the MAIC analysis were provided with the submission. </w:t>
      </w:r>
      <w:bookmarkStart w:id="29" w:name="_Hlk69677938"/>
      <w:r w:rsidRPr="00940F72">
        <w:rPr>
          <w:iCs/>
          <w:snapToGrid/>
        </w:rPr>
        <w:t xml:space="preserve">The log file output matched what was presented in the </w:t>
      </w:r>
      <w:r w:rsidR="00E269CC" w:rsidRPr="00940F72">
        <w:rPr>
          <w:iCs/>
          <w:snapToGrid/>
        </w:rPr>
        <w:t>submission;</w:t>
      </w:r>
      <w:r w:rsidR="00FC7386" w:rsidRPr="00940F72">
        <w:rPr>
          <w:iCs/>
          <w:snapToGrid/>
        </w:rPr>
        <w:t xml:space="preserve"> </w:t>
      </w:r>
      <w:r w:rsidRPr="00940F72">
        <w:rPr>
          <w:iCs/>
          <w:snapToGrid/>
        </w:rPr>
        <w:t xml:space="preserve">however, it was not possible to verify the MAIC results because </w:t>
      </w:r>
      <w:bookmarkEnd w:id="29"/>
      <w:r w:rsidRPr="00940F72">
        <w:rPr>
          <w:iCs/>
          <w:snapToGrid/>
        </w:rPr>
        <w:t>the</w:t>
      </w:r>
      <w:r w:rsidR="00C11D4D" w:rsidRPr="00940F72">
        <w:rPr>
          <w:iCs/>
          <w:snapToGrid/>
        </w:rPr>
        <w:t xml:space="preserve"> IPD</w:t>
      </w:r>
      <w:r w:rsidRPr="00940F72">
        <w:rPr>
          <w:iCs/>
          <w:snapToGrid/>
        </w:rPr>
        <w:t xml:space="preserve"> were not provided.</w:t>
      </w:r>
    </w:p>
    <w:p w:rsidR="00955300" w:rsidRPr="00940F72" w:rsidRDefault="00E269CC" w:rsidP="00955300">
      <w:pPr>
        <w:pStyle w:val="3-BodyText"/>
        <w:rPr>
          <w:color w:val="0066FF"/>
        </w:rPr>
      </w:pPr>
      <w:r w:rsidRPr="00940F72">
        <w:t xml:space="preserve">Table </w:t>
      </w:r>
      <w:r w:rsidR="00053418" w:rsidRPr="00940F72">
        <w:t>5</w:t>
      </w:r>
      <w:r w:rsidRPr="00940F72">
        <w:t xml:space="preserve"> presents a </w:t>
      </w:r>
      <w:r w:rsidR="00955300" w:rsidRPr="00940F72">
        <w:t xml:space="preserve">summary of baseline characteristics </w:t>
      </w:r>
      <w:r w:rsidR="00C57D94" w:rsidRPr="00940F72">
        <w:t xml:space="preserve">without adjustment </w:t>
      </w:r>
      <w:r w:rsidR="00955300" w:rsidRPr="00940F72">
        <w:t>and after matching between zanubrutinib and ibrutinib.</w:t>
      </w:r>
    </w:p>
    <w:p w:rsidR="00955300" w:rsidRPr="00940F72" w:rsidRDefault="00955300" w:rsidP="00955300">
      <w:pPr>
        <w:pStyle w:val="TableFigureHeading"/>
      </w:pPr>
      <w:r w:rsidRPr="00940F72">
        <w:t xml:space="preserve">Table </w:t>
      </w:r>
      <w:r w:rsidR="00053418" w:rsidRPr="00940F72">
        <w:t>5</w:t>
      </w:r>
      <w:r w:rsidRPr="00940F72">
        <w:t xml:space="preserve">: Baseline characteristics </w:t>
      </w:r>
      <w:r w:rsidR="00F96D67" w:rsidRPr="00940F72">
        <w:t xml:space="preserve">without adjustment </w:t>
      </w:r>
      <w:r w:rsidRPr="00940F72">
        <w:t>and after matching in the MAIC analysis</w:t>
      </w:r>
    </w:p>
    <w:tbl>
      <w:tblPr>
        <w:tblStyle w:val="Sourcetable1"/>
        <w:tblW w:w="5000" w:type="pct"/>
        <w:tblLook w:val="04A0" w:firstRow="1" w:lastRow="0" w:firstColumn="1" w:lastColumn="0" w:noHBand="0" w:noVBand="1"/>
        <w:tblCaption w:val="Table 5: Baseline characteristics without adjustment and after matching in the MAIC analysis"/>
      </w:tblPr>
      <w:tblGrid>
        <w:gridCol w:w="2389"/>
        <w:gridCol w:w="1219"/>
        <w:gridCol w:w="956"/>
        <w:gridCol w:w="1078"/>
        <w:gridCol w:w="1219"/>
        <w:gridCol w:w="1078"/>
        <w:gridCol w:w="1078"/>
      </w:tblGrid>
      <w:tr w:rsidR="00955300" w:rsidRPr="00940F72" w:rsidTr="0009553F">
        <w:trPr>
          <w:tblHeader/>
        </w:trPr>
        <w:tc>
          <w:tcPr>
            <w:tcW w:w="1324" w:type="pct"/>
            <w:shd w:val="clear" w:color="auto" w:fill="auto"/>
            <w:vAlign w:val="bottom"/>
          </w:tcPr>
          <w:p w:rsidR="00955300" w:rsidRPr="00940F72" w:rsidRDefault="00955300" w:rsidP="00E83D45">
            <w:pPr>
              <w:pStyle w:val="TableText0"/>
              <w:rPr>
                <w:lang w:val="en-AU"/>
              </w:rPr>
            </w:pPr>
          </w:p>
        </w:tc>
        <w:tc>
          <w:tcPr>
            <w:tcW w:w="1803" w:type="pct"/>
            <w:gridSpan w:val="3"/>
            <w:shd w:val="clear" w:color="auto" w:fill="auto"/>
            <w:vAlign w:val="bottom"/>
          </w:tcPr>
          <w:p w:rsidR="00955300" w:rsidRPr="00940F72" w:rsidRDefault="00F96D67" w:rsidP="00E83D45">
            <w:pPr>
              <w:pStyle w:val="TableText0"/>
              <w:jc w:val="center"/>
              <w:rPr>
                <w:b/>
                <w:lang w:val="en-AU"/>
              </w:rPr>
            </w:pPr>
            <w:r w:rsidRPr="00940F72">
              <w:rPr>
                <w:b/>
                <w:lang w:val="en-AU"/>
              </w:rPr>
              <w:t>Without adjustment</w:t>
            </w:r>
          </w:p>
        </w:tc>
        <w:tc>
          <w:tcPr>
            <w:tcW w:w="1873" w:type="pct"/>
            <w:gridSpan w:val="3"/>
            <w:shd w:val="clear" w:color="auto" w:fill="auto"/>
          </w:tcPr>
          <w:p w:rsidR="00955300" w:rsidRPr="00940F72" w:rsidRDefault="00955300" w:rsidP="00E83D45">
            <w:pPr>
              <w:pStyle w:val="TableText0"/>
              <w:jc w:val="center"/>
              <w:rPr>
                <w:b/>
                <w:lang w:val="en-AU"/>
              </w:rPr>
            </w:pPr>
            <w:r w:rsidRPr="00940F72">
              <w:rPr>
                <w:b/>
                <w:lang w:val="en-AU"/>
              </w:rPr>
              <w:t>After matching</w:t>
            </w:r>
          </w:p>
        </w:tc>
      </w:tr>
      <w:tr w:rsidR="00955300" w:rsidRPr="00940F72" w:rsidTr="00E83D45">
        <w:tc>
          <w:tcPr>
            <w:tcW w:w="1324" w:type="pct"/>
            <w:shd w:val="clear" w:color="auto" w:fill="auto"/>
            <w:vAlign w:val="bottom"/>
          </w:tcPr>
          <w:p w:rsidR="00955300" w:rsidRPr="00940F72" w:rsidRDefault="00955300" w:rsidP="00E83D45">
            <w:pPr>
              <w:pStyle w:val="TableText0"/>
              <w:rPr>
                <w:lang w:val="en-AU"/>
              </w:rPr>
            </w:pPr>
          </w:p>
        </w:tc>
        <w:tc>
          <w:tcPr>
            <w:tcW w:w="676" w:type="pct"/>
            <w:shd w:val="clear" w:color="auto" w:fill="auto"/>
          </w:tcPr>
          <w:p w:rsidR="00955300" w:rsidRPr="00940F72" w:rsidRDefault="00955300" w:rsidP="00E83D45">
            <w:pPr>
              <w:pStyle w:val="TableText0"/>
              <w:jc w:val="center"/>
              <w:rPr>
                <w:rStyle w:val="Small"/>
                <w:rFonts w:ascii="Arial Narrow" w:eastAsia="Batang" w:hAnsi="Arial Narrow"/>
                <w:b/>
                <w:bCs w:val="0"/>
                <w:szCs w:val="20"/>
                <w:lang w:val="en-AU"/>
              </w:rPr>
            </w:pPr>
            <w:r w:rsidRPr="00940F72">
              <w:rPr>
                <w:rStyle w:val="Small"/>
                <w:rFonts w:ascii="Arial Narrow" w:eastAsia="Batang" w:hAnsi="Arial Narrow"/>
                <w:b/>
                <w:szCs w:val="20"/>
                <w:lang w:val="en-AU"/>
              </w:rPr>
              <w:t>Zanubrutinib</w:t>
            </w:r>
          </w:p>
          <w:p w:rsidR="00955300" w:rsidRPr="00940F72" w:rsidRDefault="00955300" w:rsidP="00E83D45">
            <w:pPr>
              <w:pStyle w:val="TableText0"/>
              <w:jc w:val="center"/>
              <w:rPr>
                <w:rStyle w:val="Small"/>
                <w:rFonts w:ascii="Arial Narrow" w:eastAsia="Batang" w:hAnsi="Arial Narrow"/>
                <w:b/>
                <w:szCs w:val="20"/>
                <w:lang w:val="en-AU"/>
              </w:rPr>
            </w:pPr>
            <w:r w:rsidRPr="00940F72">
              <w:rPr>
                <w:rStyle w:val="Small"/>
                <w:rFonts w:ascii="Arial Narrow" w:eastAsia="Batang" w:hAnsi="Arial Narrow"/>
                <w:b/>
                <w:szCs w:val="20"/>
                <w:lang w:val="en-AU"/>
              </w:rPr>
              <w:t>(Study 206 + AU-003),</w:t>
            </w:r>
          </w:p>
          <w:p w:rsidR="00955300" w:rsidRPr="00940F72" w:rsidRDefault="00955300" w:rsidP="00E83D45">
            <w:pPr>
              <w:pStyle w:val="TableText0"/>
              <w:jc w:val="center"/>
              <w:rPr>
                <w:b/>
                <w:szCs w:val="20"/>
                <w:lang w:val="en-AU"/>
              </w:rPr>
            </w:pPr>
            <w:r w:rsidRPr="00940F72">
              <w:rPr>
                <w:rStyle w:val="Small"/>
                <w:rFonts w:ascii="Arial Narrow" w:eastAsia="Batang" w:hAnsi="Arial Narrow"/>
                <w:b/>
                <w:lang w:val="en-AU"/>
              </w:rPr>
              <w:t>N=123</w:t>
            </w:r>
          </w:p>
        </w:tc>
        <w:tc>
          <w:tcPr>
            <w:tcW w:w="530" w:type="pct"/>
            <w:shd w:val="clear" w:color="auto" w:fill="auto"/>
          </w:tcPr>
          <w:p w:rsidR="00955300" w:rsidRPr="00940F72" w:rsidRDefault="00955300" w:rsidP="00E83D45">
            <w:pPr>
              <w:pStyle w:val="TableText0"/>
              <w:jc w:val="center"/>
              <w:rPr>
                <w:szCs w:val="20"/>
                <w:lang w:val="en-AU"/>
              </w:rPr>
            </w:pPr>
            <w:r w:rsidRPr="00940F72">
              <w:rPr>
                <w:rStyle w:val="Small"/>
                <w:rFonts w:ascii="Arial Narrow" w:eastAsia="Batang" w:hAnsi="Arial Narrow"/>
                <w:b/>
                <w:szCs w:val="20"/>
                <w:lang w:val="en-AU"/>
              </w:rPr>
              <w:t>Ibrutinib</w:t>
            </w:r>
          </w:p>
          <w:p w:rsidR="00955300" w:rsidRPr="00940F72" w:rsidRDefault="00955300" w:rsidP="00E83D45">
            <w:pPr>
              <w:pStyle w:val="TableText0"/>
              <w:jc w:val="center"/>
              <w:rPr>
                <w:rStyle w:val="Small"/>
                <w:rFonts w:ascii="Arial Narrow" w:eastAsia="Batang" w:hAnsi="Arial Narrow"/>
                <w:b/>
                <w:szCs w:val="20"/>
                <w:lang w:val="en-AU"/>
              </w:rPr>
            </w:pPr>
            <w:r w:rsidRPr="00940F72">
              <w:rPr>
                <w:rStyle w:val="Small"/>
                <w:rFonts w:ascii="Arial Narrow" w:eastAsia="Batang" w:hAnsi="Arial Narrow"/>
                <w:b/>
                <w:szCs w:val="20"/>
                <w:lang w:val="en-AU"/>
              </w:rPr>
              <w:t>POOLED,</w:t>
            </w:r>
          </w:p>
          <w:p w:rsidR="00955300" w:rsidRPr="00940F72" w:rsidRDefault="00955300" w:rsidP="00E83D45">
            <w:pPr>
              <w:pStyle w:val="TableText0"/>
              <w:jc w:val="center"/>
              <w:rPr>
                <w:b/>
                <w:szCs w:val="20"/>
                <w:lang w:val="en-AU"/>
              </w:rPr>
            </w:pPr>
            <w:r w:rsidRPr="00940F72">
              <w:rPr>
                <w:rStyle w:val="Small"/>
                <w:rFonts w:ascii="Arial Narrow" w:eastAsia="Batang" w:hAnsi="Arial Narrow"/>
                <w:b/>
                <w:lang w:val="en-AU"/>
              </w:rPr>
              <w:t>N=370</w:t>
            </w:r>
          </w:p>
        </w:tc>
        <w:tc>
          <w:tcPr>
            <w:tcW w:w="598" w:type="pct"/>
            <w:shd w:val="clear" w:color="auto" w:fill="auto"/>
          </w:tcPr>
          <w:p w:rsidR="00955300" w:rsidRPr="00940F72" w:rsidRDefault="00955300" w:rsidP="00E83D45">
            <w:pPr>
              <w:pStyle w:val="TableText0"/>
              <w:jc w:val="center"/>
              <w:rPr>
                <w:b/>
                <w:szCs w:val="20"/>
                <w:lang w:val="en-AU"/>
              </w:rPr>
            </w:pPr>
            <w:r w:rsidRPr="00940F72">
              <w:rPr>
                <w:rStyle w:val="Small"/>
                <w:rFonts w:ascii="Arial Narrow" w:eastAsia="Batang" w:hAnsi="Arial Narrow"/>
                <w:b/>
                <w:szCs w:val="20"/>
                <w:lang w:val="en-AU"/>
              </w:rPr>
              <w:t>p-value</w:t>
            </w:r>
          </w:p>
        </w:tc>
        <w:tc>
          <w:tcPr>
            <w:tcW w:w="676" w:type="pct"/>
            <w:shd w:val="clear" w:color="auto" w:fill="auto"/>
          </w:tcPr>
          <w:p w:rsidR="00955300" w:rsidRPr="00940F72" w:rsidRDefault="00955300" w:rsidP="00E83D45">
            <w:pPr>
              <w:pStyle w:val="TableText0"/>
              <w:jc w:val="center"/>
              <w:rPr>
                <w:b/>
                <w:lang w:val="en-AU"/>
              </w:rPr>
            </w:pPr>
            <w:r w:rsidRPr="00940F72">
              <w:rPr>
                <w:b/>
                <w:lang w:val="en-AU"/>
              </w:rPr>
              <w:t>Zanubrutinib</w:t>
            </w:r>
          </w:p>
          <w:p w:rsidR="00955300" w:rsidRPr="00940F72" w:rsidRDefault="00955300" w:rsidP="00E83D45">
            <w:pPr>
              <w:pStyle w:val="TableText0"/>
              <w:jc w:val="center"/>
              <w:rPr>
                <w:b/>
                <w:lang w:val="en-AU"/>
              </w:rPr>
            </w:pPr>
            <w:r w:rsidRPr="00940F72">
              <w:rPr>
                <w:b/>
                <w:lang w:val="en-AU"/>
              </w:rPr>
              <w:t>(Weighted Study 206 + AU-003)</w:t>
            </w:r>
          </w:p>
          <w:p w:rsidR="00955300" w:rsidRPr="00940F72" w:rsidRDefault="00955300" w:rsidP="00E83D45">
            <w:pPr>
              <w:pStyle w:val="TableText0"/>
              <w:jc w:val="center"/>
              <w:rPr>
                <w:b/>
                <w:lang w:val="en-AU"/>
              </w:rPr>
            </w:pPr>
            <w:r w:rsidRPr="00940F72">
              <w:rPr>
                <w:b/>
                <w:lang w:val="en-AU"/>
              </w:rPr>
              <w:t>N=38</w:t>
            </w:r>
          </w:p>
        </w:tc>
        <w:tc>
          <w:tcPr>
            <w:tcW w:w="598" w:type="pct"/>
            <w:shd w:val="clear" w:color="auto" w:fill="auto"/>
          </w:tcPr>
          <w:p w:rsidR="00955300" w:rsidRPr="00940F72" w:rsidRDefault="00955300" w:rsidP="00E83D45">
            <w:pPr>
              <w:pStyle w:val="TableText0"/>
              <w:jc w:val="center"/>
              <w:rPr>
                <w:b/>
                <w:lang w:val="en-AU"/>
              </w:rPr>
            </w:pPr>
            <w:r w:rsidRPr="00940F72">
              <w:rPr>
                <w:b/>
                <w:lang w:val="en-AU"/>
              </w:rPr>
              <w:t>Ibrutinib</w:t>
            </w:r>
          </w:p>
          <w:p w:rsidR="00955300" w:rsidRPr="00940F72" w:rsidRDefault="00955300" w:rsidP="00E83D45">
            <w:pPr>
              <w:pStyle w:val="TableText0"/>
              <w:jc w:val="center"/>
              <w:rPr>
                <w:b/>
                <w:lang w:val="en-AU"/>
              </w:rPr>
            </w:pPr>
            <w:r w:rsidRPr="00940F72">
              <w:rPr>
                <w:b/>
                <w:lang w:val="en-AU"/>
              </w:rPr>
              <w:t>POOLED,</w:t>
            </w:r>
          </w:p>
          <w:p w:rsidR="00955300" w:rsidRPr="00940F72" w:rsidRDefault="00955300" w:rsidP="00E83D45">
            <w:pPr>
              <w:pStyle w:val="TableText0"/>
              <w:jc w:val="center"/>
              <w:rPr>
                <w:b/>
                <w:lang w:val="en-AU"/>
              </w:rPr>
            </w:pPr>
            <w:r w:rsidRPr="00940F72">
              <w:rPr>
                <w:b/>
                <w:lang w:val="en-AU"/>
              </w:rPr>
              <w:t>N=370</w:t>
            </w:r>
          </w:p>
        </w:tc>
        <w:tc>
          <w:tcPr>
            <w:tcW w:w="599" w:type="pct"/>
            <w:shd w:val="clear" w:color="auto" w:fill="auto"/>
          </w:tcPr>
          <w:p w:rsidR="00955300" w:rsidRPr="00940F72" w:rsidRDefault="00955300" w:rsidP="00E83D45">
            <w:pPr>
              <w:pStyle w:val="TableText0"/>
              <w:jc w:val="center"/>
              <w:rPr>
                <w:b/>
                <w:lang w:val="en-AU"/>
              </w:rPr>
            </w:pPr>
            <w:r w:rsidRPr="00940F72">
              <w:rPr>
                <w:b/>
                <w:lang w:val="en-AU"/>
              </w:rPr>
              <w:t>p-value</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Age at least 65</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0.393</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0.624</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&lt;0.001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0.596</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0.624</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0.718</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Sex</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0.746</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0.781</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0.423</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0.770</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0.781</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0.861</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ECOG at least 2</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0.049</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0.065</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0.532</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0.084</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0.065</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0.676</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sMIPI: low</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0.484</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0.238</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&lt;0.001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0.262</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0.238</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0.453</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sMIPI: med</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0.377</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0.443</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NA</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0.477</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0.443</w:t>
            </w:r>
          </w:p>
        </w:tc>
        <w:tc>
          <w:tcPr>
            <w:tcW w:w="599" w:type="pct"/>
            <w:shd w:val="clear" w:color="auto" w:fill="FFFFFF"/>
          </w:tcPr>
          <w:p w:rsidR="00955300" w:rsidRPr="00940F72" w:rsidRDefault="00955300" w:rsidP="00E83D45">
            <w:pPr>
              <w:pStyle w:val="TableText0"/>
              <w:jc w:val="center"/>
              <w:rPr>
                <w:lang w:val="en-AU"/>
              </w:rPr>
            </w:pPr>
            <w:r w:rsidRPr="00940F72">
              <w:rPr>
                <w:lang w:val="en-AU"/>
              </w:rPr>
              <w:t>NA</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sMIPI: hig</w:t>
            </w:r>
            <w:r w:rsidR="001F4743" w:rsidRPr="00940F72">
              <w:rPr>
                <w:rFonts w:eastAsia="Times New Roman" w:cstheme="minorHAnsi"/>
                <w:bCs w:val="0"/>
                <w:color w:val="333333"/>
                <w:szCs w:val="20"/>
                <w:lang w:val="en-AU"/>
              </w:rPr>
              <w:t>h</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0.139</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0.319</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NA</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0.261</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0.319</w:t>
            </w:r>
          </w:p>
        </w:tc>
        <w:tc>
          <w:tcPr>
            <w:tcW w:w="599" w:type="pct"/>
            <w:shd w:val="clear" w:color="auto" w:fill="FFFFFF"/>
          </w:tcPr>
          <w:p w:rsidR="00955300" w:rsidRPr="00940F72" w:rsidRDefault="00955300" w:rsidP="00E83D45">
            <w:pPr>
              <w:pStyle w:val="TableText0"/>
              <w:jc w:val="center"/>
              <w:rPr>
                <w:lang w:val="en-AU"/>
              </w:rPr>
            </w:pPr>
            <w:r w:rsidRPr="00940F72">
              <w:rPr>
                <w:lang w:val="en-AU"/>
              </w:rPr>
              <w:t>NA</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Bulky disease at least 5 cm</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0.361</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0.489</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0.014</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0.445</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0.489</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0.606</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Lactate dehydrogenase &gt; uln</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0.369</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0.538</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0.001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0.536</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0.538</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0.983</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Extranodal disease</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0.574</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0.581</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0.887</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0.557</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0.581</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0.778</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Bone marrow involvement</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0.500</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0.457</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0.408</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0.493</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0.457</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0.668</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Prior line of therapy: at</w:t>
            </w:r>
            <w:r w:rsidR="00AB3127">
              <w:rPr>
                <w:rFonts w:eastAsia="Times New Roman" w:cstheme="minorHAnsi"/>
                <w:bCs w:val="0"/>
                <w:color w:val="333333"/>
                <w:szCs w:val="20"/>
                <w:lang w:val="en-AU"/>
              </w:rPr>
              <w:t xml:space="preserve"> </w:t>
            </w:r>
            <w:r w:rsidRPr="00940F72">
              <w:rPr>
                <w:rFonts w:eastAsia="Times New Roman" w:cstheme="minorHAnsi"/>
                <w:bCs w:val="0"/>
                <w:color w:val="333333"/>
                <w:szCs w:val="20"/>
                <w:lang w:val="en-AU"/>
              </w:rPr>
              <w:t>least</w:t>
            </w:r>
            <w:r w:rsidR="00AB3127">
              <w:rPr>
                <w:rFonts w:eastAsia="Times New Roman" w:cstheme="minorHAnsi"/>
                <w:bCs w:val="0"/>
                <w:color w:val="333333"/>
                <w:szCs w:val="20"/>
                <w:lang w:val="en-AU"/>
              </w:rPr>
              <w:t xml:space="preserve"> </w:t>
            </w:r>
            <w:r w:rsidRPr="00940F72">
              <w:rPr>
                <w:rFonts w:eastAsia="Times New Roman" w:cstheme="minorHAnsi"/>
                <w:bCs w:val="0"/>
                <w:color w:val="333333"/>
                <w:szCs w:val="20"/>
                <w:lang w:val="en-AU"/>
              </w:rPr>
              <w:t>three</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0.320</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0.438</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0.040</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0.422</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0.438</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0.976</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Prior line of therapy: one</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0.369</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0.268</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NA</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0.269</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0.268</w:t>
            </w:r>
          </w:p>
        </w:tc>
        <w:tc>
          <w:tcPr>
            <w:tcW w:w="599" w:type="pct"/>
            <w:shd w:val="clear" w:color="auto" w:fill="FFFFFF"/>
          </w:tcPr>
          <w:p w:rsidR="00955300" w:rsidRPr="00940F72" w:rsidRDefault="00955300" w:rsidP="00E83D45">
            <w:pPr>
              <w:pStyle w:val="TableText0"/>
              <w:jc w:val="center"/>
              <w:rPr>
                <w:lang w:val="en-AU"/>
              </w:rPr>
            </w:pPr>
            <w:r w:rsidRPr="00940F72">
              <w:rPr>
                <w:lang w:val="en-AU"/>
              </w:rPr>
              <w:t>NA</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Prior line of therapy: two</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0.311</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0.295</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NA</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0.309</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0.295</w:t>
            </w:r>
          </w:p>
        </w:tc>
        <w:tc>
          <w:tcPr>
            <w:tcW w:w="599" w:type="pct"/>
            <w:shd w:val="clear" w:color="auto" w:fill="FFFFFF"/>
          </w:tcPr>
          <w:p w:rsidR="00955300" w:rsidRPr="00940F72" w:rsidRDefault="00955300" w:rsidP="00E83D45">
            <w:pPr>
              <w:pStyle w:val="TableText0"/>
              <w:jc w:val="center"/>
              <w:rPr>
                <w:lang w:val="en-AU"/>
              </w:rPr>
            </w:pPr>
            <w:r w:rsidRPr="00940F72">
              <w:rPr>
                <w:lang w:val="en-AU"/>
              </w:rPr>
              <w:t>NA</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Prior lenalidomide</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0.090</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0.157</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color w:val="333333"/>
                <w:szCs w:val="20"/>
                <w:lang w:val="en-AU"/>
              </w:rPr>
              <w:t>0.071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0.151</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0.157</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0.937</w:t>
            </w:r>
          </w:p>
        </w:tc>
      </w:tr>
      <w:tr w:rsidR="00955300" w:rsidRPr="00940F72" w:rsidTr="00E83D45">
        <w:tc>
          <w:tcPr>
            <w:tcW w:w="1324" w:type="pct"/>
            <w:shd w:val="clear" w:color="auto" w:fill="auto"/>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Prior bortezomib</w:t>
            </w:r>
          </w:p>
        </w:tc>
        <w:tc>
          <w:tcPr>
            <w:tcW w:w="676" w:type="pct"/>
            <w:shd w:val="clear" w:color="auto" w:fill="auto"/>
          </w:tcPr>
          <w:p w:rsidR="00955300" w:rsidRPr="00940F72" w:rsidRDefault="00955300" w:rsidP="00E83D45">
            <w:pPr>
              <w:pStyle w:val="TableText0"/>
              <w:jc w:val="center"/>
              <w:rPr>
                <w:b/>
                <w:szCs w:val="20"/>
                <w:lang w:val="en-AU"/>
              </w:rPr>
            </w:pPr>
            <w:r w:rsidRPr="00940F72">
              <w:rPr>
                <w:rFonts w:eastAsia="Times New Roman" w:cstheme="minorHAnsi"/>
                <w:b/>
                <w:color w:val="333333"/>
                <w:szCs w:val="20"/>
                <w:lang w:val="en-AU"/>
              </w:rPr>
              <w:t>0.066</w:t>
            </w:r>
          </w:p>
        </w:tc>
        <w:tc>
          <w:tcPr>
            <w:tcW w:w="530" w:type="pct"/>
            <w:shd w:val="clear" w:color="auto" w:fill="auto"/>
          </w:tcPr>
          <w:p w:rsidR="00955300" w:rsidRPr="00940F72" w:rsidRDefault="00955300" w:rsidP="00E83D45">
            <w:pPr>
              <w:pStyle w:val="TableText0"/>
              <w:jc w:val="center"/>
              <w:rPr>
                <w:b/>
                <w:szCs w:val="20"/>
                <w:lang w:val="en-AU"/>
              </w:rPr>
            </w:pPr>
            <w:r w:rsidRPr="00940F72">
              <w:rPr>
                <w:rFonts w:eastAsia="Times New Roman" w:cstheme="minorHAnsi"/>
                <w:b/>
                <w:color w:val="333333"/>
                <w:szCs w:val="20"/>
                <w:lang w:val="en-AU"/>
              </w:rPr>
              <w:t>0.535</w:t>
            </w:r>
          </w:p>
        </w:tc>
        <w:tc>
          <w:tcPr>
            <w:tcW w:w="598" w:type="pct"/>
            <w:shd w:val="clear" w:color="auto" w:fill="auto"/>
          </w:tcPr>
          <w:p w:rsidR="00955300" w:rsidRPr="00940F72" w:rsidRDefault="00955300" w:rsidP="00E83D45">
            <w:pPr>
              <w:pStyle w:val="TableText0"/>
              <w:jc w:val="center"/>
              <w:rPr>
                <w:b/>
                <w:szCs w:val="20"/>
                <w:lang w:val="en-AU"/>
              </w:rPr>
            </w:pPr>
            <w:r w:rsidRPr="00940F72">
              <w:rPr>
                <w:rFonts w:eastAsia="Times New Roman" w:cstheme="minorHAnsi"/>
                <w:b/>
                <w:color w:val="333333"/>
                <w:szCs w:val="20"/>
                <w:lang w:val="en-AU"/>
              </w:rPr>
              <w:t>&lt;0.001</w:t>
            </w:r>
          </w:p>
        </w:tc>
        <w:tc>
          <w:tcPr>
            <w:tcW w:w="676" w:type="pct"/>
            <w:shd w:val="clear" w:color="auto" w:fill="auto"/>
          </w:tcPr>
          <w:p w:rsidR="00955300" w:rsidRPr="00940F72" w:rsidRDefault="00955300" w:rsidP="00E83D45">
            <w:pPr>
              <w:pStyle w:val="TableText0"/>
              <w:jc w:val="center"/>
              <w:rPr>
                <w:bCs w:val="0"/>
                <w:lang w:val="en-AU"/>
              </w:rPr>
            </w:pPr>
            <w:r w:rsidRPr="00940F72">
              <w:rPr>
                <w:bCs w:val="0"/>
                <w:lang w:val="en-AU"/>
              </w:rPr>
              <w:t>0.342</w:t>
            </w:r>
          </w:p>
        </w:tc>
        <w:tc>
          <w:tcPr>
            <w:tcW w:w="598" w:type="pct"/>
            <w:shd w:val="clear" w:color="auto" w:fill="auto"/>
          </w:tcPr>
          <w:p w:rsidR="00955300" w:rsidRPr="00940F72" w:rsidRDefault="00955300" w:rsidP="00E83D45">
            <w:pPr>
              <w:pStyle w:val="TableText0"/>
              <w:jc w:val="center"/>
              <w:rPr>
                <w:bCs w:val="0"/>
                <w:lang w:val="en-AU"/>
              </w:rPr>
            </w:pPr>
            <w:r w:rsidRPr="00940F72">
              <w:rPr>
                <w:bCs w:val="0"/>
                <w:lang w:val="en-AU"/>
              </w:rPr>
              <w:t>0.535</w:t>
            </w:r>
          </w:p>
        </w:tc>
        <w:tc>
          <w:tcPr>
            <w:tcW w:w="599" w:type="pct"/>
            <w:shd w:val="clear" w:color="auto" w:fill="auto"/>
          </w:tcPr>
          <w:p w:rsidR="00955300" w:rsidRPr="00940F72" w:rsidRDefault="00955300" w:rsidP="00E83D45">
            <w:pPr>
              <w:pStyle w:val="TableText0"/>
              <w:jc w:val="center"/>
              <w:rPr>
                <w:bCs w:val="0"/>
                <w:lang w:val="en-AU"/>
              </w:rPr>
            </w:pPr>
            <w:r w:rsidRPr="00940F72">
              <w:rPr>
                <w:bCs w:val="0"/>
                <w:lang w:val="en-AU"/>
              </w:rPr>
              <w:t>0.057</w:t>
            </w:r>
          </w:p>
        </w:tc>
      </w:tr>
      <w:tr w:rsidR="00955300" w:rsidRPr="00940F72" w:rsidTr="00E83D45">
        <w:tc>
          <w:tcPr>
            <w:tcW w:w="1324" w:type="pct"/>
            <w:shd w:val="clear" w:color="auto" w:fill="FFFFFF"/>
          </w:tcPr>
          <w:p w:rsidR="00955300" w:rsidRPr="00940F72" w:rsidRDefault="00955300" w:rsidP="00E83D45">
            <w:pPr>
              <w:pStyle w:val="TableText0"/>
              <w:rPr>
                <w:bCs w:val="0"/>
                <w:lang w:val="en-AU"/>
              </w:rPr>
            </w:pPr>
            <w:r w:rsidRPr="00940F72">
              <w:rPr>
                <w:rFonts w:eastAsia="Times New Roman" w:cstheme="minorHAnsi"/>
                <w:bCs w:val="0"/>
                <w:color w:val="333333"/>
                <w:szCs w:val="20"/>
                <w:lang w:val="en-AU"/>
              </w:rPr>
              <w:t>Prior stem cell transplant</w:t>
            </w:r>
          </w:p>
        </w:tc>
        <w:tc>
          <w:tcPr>
            <w:tcW w:w="676"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0.090</w:t>
            </w:r>
          </w:p>
        </w:tc>
        <w:tc>
          <w:tcPr>
            <w:tcW w:w="530"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0.230</w:t>
            </w:r>
          </w:p>
        </w:tc>
        <w:tc>
          <w:tcPr>
            <w:tcW w:w="598" w:type="pct"/>
            <w:shd w:val="clear" w:color="auto" w:fill="FFFFFF"/>
          </w:tcPr>
          <w:p w:rsidR="00955300" w:rsidRPr="00940F72" w:rsidRDefault="00955300" w:rsidP="00E83D45">
            <w:pPr>
              <w:pStyle w:val="TableText0"/>
              <w:jc w:val="center"/>
              <w:rPr>
                <w:szCs w:val="20"/>
                <w:lang w:val="en-AU"/>
              </w:rPr>
            </w:pPr>
            <w:r w:rsidRPr="00940F72">
              <w:rPr>
                <w:rFonts w:eastAsia="Times New Roman" w:cstheme="minorHAnsi"/>
                <w:b/>
                <w:color w:val="333333"/>
                <w:szCs w:val="20"/>
                <w:lang w:val="en-AU"/>
              </w:rPr>
              <w:t>0.001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0.172</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0.230</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0.375</w:t>
            </w:r>
          </w:p>
        </w:tc>
      </w:tr>
      <w:tr w:rsidR="00955300" w:rsidRPr="00940F72" w:rsidTr="00E83D45">
        <w:tc>
          <w:tcPr>
            <w:tcW w:w="1324" w:type="pct"/>
            <w:shd w:val="clear" w:color="auto" w:fill="FFFFFF"/>
          </w:tcPr>
          <w:p w:rsidR="00955300" w:rsidRPr="00940F72" w:rsidRDefault="00955300" w:rsidP="00E83D45">
            <w:pPr>
              <w:pStyle w:val="TableText0"/>
              <w:rPr>
                <w:bCs w:val="0"/>
                <w:color w:val="333333"/>
                <w:lang w:val="en-AU"/>
              </w:rPr>
            </w:pPr>
            <w:r w:rsidRPr="00940F72">
              <w:rPr>
                <w:rFonts w:eastAsia="Times New Roman" w:cstheme="minorHAnsi"/>
                <w:bCs w:val="0"/>
                <w:color w:val="333333"/>
                <w:szCs w:val="20"/>
                <w:lang w:val="en-AU"/>
              </w:rPr>
              <w:t>Prior rituximab</w:t>
            </w:r>
          </w:p>
        </w:tc>
        <w:tc>
          <w:tcPr>
            <w:tcW w:w="676" w:type="pct"/>
            <w:shd w:val="clear" w:color="auto" w:fill="FFFFFF"/>
          </w:tcPr>
          <w:p w:rsidR="00955300" w:rsidRPr="00940F72" w:rsidRDefault="00955300" w:rsidP="00E83D45">
            <w:pPr>
              <w:pStyle w:val="TableText0"/>
              <w:jc w:val="center"/>
              <w:rPr>
                <w:b/>
                <w:color w:val="333333"/>
                <w:szCs w:val="20"/>
                <w:lang w:val="en-AU"/>
              </w:rPr>
            </w:pPr>
            <w:r w:rsidRPr="00940F72">
              <w:rPr>
                <w:rFonts w:eastAsia="Times New Roman" w:cstheme="minorHAnsi"/>
                <w:b/>
                <w:color w:val="333333"/>
                <w:szCs w:val="20"/>
                <w:lang w:val="en-AU"/>
              </w:rPr>
              <w:t>0.795</w:t>
            </w:r>
          </w:p>
        </w:tc>
        <w:tc>
          <w:tcPr>
            <w:tcW w:w="530" w:type="pct"/>
            <w:shd w:val="clear" w:color="auto" w:fill="FFFFFF"/>
          </w:tcPr>
          <w:p w:rsidR="00955300" w:rsidRPr="00940F72" w:rsidRDefault="00955300" w:rsidP="00E83D45">
            <w:pPr>
              <w:pStyle w:val="TableText0"/>
              <w:jc w:val="center"/>
              <w:rPr>
                <w:b/>
                <w:color w:val="333333"/>
                <w:szCs w:val="20"/>
                <w:lang w:val="en-AU"/>
              </w:rPr>
            </w:pPr>
            <w:r w:rsidRPr="00940F72">
              <w:rPr>
                <w:rFonts w:eastAsia="Times New Roman" w:cstheme="minorHAnsi"/>
                <w:b/>
                <w:color w:val="333333"/>
                <w:szCs w:val="20"/>
                <w:lang w:val="en-AU"/>
              </w:rPr>
              <w:t>0.968</w:t>
            </w:r>
          </w:p>
        </w:tc>
        <w:tc>
          <w:tcPr>
            <w:tcW w:w="598" w:type="pct"/>
            <w:shd w:val="clear" w:color="auto" w:fill="FFFFFF"/>
          </w:tcPr>
          <w:p w:rsidR="00955300" w:rsidRPr="00940F72" w:rsidRDefault="00955300" w:rsidP="00E83D45">
            <w:pPr>
              <w:pStyle w:val="TableText0"/>
              <w:jc w:val="center"/>
              <w:rPr>
                <w:b/>
                <w:color w:val="333333"/>
                <w:szCs w:val="20"/>
                <w:lang w:val="en-AU"/>
              </w:rPr>
            </w:pPr>
            <w:r w:rsidRPr="00940F72">
              <w:rPr>
                <w:rFonts w:eastAsia="Times New Roman" w:cstheme="minorHAnsi"/>
                <w:b/>
                <w:color w:val="333333"/>
                <w:szCs w:val="20"/>
                <w:lang w:val="en-AU"/>
              </w:rPr>
              <w:t>&lt;0.001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0.967</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0.968</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0.939</w:t>
            </w:r>
          </w:p>
        </w:tc>
      </w:tr>
      <w:tr w:rsidR="00955300" w:rsidRPr="00940F72" w:rsidTr="00E83D45">
        <w:tc>
          <w:tcPr>
            <w:tcW w:w="1324" w:type="pct"/>
            <w:shd w:val="clear" w:color="auto" w:fill="FFFFFF"/>
          </w:tcPr>
          <w:p w:rsidR="00955300" w:rsidRPr="00940F72" w:rsidRDefault="00955300" w:rsidP="00E83D45">
            <w:pPr>
              <w:pStyle w:val="TableText0"/>
              <w:rPr>
                <w:bCs w:val="0"/>
                <w:color w:val="333333"/>
                <w:lang w:val="en-AU"/>
              </w:rPr>
            </w:pPr>
            <w:r w:rsidRPr="00940F72">
              <w:rPr>
                <w:rFonts w:eastAsia="Times New Roman" w:cstheme="minorHAnsi"/>
                <w:bCs w:val="0"/>
                <w:color w:val="333333"/>
                <w:szCs w:val="20"/>
                <w:lang w:val="en-AU"/>
              </w:rPr>
              <w:t>Prior high-intensity therapy</w:t>
            </w:r>
          </w:p>
        </w:tc>
        <w:tc>
          <w:tcPr>
            <w:tcW w:w="676" w:type="pct"/>
            <w:shd w:val="clear" w:color="auto" w:fill="FFFFFF"/>
          </w:tcPr>
          <w:p w:rsidR="00955300" w:rsidRPr="00940F72" w:rsidRDefault="00955300" w:rsidP="00E83D45">
            <w:pPr>
              <w:pStyle w:val="TableText0"/>
              <w:jc w:val="center"/>
              <w:rPr>
                <w:b/>
                <w:color w:val="333333"/>
                <w:szCs w:val="20"/>
                <w:lang w:val="en-AU"/>
              </w:rPr>
            </w:pPr>
            <w:r w:rsidRPr="00940F72">
              <w:rPr>
                <w:rFonts w:eastAsia="Times New Roman" w:cstheme="minorHAnsi"/>
                <w:b/>
                <w:color w:val="333333"/>
                <w:szCs w:val="20"/>
                <w:lang w:val="en-AU"/>
              </w:rPr>
              <w:t>0.164</w:t>
            </w:r>
          </w:p>
        </w:tc>
        <w:tc>
          <w:tcPr>
            <w:tcW w:w="530" w:type="pct"/>
            <w:shd w:val="clear" w:color="auto" w:fill="FFFFFF"/>
          </w:tcPr>
          <w:p w:rsidR="00955300" w:rsidRPr="00940F72" w:rsidRDefault="00955300" w:rsidP="00E83D45">
            <w:pPr>
              <w:pStyle w:val="TableText0"/>
              <w:jc w:val="center"/>
              <w:rPr>
                <w:b/>
                <w:color w:val="333333"/>
                <w:szCs w:val="20"/>
                <w:lang w:val="en-AU"/>
              </w:rPr>
            </w:pPr>
            <w:r w:rsidRPr="00940F72">
              <w:rPr>
                <w:rFonts w:eastAsia="Times New Roman" w:cstheme="minorHAnsi"/>
                <w:b/>
                <w:color w:val="333333"/>
                <w:szCs w:val="20"/>
                <w:lang w:val="en-AU"/>
              </w:rPr>
              <w:t>0.335</w:t>
            </w:r>
          </w:p>
        </w:tc>
        <w:tc>
          <w:tcPr>
            <w:tcW w:w="598" w:type="pct"/>
            <w:shd w:val="clear" w:color="auto" w:fill="FFFFFF"/>
          </w:tcPr>
          <w:p w:rsidR="00955300" w:rsidRPr="00940F72" w:rsidRDefault="00955300" w:rsidP="00E83D45">
            <w:pPr>
              <w:pStyle w:val="TableText0"/>
              <w:jc w:val="center"/>
              <w:rPr>
                <w:b/>
                <w:color w:val="333333"/>
                <w:szCs w:val="20"/>
                <w:lang w:val="en-AU"/>
              </w:rPr>
            </w:pPr>
            <w:r w:rsidRPr="00940F72">
              <w:rPr>
                <w:rFonts w:eastAsia="Times New Roman" w:cstheme="minorHAnsi"/>
                <w:b/>
                <w:color w:val="333333"/>
                <w:szCs w:val="20"/>
                <w:lang w:val="en-AU"/>
              </w:rPr>
              <w:t>&lt;0.001</w:t>
            </w:r>
          </w:p>
        </w:tc>
        <w:tc>
          <w:tcPr>
            <w:tcW w:w="676" w:type="pct"/>
            <w:shd w:val="clear" w:color="auto" w:fill="FFFFFF"/>
          </w:tcPr>
          <w:p w:rsidR="00955300" w:rsidRPr="00940F72" w:rsidRDefault="00955300" w:rsidP="00E83D45">
            <w:pPr>
              <w:pStyle w:val="TableText0"/>
              <w:jc w:val="center"/>
              <w:rPr>
                <w:lang w:val="en-AU"/>
              </w:rPr>
            </w:pPr>
            <w:r w:rsidRPr="00940F72">
              <w:rPr>
                <w:lang w:val="en-AU"/>
              </w:rPr>
              <w:t>0.283</w:t>
            </w:r>
          </w:p>
        </w:tc>
        <w:tc>
          <w:tcPr>
            <w:tcW w:w="598" w:type="pct"/>
            <w:shd w:val="clear" w:color="auto" w:fill="FFFFFF"/>
          </w:tcPr>
          <w:p w:rsidR="00955300" w:rsidRPr="00940F72" w:rsidRDefault="00955300" w:rsidP="00E83D45">
            <w:pPr>
              <w:pStyle w:val="TableText0"/>
              <w:jc w:val="center"/>
              <w:rPr>
                <w:lang w:val="en-AU"/>
              </w:rPr>
            </w:pPr>
            <w:r w:rsidRPr="00940F72">
              <w:rPr>
                <w:lang w:val="en-AU"/>
              </w:rPr>
              <w:t>0.335</w:t>
            </w:r>
          </w:p>
        </w:tc>
        <w:tc>
          <w:tcPr>
            <w:tcW w:w="599" w:type="pct"/>
            <w:shd w:val="clear" w:color="auto" w:fill="FFFFFF"/>
          </w:tcPr>
          <w:p w:rsidR="00955300" w:rsidRPr="00940F72" w:rsidRDefault="00955300" w:rsidP="00E83D45">
            <w:pPr>
              <w:pStyle w:val="TableText0"/>
              <w:jc w:val="center"/>
              <w:rPr>
                <w:lang w:val="en-AU"/>
              </w:rPr>
            </w:pPr>
            <w:r w:rsidRPr="00940F72">
              <w:rPr>
                <w:lang w:val="en-AU"/>
              </w:rPr>
              <w:t>0.554</w:t>
            </w:r>
          </w:p>
        </w:tc>
      </w:tr>
    </w:tbl>
    <w:p w:rsidR="00955300" w:rsidRPr="00940F72" w:rsidRDefault="00955300" w:rsidP="00955300">
      <w:pPr>
        <w:pStyle w:val="TableFigureFooter"/>
      </w:pPr>
      <w:r w:rsidRPr="00940F72">
        <w:t>sMIPI = simplified mantle cell lymphoma prognostic index; ECOG=Eastern Cooperative Oncology Group; uln=upper limit of normal; MAIC=matched adjusted indirect comparison.</w:t>
      </w:r>
    </w:p>
    <w:p w:rsidR="00955300" w:rsidRPr="00940F72" w:rsidRDefault="00955300" w:rsidP="00955300">
      <w:pPr>
        <w:pStyle w:val="TableFigureFooter"/>
      </w:pPr>
      <w:r w:rsidRPr="00940F72">
        <w:t xml:space="preserve">The baseline covariates, which were unbalanced at significance level 0.05, are in bold. </w:t>
      </w:r>
    </w:p>
    <w:p w:rsidR="00955300" w:rsidRPr="00940F72" w:rsidRDefault="00955300" w:rsidP="00955300">
      <w:pPr>
        <w:pStyle w:val="TableFigureFooter"/>
      </w:pPr>
      <w:r w:rsidRPr="00940F72">
        <w:t>Source: Table 2.50 and 2.51, pp89, 91 of the submission.</w:t>
      </w:r>
    </w:p>
    <w:p w:rsidR="00955300" w:rsidRPr="00940F72" w:rsidRDefault="00955300" w:rsidP="00955300">
      <w:pPr>
        <w:pStyle w:val="3-BodyText"/>
        <w:rPr>
          <w:color w:val="0066FF"/>
        </w:rPr>
      </w:pPr>
      <w:r w:rsidRPr="00940F72">
        <w:t>None of the variables w</w:t>
      </w:r>
      <w:r w:rsidR="00FE1214" w:rsidRPr="00940F72">
        <w:t>ere</w:t>
      </w:r>
      <w:r w:rsidRPr="00940F72">
        <w:t xml:space="preserve"> significant</w:t>
      </w:r>
      <w:r w:rsidR="00F116F7" w:rsidRPr="00940F72">
        <w:t>ly different across the studies</w:t>
      </w:r>
      <w:r w:rsidRPr="00940F72">
        <w:t xml:space="preserve"> at the 5% level after matching. </w:t>
      </w:r>
      <w:bookmarkStart w:id="30" w:name="_Hlk69248824"/>
      <w:r w:rsidRPr="00940F72">
        <w:rPr>
          <w:iCs/>
        </w:rPr>
        <w:t>The key differences between the baseline characteristics were adequately adjusted for in the MAIC analysis</w:t>
      </w:r>
      <w:bookmarkEnd w:id="30"/>
      <w:r w:rsidRPr="00940F72">
        <w:rPr>
          <w:iCs/>
        </w:rPr>
        <w:t xml:space="preserve">. However, the proportion of patients with prior bortezomib in the zanubrutinib arm </w:t>
      </w:r>
      <w:r w:rsidR="00914EA0" w:rsidRPr="00940F72">
        <w:rPr>
          <w:iCs/>
        </w:rPr>
        <w:t xml:space="preserve">was </w:t>
      </w:r>
      <w:r w:rsidRPr="00940F72">
        <w:rPr>
          <w:iCs/>
        </w:rPr>
        <w:t>lower than in the ibrutinib arm</w:t>
      </w:r>
      <w:r w:rsidR="005603D5" w:rsidRPr="00940F72">
        <w:rPr>
          <w:iCs/>
        </w:rPr>
        <w:t xml:space="preserve"> and the difference approach</w:t>
      </w:r>
      <w:r w:rsidR="00201045" w:rsidRPr="00940F72">
        <w:rPr>
          <w:iCs/>
        </w:rPr>
        <w:t>ed</w:t>
      </w:r>
      <w:r w:rsidR="005603D5" w:rsidRPr="00940F72">
        <w:rPr>
          <w:iCs/>
        </w:rPr>
        <w:t xml:space="preserve"> the nominal 0.05 significance level</w:t>
      </w:r>
      <w:r w:rsidRPr="00940F72">
        <w:rPr>
          <w:iCs/>
        </w:rPr>
        <w:t xml:space="preserve"> (0.34 vs. 0.53 respectively, p=0.057). Prior treatment with bortezomib was not found to have any effect on PFS or OS </w:t>
      </w:r>
      <w:r w:rsidR="00F116F7" w:rsidRPr="00940F72">
        <w:rPr>
          <w:iCs/>
        </w:rPr>
        <w:t xml:space="preserve">for patients treated with </w:t>
      </w:r>
      <w:r w:rsidRPr="00940F72">
        <w:rPr>
          <w:iCs/>
        </w:rPr>
        <w:t>ibrutinib (Rule 2017).</w:t>
      </w:r>
      <w:r w:rsidRPr="00940F72">
        <w:rPr>
          <w:rStyle w:val="FootnoteReference"/>
          <w:iCs/>
        </w:rPr>
        <w:footnoteReference w:id="2"/>
      </w:r>
    </w:p>
    <w:p w:rsidR="00955300" w:rsidRPr="00940F72" w:rsidRDefault="00955300" w:rsidP="00955300">
      <w:pPr>
        <w:pStyle w:val="3-BodyText"/>
        <w:rPr>
          <w:color w:val="0066FF"/>
        </w:rPr>
      </w:pPr>
      <w:r w:rsidRPr="00940F72">
        <w:rPr>
          <w:iCs/>
        </w:rPr>
        <w:t>Matching for the selected variables resulted in an effective sample size of 38 patients for zanubrutinib, compared with 123 patients (study 206+study AU-003, N= 86+37=123) in the unbalanced trials. This</w:t>
      </w:r>
      <w:r w:rsidRPr="00940F72">
        <w:t xml:space="preserve"> suggests poor overlap between the </w:t>
      </w:r>
      <w:r w:rsidRPr="00940F72">
        <w:rPr>
          <w:iCs/>
        </w:rPr>
        <w:t>zanubrutinib</w:t>
      </w:r>
      <w:r w:rsidRPr="00940F72">
        <w:t xml:space="preserve"> and ibrutinib trial populations. </w:t>
      </w:r>
      <w:r w:rsidR="00483E66" w:rsidRPr="00940F72">
        <w:t>The evaluation considered that t</w:t>
      </w:r>
      <w:r w:rsidRPr="00940F72">
        <w:t>he resulting effective sample size</w:t>
      </w:r>
      <w:r w:rsidR="00C11D4D" w:rsidRPr="00940F72">
        <w:t xml:space="preserve"> may not</w:t>
      </w:r>
      <w:r w:rsidRPr="00940F72">
        <w:t xml:space="preserve"> be sufficient to reliably compare treatments</w:t>
      </w:r>
      <w:r w:rsidR="00FC7386" w:rsidRPr="00940F72">
        <w:t>,</w:t>
      </w:r>
      <w:r w:rsidRPr="00940F72">
        <w:t xml:space="preserve"> and it increases uncertainty in the results</w:t>
      </w:r>
      <w:r w:rsidR="00FE1214" w:rsidRPr="00940F72">
        <w:t>, as demonstrated by the wider confidence intervals</w:t>
      </w:r>
      <w:r w:rsidR="00E0120B" w:rsidRPr="00940F72">
        <w:t xml:space="preserve"> (CIs)</w:t>
      </w:r>
      <w:r w:rsidR="00FE1214" w:rsidRPr="00940F72">
        <w:t xml:space="preserve"> after matching in Table 7 below</w:t>
      </w:r>
      <w:r w:rsidRPr="00940F72">
        <w:t>. Small effective sample sizes indicate that results of the MAIC may be unstable (Phillippo 2018).</w:t>
      </w:r>
      <w:r w:rsidRPr="00940F72">
        <w:rPr>
          <w:rStyle w:val="FootnoteReference"/>
          <w:iCs/>
        </w:rPr>
        <w:footnoteReference w:id="3"/>
      </w:r>
    </w:p>
    <w:p w:rsidR="00955300" w:rsidRPr="00940F72" w:rsidRDefault="00955300" w:rsidP="00955300">
      <w:pPr>
        <w:pStyle w:val="3-BodyText"/>
        <w:rPr>
          <w:color w:val="0066FF"/>
        </w:rPr>
      </w:pPr>
      <w:r w:rsidRPr="00940F72">
        <w:rPr>
          <w:snapToGrid/>
        </w:rPr>
        <w:t xml:space="preserve">Table </w:t>
      </w:r>
      <w:r w:rsidR="00053418" w:rsidRPr="00940F72">
        <w:rPr>
          <w:snapToGrid/>
        </w:rPr>
        <w:t>6</w:t>
      </w:r>
      <w:r w:rsidRPr="00940F72">
        <w:rPr>
          <w:snapToGrid/>
        </w:rPr>
        <w:t xml:space="preserve"> presents the overall response rate (ORR) and complete response (CR) rate before and after matching.</w:t>
      </w:r>
    </w:p>
    <w:p w:rsidR="00955300" w:rsidRPr="00940F72" w:rsidRDefault="00955300" w:rsidP="00955300">
      <w:pPr>
        <w:pStyle w:val="TableFigureHeading"/>
      </w:pPr>
      <w:bookmarkStart w:id="31" w:name="_Hlk72248346"/>
      <w:r w:rsidRPr="00940F72">
        <w:t xml:space="preserve">Table </w:t>
      </w:r>
      <w:r w:rsidR="00053418" w:rsidRPr="00940F72">
        <w:t>6</w:t>
      </w:r>
      <w:r w:rsidRPr="00940F72">
        <w:t xml:space="preserve">: Summary of </w:t>
      </w:r>
      <w:r w:rsidR="00CB152D" w:rsidRPr="00940F72">
        <w:t>r</w:t>
      </w:r>
      <w:r w:rsidRPr="00940F72">
        <w:t xml:space="preserve">esponse rates (ORR and CR) in MAIC </w:t>
      </w:r>
      <w:r w:rsidR="00CB152D" w:rsidRPr="00940F72">
        <w:t>c</w:t>
      </w:r>
      <w:r w:rsidRPr="00940F72">
        <w:t xml:space="preserve">onsidered </w:t>
      </w:r>
      <w:r w:rsidR="00CB152D" w:rsidRPr="00940F72">
        <w:t>s</w:t>
      </w:r>
      <w:r w:rsidRPr="00940F72">
        <w:t>tudies</w:t>
      </w:r>
      <w:r w:rsidR="009136BF">
        <w:t>*</w:t>
      </w:r>
    </w:p>
    <w:tbl>
      <w:tblPr>
        <w:tblStyle w:val="TableGrid"/>
        <w:tblW w:w="0" w:type="auto"/>
        <w:tblLook w:val="04A0" w:firstRow="1" w:lastRow="0" w:firstColumn="1" w:lastColumn="0" w:noHBand="0" w:noVBand="1"/>
        <w:tblCaption w:val="Table 6: Summary of response rates (ORR and CR) in MAIC considered studies*"/>
      </w:tblPr>
      <w:tblGrid>
        <w:gridCol w:w="1000"/>
        <w:gridCol w:w="1264"/>
        <w:gridCol w:w="1295"/>
        <w:gridCol w:w="1597"/>
        <w:gridCol w:w="1219"/>
        <w:gridCol w:w="1215"/>
        <w:gridCol w:w="1427"/>
      </w:tblGrid>
      <w:tr w:rsidR="00955300" w:rsidRPr="00940F72" w:rsidTr="0009553F">
        <w:trPr>
          <w:tblHeader/>
        </w:trPr>
        <w:tc>
          <w:tcPr>
            <w:tcW w:w="1000" w:type="dxa"/>
            <w:shd w:val="clear" w:color="auto" w:fill="auto"/>
          </w:tcPr>
          <w:p w:rsidR="00955300" w:rsidRPr="00940F72" w:rsidRDefault="00955300" w:rsidP="00E83D45">
            <w:pPr>
              <w:pStyle w:val="TableText0"/>
              <w:jc w:val="center"/>
              <w:rPr>
                <w:b/>
                <w:bCs w:val="0"/>
              </w:rPr>
            </w:pPr>
            <w:r w:rsidRPr="00940F72">
              <w:rPr>
                <w:b/>
                <w:bCs w:val="0"/>
              </w:rPr>
              <w:t>Response Rates</w:t>
            </w:r>
          </w:p>
        </w:tc>
        <w:tc>
          <w:tcPr>
            <w:tcW w:w="4157" w:type="dxa"/>
            <w:gridSpan w:val="3"/>
            <w:shd w:val="clear" w:color="auto" w:fill="auto"/>
          </w:tcPr>
          <w:p w:rsidR="00955300" w:rsidRPr="00940F72" w:rsidRDefault="00FE1214" w:rsidP="00E83D45">
            <w:pPr>
              <w:pStyle w:val="TableText0"/>
              <w:jc w:val="center"/>
              <w:rPr>
                <w:b/>
                <w:bCs w:val="0"/>
              </w:rPr>
            </w:pPr>
            <w:r w:rsidRPr="00940F72">
              <w:rPr>
                <w:b/>
                <w:bCs w:val="0"/>
              </w:rPr>
              <w:t>Without adjustment</w:t>
            </w:r>
          </w:p>
        </w:tc>
        <w:tc>
          <w:tcPr>
            <w:tcW w:w="3860" w:type="dxa"/>
            <w:gridSpan w:val="3"/>
          </w:tcPr>
          <w:p w:rsidR="00955300" w:rsidRPr="00940F72" w:rsidRDefault="00955300" w:rsidP="00E83D45">
            <w:pPr>
              <w:pStyle w:val="TableText0"/>
              <w:jc w:val="center"/>
              <w:rPr>
                <w:b/>
                <w:bCs w:val="0"/>
              </w:rPr>
            </w:pPr>
            <w:r w:rsidRPr="00940F72">
              <w:rPr>
                <w:b/>
                <w:bCs w:val="0"/>
              </w:rPr>
              <w:t>After matching</w:t>
            </w:r>
          </w:p>
        </w:tc>
      </w:tr>
      <w:tr w:rsidR="00955300" w:rsidRPr="00940F72" w:rsidTr="00E83D45">
        <w:tc>
          <w:tcPr>
            <w:tcW w:w="1000" w:type="dxa"/>
            <w:shd w:val="clear" w:color="auto" w:fill="auto"/>
          </w:tcPr>
          <w:p w:rsidR="00955300" w:rsidRPr="00940F72" w:rsidRDefault="00955300" w:rsidP="00E83D45">
            <w:pPr>
              <w:pStyle w:val="TableText0"/>
              <w:jc w:val="center"/>
              <w:rPr>
                <w:b/>
                <w:bCs w:val="0"/>
              </w:rPr>
            </w:pPr>
          </w:p>
        </w:tc>
        <w:tc>
          <w:tcPr>
            <w:tcW w:w="1264" w:type="dxa"/>
            <w:shd w:val="clear" w:color="auto" w:fill="auto"/>
          </w:tcPr>
          <w:p w:rsidR="00955300" w:rsidRPr="00940F72" w:rsidRDefault="00955300" w:rsidP="00E83D45">
            <w:pPr>
              <w:pStyle w:val="TableText0"/>
              <w:jc w:val="center"/>
              <w:rPr>
                <w:b/>
                <w:bCs w:val="0"/>
              </w:rPr>
            </w:pPr>
            <w:r w:rsidRPr="00940F72">
              <w:rPr>
                <w:b/>
                <w:bCs w:val="0"/>
              </w:rPr>
              <w:t>Zanubrutinib,</w:t>
            </w:r>
          </w:p>
          <w:p w:rsidR="00955300" w:rsidRPr="00940F72" w:rsidRDefault="00955300" w:rsidP="00E83D45">
            <w:pPr>
              <w:pStyle w:val="TableText0"/>
              <w:jc w:val="center"/>
              <w:rPr>
                <w:b/>
                <w:bCs w:val="0"/>
              </w:rPr>
            </w:pPr>
            <w:r w:rsidRPr="00940F72">
              <w:rPr>
                <w:b/>
                <w:bCs w:val="0"/>
              </w:rPr>
              <w:t>Unweighted Study 206+ AU-003</w:t>
            </w:r>
          </w:p>
        </w:tc>
        <w:tc>
          <w:tcPr>
            <w:tcW w:w="1295" w:type="dxa"/>
            <w:shd w:val="clear" w:color="auto" w:fill="auto"/>
          </w:tcPr>
          <w:p w:rsidR="00955300" w:rsidRPr="00940F72" w:rsidRDefault="00955300" w:rsidP="00E83D45">
            <w:pPr>
              <w:pStyle w:val="TableText0"/>
              <w:jc w:val="center"/>
              <w:rPr>
                <w:b/>
                <w:bCs w:val="0"/>
              </w:rPr>
            </w:pPr>
            <w:r w:rsidRPr="00940F72">
              <w:rPr>
                <w:b/>
                <w:bCs w:val="0"/>
              </w:rPr>
              <w:t>Ibrutinib</w:t>
            </w:r>
          </w:p>
          <w:p w:rsidR="00955300" w:rsidRPr="00940F72" w:rsidRDefault="00955300" w:rsidP="00E83D45">
            <w:pPr>
              <w:pStyle w:val="TableText0"/>
              <w:jc w:val="center"/>
              <w:rPr>
                <w:b/>
                <w:bCs w:val="0"/>
              </w:rPr>
            </w:pPr>
            <w:r w:rsidRPr="00940F72">
              <w:rPr>
                <w:b/>
                <w:bCs w:val="0"/>
              </w:rPr>
              <w:t>POOLED</w:t>
            </w:r>
          </w:p>
        </w:tc>
        <w:tc>
          <w:tcPr>
            <w:tcW w:w="1598" w:type="dxa"/>
          </w:tcPr>
          <w:p w:rsidR="00955300" w:rsidRPr="00940F72" w:rsidRDefault="00955300" w:rsidP="00E83D45">
            <w:pPr>
              <w:pStyle w:val="TableText0"/>
              <w:jc w:val="center"/>
              <w:rPr>
                <w:b/>
                <w:bCs w:val="0"/>
                <w:iCs/>
              </w:rPr>
            </w:pPr>
            <w:r w:rsidRPr="00940F72">
              <w:rPr>
                <w:b/>
                <w:bCs w:val="0"/>
                <w:iCs/>
              </w:rPr>
              <w:t>Odds Ratio</w:t>
            </w:r>
          </w:p>
          <w:p w:rsidR="00955300" w:rsidRPr="00940F72" w:rsidRDefault="00955300" w:rsidP="00E83D45">
            <w:pPr>
              <w:pStyle w:val="TableText0"/>
              <w:jc w:val="center"/>
              <w:rPr>
                <w:b/>
                <w:bCs w:val="0"/>
                <w:iCs/>
              </w:rPr>
            </w:pPr>
            <w:r w:rsidRPr="00940F72">
              <w:rPr>
                <w:b/>
                <w:bCs w:val="0"/>
                <w:iCs/>
              </w:rPr>
              <w:t>(95% CI)</w:t>
            </w:r>
          </w:p>
          <w:p w:rsidR="00955300" w:rsidRPr="00940F72" w:rsidRDefault="00955300" w:rsidP="00E83D45">
            <w:pPr>
              <w:pStyle w:val="TableText0"/>
              <w:jc w:val="center"/>
              <w:rPr>
                <w:b/>
                <w:bCs w:val="0"/>
                <w:iCs/>
              </w:rPr>
            </w:pPr>
            <w:r w:rsidRPr="00940F72">
              <w:rPr>
                <w:b/>
                <w:bCs w:val="0"/>
                <w:iCs/>
              </w:rPr>
              <w:t xml:space="preserve">p-value </w:t>
            </w:r>
          </w:p>
        </w:tc>
        <w:tc>
          <w:tcPr>
            <w:tcW w:w="1217" w:type="dxa"/>
          </w:tcPr>
          <w:p w:rsidR="00955300" w:rsidRPr="00940F72" w:rsidRDefault="00955300" w:rsidP="00E83D45">
            <w:pPr>
              <w:pStyle w:val="TableText0"/>
              <w:jc w:val="center"/>
              <w:rPr>
                <w:b/>
                <w:bCs w:val="0"/>
              </w:rPr>
            </w:pPr>
            <w:r w:rsidRPr="00940F72">
              <w:rPr>
                <w:b/>
                <w:bCs w:val="0"/>
              </w:rPr>
              <w:t>Zanubrutinib</w:t>
            </w:r>
          </w:p>
          <w:p w:rsidR="00955300" w:rsidRPr="00940F72" w:rsidRDefault="00955300" w:rsidP="00E83D45">
            <w:pPr>
              <w:pStyle w:val="TableText0"/>
              <w:jc w:val="center"/>
              <w:rPr>
                <w:b/>
                <w:bCs w:val="0"/>
              </w:rPr>
            </w:pPr>
            <w:r w:rsidRPr="00940F72">
              <w:rPr>
                <w:b/>
                <w:bCs w:val="0"/>
              </w:rPr>
              <w:t>Weighted Study 206 + AU-003</w:t>
            </w:r>
          </w:p>
        </w:tc>
        <w:tc>
          <w:tcPr>
            <w:tcW w:w="1215" w:type="dxa"/>
          </w:tcPr>
          <w:p w:rsidR="00955300" w:rsidRPr="00940F72" w:rsidRDefault="00955300" w:rsidP="00E83D45">
            <w:pPr>
              <w:pStyle w:val="TableText0"/>
              <w:jc w:val="center"/>
              <w:rPr>
                <w:b/>
                <w:bCs w:val="0"/>
              </w:rPr>
            </w:pPr>
            <w:r w:rsidRPr="00940F72">
              <w:rPr>
                <w:b/>
                <w:bCs w:val="0"/>
              </w:rPr>
              <w:t>Ibrutinib</w:t>
            </w:r>
          </w:p>
          <w:p w:rsidR="00955300" w:rsidRPr="00940F72" w:rsidRDefault="00955300" w:rsidP="00B30B3B">
            <w:pPr>
              <w:pStyle w:val="TableText0"/>
              <w:jc w:val="center"/>
              <w:rPr>
                <w:b/>
                <w:bCs w:val="0"/>
              </w:rPr>
            </w:pPr>
            <w:r w:rsidRPr="00940F72">
              <w:rPr>
                <w:b/>
                <w:bCs w:val="0"/>
              </w:rPr>
              <w:t>POOLED</w:t>
            </w:r>
            <w:r w:rsidR="00B30B3B" w:rsidRPr="00940F72">
              <w:rPr>
                <w:b/>
                <w:bCs w:val="0"/>
                <w:vertAlign w:val="superscript"/>
              </w:rPr>
              <w:t>a</w:t>
            </w:r>
          </w:p>
        </w:tc>
        <w:tc>
          <w:tcPr>
            <w:tcW w:w="1428" w:type="dxa"/>
          </w:tcPr>
          <w:p w:rsidR="00955300" w:rsidRPr="00940F72" w:rsidRDefault="00955300" w:rsidP="00E83D45">
            <w:pPr>
              <w:pStyle w:val="TableText0"/>
              <w:jc w:val="center"/>
              <w:rPr>
                <w:b/>
                <w:bCs w:val="0"/>
                <w:iCs/>
              </w:rPr>
            </w:pPr>
            <w:r w:rsidRPr="00940F72">
              <w:rPr>
                <w:b/>
                <w:bCs w:val="0"/>
                <w:iCs/>
              </w:rPr>
              <w:t>Odds Ratio</w:t>
            </w:r>
          </w:p>
          <w:p w:rsidR="00955300" w:rsidRPr="00940F72" w:rsidRDefault="00955300" w:rsidP="00E83D45">
            <w:pPr>
              <w:pStyle w:val="TableText0"/>
              <w:jc w:val="center"/>
              <w:rPr>
                <w:b/>
                <w:bCs w:val="0"/>
                <w:iCs/>
              </w:rPr>
            </w:pPr>
            <w:r w:rsidRPr="00940F72">
              <w:rPr>
                <w:b/>
                <w:bCs w:val="0"/>
                <w:iCs/>
              </w:rPr>
              <w:t>(95% CI)</w:t>
            </w:r>
          </w:p>
          <w:p w:rsidR="00955300" w:rsidRPr="00940F72" w:rsidRDefault="00955300" w:rsidP="00E83D45">
            <w:pPr>
              <w:pStyle w:val="TableText0"/>
              <w:jc w:val="center"/>
              <w:rPr>
                <w:b/>
                <w:bCs w:val="0"/>
                <w:iCs/>
              </w:rPr>
            </w:pPr>
            <w:r w:rsidRPr="00940F72">
              <w:rPr>
                <w:b/>
                <w:bCs w:val="0"/>
                <w:iCs/>
              </w:rPr>
              <w:t>p-value</w:t>
            </w:r>
          </w:p>
        </w:tc>
      </w:tr>
      <w:tr w:rsidR="00955300" w:rsidRPr="00940F72" w:rsidTr="00E83D45">
        <w:tc>
          <w:tcPr>
            <w:tcW w:w="1000" w:type="dxa"/>
          </w:tcPr>
          <w:p w:rsidR="00955300" w:rsidRPr="00940F72" w:rsidRDefault="00955300" w:rsidP="00E83D45">
            <w:pPr>
              <w:pStyle w:val="TableText0"/>
              <w:jc w:val="center"/>
              <w:rPr>
                <w:rFonts w:cstheme="minorHAnsi"/>
                <w:szCs w:val="20"/>
                <w:highlight w:val="yellow"/>
              </w:rPr>
            </w:pPr>
            <w:r w:rsidRPr="00940F72">
              <w:rPr>
                <w:rFonts w:cstheme="minorHAnsi"/>
                <w:szCs w:val="20"/>
              </w:rPr>
              <w:t>ORR (95% CI)</w:t>
            </w:r>
          </w:p>
        </w:tc>
        <w:tc>
          <w:tcPr>
            <w:tcW w:w="1264" w:type="dxa"/>
          </w:tcPr>
          <w:p w:rsidR="00955300" w:rsidRPr="00940F72" w:rsidRDefault="00955300" w:rsidP="00E83D45">
            <w:pPr>
              <w:pStyle w:val="TableText0"/>
              <w:jc w:val="center"/>
              <w:rPr>
                <w:rFonts w:cstheme="minorBidi"/>
                <w:highlight w:val="yellow"/>
              </w:rPr>
            </w:pPr>
            <w:r w:rsidRPr="00940F72">
              <w:rPr>
                <w:rFonts w:cstheme="minorBidi"/>
              </w:rPr>
              <w:t>85% (79, 91)</w:t>
            </w:r>
          </w:p>
        </w:tc>
        <w:tc>
          <w:tcPr>
            <w:tcW w:w="1295" w:type="dxa"/>
          </w:tcPr>
          <w:p w:rsidR="00955300" w:rsidRPr="00940F72" w:rsidRDefault="00955300" w:rsidP="00E83D45">
            <w:pPr>
              <w:pStyle w:val="TableText0"/>
              <w:jc w:val="center"/>
              <w:rPr>
                <w:rFonts w:cstheme="minorBidi"/>
              </w:rPr>
            </w:pPr>
            <w:r w:rsidRPr="00940F72">
              <w:rPr>
                <w:rFonts w:cstheme="minorBidi"/>
              </w:rPr>
              <w:t>66% (61, 71)</w:t>
            </w:r>
          </w:p>
        </w:tc>
        <w:tc>
          <w:tcPr>
            <w:tcW w:w="1598" w:type="dxa"/>
          </w:tcPr>
          <w:p w:rsidR="00955300" w:rsidRPr="00940F72" w:rsidRDefault="00F70684" w:rsidP="00E83D45">
            <w:pPr>
              <w:pStyle w:val="TableText0"/>
              <w:jc w:val="center"/>
              <w:rPr>
                <w:rFonts w:cstheme="minorBidi"/>
                <w:b/>
                <w:bCs w:val="0"/>
                <w:iCs/>
              </w:rPr>
            </w:pPr>
            <w:r w:rsidRPr="00940F72">
              <w:rPr>
                <w:rFonts w:cstheme="minorBidi"/>
                <w:b/>
                <w:bCs w:val="0"/>
                <w:iCs/>
              </w:rPr>
              <w:t>2.92</w:t>
            </w:r>
          </w:p>
          <w:p w:rsidR="00955300" w:rsidRPr="00940F72" w:rsidRDefault="00955300" w:rsidP="00E83D45">
            <w:pPr>
              <w:pStyle w:val="TableText0"/>
              <w:jc w:val="center"/>
              <w:rPr>
                <w:rFonts w:cstheme="minorBidi"/>
                <w:b/>
                <w:bCs w:val="0"/>
                <w:iCs/>
              </w:rPr>
            </w:pPr>
            <w:r w:rsidRPr="00940F72">
              <w:rPr>
                <w:rFonts w:cstheme="minorBidi"/>
                <w:b/>
                <w:bCs w:val="0"/>
                <w:iCs/>
              </w:rPr>
              <w:t>(</w:t>
            </w:r>
            <w:r w:rsidR="00F70684" w:rsidRPr="00940F72">
              <w:rPr>
                <w:rFonts w:cstheme="minorBidi"/>
                <w:b/>
                <w:bCs w:val="0"/>
                <w:iCs/>
              </w:rPr>
              <w:t>1.70</w:t>
            </w:r>
            <w:r w:rsidRPr="00940F72">
              <w:rPr>
                <w:rFonts w:cstheme="minorBidi"/>
                <w:b/>
                <w:bCs w:val="0"/>
                <w:iCs/>
              </w:rPr>
              <w:t xml:space="preserve">, </w:t>
            </w:r>
            <w:r w:rsidR="00F70684" w:rsidRPr="00940F72">
              <w:rPr>
                <w:rFonts w:cstheme="minorBidi"/>
                <w:b/>
                <w:bCs w:val="0"/>
                <w:iCs/>
              </w:rPr>
              <w:t>5.02</w:t>
            </w:r>
            <w:r w:rsidRPr="00940F72">
              <w:rPr>
                <w:rFonts w:cstheme="minorBidi"/>
                <w:b/>
                <w:bCs w:val="0"/>
                <w:iCs/>
              </w:rPr>
              <w:t>)</w:t>
            </w:r>
          </w:p>
          <w:p w:rsidR="00955300" w:rsidRPr="00940F72" w:rsidRDefault="00955300" w:rsidP="00E83D45">
            <w:pPr>
              <w:pStyle w:val="TableText0"/>
              <w:jc w:val="center"/>
              <w:rPr>
                <w:rFonts w:cstheme="minorBidi"/>
                <w:iCs/>
              </w:rPr>
            </w:pPr>
            <w:r w:rsidRPr="00940F72">
              <w:rPr>
                <w:rFonts w:cstheme="minorBidi"/>
                <w:b/>
                <w:bCs w:val="0"/>
                <w:iCs/>
              </w:rPr>
              <w:t>0.000</w:t>
            </w:r>
            <w:r w:rsidRPr="00940F72">
              <w:rPr>
                <w:rFonts w:cstheme="minorBidi"/>
                <w:iCs/>
              </w:rPr>
              <w:t xml:space="preserve"> </w:t>
            </w:r>
          </w:p>
        </w:tc>
        <w:tc>
          <w:tcPr>
            <w:tcW w:w="1217" w:type="dxa"/>
          </w:tcPr>
          <w:p w:rsidR="00955300" w:rsidRPr="00940F72" w:rsidRDefault="00955300" w:rsidP="00E83D45">
            <w:pPr>
              <w:pStyle w:val="TableText0"/>
              <w:jc w:val="center"/>
              <w:rPr>
                <w:rFonts w:cstheme="minorBidi"/>
              </w:rPr>
            </w:pPr>
            <w:r w:rsidRPr="00940F72">
              <w:rPr>
                <w:rFonts w:cstheme="minorBidi"/>
              </w:rPr>
              <w:t>75% (60, 90)</w:t>
            </w:r>
          </w:p>
        </w:tc>
        <w:tc>
          <w:tcPr>
            <w:tcW w:w="1215" w:type="dxa"/>
          </w:tcPr>
          <w:p w:rsidR="00955300" w:rsidRPr="00940F72" w:rsidRDefault="00955300" w:rsidP="00E83D45">
            <w:pPr>
              <w:pStyle w:val="TableText0"/>
              <w:jc w:val="center"/>
              <w:rPr>
                <w:rFonts w:cstheme="minorBidi"/>
              </w:rPr>
            </w:pPr>
            <w:r w:rsidRPr="00940F72">
              <w:rPr>
                <w:rFonts w:cstheme="minorBidi"/>
              </w:rPr>
              <w:t>66% (61, 71)</w:t>
            </w:r>
          </w:p>
        </w:tc>
        <w:tc>
          <w:tcPr>
            <w:tcW w:w="1428" w:type="dxa"/>
          </w:tcPr>
          <w:p w:rsidR="00955300" w:rsidRPr="00940F72" w:rsidRDefault="00F70684" w:rsidP="00E83D45">
            <w:pPr>
              <w:pStyle w:val="TableText0"/>
              <w:jc w:val="center"/>
              <w:rPr>
                <w:rFonts w:cstheme="minorBidi"/>
                <w:iCs/>
              </w:rPr>
            </w:pPr>
            <w:r w:rsidRPr="00940F72">
              <w:rPr>
                <w:rFonts w:cstheme="minorBidi"/>
                <w:iCs/>
              </w:rPr>
              <w:t>1.55</w:t>
            </w:r>
          </w:p>
          <w:p w:rsidR="00955300" w:rsidRPr="00940F72" w:rsidRDefault="00955300" w:rsidP="00E83D45">
            <w:pPr>
              <w:pStyle w:val="TableText0"/>
              <w:jc w:val="center"/>
              <w:rPr>
                <w:rFonts w:cstheme="minorBidi"/>
                <w:iCs/>
              </w:rPr>
            </w:pPr>
            <w:r w:rsidRPr="00940F72">
              <w:rPr>
                <w:rFonts w:cstheme="minorBidi"/>
                <w:iCs/>
              </w:rPr>
              <w:t>(0.</w:t>
            </w:r>
            <w:r w:rsidR="00F70684" w:rsidRPr="00940F72">
              <w:rPr>
                <w:rFonts w:cstheme="minorBidi"/>
                <w:iCs/>
              </w:rPr>
              <w:t>61</w:t>
            </w:r>
            <w:r w:rsidRPr="00940F72">
              <w:rPr>
                <w:rFonts w:cstheme="minorBidi"/>
                <w:iCs/>
              </w:rPr>
              <w:t xml:space="preserve">, </w:t>
            </w:r>
            <w:r w:rsidR="00F70684" w:rsidRPr="00940F72">
              <w:rPr>
                <w:rFonts w:cstheme="minorBidi"/>
                <w:iCs/>
              </w:rPr>
              <w:t>3.89</w:t>
            </w:r>
            <w:r w:rsidRPr="00940F72">
              <w:rPr>
                <w:rFonts w:cstheme="minorBidi"/>
                <w:iCs/>
              </w:rPr>
              <w:t>)</w:t>
            </w:r>
          </w:p>
          <w:p w:rsidR="00955300" w:rsidRPr="00940F72" w:rsidRDefault="00955300" w:rsidP="00E83D45">
            <w:pPr>
              <w:pStyle w:val="TableText0"/>
              <w:jc w:val="center"/>
              <w:rPr>
                <w:rFonts w:cstheme="minorBidi"/>
                <w:iCs/>
              </w:rPr>
            </w:pPr>
            <w:r w:rsidRPr="00940F72">
              <w:rPr>
                <w:rFonts w:cstheme="minorBidi"/>
                <w:iCs/>
              </w:rPr>
              <w:t>0.356</w:t>
            </w:r>
          </w:p>
        </w:tc>
      </w:tr>
      <w:tr w:rsidR="00955300" w:rsidRPr="00940F72" w:rsidTr="00E83D45">
        <w:tc>
          <w:tcPr>
            <w:tcW w:w="1000" w:type="dxa"/>
          </w:tcPr>
          <w:p w:rsidR="00955300" w:rsidRPr="00940F72" w:rsidRDefault="00955300" w:rsidP="00E83D45">
            <w:pPr>
              <w:pStyle w:val="TableText0"/>
              <w:jc w:val="center"/>
              <w:rPr>
                <w:rFonts w:cstheme="minorHAnsi"/>
                <w:szCs w:val="20"/>
                <w:highlight w:val="yellow"/>
              </w:rPr>
            </w:pPr>
            <w:r w:rsidRPr="00940F72">
              <w:rPr>
                <w:rFonts w:cstheme="minorHAnsi"/>
                <w:szCs w:val="20"/>
              </w:rPr>
              <w:t xml:space="preserve">CR </w:t>
            </w:r>
            <w:r w:rsidR="00567289" w:rsidRPr="00940F72">
              <w:rPr>
                <w:rFonts w:cstheme="minorHAnsi"/>
                <w:szCs w:val="20"/>
              </w:rPr>
              <w:br/>
            </w:r>
            <w:r w:rsidRPr="00940F72">
              <w:rPr>
                <w:rFonts w:cstheme="minorHAnsi"/>
                <w:szCs w:val="20"/>
              </w:rPr>
              <w:t>(95% CI)</w:t>
            </w:r>
          </w:p>
        </w:tc>
        <w:tc>
          <w:tcPr>
            <w:tcW w:w="1264" w:type="dxa"/>
          </w:tcPr>
          <w:p w:rsidR="00955300" w:rsidRPr="00940F72" w:rsidRDefault="00955300" w:rsidP="00E83D45">
            <w:pPr>
              <w:pStyle w:val="TableText0"/>
              <w:jc w:val="center"/>
              <w:rPr>
                <w:rFonts w:cstheme="minorBidi"/>
                <w:highlight w:val="yellow"/>
              </w:rPr>
            </w:pPr>
            <w:r w:rsidRPr="00940F72">
              <w:rPr>
                <w:rFonts w:cstheme="minorBidi"/>
              </w:rPr>
              <w:t>34% (26, 42)</w:t>
            </w:r>
          </w:p>
        </w:tc>
        <w:tc>
          <w:tcPr>
            <w:tcW w:w="1295" w:type="dxa"/>
          </w:tcPr>
          <w:p w:rsidR="00955300" w:rsidRPr="00940F72" w:rsidRDefault="00955300" w:rsidP="00E83D45">
            <w:pPr>
              <w:pStyle w:val="TableText0"/>
              <w:jc w:val="center"/>
              <w:rPr>
                <w:rFonts w:cstheme="minorBidi"/>
              </w:rPr>
            </w:pPr>
            <w:r w:rsidRPr="00940F72">
              <w:rPr>
                <w:rFonts w:cstheme="minorBidi"/>
              </w:rPr>
              <w:t>20% (16, 24)</w:t>
            </w:r>
          </w:p>
        </w:tc>
        <w:tc>
          <w:tcPr>
            <w:tcW w:w="1598" w:type="dxa"/>
          </w:tcPr>
          <w:p w:rsidR="00955300" w:rsidRPr="00940F72" w:rsidRDefault="00F70684" w:rsidP="00E83D45">
            <w:pPr>
              <w:pStyle w:val="TableText0"/>
              <w:jc w:val="center"/>
              <w:rPr>
                <w:rFonts w:cstheme="minorBidi"/>
                <w:b/>
                <w:bCs w:val="0"/>
                <w:iCs/>
              </w:rPr>
            </w:pPr>
            <w:r w:rsidRPr="00940F72">
              <w:rPr>
                <w:rFonts w:cstheme="minorBidi"/>
                <w:b/>
                <w:bCs w:val="0"/>
                <w:iCs/>
              </w:rPr>
              <w:t>2.06</w:t>
            </w:r>
          </w:p>
          <w:p w:rsidR="00955300" w:rsidRPr="00940F72" w:rsidRDefault="00955300" w:rsidP="00E83D45">
            <w:pPr>
              <w:pStyle w:val="TableText0"/>
              <w:jc w:val="center"/>
              <w:rPr>
                <w:rFonts w:cstheme="minorBidi"/>
                <w:b/>
                <w:bCs w:val="0"/>
                <w:iCs/>
              </w:rPr>
            </w:pPr>
            <w:r w:rsidRPr="00940F72">
              <w:rPr>
                <w:rFonts w:cstheme="minorBidi"/>
                <w:b/>
                <w:bCs w:val="0"/>
                <w:iCs/>
              </w:rPr>
              <w:t>(</w:t>
            </w:r>
            <w:r w:rsidR="00F70684" w:rsidRPr="00940F72">
              <w:rPr>
                <w:rFonts w:cstheme="minorBidi"/>
                <w:b/>
                <w:bCs w:val="0"/>
                <w:iCs/>
              </w:rPr>
              <w:t>1.33</w:t>
            </w:r>
            <w:r w:rsidRPr="00940F72">
              <w:rPr>
                <w:rFonts w:cstheme="minorBidi"/>
                <w:b/>
                <w:bCs w:val="0"/>
                <w:iCs/>
              </w:rPr>
              <w:t xml:space="preserve">, </w:t>
            </w:r>
            <w:r w:rsidR="00F70684" w:rsidRPr="00940F72">
              <w:rPr>
                <w:rFonts w:cstheme="minorBidi"/>
                <w:b/>
                <w:bCs w:val="0"/>
                <w:iCs/>
              </w:rPr>
              <w:t>3.20</w:t>
            </w:r>
            <w:r w:rsidRPr="00940F72">
              <w:rPr>
                <w:rFonts w:cstheme="minorBidi"/>
                <w:b/>
                <w:bCs w:val="0"/>
                <w:iCs/>
              </w:rPr>
              <w:t>)</w:t>
            </w:r>
          </w:p>
          <w:p w:rsidR="00955300" w:rsidRPr="00940F72" w:rsidRDefault="00955300" w:rsidP="00E83D45">
            <w:pPr>
              <w:pStyle w:val="TableText0"/>
              <w:jc w:val="center"/>
              <w:rPr>
                <w:rFonts w:cstheme="minorBidi"/>
                <w:iCs/>
              </w:rPr>
            </w:pPr>
            <w:r w:rsidRPr="00940F72">
              <w:rPr>
                <w:rFonts w:cstheme="minorBidi"/>
                <w:b/>
                <w:bCs w:val="0"/>
                <w:iCs/>
              </w:rPr>
              <w:t>0.001</w:t>
            </w:r>
          </w:p>
        </w:tc>
        <w:tc>
          <w:tcPr>
            <w:tcW w:w="1217" w:type="dxa"/>
          </w:tcPr>
          <w:p w:rsidR="00955300" w:rsidRPr="00940F72" w:rsidRDefault="00955300" w:rsidP="00E83D45">
            <w:pPr>
              <w:pStyle w:val="TableText0"/>
              <w:jc w:val="center"/>
              <w:rPr>
                <w:rFonts w:cstheme="minorBidi"/>
              </w:rPr>
            </w:pPr>
            <w:r w:rsidRPr="00940F72">
              <w:rPr>
                <w:rFonts w:cstheme="minorBidi"/>
              </w:rPr>
              <w:t>25% (12, 38)</w:t>
            </w:r>
          </w:p>
        </w:tc>
        <w:tc>
          <w:tcPr>
            <w:tcW w:w="1215" w:type="dxa"/>
          </w:tcPr>
          <w:p w:rsidR="00955300" w:rsidRPr="00940F72" w:rsidRDefault="00955300" w:rsidP="00E83D45">
            <w:pPr>
              <w:pStyle w:val="TableText0"/>
              <w:jc w:val="center"/>
              <w:rPr>
                <w:rFonts w:cstheme="minorBidi"/>
              </w:rPr>
            </w:pPr>
            <w:r w:rsidRPr="00940F72">
              <w:rPr>
                <w:rFonts w:cstheme="minorBidi"/>
              </w:rPr>
              <w:t>20% (16, 24)</w:t>
            </w:r>
          </w:p>
        </w:tc>
        <w:tc>
          <w:tcPr>
            <w:tcW w:w="1428" w:type="dxa"/>
          </w:tcPr>
          <w:p w:rsidR="00955300" w:rsidRPr="00940F72" w:rsidRDefault="00F70684" w:rsidP="00E83D45">
            <w:pPr>
              <w:pStyle w:val="TableText0"/>
              <w:jc w:val="center"/>
              <w:rPr>
                <w:rFonts w:cstheme="minorBidi"/>
                <w:iCs/>
              </w:rPr>
            </w:pPr>
            <w:r w:rsidRPr="00940F72">
              <w:rPr>
                <w:rFonts w:cstheme="minorBidi"/>
                <w:iCs/>
              </w:rPr>
              <w:t>1.33</w:t>
            </w:r>
          </w:p>
          <w:p w:rsidR="00955300" w:rsidRPr="00940F72" w:rsidRDefault="00955300" w:rsidP="00E83D45">
            <w:pPr>
              <w:pStyle w:val="TableText0"/>
              <w:jc w:val="center"/>
              <w:rPr>
                <w:rFonts w:cstheme="minorBidi"/>
                <w:iCs/>
              </w:rPr>
            </w:pPr>
            <w:r w:rsidRPr="00940F72">
              <w:rPr>
                <w:rFonts w:cstheme="minorBidi"/>
                <w:iCs/>
              </w:rPr>
              <w:t>(</w:t>
            </w:r>
            <w:r w:rsidR="000D50FC" w:rsidRPr="00940F72">
              <w:rPr>
                <w:rFonts w:cstheme="minorBidi"/>
                <w:iCs/>
              </w:rPr>
              <w:t>0.60</w:t>
            </w:r>
            <w:r w:rsidRPr="00940F72">
              <w:rPr>
                <w:rFonts w:cstheme="minorBidi"/>
                <w:iCs/>
              </w:rPr>
              <w:t xml:space="preserve">, </w:t>
            </w:r>
            <w:r w:rsidR="000D50FC" w:rsidRPr="00940F72">
              <w:rPr>
                <w:rFonts w:cstheme="minorBidi"/>
                <w:iCs/>
              </w:rPr>
              <w:t>2.95</w:t>
            </w:r>
            <w:r w:rsidRPr="00940F72">
              <w:rPr>
                <w:rFonts w:cstheme="minorBidi"/>
                <w:iCs/>
              </w:rPr>
              <w:t>)</w:t>
            </w:r>
          </w:p>
          <w:p w:rsidR="00955300" w:rsidRPr="00940F72" w:rsidRDefault="00955300" w:rsidP="00E83D45">
            <w:pPr>
              <w:pStyle w:val="TableText0"/>
              <w:jc w:val="center"/>
              <w:rPr>
                <w:rFonts w:cstheme="minorBidi"/>
                <w:iCs/>
              </w:rPr>
            </w:pPr>
            <w:r w:rsidRPr="00940F72">
              <w:rPr>
                <w:rFonts w:cstheme="minorBidi"/>
                <w:iCs/>
              </w:rPr>
              <w:t>0.477</w:t>
            </w:r>
          </w:p>
        </w:tc>
      </w:tr>
    </w:tbl>
    <w:p w:rsidR="00955300" w:rsidRPr="00940F72" w:rsidRDefault="00955300" w:rsidP="00955300">
      <w:pPr>
        <w:pStyle w:val="TableFigureFooter"/>
      </w:pPr>
      <w:r w:rsidRPr="00940F72">
        <w:t>ORR=objective response rate; CR= complete response; CI=confidence interval.</w:t>
      </w:r>
    </w:p>
    <w:bookmarkEnd w:id="31"/>
    <w:p w:rsidR="00955300" w:rsidRPr="00940F72" w:rsidRDefault="00B30B3B" w:rsidP="00955300">
      <w:pPr>
        <w:pStyle w:val="TableFigureFooter"/>
      </w:pPr>
      <w:r w:rsidRPr="00940F72">
        <w:rPr>
          <w:vertAlign w:val="superscript"/>
        </w:rPr>
        <w:t>a</w:t>
      </w:r>
      <w:r w:rsidR="00955300" w:rsidRPr="00940F72">
        <w:t xml:space="preserve"> Ibrutinib POOLED= MCL-3001/RAY + PCYC-1104 + MCL-2001/SPARK. MCL-2002 study was not part of the MAIC analysis. </w:t>
      </w:r>
      <w:bookmarkStart w:id="32" w:name="_Hlk71217566"/>
    </w:p>
    <w:p w:rsidR="00955300" w:rsidRPr="00940F72" w:rsidRDefault="00955300" w:rsidP="00955300">
      <w:pPr>
        <w:pStyle w:val="TableFigureFooter"/>
      </w:pPr>
      <w:r w:rsidRPr="00940F72">
        <w:rPr>
          <w:iCs/>
        </w:rPr>
        <w:t>Statistically significant values (p-value ≤0.5) are in bold</w:t>
      </w:r>
      <w:bookmarkEnd w:id="32"/>
      <w:r w:rsidRPr="00940F72">
        <w:t xml:space="preserve">. </w:t>
      </w:r>
    </w:p>
    <w:p w:rsidR="00955300" w:rsidRPr="00940F72" w:rsidRDefault="00FC7386" w:rsidP="00955300">
      <w:pPr>
        <w:pStyle w:val="TableFigureFooter"/>
        <w:rPr>
          <w:iCs/>
        </w:rPr>
      </w:pPr>
      <w:r w:rsidRPr="00940F72">
        <w:rPr>
          <w:iCs/>
        </w:rPr>
        <w:t>The l</w:t>
      </w:r>
      <w:r w:rsidR="00955300" w:rsidRPr="00940F72">
        <w:rPr>
          <w:iCs/>
        </w:rPr>
        <w:t>og odds ratio was calculated by transforming ORR and CR to the logit scale and assuming normality on the logit scale</w:t>
      </w:r>
    </w:p>
    <w:p w:rsidR="00955300" w:rsidRDefault="00955300" w:rsidP="00955300">
      <w:pPr>
        <w:pStyle w:val="TableFigureFooter"/>
      </w:pPr>
      <w:r w:rsidRPr="00940F72">
        <w:t>Source: Table 2.52, p92 of the submission</w:t>
      </w:r>
    </w:p>
    <w:p w:rsidR="009136BF" w:rsidRPr="009136BF" w:rsidRDefault="009136BF" w:rsidP="00955300">
      <w:pPr>
        <w:pStyle w:val="TableFigureFooter"/>
        <w:rPr>
          <w:i/>
        </w:rPr>
      </w:pPr>
      <w:r w:rsidRPr="009136BF">
        <w:rPr>
          <w:i/>
        </w:rPr>
        <w:t>* Note that the results presented in Table 6 are derived from ad-hoc/post-hoc analyses conducted by the applicant specifically for the purposes of informing the PBAC consideration. These analyses were not part of the pre-specified statistical plan for Study 206 and Study AU-003.  Interpretation of the results and their application should therefore be limited to seeking to understand the basis for the PBAC outcome and should not be used for any other purpose.</w:t>
      </w:r>
    </w:p>
    <w:p w:rsidR="00955300" w:rsidRPr="00940F72" w:rsidRDefault="00955300" w:rsidP="00955300">
      <w:pPr>
        <w:pStyle w:val="3-BodyText"/>
        <w:rPr>
          <w:color w:val="0066FF"/>
        </w:rPr>
      </w:pPr>
      <w:r w:rsidRPr="00940F72">
        <w:rPr>
          <w:iCs/>
        </w:rPr>
        <w:t>The submission did not present relative treatment effects for either the before or after matching results. Therefore, the relative treatment effects for ORR and CR were calculated during the evaluation.</w:t>
      </w:r>
    </w:p>
    <w:p w:rsidR="00955300" w:rsidRPr="00940F72" w:rsidRDefault="00955300" w:rsidP="00955300">
      <w:pPr>
        <w:pStyle w:val="3-BodyText"/>
        <w:rPr>
          <w:color w:val="0066FF"/>
        </w:rPr>
      </w:pPr>
      <w:bookmarkStart w:id="33" w:name="_Hlk72248423"/>
      <w:r w:rsidRPr="00940F72">
        <w:rPr>
          <w:iCs/>
        </w:rPr>
        <w:t>Zanubrutinib was significantly superior to ibrutinib for both ORR and CR in the unadjusted analysis</w:t>
      </w:r>
      <w:r w:rsidRPr="00940F72">
        <w:t xml:space="preserve">, </w:t>
      </w:r>
      <w:r w:rsidRPr="00940F72">
        <w:rPr>
          <w:iCs/>
        </w:rPr>
        <w:t>noting that no treatment effect corresponds to a</w:t>
      </w:r>
      <w:r w:rsidR="001F4743" w:rsidRPr="00940F72">
        <w:rPr>
          <w:iCs/>
        </w:rPr>
        <w:t>n</w:t>
      </w:r>
      <w:r w:rsidRPr="00940F72">
        <w:rPr>
          <w:iCs/>
        </w:rPr>
        <w:t xml:space="preserve"> OR of </w:t>
      </w:r>
      <w:r w:rsidR="00F70684" w:rsidRPr="00940F72">
        <w:rPr>
          <w:iCs/>
        </w:rPr>
        <w:t>1</w:t>
      </w:r>
      <w:r w:rsidRPr="00940F72">
        <w:t xml:space="preserve">. </w:t>
      </w:r>
      <w:r w:rsidRPr="00940F72">
        <w:rPr>
          <w:iCs/>
        </w:rPr>
        <w:t xml:space="preserve">After matching, </w:t>
      </w:r>
      <w:bookmarkStart w:id="34" w:name="_Hlk70372984"/>
      <w:r w:rsidRPr="00940F72">
        <w:rPr>
          <w:iCs/>
        </w:rPr>
        <w:t>no statistically significant differences for ORR (OR=</w:t>
      </w:r>
      <w:r w:rsidR="000D50FC" w:rsidRPr="00940F72">
        <w:rPr>
          <w:iCs/>
        </w:rPr>
        <w:t>1.55</w:t>
      </w:r>
      <w:r w:rsidRPr="00940F72">
        <w:rPr>
          <w:iCs/>
        </w:rPr>
        <w:t>; 95% CI: 0.</w:t>
      </w:r>
      <w:r w:rsidR="000D50FC" w:rsidRPr="00940F72">
        <w:rPr>
          <w:iCs/>
        </w:rPr>
        <w:t>61</w:t>
      </w:r>
      <w:r w:rsidRPr="00940F72">
        <w:rPr>
          <w:iCs/>
        </w:rPr>
        <w:t xml:space="preserve">, </w:t>
      </w:r>
      <w:r w:rsidR="000D50FC" w:rsidRPr="00940F72">
        <w:rPr>
          <w:iCs/>
        </w:rPr>
        <w:t>3.89</w:t>
      </w:r>
      <w:r w:rsidRPr="00940F72">
        <w:rPr>
          <w:iCs/>
        </w:rPr>
        <w:t>; p-value=0.356) were observed</w:t>
      </w:r>
      <w:bookmarkEnd w:id="34"/>
      <w:r w:rsidRPr="00940F72">
        <w:rPr>
          <w:iCs/>
        </w:rPr>
        <w:t xml:space="preserve">. Similarly, statistically significant differences for CR (OR= </w:t>
      </w:r>
      <w:r w:rsidR="000D50FC" w:rsidRPr="00940F72">
        <w:rPr>
          <w:iCs/>
        </w:rPr>
        <w:t>1.33</w:t>
      </w:r>
      <w:r w:rsidRPr="00940F72">
        <w:rPr>
          <w:iCs/>
        </w:rPr>
        <w:t>; 95% CI: 0.</w:t>
      </w:r>
      <w:r w:rsidR="000D50FC" w:rsidRPr="00940F72">
        <w:rPr>
          <w:iCs/>
        </w:rPr>
        <w:t>60</w:t>
      </w:r>
      <w:r w:rsidRPr="00940F72">
        <w:rPr>
          <w:iCs/>
        </w:rPr>
        <w:t xml:space="preserve">, </w:t>
      </w:r>
      <w:r w:rsidR="000D50FC" w:rsidRPr="00940F72">
        <w:rPr>
          <w:iCs/>
        </w:rPr>
        <w:t>2.95</w:t>
      </w:r>
      <w:r w:rsidRPr="00940F72">
        <w:rPr>
          <w:iCs/>
        </w:rPr>
        <w:t>; p-value=0.477) were not observed.</w:t>
      </w:r>
    </w:p>
    <w:p w:rsidR="00955300" w:rsidRPr="00940F72" w:rsidRDefault="00955300" w:rsidP="00A7092F">
      <w:pPr>
        <w:pStyle w:val="3-BodyText"/>
      </w:pPr>
      <w:r w:rsidRPr="00940F72">
        <w:rPr>
          <w:iCs/>
        </w:rPr>
        <w:t>Although the point estimates favour zanubrutinib over ibrutinib, the lack of a statistically significant difference in CR and OR</w:t>
      </w:r>
      <w:r w:rsidR="00F116F7" w:rsidRPr="00940F72">
        <w:rPr>
          <w:iCs/>
        </w:rPr>
        <w:t>R</w:t>
      </w:r>
      <w:r w:rsidRPr="00940F72">
        <w:rPr>
          <w:iCs/>
        </w:rPr>
        <w:t xml:space="preserve"> is not sufficient to establish </w:t>
      </w:r>
      <w:r w:rsidR="00FC7386" w:rsidRPr="00940F72">
        <w:rPr>
          <w:iCs/>
        </w:rPr>
        <w:t>non</w:t>
      </w:r>
      <w:r w:rsidR="00556D85" w:rsidRPr="00940F72">
        <w:rPr>
          <w:iCs/>
        </w:rPr>
        <w:t>-</w:t>
      </w:r>
      <w:r w:rsidR="00FC7386" w:rsidRPr="00940F72">
        <w:rPr>
          <w:iCs/>
        </w:rPr>
        <w:t>inferiority</w:t>
      </w:r>
      <w:r w:rsidRPr="00940F72">
        <w:rPr>
          <w:iCs/>
        </w:rPr>
        <w:t xml:space="preserve">. </w:t>
      </w:r>
      <w:r w:rsidR="00A0299F" w:rsidRPr="00940F72">
        <w:rPr>
          <w:iCs/>
        </w:rPr>
        <w:t>The evaluation noted that t</w:t>
      </w:r>
      <w:r w:rsidRPr="00940F72">
        <w:rPr>
          <w:iCs/>
        </w:rPr>
        <w:t>he lower 95%</w:t>
      </w:r>
      <w:r w:rsidR="00E0120B" w:rsidRPr="00940F72">
        <w:rPr>
          <w:iCs/>
        </w:rPr>
        <w:t xml:space="preserve"> CIs</w:t>
      </w:r>
      <w:r w:rsidRPr="00940F72">
        <w:rPr>
          <w:iCs/>
        </w:rPr>
        <w:t xml:space="preserve"> of the </w:t>
      </w:r>
      <w:r w:rsidR="00A0299F" w:rsidRPr="00940F72">
        <w:rPr>
          <w:iCs/>
        </w:rPr>
        <w:t>OR</w:t>
      </w:r>
      <w:r w:rsidRPr="00940F72">
        <w:rPr>
          <w:iCs/>
        </w:rPr>
        <w:t xml:space="preserve"> are lower than the null value of </w:t>
      </w:r>
      <w:r w:rsidR="000D50FC" w:rsidRPr="00940F72">
        <w:rPr>
          <w:iCs/>
        </w:rPr>
        <w:t>1</w:t>
      </w:r>
      <w:r w:rsidRPr="00940F72">
        <w:rPr>
          <w:iCs/>
        </w:rPr>
        <w:t xml:space="preserve"> for both ORR and CR</w:t>
      </w:r>
      <w:r w:rsidR="00A0299F" w:rsidRPr="00940F72">
        <w:rPr>
          <w:iCs/>
        </w:rPr>
        <w:t>:</w:t>
      </w:r>
      <w:r w:rsidRPr="00940F72">
        <w:rPr>
          <w:iCs/>
        </w:rPr>
        <w:t xml:space="preserve"> </w:t>
      </w:r>
      <w:r w:rsidR="000D50FC" w:rsidRPr="00940F72">
        <w:rPr>
          <w:iCs/>
        </w:rPr>
        <w:t>0.61</w:t>
      </w:r>
      <w:r w:rsidRPr="00940F72">
        <w:rPr>
          <w:iCs/>
        </w:rPr>
        <w:t xml:space="preserve"> and 0.</w:t>
      </w:r>
      <w:r w:rsidR="000D50FC" w:rsidRPr="00940F72">
        <w:rPr>
          <w:iCs/>
        </w:rPr>
        <w:t>60</w:t>
      </w:r>
      <w:r w:rsidRPr="00940F72">
        <w:rPr>
          <w:iCs/>
        </w:rPr>
        <w:t>, respectively</w:t>
      </w:r>
      <w:bookmarkStart w:id="35" w:name="_Hlk71218193"/>
      <w:bookmarkEnd w:id="33"/>
      <w:r w:rsidR="00DB1AA9" w:rsidRPr="00940F72">
        <w:rPr>
          <w:iCs/>
        </w:rPr>
        <w:t xml:space="preserve">. </w:t>
      </w:r>
    </w:p>
    <w:bookmarkEnd w:id="35"/>
    <w:p w:rsidR="00955300" w:rsidRPr="00940F72" w:rsidRDefault="00955300" w:rsidP="00955300">
      <w:pPr>
        <w:pStyle w:val="3-BodyText"/>
      </w:pPr>
      <w:r w:rsidRPr="00940F72">
        <w:t>The PFS and OS Kaplan-Meier curves of the weighted and unweighted analyses are presented in Figures 1 and 2, respectively.</w:t>
      </w:r>
    </w:p>
    <w:p w:rsidR="00955300" w:rsidRPr="00940F72" w:rsidRDefault="00955300" w:rsidP="00955300">
      <w:pPr>
        <w:pStyle w:val="TableFigureHeading"/>
      </w:pPr>
      <w:r w:rsidRPr="00940F72">
        <w:t xml:space="preserve">Figure 1: PFS </w:t>
      </w:r>
      <w:r w:rsidR="00165C7C" w:rsidRPr="00940F72">
        <w:t xml:space="preserve">without adjustment </w:t>
      </w:r>
      <w:r w:rsidRPr="00940F72">
        <w:t>(unweighted</w:t>
      </w:r>
      <w:r w:rsidR="00A7092F" w:rsidRPr="00940F72">
        <w:t>; left</w:t>
      </w:r>
      <w:r w:rsidRPr="00940F72">
        <w:t>) and after matching (weighted</w:t>
      </w:r>
      <w:r w:rsidR="00A7092F" w:rsidRPr="00940F72">
        <w:t>; right</w:t>
      </w:r>
      <w:r w:rsidRPr="00940F72">
        <w:t xml:space="preserve">) for Study 206+AU-003 and </w:t>
      </w:r>
      <w:r w:rsidR="00A7092F" w:rsidRPr="00940F72">
        <w:t>i</w:t>
      </w:r>
      <w:r w:rsidRPr="00940F72">
        <w:t>brutinib POOLED</w:t>
      </w:r>
    </w:p>
    <w:bookmarkStart w:id="36" w:name="_Hlk72249340"/>
    <w:p w:rsidR="00955300" w:rsidRPr="00940F72" w:rsidRDefault="002C1E8A" w:rsidP="00955300">
      <w:r w:rsidRPr="00940F72">
        <w:rPr>
          <w:noProof/>
        </w:rPr>
        <mc:AlternateContent>
          <mc:Choice Requires="wps">
            <w:drawing>
              <wp:anchor distT="0" distB="0" distL="114300" distR="114300" simplePos="0" relativeHeight="251659264" behindDoc="0" locked="0" layoutInCell="1" allowOverlap="1" wp14:anchorId="7C9556EF" wp14:editId="2257DC19">
                <wp:simplePos x="0" y="0"/>
                <wp:positionH relativeFrom="column">
                  <wp:posOffset>406987</wp:posOffset>
                </wp:positionH>
                <wp:positionV relativeFrom="paragraph">
                  <wp:posOffset>1675441</wp:posOffset>
                </wp:positionV>
                <wp:extent cx="2283358" cy="0"/>
                <wp:effectExtent l="0" t="0" r="0" b="0"/>
                <wp:wrapNone/>
                <wp:docPr id="1" name="Straight Connector 1" descr="Figure 1: PFS without adjustment (unweighted; left) and after matching (weighted; right) for Study 206+AU-003 and ibrutinib POOLED"/>
                <wp:cNvGraphicFramePr/>
                <a:graphic xmlns:a="http://schemas.openxmlformats.org/drawingml/2006/main">
                  <a:graphicData uri="http://schemas.microsoft.com/office/word/2010/wordprocessingShape">
                    <wps:wsp>
                      <wps:cNvCnPr/>
                      <wps:spPr>
                        <a:xfrm flipV="1">
                          <a:off x="0" y="0"/>
                          <a:ext cx="22833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7C90D" id="Straight Connector 1" o:spid="_x0000_s1026" alt="Figure 1: PFS without adjustment (unweighted; left) and after matching (weighted; right) for Study 206+AU-003 and ibrutinib POOLED"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131.9pt" to="211.8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0FIAIAAFgEAAAOAAAAZHJzL2Uyb0RvYy54bWysVE2P0zAQvSPxH0Y57Qptk7ZitQptV6il&#10;XFa0oix31xk3Ro4d2ZOm/feM3Y9FgJBAXCyPZ958vDfJ5PHQGNijD9rZaTYcFBmgla7SdjfNnr8s&#10;7x4yCCRsJYyzOM2OGLLH2etXk74tceRqZyr0wElsKPt2mtVEbZnnQdbYiDBwLVp2KucbQWz6XV55&#10;0XP2xuSjorjPe+er1juJIfDr4uTMZim/UihppVRAAjPNuDdKp0/nNp75bCLKnRdtreW5DfEPXTRC&#10;Wy56TbUQJKDz+pdUjZbeBadoIF2TO6W0xDQDTzMsfppmU4sW0yxMTmivNIX/l1Z+2q896Iq1y8CK&#10;hiXakBd6VxPMnbVMoPPAvgqDZN6Wetd5hGEJ6+UGek216whE9a0L1KAluOlsjxGO1TswqOgWWH0Q&#10;ilhnFlHWLBPcvMT4GHwLLDFsqKuOMCru37x/viuKcULqre9IW72F9Wr19GERJevbUHLnc7v2Zyu0&#10;ax/5PyjfgDK6/Ronii/MMRyS4Mer4HggkPw4Gj2Mx295ReXFl59SRGDrA31E10C8TDOjbdRClGL/&#10;FIjLcuglhI3Y0qmJdKOjwRhs7GdUzC8XO7WTNhvnxsNe8E4KKZm1YRyK86XoCFPamCuwSGX/CDzH&#10;Ryimrf8b8BWRKjtLV3CjrfO/q06HS8vqFH9h4DR3pGDrqmOSJ1HD65smPH9q8fv40U7wlx/C7DsA&#10;AAD//wMAUEsDBBQABgAIAAAAIQDamOwY3AAAAAoBAAAPAAAAZHJzL2Rvd25yZXYueG1sTI/BTsMw&#10;DIbvSLxDZCRuLG1XlalrOiHGzogNJI5ZY9pC4lRNtrVvj5GQ4Gj70+/vrzaTs+KMY+g9KUgXCQik&#10;xpueWgWvh93dCkSImoy2nlDBjAE29fVVpUvjL/SC531sBYdQKLWCLsahlDI0HTodFn5A4tuHH52O&#10;PI6tNKO+cLizMkuSQjrdE3/o9ICPHTZf+5NTEGz79Dm/zX6bmXHe7sI7Pqe5Urc308MaRMQp/sHw&#10;o8/qULPT0Z/IBGEVFHnKpIKsWHIFBvJseQ/i+LuRdSX/V6i/AQAA//8DAFBLAQItABQABgAIAAAA&#10;IQC2gziS/gAAAOEBAAATAAAAAAAAAAAAAAAAAAAAAABbQ29udGVudF9UeXBlc10ueG1sUEsBAi0A&#10;FAAGAAgAAAAhADj9If/WAAAAlAEAAAsAAAAAAAAAAAAAAAAALwEAAF9yZWxzLy5yZWxzUEsBAi0A&#10;FAAGAAgAAAAhAFfBrQUgAgAAWAQAAA4AAAAAAAAAAAAAAAAALgIAAGRycy9lMm9Eb2MueG1sUEsB&#10;Ai0AFAAGAAgAAAAhANqY7BjcAAAACgEAAA8AAAAAAAAAAAAAAAAAegQAAGRycy9kb3ducmV2Lnht&#10;bFBLBQYAAAAABAAEAPMAAACDBQAAAAA=&#10;" strokecolor="#4579b8 [3044]"/>
            </w:pict>
          </mc:Fallback>
        </mc:AlternateContent>
      </w:r>
      <w:r w:rsidR="00955300" w:rsidRPr="00940F72">
        <w:rPr>
          <w:noProof/>
        </w:rPr>
        <w:drawing>
          <wp:inline distT="0" distB="0" distL="0" distR="0" wp14:anchorId="0D30C95D" wp14:editId="27BFA3B0">
            <wp:extent cx="2767054" cy="2214851"/>
            <wp:effectExtent l="0" t="0" r="0" b="0"/>
            <wp:docPr id="9" name="Picture 9" descr="Figure 1: PFS without adjustment (unweighted; left) and after matching (weighted; right) for Study 206+AU-003 and ibrutinib P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PFS without adjustment (unweighted; left) and after matching (weighted; right) for Study 206+AU-003 and ibrutinib POOLED"/>
                    <pic:cNvPicPr/>
                  </pic:nvPicPr>
                  <pic:blipFill>
                    <a:blip r:embed="rId8">
                      <a:extLst>
                        <a:ext uri="{28A0092B-C50C-407E-A947-70E740481C1C}">
                          <a14:useLocalDpi xmlns:a14="http://schemas.microsoft.com/office/drawing/2010/main" val="0"/>
                        </a:ext>
                      </a:extLst>
                    </a:blip>
                    <a:stretch>
                      <a:fillRect/>
                    </a:stretch>
                  </pic:blipFill>
                  <pic:spPr>
                    <a:xfrm>
                      <a:off x="0" y="0"/>
                      <a:ext cx="2809495" cy="2248822"/>
                    </a:xfrm>
                    <a:prstGeom prst="rect">
                      <a:avLst/>
                    </a:prstGeom>
                  </pic:spPr>
                </pic:pic>
              </a:graphicData>
            </a:graphic>
          </wp:inline>
        </w:drawing>
      </w:r>
      <w:r w:rsidRPr="00940F72">
        <w:rPr>
          <w:noProof/>
        </w:rPr>
        <w:drawing>
          <wp:inline distT="0" distB="0" distL="0" distR="0" wp14:anchorId="70BE0919" wp14:editId="16472FA5">
            <wp:extent cx="2833635" cy="2205641"/>
            <wp:effectExtent l="0" t="0" r="5080" b="4445"/>
            <wp:docPr id="6" name="Picture 6" descr="Figure 1: PFS without adjustment (unweighted; left) and after matching (weighted; right) for Study 206+AU-003 and ibrutinib P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PFS without adjustment (unweighted; left) and after matching (weighted; right) for Study 206+AU-003 and ibrutinib POOLED"/>
                    <pic:cNvPicPr/>
                  </pic:nvPicPr>
                  <pic:blipFill>
                    <a:blip r:embed="rId9">
                      <a:extLst>
                        <a:ext uri="{28A0092B-C50C-407E-A947-70E740481C1C}">
                          <a14:useLocalDpi xmlns:a14="http://schemas.microsoft.com/office/drawing/2010/main" val="0"/>
                        </a:ext>
                      </a:extLst>
                    </a:blip>
                    <a:stretch>
                      <a:fillRect/>
                    </a:stretch>
                  </pic:blipFill>
                  <pic:spPr>
                    <a:xfrm>
                      <a:off x="0" y="0"/>
                      <a:ext cx="2844307" cy="2213948"/>
                    </a:xfrm>
                    <a:prstGeom prst="rect">
                      <a:avLst/>
                    </a:prstGeom>
                  </pic:spPr>
                </pic:pic>
              </a:graphicData>
            </a:graphic>
          </wp:inline>
        </w:drawing>
      </w:r>
    </w:p>
    <w:p w:rsidR="009025E0" w:rsidRPr="00940F72" w:rsidRDefault="00955300" w:rsidP="00955300">
      <w:pPr>
        <w:pStyle w:val="TableFigureFooter"/>
      </w:pPr>
      <w:r w:rsidRPr="00940F72">
        <w:t>PFS=progression free survival.</w:t>
      </w:r>
      <w:r w:rsidR="00865B1E" w:rsidRPr="00940F72">
        <w:t xml:space="preserve"> </w:t>
      </w:r>
      <w:r w:rsidR="009025E0" w:rsidRPr="00940F72">
        <w:t xml:space="preserve">The pink shaded section represents 95% </w:t>
      </w:r>
      <w:r w:rsidR="000D50FC" w:rsidRPr="00940F72">
        <w:t>confidence interval</w:t>
      </w:r>
      <w:r w:rsidR="009025E0" w:rsidRPr="00940F72">
        <w:t xml:space="preserve"> for Study 206+ Study AU-003. </w:t>
      </w:r>
    </w:p>
    <w:p w:rsidR="00955300" w:rsidRPr="00940F72" w:rsidRDefault="00955300" w:rsidP="00955300">
      <w:pPr>
        <w:pStyle w:val="TableFigureFooter"/>
      </w:pPr>
      <w:r w:rsidRPr="00940F72">
        <w:t>Source: Figures 2.11 and 2.12, pp92-93 of the submission.</w:t>
      </w:r>
    </w:p>
    <w:p w:rsidR="00955300" w:rsidRPr="00940F72" w:rsidRDefault="00955300" w:rsidP="00955300">
      <w:pPr>
        <w:pStyle w:val="TableFigureHeading"/>
      </w:pPr>
      <w:r w:rsidRPr="00940F72">
        <w:t>Figure 2: OS before (unweighted</w:t>
      </w:r>
      <w:r w:rsidR="00A7092F" w:rsidRPr="00940F72">
        <w:t>; left</w:t>
      </w:r>
      <w:r w:rsidRPr="00940F72">
        <w:t>) and after matching (weighted</w:t>
      </w:r>
      <w:r w:rsidR="00A7092F" w:rsidRPr="00940F72">
        <w:t>; right</w:t>
      </w:r>
      <w:r w:rsidRPr="00940F72">
        <w:t xml:space="preserve">) for Study 206+AU-003 and </w:t>
      </w:r>
      <w:r w:rsidR="00A7092F" w:rsidRPr="00940F72">
        <w:t>i</w:t>
      </w:r>
      <w:r w:rsidRPr="00940F72">
        <w:t>brutinib POOLED</w:t>
      </w:r>
    </w:p>
    <w:p w:rsidR="00B82B09" w:rsidRPr="00940F72" w:rsidRDefault="00B82B09" w:rsidP="00B82B09">
      <w:r w:rsidRPr="00940F72">
        <w:rPr>
          <w:noProof/>
        </w:rPr>
        <w:drawing>
          <wp:inline distT="0" distB="0" distL="0" distR="0" wp14:anchorId="783A5CD6" wp14:editId="310B2001">
            <wp:extent cx="2803490" cy="1943735"/>
            <wp:effectExtent l="0" t="0" r="0" b="0"/>
            <wp:docPr id="12" name="Picture 12" descr="Figure 2: OS before (unweighted; left) and after matching (weighted; right) for Study 206+AU-003 and ibrutinib P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2: OS before (unweighted; left) and after matching (weighted; right) for Study 206+AU-003 and ibrutinib POOLED"/>
                    <pic:cNvPicPr/>
                  </pic:nvPicPr>
                  <pic:blipFill>
                    <a:blip r:embed="rId10">
                      <a:extLst>
                        <a:ext uri="{28A0092B-C50C-407E-A947-70E740481C1C}">
                          <a14:useLocalDpi xmlns:a14="http://schemas.microsoft.com/office/drawing/2010/main" val="0"/>
                        </a:ext>
                      </a:extLst>
                    </a:blip>
                    <a:stretch>
                      <a:fillRect/>
                    </a:stretch>
                  </pic:blipFill>
                  <pic:spPr>
                    <a:xfrm>
                      <a:off x="0" y="0"/>
                      <a:ext cx="2807652" cy="1946621"/>
                    </a:xfrm>
                    <a:prstGeom prst="rect">
                      <a:avLst/>
                    </a:prstGeom>
                  </pic:spPr>
                </pic:pic>
              </a:graphicData>
            </a:graphic>
          </wp:inline>
        </w:drawing>
      </w:r>
      <w:r w:rsidRPr="00940F72">
        <w:rPr>
          <w:noProof/>
        </w:rPr>
        <w:drawing>
          <wp:inline distT="0" distB="0" distL="0" distR="0" wp14:anchorId="49C92AC3" wp14:editId="7554DA9F">
            <wp:extent cx="2893925" cy="1934845"/>
            <wp:effectExtent l="0" t="0" r="1905" b="8255"/>
            <wp:docPr id="11" name="Picture 11" descr="Figure 2: OS before (unweighted; left) and after matching (weighted; right) for Study 206+AU-003 and ibrutinib P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 OS before (unweighted; left) and after matching (weighted; right) for Study 206+AU-003 and ibrutinib POOLED"/>
                    <pic:cNvPicPr/>
                  </pic:nvPicPr>
                  <pic:blipFill>
                    <a:blip r:embed="rId11">
                      <a:extLst>
                        <a:ext uri="{28A0092B-C50C-407E-A947-70E740481C1C}">
                          <a14:useLocalDpi xmlns:a14="http://schemas.microsoft.com/office/drawing/2010/main" val="0"/>
                        </a:ext>
                      </a:extLst>
                    </a:blip>
                    <a:stretch>
                      <a:fillRect/>
                    </a:stretch>
                  </pic:blipFill>
                  <pic:spPr>
                    <a:xfrm>
                      <a:off x="0" y="0"/>
                      <a:ext cx="2942225" cy="1967138"/>
                    </a:xfrm>
                    <a:prstGeom prst="rect">
                      <a:avLst/>
                    </a:prstGeom>
                  </pic:spPr>
                </pic:pic>
              </a:graphicData>
            </a:graphic>
          </wp:inline>
        </w:drawing>
      </w:r>
    </w:p>
    <w:bookmarkEnd w:id="36"/>
    <w:p w:rsidR="009025E0" w:rsidRPr="00940F72" w:rsidRDefault="00955300" w:rsidP="00955300">
      <w:pPr>
        <w:pStyle w:val="TableFigureFooter"/>
      </w:pPr>
      <w:r w:rsidRPr="00940F72">
        <w:t xml:space="preserve">OS=overall survival. </w:t>
      </w:r>
      <w:r w:rsidR="009025E0" w:rsidRPr="00940F72">
        <w:t xml:space="preserve">The pink shaded section represents 95% </w:t>
      </w:r>
      <w:r w:rsidR="000D50FC" w:rsidRPr="00940F72">
        <w:t>confidence interval</w:t>
      </w:r>
      <w:r w:rsidR="009025E0" w:rsidRPr="00940F72">
        <w:t xml:space="preserve"> for Study 206+ Study AU-003</w:t>
      </w:r>
    </w:p>
    <w:p w:rsidR="00955300" w:rsidRPr="00940F72" w:rsidRDefault="00955300" w:rsidP="00955300">
      <w:pPr>
        <w:pStyle w:val="TableFigureFooter"/>
      </w:pPr>
      <w:r w:rsidRPr="00940F72">
        <w:t xml:space="preserve">Figures 2.1 and 2.14, pp93-94 of the submission. </w:t>
      </w:r>
    </w:p>
    <w:p w:rsidR="00792A9B" w:rsidRPr="00940F72" w:rsidRDefault="00955300" w:rsidP="00A107A0">
      <w:pPr>
        <w:pStyle w:val="3-BodyText"/>
      </w:pPr>
      <w:bookmarkStart w:id="37" w:name="_Hlk72249744"/>
      <w:r w:rsidRPr="00940F72">
        <w:t>The submission stated that zanubrutinib numerically outperformed ibrutinib in terms of PFS in both the weighted and unweighted datasets</w:t>
      </w:r>
      <w:r w:rsidR="0009253B" w:rsidRPr="00940F72">
        <w:t>,</w:t>
      </w:r>
      <w:r w:rsidRPr="00940F72">
        <w:t xml:space="preserve"> with a </w:t>
      </w:r>
      <w:r w:rsidR="003D4266" w:rsidRPr="00940F72">
        <w:t>truncated mean</w:t>
      </w:r>
      <w:r w:rsidRPr="00940F72">
        <w:t xml:space="preserve"> difference of 4.524</w:t>
      </w:r>
      <w:r w:rsidR="003D4266" w:rsidRPr="00940F72">
        <w:t xml:space="preserve"> months</w:t>
      </w:r>
      <w:r w:rsidR="0009253B" w:rsidRPr="00940F72">
        <w:t xml:space="preserve"> (</w:t>
      </w:r>
      <w:r w:rsidR="001C33C7" w:rsidRPr="00940F72">
        <w:t>without</w:t>
      </w:r>
      <w:r w:rsidR="0009253B" w:rsidRPr="00940F72">
        <w:t xml:space="preserve"> </w:t>
      </w:r>
      <w:r w:rsidR="005D0E6C" w:rsidRPr="00940F72">
        <w:t>adjustment</w:t>
      </w:r>
      <w:r w:rsidR="0009253B" w:rsidRPr="00940F72">
        <w:t>)</w:t>
      </w:r>
      <w:r w:rsidR="00D9462E" w:rsidRPr="00940F72">
        <w:t xml:space="preserve"> and 1.059</w:t>
      </w:r>
      <w:r w:rsidR="003D4266" w:rsidRPr="00940F72">
        <w:t xml:space="preserve"> months</w:t>
      </w:r>
      <w:r w:rsidR="00D9462E" w:rsidRPr="00940F72">
        <w:t xml:space="preserve"> (after matching)</w:t>
      </w:r>
      <w:r w:rsidRPr="00940F72">
        <w:t xml:space="preserve"> by 27.9 months (Figure 1).</w:t>
      </w:r>
      <w:r w:rsidR="00CB418D" w:rsidRPr="00940F72">
        <w:t xml:space="preserve"> Similar to PFS, zanubrutinib was claimed to numerically outperform ibrutinib in terms of OS in both the weighted and unweighted datasets, with a restricted mean difference of 3.884 months (without adjustment) and 1.581 months (after matching) by 32.5 months (Figure 2). </w:t>
      </w:r>
      <w:r w:rsidR="00CB418D" w:rsidRPr="00940F72">
        <w:rPr>
          <w:iCs/>
        </w:rPr>
        <w:t>The submission did not present hazard ratios</w:t>
      </w:r>
      <w:r w:rsidR="00E0120B" w:rsidRPr="00940F72">
        <w:rPr>
          <w:iCs/>
        </w:rPr>
        <w:t xml:space="preserve"> (HRs)</w:t>
      </w:r>
      <w:r w:rsidR="00CB418D" w:rsidRPr="00940F72">
        <w:rPr>
          <w:iCs/>
        </w:rPr>
        <w:t xml:space="preserve"> with 95%</w:t>
      </w:r>
      <w:r w:rsidR="00E0120B" w:rsidRPr="00940F72">
        <w:rPr>
          <w:iCs/>
        </w:rPr>
        <w:t xml:space="preserve"> CIs</w:t>
      </w:r>
      <w:r w:rsidR="00CB418D" w:rsidRPr="00940F72">
        <w:rPr>
          <w:iCs/>
        </w:rPr>
        <w:t xml:space="preserve"> for PFS or OS.</w:t>
      </w:r>
      <w:r w:rsidR="00E27FFE" w:rsidRPr="00940F72">
        <w:rPr>
          <w:iCs/>
        </w:rPr>
        <w:t xml:space="preserve"> </w:t>
      </w:r>
    </w:p>
    <w:p w:rsidR="00A107A0" w:rsidRPr="00940F72" w:rsidRDefault="00E27FFE" w:rsidP="00A107A0">
      <w:pPr>
        <w:pStyle w:val="3-BodyText"/>
      </w:pPr>
      <w:r w:rsidRPr="00940F72">
        <w:rPr>
          <w:iCs/>
        </w:rPr>
        <w:t>Subsequently, the Pre-PBAC response</w:t>
      </w:r>
      <w:r w:rsidR="00CB418D" w:rsidRPr="00940F72">
        <w:rPr>
          <w:iCs/>
        </w:rPr>
        <w:t xml:space="preserve"> </w:t>
      </w:r>
      <w:r w:rsidRPr="00940F72">
        <w:rPr>
          <w:iCs/>
        </w:rPr>
        <w:t>provided</w:t>
      </w:r>
      <w:r w:rsidR="00CB418D" w:rsidRPr="00940F72">
        <w:rPr>
          <w:iCs/>
        </w:rPr>
        <w:t xml:space="preserve"> </w:t>
      </w:r>
      <w:r w:rsidR="00E0120B" w:rsidRPr="00940F72">
        <w:rPr>
          <w:iCs/>
        </w:rPr>
        <w:t>HRs</w:t>
      </w:r>
      <w:r w:rsidRPr="00940F72">
        <w:rPr>
          <w:iCs/>
        </w:rPr>
        <w:t xml:space="preserve"> and 95%</w:t>
      </w:r>
      <w:r w:rsidR="00E0120B" w:rsidRPr="00940F72">
        <w:rPr>
          <w:iCs/>
        </w:rPr>
        <w:t xml:space="preserve"> CIs</w:t>
      </w:r>
      <w:r w:rsidRPr="00940F72">
        <w:rPr>
          <w:iCs/>
        </w:rPr>
        <w:t xml:space="preserve"> between zanubrutinib and ibrutinib for PFS and OS (</w:t>
      </w:r>
      <w:r w:rsidR="00053418" w:rsidRPr="00940F72">
        <w:rPr>
          <w:iCs/>
        </w:rPr>
        <w:t>Table 7</w:t>
      </w:r>
      <w:r w:rsidRPr="00940F72">
        <w:rPr>
          <w:iCs/>
        </w:rPr>
        <w:t xml:space="preserve">), as well as restricted mean survival time (RMST), as an alternative statistic to measure the mean event-free survival time up to a pre-specified clinically important point. </w:t>
      </w:r>
      <w:r w:rsidR="00E0120B" w:rsidRPr="00940F72">
        <w:rPr>
          <w:iCs/>
        </w:rPr>
        <w:t xml:space="preserve">The Pre-PBAC response stated that </w:t>
      </w:r>
      <w:r w:rsidR="00702745" w:rsidRPr="00940F72">
        <w:rPr>
          <w:iCs/>
        </w:rPr>
        <w:t xml:space="preserve">both the naïve and adjusted analyses of HRs and RMSTs for both PFS and OS demonstrate comparable treatment effect between zanubrutinib and ibrutinib, and the analyses </w:t>
      </w:r>
      <w:r w:rsidR="00702745" w:rsidRPr="00940F72">
        <w:t>are aligned with the other analytical approaches presented and support the claim of non-inferiority.</w:t>
      </w:r>
    </w:p>
    <w:p w:rsidR="00A107A0" w:rsidRPr="00940F72" w:rsidRDefault="00A107A0" w:rsidP="00A107A0">
      <w:pPr>
        <w:pStyle w:val="TableHeading0"/>
      </w:pPr>
      <w:r w:rsidRPr="00940F72">
        <w:t xml:space="preserve">Table </w:t>
      </w:r>
      <w:r w:rsidR="00053418" w:rsidRPr="00940F72">
        <w:t>7</w:t>
      </w:r>
      <w:r w:rsidRPr="00940F72">
        <w:t>: Summary of comparative effectiveness for PFS and OS (</w:t>
      </w:r>
      <w:r w:rsidRPr="00940F72">
        <w:rPr>
          <w:bCs/>
        </w:rPr>
        <w:t>Study 206/AU-003 vs PCYC-1103/RAY/SPARK (pooled))</w:t>
      </w:r>
    </w:p>
    <w:tbl>
      <w:tblPr>
        <w:tblStyle w:val="TableGrid"/>
        <w:tblW w:w="5000" w:type="pct"/>
        <w:tblLook w:val="04A0" w:firstRow="1" w:lastRow="0" w:firstColumn="1" w:lastColumn="0" w:noHBand="0" w:noVBand="1"/>
        <w:tblCaption w:val="Table 7: Summary of comparative effectiveness for PFS and OS (Study 206/AU-003 vs PCYC-1103/RAY/SPARK (pooled))"/>
      </w:tblPr>
      <w:tblGrid>
        <w:gridCol w:w="712"/>
        <w:gridCol w:w="2610"/>
        <w:gridCol w:w="2923"/>
        <w:gridCol w:w="2772"/>
      </w:tblGrid>
      <w:tr w:rsidR="00A107A0" w:rsidRPr="00940F72" w:rsidTr="0009553F">
        <w:trPr>
          <w:tblHeader/>
        </w:trPr>
        <w:tc>
          <w:tcPr>
            <w:tcW w:w="1842"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07A0" w:rsidRPr="00940F72" w:rsidRDefault="00A107A0" w:rsidP="00A738C1">
            <w:pPr>
              <w:rPr>
                <w:rFonts w:ascii="Arial Narrow" w:hAnsi="Arial Narrow"/>
                <w:b/>
                <w:bCs/>
                <w:sz w:val="20"/>
                <w:szCs w:val="20"/>
              </w:rPr>
            </w:pPr>
            <w:r w:rsidRPr="00940F72">
              <w:rPr>
                <w:rFonts w:ascii="Arial Narrow" w:hAnsi="Arial Narrow"/>
                <w:b/>
                <w:bCs/>
                <w:sz w:val="20"/>
                <w:szCs w:val="20"/>
              </w:rPr>
              <w:t>Comparative effectiveness statistics</w:t>
            </w:r>
          </w:p>
        </w:tc>
        <w:tc>
          <w:tcPr>
            <w:tcW w:w="1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07A0" w:rsidRPr="00940F72" w:rsidRDefault="00A107A0" w:rsidP="00A738C1">
            <w:pPr>
              <w:jc w:val="center"/>
              <w:rPr>
                <w:rFonts w:ascii="Arial Narrow" w:hAnsi="Arial Narrow"/>
                <w:b/>
                <w:bCs/>
                <w:sz w:val="20"/>
                <w:szCs w:val="20"/>
              </w:rPr>
            </w:pPr>
            <w:r w:rsidRPr="00940F72">
              <w:rPr>
                <w:rFonts w:ascii="Arial Narrow" w:hAnsi="Arial Narrow"/>
                <w:b/>
                <w:bCs/>
                <w:sz w:val="20"/>
                <w:szCs w:val="20"/>
              </w:rPr>
              <w:t>Naïve comparison</w:t>
            </w:r>
            <w:r w:rsidR="00C50F68" w:rsidRPr="00940F72">
              <w:rPr>
                <w:rFonts w:ascii="Arial Narrow" w:hAnsi="Arial Narrow"/>
                <w:b/>
                <w:bCs/>
                <w:sz w:val="20"/>
                <w:szCs w:val="20"/>
              </w:rPr>
              <w:t xml:space="preserve"> (without adjustment)</w:t>
            </w:r>
          </w:p>
        </w:tc>
        <w:tc>
          <w:tcPr>
            <w:tcW w:w="1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07A0" w:rsidRPr="00940F72" w:rsidRDefault="00C50F68" w:rsidP="00A738C1">
            <w:pPr>
              <w:jc w:val="center"/>
              <w:rPr>
                <w:rFonts w:ascii="Arial Narrow" w:hAnsi="Arial Narrow"/>
                <w:b/>
                <w:bCs/>
                <w:sz w:val="20"/>
                <w:szCs w:val="20"/>
              </w:rPr>
            </w:pPr>
            <w:r w:rsidRPr="00940F72">
              <w:rPr>
                <w:rFonts w:ascii="Arial Narrow" w:hAnsi="Arial Narrow"/>
                <w:b/>
                <w:bCs/>
                <w:sz w:val="20"/>
                <w:szCs w:val="20"/>
              </w:rPr>
              <w:t>After matching</w:t>
            </w:r>
          </w:p>
        </w:tc>
      </w:tr>
      <w:tr w:rsidR="00A107A0" w:rsidRPr="00940F72" w:rsidTr="0009553F">
        <w:trPr>
          <w:tblHeader/>
        </w:trPr>
        <w:tc>
          <w:tcPr>
            <w:tcW w:w="1842"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107A0" w:rsidRPr="00940F72" w:rsidRDefault="00A107A0" w:rsidP="00A738C1">
            <w:pPr>
              <w:rPr>
                <w:rFonts w:ascii="Arial Narrow" w:eastAsia="DengXian" w:hAnsi="Arial Narrow" w:cs="SimSun"/>
                <w:b/>
                <w:bCs/>
                <w:sz w:val="20"/>
                <w:szCs w:val="20"/>
              </w:rPr>
            </w:pPr>
          </w:p>
        </w:tc>
        <w:tc>
          <w:tcPr>
            <w:tcW w:w="1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07A0" w:rsidRPr="00940F72" w:rsidRDefault="00A107A0" w:rsidP="00A738C1">
            <w:pPr>
              <w:jc w:val="center"/>
              <w:rPr>
                <w:rFonts w:ascii="Arial Narrow" w:hAnsi="Arial Narrow"/>
                <w:b/>
                <w:bCs/>
                <w:sz w:val="20"/>
                <w:szCs w:val="20"/>
              </w:rPr>
            </w:pPr>
            <w:r w:rsidRPr="00940F72">
              <w:rPr>
                <w:rFonts w:ascii="Arial Narrow" w:hAnsi="Arial Narrow"/>
                <w:b/>
                <w:bCs/>
                <w:sz w:val="20"/>
                <w:szCs w:val="20"/>
              </w:rPr>
              <w:t xml:space="preserve">Estimate </w:t>
            </w:r>
          </w:p>
          <w:p w:rsidR="00A107A0" w:rsidRPr="00940F72" w:rsidRDefault="00A107A0" w:rsidP="00A738C1">
            <w:pPr>
              <w:jc w:val="center"/>
              <w:rPr>
                <w:rFonts w:ascii="Arial Narrow" w:hAnsi="Arial Narrow"/>
                <w:b/>
                <w:bCs/>
                <w:sz w:val="20"/>
                <w:szCs w:val="20"/>
              </w:rPr>
            </w:pPr>
            <w:r w:rsidRPr="00940F72">
              <w:rPr>
                <w:rFonts w:ascii="Arial Narrow" w:hAnsi="Arial Narrow"/>
                <w:b/>
                <w:bCs/>
                <w:sz w:val="20"/>
                <w:szCs w:val="20"/>
              </w:rPr>
              <w:t>(95% CI)</w:t>
            </w:r>
          </w:p>
        </w:tc>
        <w:tc>
          <w:tcPr>
            <w:tcW w:w="1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07A0" w:rsidRPr="00940F72" w:rsidRDefault="00A107A0" w:rsidP="00A738C1">
            <w:pPr>
              <w:jc w:val="center"/>
              <w:rPr>
                <w:rFonts w:ascii="Arial Narrow" w:hAnsi="Arial Narrow"/>
                <w:b/>
                <w:bCs/>
                <w:sz w:val="20"/>
                <w:szCs w:val="20"/>
              </w:rPr>
            </w:pPr>
            <w:r w:rsidRPr="00940F72">
              <w:rPr>
                <w:rFonts w:ascii="Arial Narrow" w:hAnsi="Arial Narrow"/>
                <w:b/>
                <w:bCs/>
                <w:sz w:val="20"/>
                <w:szCs w:val="20"/>
              </w:rPr>
              <w:t xml:space="preserve">Estimate </w:t>
            </w:r>
          </w:p>
          <w:p w:rsidR="00A107A0" w:rsidRPr="00940F72" w:rsidRDefault="00A107A0" w:rsidP="00A738C1">
            <w:pPr>
              <w:jc w:val="center"/>
              <w:rPr>
                <w:rFonts w:ascii="Arial Narrow" w:hAnsi="Arial Narrow"/>
                <w:b/>
                <w:bCs/>
                <w:sz w:val="20"/>
                <w:szCs w:val="20"/>
              </w:rPr>
            </w:pPr>
            <w:r w:rsidRPr="00940F72">
              <w:rPr>
                <w:rFonts w:ascii="Arial Narrow" w:hAnsi="Arial Narrow"/>
                <w:b/>
                <w:bCs/>
                <w:sz w:val="20"/>
                <w:szCs w:val="20"/>
              </w:rPr>
              <w:t>(95% CI)</w:t>
            </w:r>
          </w:p>
        </w:tc>
      </w:tr>
      <w:tr w:rsidR="00A107A0" w:rsidRPr="00940F72" w:rsidTr="003F5AB2">
        <w:tc>
          <w:tcPr>
            <w:tcW w:w="395" w:type="pct"/>
            <w:vMerge w:val="restart"/>
            <w:tcBorders>
              <w:top w:val="single" w:sz="4" w:space="0" w:color="auto"/>
              <w:left w:val="single" w:sz="4" w:space="0" w:color="auto"/>
              <w:right w:val="single" w:sz="4" w:space="0" w:color="auto"/>
            </w:tcBorders>
            <w:hideMark/>
          </w:tcPr>
          <w:p w:rsidR="00A107A0" w:rsidRPr="00940F72" w:rsidRDefault="00A107A0" w:rsidP="00A738C1">
            <w:pPr>
              <w:rPr>
                <w:rFonts w:ascii="Arial Narrow" w:hAnsi="Arial Narrow"/>
                <w:sz w:val="20"/>
                <w:szCs w:val="20"/>
              </w:rPr>
            </w:pPr>
            <w:r w:rsidRPr="00940F72">
              <w:rPr>
                <w:rFonts w:ascii="Arial Narrow" w:hAnsi="Arial Narrow"/>
                <w:sz w:val="20"/>
                <w:szCs w:val="20"/>
              </w:rPr>
              <w:t>PFS</w:t>
            </w:r>
          </w:p>
        </w:tc>
        <w:tc>
          <w:tcPr>
            <w:tcW w:w="1447" w:type="pct"/>
            <w:tcBorders>
              <w:top w:val="single" w:sz="4" w:space="0" w:color="auto"/>
              <w:left w:val="single" w:sz="4" w:space="0" w:color="auto"/>
              <w:bottom w:val="single" w:sz="4" w:space="0" w:color="auto"/>
              <w:right w:val="single" w:sz="4" w:space="0" w:color="auto"/>
            </w:tcBorders>
            <w:hideMark/>
          </w:tcPr>
          <w:p w:rsidR="00A107A0" w:rsidRPr="00940F72" w:rsidRDefault="00A107A0" w:rsidP="00A738C1">
            <w:pPr>
              <w:rPr>
                <w:rFonts w:ascii="Arial Narrow" w:hAnsi="Arial Narrow"/>
                <w:sz w:val="20"/>
                <w:szCs w:val="20"/>
              </w:rPr>
            </w:pPr>
            <w:r w:rsidRPr="00940F72">
              <w:rPr>
                <w:rFonts w:ascii="Arial Narrow" w:hAnsi="Arial Narrow"/>
                <w:sz w:val="20"/>
                <w:szCs w:val="20"/>
              </w:rPr>
              <w:t>RMST difference</w:t>
            </w:r>
            <w:r w:rsidR="003F5AB2" w:rsidRPr="00940F72">
              <w:rPr>
                <w:rFonts w:ascii="Arial Narrow" w:hAnsi="Arial Narrow"/>
                <w:sz w:val="20"/>
                <w:szCs w:val="20"/>
              </w:rPr>
              <w:t xml:space="preserve"> </w:t>
            </w:r>
            <w:r w:rsidR="003F5AB2" w:rsidRPr="00940F72">
              <w:rPr>
                <w:rFonts w:ascii="Arial Narrow" w:hAnsi="Arial Narrow"/>
                <w:sz w:val="20"/>
                <w:szCs w:val="20"/>
                <w:vertAlign w:val="superscript"/>
              </w:rPr>
              <w:t>a</w:t>
            </w:r>
          </w:p>
        </w:tc>
        <w:tc>
          <w:tcPr>
            <w:tcW w:w="1621" w:type="pct"/>
            <w:tcBorders>
              <w:top w:val="single" w:sz="4" w:space="0" w:color="auto"/>
              <w:left w:val="single" w:sz="4" w:space="0" w:color="auto"/>
              <w:bottom w:val="single" w:sz="4" w:space="0" w:color="auto"/>
              <w:right w:val="single" w:sz="4" w:space="0" w:color="auto"/>
            </w:tcBorders>
            <w:hideMark/>
          </w:tcPr>
          <w:p w:rsidR="00A107A0" w:rsidRPr="00940F72" w:rsidRDefault="00A107A0" w:rsidP="00A738C1">
            <w:pPr>
              <w:jc w:val="center"/>
              <w:rPr>
                <w:rFonts w:ascii="Arial Narrow" w:hAnsi="Arial Narrow"/>
                <w:sz w:val="20"/>
                <w:szCs w:val="20"/>
              </w:rPr>
            </w:pPr>
            <w:r w:rsidRPr="00940F72">
              <w:rPr>
                <w:rFonts w:ascii="Arial Narrow" w:hAnsi="Arial Narrow"/>
                <w:sz w:val="20"/>
                <w:szCs w:val="20"/>
              </w:rPr>
              <w:t>4.12 (2.22, 6.01)</w:t>
            </w:r>
          </w:p>
        </w:tc>
        <w:tc>
          <w:tcPr>
            <w:tcW w:w="1537" w:type="pct"/>
            <w:tcBorders>
              <w:top w:val="single" w:sz="4" w:space="0" w:color="auto"/>
              <w:left w:val="single" w:sz="4" w:space="0" w:color="auto"/>
              <w:bottom w:val="single" w:sz="4" w:space="0" w:color="auto"/>
              <w:right w:val="single" w:sz="4" w:space="0" w:color="auto"/>
            </w:tcBorders>
            <w:hideMark/>
          </w:tcPr>
          <w:p w:rsidR="00A107A0" w:rsidRPr="00940F72" w:rsidRDefault="00A107A0" w:rsidP="00A738C1">
            <w:pPr>
              <w:jc w:val="center"/>
              <w:rPr>
                <w:rFonts w:ascii="Arial Narrow" w:hAnsi="Arial Narrow"/>
                <w:sz w:val="20"/>
                <w:szCs w:val="20"/>
              </w:rPr>
            </w:pPr>
            <w:r w:rsidRPr="00940F72">
              <w:rPr>
                <w:rFonts w:ascii="Arial Narrow" w:hAnsi="Arial Narrow"/>
                <w:sz w:val="20"/>
                <w:szCs w:val="20"/>
              </w:rPr>
              <w:t>0.98 (-1.99, 3.95)</w:t>
            </w:r>
          </w:p>
        </w:tc>
      </w:tr>
      <w:tr w:rsidR="00A107A0" w:rsidRPr="00940F72" w:rsidTr="003F5AB2">
        <w:tc>
          <w:tcPr>
            <w:tcW w:w="395" w:type="pct"/>
            <w:vMerge/>
            <w:tcBorders>
              <w:left w:val="single" w:sz="4" w:space="0" w:color="auto"/>
              <w:bottom w:val="single" w:sz="4" w:space="0" w:color="auto"/>
              <w:right w:val="single" w:sz="4" w:space="0" w:color="auto"/>
            </w:tcBorders>
            <w:vAlign w:val="center"/>
            <w:hideMark/>
          </w:tcPr>
          <w:p w:rsidR="00A107A0" w:rsidRPr="00940F72" w:rsidRDefault="00A107A0" w:rsidP="00A738C1">
            <w:pPr>
              <w:rPr>
                <w:rFonts w:ascii="Arial Narrow" w:eastAsia="DengXian" w:hAnsi="Arial Narrow" w:cs="SimSun"/>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A107A0" w:rsidRPr="00940F72" w:rsidRDefault="00A107A0" w:rsidP="00A738C1">
            <w:pPr>
              <w:rPr>
                <w:rFonts w:ascii="Arial Narrow" w:hAnsi="Arial Narrow"/>
                <w:sz w:val="20"/>
                <w:szCs w:val="20"/>
              </w:rPr>
            </w:pPr>
            <w:r w:rsidRPr="00940F72">
              <w:rPr>
                <w:rFonts w:ascii="Arial Narrow" w:hAnsi="Arial Narrow"/>
                <w:sz w:val="20"/>
                <w:szCs w:val="20"/>
              </w:rPr>
              <w:t>HR</w:t>
            </w:r>
          </w:p>
        </w:tc>
        <w:tc>
          <w:tcPr>
            <w:tcW w:w="1621" w:type="pct"/>
            <w:tcBorders>
              <w:top w:val="single" w:sz="4" w:space="0" w:color="auto"/>
              <w:left w:val="single" w:sz="4" w:space="0" w:color="auto"/>
              <w:bottom w:val="single" w:sz="4" w:space="0" w:color="auto"/>
              <w:right w:val="single" w:sz="4" w:space="0" w:color="auto"/>
            </w:tcBorders>
            <w:hideMark/>
          </w:tcPr>
          <w:p w:rsidR="00A107A0" w:rsidRPr="00940F72" w:rsidRDefault="00A107A0" w:rsidP="00A738C1">
            <w:pPr>
              <w:jc w:val="center"/>
              <w:rPr>
                <w:rFonts w:ascii="Arial Narrow" w:hAnsi="Arial Narrow"/>
                <w:sz w:val="20"/>
                <w:szCs w:val="20"/>
              </w:rPr>
            </w:pPr>
            <w:r w:rsidRPr="00940F72">
              <w:rPr>
                <w:rFonts w:ascii="Arial Narrow" w:hAnsi="Arial Narrow"/>
                <w:sz w:val="20"/>
                <w:szCs w:val="20"/>
              </w:rPr>
              <w:t>0.58 (0.43, 0.78)</w:t>
            </w:r>
          </w:p>
        </w:tc>
        <w:tc>
          <w:tcPr>
            <w:tcW w:w="1537" w:type="pct"/>
            <w:tcBorders>
              <w:top w:val="single" w:sz="4" w:space="0" w:color="auto"/>
              <w:left w:val="single" w:sz="4" w:space="0" w:color="auto"/>
              <w:bottom w:val="single" w:sz="4" w:space="0" w:color="auto"/>
              <w:right w:val="single" w:sz="4" w:space="0" w:color="auto"/>
            </w:tcBorders>
            <w:hideMark/>
          </w:tcPr>
          <w:p w:rsidR="00A107A0" w:rsidRPr="00940F72" w:rsidRDefault="00A107A0" w:rsidP="00A738C1">
            <w:pPr>
              <w:jc w:val="center"/>
              <w:rPr>
                <w:rFonts w:ascii="Arial Narrow" w:hAnsi="Arial Narrow"/>
                <w:sz w:val="20"/>
                <w:szCs w:val="20"/>
              </w:rPr>
            </w:pPr>
            <w:r w:rsidRPr="00940F72">
              <w:rPr>
                <w:rFonts w:ascii="Arial Narrow" w:hAnsi="Arial Narrow"/>
                <w:sz w:val="20"/>
                <w:szCs w:val="20"/>
              </w:rPr>
              <w:t>0.94 (0.65, 1.36)</w:t>
            </w:r>
          </w:p>
        </w:tc>
      </w:tr>
      <w:tr w:rsidR="003F5AB2" w:rsidRPr="00940F72" w:rsidTr="003F5AB2">
        <w:trPr>
          <w:trHeight w:val="64"/>
        </w:trPr>
        <w:tc>
          <w:tcPr>
            <w:tcW w:w="395" w:type="pct"/>
            <w:vMerge w:val="restart"/>
            <w:tcBorders>
              <w:left w:val="single" w:sz="4" w:space="0" w:color="auto"/>
              <w:right w:val="single" w:sz="4" w:space="0" w:color="auto"/>
            </w:tcBorders>
            <w:hideMark/>
          </w:tcPr>
          <w:p w:rsidR="003F5AB2" w:rsidRPr="00940F72" w:rsidRDefault="003F5AB2" w:rsidP="00A738C1">
            <w:pPr>
              <w:rPr>
                <w:rFonts w:ascii="Arial Narrow" w:eastAsia="DengXian" w:hAnsi="Arial Narrow" w:cs="SimSun"/>
                <w:sz w:val="20"/>
                <w:szCs w:val="20"/>
              </w:rPr>
            </w:pPr>
            <w:r w:rsidRPr="00940F72">
              <w:rPr>
                <w:rFonts w:ascii="Arial Narrow" w:hAnsi="Arial Narrow"/>
                <w:sz w:val="20"/>
                <w:szCs w:val="20"/>
              </w:rPr>
              <w:t>OS</w:t>
            </w:r>
          </w:p>
        </w:tc>
        <w:tc>
          <w:tcPr>
            <w:tcW w:w="1447" w:type="pct"/>
            <w:tcBorders>
              <w:top w:val="single" w:sz="4" w:space="0" w:color="auto"/>
              <w:left w:val="single" w:sz="4" w:space="0" w:color="auto"/>
              <w:bottom w:val="single" w:sz="4" w:space="0" w:color="auto"/>
              <w:right w:val="single" w:sz="4" w:space="0" w:color="auto"/>
            </w:tcBorders>
            <w:hideMark/>
          </w:tcPr>
          <w:p w:rsidR="003F5AB2" w:rsidRPr="00940F72" w:rsidRDefault="003F5AB2" w:rsidP="00A738C1">
            <w:pPr>
              <w:rPr>
                <w:rFonts w:ascii="Arial Narrow" w:hAnsi="Arial Narrow"/>
                <w:sz w:val="20"/>
                <w:szCs w:val="20"/>
              </w:rPr>
            </w:pPr>
            <w:r w:rsidRPr="00940F72">
              <w:rPr>
                <w:rFonts w:ascii="Arial Narrow" w:hAnsi="Arial Narrow"/>
                <w:sz w:val="20"/>
                <w:szCs w:val="20"/>
              </w:rPr>
              <w:t xml:space="preserve">RMST difference </w:t>
            </w:r>
            <w:r w:rsidRPr="00940F72">
              <w:rPr>
                <w:rFonts w:ascii="Arial Narrow" w:hAnsi="Arial Narrow"/>
                <w:sz w:val="20"/>
                <w:szCs w:val="20"/>
                <w:vertAlign w:val="superscript"/>
              </w:rPr>
              <w:t>b</w:t>
            </w:r>
          </w:p>
        </w:tc>
        <w:tc>
          <w:tcPr>
            <w:tcW w:w="1621" w:type="pct"/>
            <w:tcBorders>
              <w:top w:val="single" w:sz="4" w:space="0" w:color="auto"/>
              <w:left w:val="single" w:sz="4" w:space="0" w:color="auto"/>
              <w:bottom w:val="single" w:sz="4" w:space="0" w:color="auto"/>
              <w:right w:val="single" w:sz="4" w:space="0" w:color="auto"/>
            </w:tcBorders>
            <w:hideMark/>
          </w:tcPr>
          <w:p w:rsidR="003F5AB2" w:rsidRPr="00940F72" w:rsidRDefault="003F5AB2" w:rsidP="00A738C1">
            <w:pPr>
              <w:jc w:val="center"/>
              <w:rPr>
                <w:rFonts w:ascii="Arial Narrow" w:hAnsi="Arial Narrow"/>
                <w:sz w:val="20"/>
                <w:szCs w:val="20"/>
              </w:rPr>
            </w:pPr>
            <w:r w:rsidRPr="00940F72">
              <w:rPr>
                <w:rFonts w:ascii="Arial Narrow" w:hAnsi="Arial Narrow"/>
                <w:sz w:val="20"/>
                <w:szCs w:val="20"/>
              </w:rPr>
              <w:t>4.11 (2.32, 5.89)</w:t>
            </w:r>
          </w:p>
        </w:tc>
        <w:tc>
          <w:tcPr>
            <w:tcW w:w="1537" w:type="pct"/>
            <w:tcBorders>
              <w:top w:val="single" w:sz="4" w:space="0" w:color="auto"/>
              <w:left w:val="single" w:sz="4" w:space="0" w:color="auto"/>
              <w:bottom w:val="single" w:sz="4" w:space="0" w:color="auto"/>
              <w:right w:val="single" w:sz="4" w:space="0" w:color="auto"/>
            </w:tcBorders>
            <w:hideMark/>
          </w:tcPr>
          <w:p w:rsidR="003F5AB2" w:rsidRPr="00940F72" w:rsidRDefault="003F5AB2" w:rsidP="00A738C1">
            <w:pPr>
              <w:jc w:val="center"/>
              <w:rPr>
                <w:rFonts w:ascii="Arial Narrow" w:hAnsi="Arial Narrow"/>
                <w:sz w:val="20"/>
                <w:szCs w:val="20"/>
              </w:rPr>
            </w:pPr>
            <w:r w:rsidRPr="00940F72">
              <w:rPr>
                <w:rFonts w:ascii="Arial Narrow" w:hAnsi="Arial Narrow"/>
                <w:sz w:val="20"/>
                <w:szCs w:val="20"/>
              </w:rPr>
              <w:t>2.68 (-0.25, 5.60)</w:t>
            </w:r>
          </w:p>
        </w:tc>
      </w:tr>
      <w:tr w:rsidR="003F5AB2" w:rsidRPr="00940F72" w:rsidTr="003F5AB2">
        <w:tc>
          <w:tcPr>
            <w:tcW w:w="395" w:type="pct"/>
            <w:vMerge/>
            <w:tcBorders>
              <w:left w:val="single" w:sz="4" w:space="0" w:color="auto"/>
              <w:right w:val="single" w:sz="4" w:space="0" w:color="auto"/>
            </w:tcBorders>
            <w:hideMark/>
          </w:tcPr>
          <w:p w:rsidR="003F5AB2" w:rsidRPr="00940F72" w:rsidRDefault="003F5AB2" w:rsidP="00A738C1">
            <w:pPr>
              <w:rPr>
                <w:rFonts w:ascii="Arial Narrow" w:hAnsi="Arial Narrow"/>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3F5AB2" w:rsidRPr="00940F72" w:rsidRDefault="003F5AB2" w:rsidP="00A738C1">
            <w:pPr>
              <w:rPr>
                <w:rFonts w:ascii="Arial Narrow" w:hAnsi="Arial Narrow"/>
                <w:sz w:val="20"/>
                <w:szCs w:val="20"/>
              </w:rPr>
            </w:pPr>
            <w:r w:rsidRPr="00940F72">
              <w:rPr>
                <w:rFonts w:ascii="Arial Narrow" w:hAnsi="Arial Narrow"/>
                <w:sz w:val="20"/>
                <w:szCs w:val="20"/>
              </w:rPr>
              <w:t>HR</w:t>
            </w:r>
          </w:p>
        </w:tc>
        <w:tc>
          <w:tcPr>
            <w:tcW w:w="1621" w:type="pct"/>
            <w:tcBorders>
              <w:top w:val="single" w:sz="4" w:space="0" w:color="auto"/>
              <w:left w:val="single" w:sz="4" w:space="0" w:color="auto"/>
              <w:bottom w:val="single" w:sz="4" w:space="0" w:color="auto"/>
              <w:right w:val="single" w:sz="4" w:space="0" w:color="auto"/>
            </w:tcBorders>
            <w:hideMark/>
          </w:tcPr>
          <w:p w:rsidR="003F5AB2" w:rsidRPr="00940F72" w:rsidRDefault="003F5AB2" w:rsidP="00A738C1">
            <w:pPr>
              <w:jc w:val="center"/>
              <w:rPr>
                <w:rFonts w:ascii="Arial Narrow" w:hAnsi="Arial Narrow"/>
                <w:sz w:val="20"/>
                <w:szCs w:val="20"/>
              </w:rPr>
            </w:pPr>
            <w:r w:rsidRPr="00940F72">
              <w:rPr>
                <w:rFonts w:ascii="Arial Narrow" w:hAnsi="Arial Narrow"/>
                <w:sz w:val="20"/>
                <w:szCs w:val="20"/>
              </w:rPr>
              <w:t>0.50 (0.34, 0.75)</w:t>
            </w:r>
          </w:p>
        </w:tc>
        <w:tc>
          <w:tcPr>
            <w:tcW w:w="1537" w:type="pct"/>
            <w:tcBorders>
              <w:top w:val="single" w:sz="4" w:space="0" w:color="auto"/>
              <w:left w:val="single" w:sz="4" w:space="0" w:color="auto"/>
              <w:bottom w:val="single" w:sz="4" w:space="0" w:color="auto"/>
              <w:right w:val="single" w:sz="4" w:space="0" w:color="auto"/>
            </w:tcBorders>
            <w:hideMark/>
          </w:tcPr>
          <w:p w:rsidR="003F5AB2" w:rsidRPr="00940F72" w:rsidRDefault="003F5AB2" w:rsidP="00A738C1">
            <w:pPr>
              <w:jc w:val="center"/>
              <w:rPr>
                <w:rFonts w:ascii="Arial Narrow" w:hAnsi="Arial Narrow"/>
                <w:sz w:val="20"/>
                <w:szCs w:val="20"/>
              </w:rPr>
            </w:pPr>
            <w:r w:rsidRPr="00940F72">
              <w:rPr>
                <w:rFonts w:ascii="Arial Narrow" w:hAnsi="Arial Narrow"/>
                <w:sz w:val="20"/>
                <w:szCs w:val="20"/>
              </w:rPr>
              <w:t>0.77 (0.47, 1.28)</w:t>
            </w:r>
          </w:p>
        </w:tc>
      </w:tr>
    </w:tbl>
    <w:p w:rsidR="00A107A0" w:rsidRPr="00940F72" w:rsidRDefault="00A107A0" w:rsidP="00A107A0">
      <w:pPr>
        <w:rPr>
          <w:rFonts w:ascii="Arial Narrow" w:hAnsi="Arial Narrow"/>
          <w:sz w:val="18"/>
          <w:szCs w:val="18"/>
        </w:rPr>
      </w:pPr>
      <w:r w:rsidRPr="00940F72">
        <w:rPr>
          <w:rFonts w:ascii="Arial Narrow" w:hAnsi="Arial Narrow"/>
          <w:sz w:val="18"/>
          <w:szCs w:val="18"/>
        </w:rPr>
        <w:t xml:space="preserve">CI=confidence interval; HR=hazard ratio; </w:t>
      </w:r>
      <w:r w:rsidR="003F5AB2" w:rsidRPr="00940F72">
        <w:rPr>
          <w:rFonts w:ascii="Arial Narrow" w:hAnsi="Arial Narrow"/>
          <w:sz w:val="18"/>
          <w:szCs w:val="18"/>
        </w:rPr>
        <w:t xml:space="preserve">IPD=individual patient data; </w:t>
      </w:r>
      <w:r w:rsidRPr="00940F72">
        <w:rPr>
          <w:rFonts w:ascii="Arial Narrow" w:hAnsi="Arial Narrow"/>
          <w:sz w:val="18"/>
          <w:szCs w:val="18"/>
        </w:rPr>
        <w:t xml:space="preserve">OS=overall survival; PFS=progression free survival; </w:t>
      </w:r>
      <w:r w:rsidR="003F5AB2" w:rsidRPr="00940F72">
        <w:rPr>
          <w:rFonts w:ascii="Arial Narrow" w:hAnsi="Arial Narrow"/>
          <w:sz w:val="18"/>
          <w:szCs w:val="18"/>
        </w:rPr>
        <w:t>RMST=</w:t>
      </w:r>
      <w:r w:rsidR="003F5AB2" w:rsidRPr="00940F72">
        <w:t xml:space="preserve"> </w:t>
      </w:r>
      <w:r w:rsidR="003F5AB2" w:rsidRPr="00940F72">
        <w:rPr>
          <w:rFonts w:ascii="Arial Narrow" w:hAnsi="Arial Narrow"/>
          <w:sz w:val="18"/>
          <w:szCs w:val="18"/>
        </w:rPr>
        <w:t>restricted mean survival time.</w:t>
      </w:r>
    </w:p>
    <w:p w:rsidR="00A107A0" w:rsidRPr="00940F72" w:rsidRDefault="003F5AB2" w:rsidP="00A107A0">
      <w:pPr>
        <w:rPr>
          <w:rFonts w:ascii="Arial Narrow" w:eastAsia="DengXian" w:hAnsi="Arial Narrow" w:cs="SimSun"/>
          <w:sz w:val="18"/>
          <w:szCs w:val="18"/>
        </w:rPr>
      </w:pPr>
      <w:r w:rsidRPr="00940F72">
        <w:rPr>
          <w:rFonts w:ascii="Arial Narrow" w:hAnsi="Arial Narrow"/>
          <w:sz w:val="18"/>
          <w:szCs w:val="18"/>
          <w:vertAlign w:val="superscript"/>
        </w:rPr>
        <w:t>a</w:t>
      </w:r>
      <w:r w:rsidR="00A107A0" w:rsidRPr="00940F72">
        <w:rPr>
          <w:rFonts w:ascii="Arial Narrow" w:hAnsi="Arial Narrow"/>
          <w:sz w:val="18"/>
          <w:szCs w:val="18"/>
          <w:vertAlign w:val="superscript"/>
        </w:rPr>
        <w:t xml:space="preserve"> </w:t>
      </w:r>
      <w:r w:rsidR="00A107A0" w:rsidRPr="00940F72">
        <w:rPr>
          <w:rFonts w:ascii="Arial Narrow" w:hAnsi="Arial Narrow"/>
          <w:sz w:val="18"/>
          <w:szCs w:val="18"/>
        </w:rPr>
        <w:t xml:space="preserve">Use min (max (event time from zanubrutinib IPD), max (event time from ibrutinib pseudo IPD)) = </w:t>
      </w:r>
      <w:r w:rsidR="00A107A0" w:rsidRPr="00940F72">
        <w:rPr>
          <w:rFonts w:ascii="Arial Narrow" w:hAnsi="Arial Narrow"/>
          <w:bCs/>
          <w:sz w:val="18"/>
          <w:szCs w:val="18"/>
        </w:rPr>
        <w:t>25.124</w:t>
      </w:r>
      <w:r w:rsidR="00A107A0" w:rsidRPr="00940F72">
        <w:rPr>
          <w:rFonts w:ascii="Arial Narrow" w:hAnsi="Arial Narrow"/>
          <w:sz w:val="18"/>
          <w:szCs w:val="18"/>
        </w:rPr>
        <w:t xml:space="preserve"> months as the specified time point for RMST calculation.</w:t>
      </w:r>
    </w:p>
    <w:p w:rsidR="00616FEB" w:rsidRPr="00BC0C09" w:rsidRDefault="003F5AB2" w:rsidP="003F5AB2">
      <w:r w:rsidRPr="00940F72">
        <w:rPr>
          <w:rFonts w:ascii="Arial Narrow" w:hAnsi="Arial Narrow"/>
          <w:sz w:val="18"/>
          <w:szCs w:val="18"/>
          <w:vertAlign w:val="superscript"/>
        </w:rPr>
        <w:t>b</w:t>
      </w:r>
      <w:r w:rsidR="00A107A0" w:rsidRPr="00940F72">
        <w:rPr>
          <w:rFonts w:ascii="Arial Narrow" w:hAnsi="Arial Narrow"/>
          <w:sz w:val="18"/>
          <w:szCs w:val="18"/>
          <w:vertAlign w:val="superscript"/>
        </w:rPr>
        <w:t xml:space="preserve"> </w:t>
      </w:r>
      <w:r w:rsidR="00A107A0" w:rsidRPr="00940F72">
        <w:rPr>
          <w:rFonts w:ascii="Arial Narrow" w:hAnsi="Arial Narrow"/>
          <w:sz w:val="18"/>
          <w:szCs w:val="18"/>
        </w:rPr>
        <w:t>Use min (max (event time from zanubrutinib IPD), max (event time from ibrutinib pseudo IPD)) =</w:t>
      </w:r>
      <w:r w:rsidR="00A107A0" w:rsidRPr="00940F72">
        <w:rPr>
          <w:rFonts w:ascii="Arial Narrow" w:hAnsi="Arial Narrow"/>
          <w:bCs/>
          <w:sz w:val="18"/>
          <w:szCs w:val="18"/>
        </w:rPr>
        <w:t xml:space="preserve"> 26.841</w:t>
      </w:r>
      <w:r w:rsidR="00A107A0" w:rsidRPr="00940F72">
        <w:rPr>
          <w:rFonts w:ascii="Arial Narrow" w:hAnsi="Arial Narrow"/>
          <w:sz w:val="18"/>
          <w:szCs w:val="18"/>
        </w:rPr>
        <w:t xml:space="preserve"> months as the specified time point for RMST calculation.</w:t>
      </w:r>
    </w:p>
    <w:p w:rsidR="00955300" w:rsidRPr="00940F72" w:rsidRDefault="00955300" w:rsidP="00955300">
      <w:pPr>
        <w:pStyle w:val="4-SubsectionHeading"/>
      </w:pPr>
      <w:bookmarkStart w:id="38" w:name="_Toc22897642"/>
      <w:bookmarkStart w:id="39" w:name="_Toc22898854"/>
      <w:bookmarkStart w:id="40" w:name="_Toc72318704"/>
      <w:bookmarkEnd w:id="37"/>
      <w:r w:rsidRPr="00940F72">
        <w:t>Comparative harms</w:t>
      </w:r>
      <w:bookmarkEnd w:id="38"/>
      <w:bookmarkEnd w:id="39"/>
      <w:bookmarkEnd w:id="40"/>
    </w:p>
    <w:p w:rsidR="00955300" w:rsidRPr="00940F72" w:rsidRDefault="00417F96" w:rsidP="00955300">
      <w:pPr>
        <w:pStyle w:val="5-SubsectionSubheading"/>
      </w:pPr>
      <w:r w:rsidRPr="00940F72">
        <w:t>ASPEN trial</w:t>
      </w:r>
    </w:p>
    <w:p w:rsidR="00955300" w:rsidRPr="00940F72" w:rsidRDefault="00955300" w:rsidP="00955300">
      <w:pPr>
        <w:pStyle w:val="3-BodyText"/>
      </w:pPr>
      <w:r w:rsidRPr="00940F72">
        <w:t xml:space="preserve">The evidence </w:t>
      </w:r>
      <w:bookmarkStart w:id="41" w:name="_Hlk71215684"/>
      <w:r w:rsidRPr="00940F72">
        <w:t xml:space="preserve">to support the superior safety claim was based on the direct head-to-head comparison of zanubrutinib with ibrutinib in the ASPEN trial for patients with </w:t>
      </w:r>
      <w:bookmarkEnd w:id="41"/>
      <w:r w:rsidR="0040623D" w:rsidRPr="00940F72">
        <w:t>WM</w:t>
      </w:r>
      <w:r w:rsidRPr="00940F72">
        <w:t xml:space="preserve">. </w:t>
      </w:r>
      <w:bookmarkStart w:id="42" w:name="_Hlk71215728"/>
      <w:r w:rsidRPr="00940F72">
        <w:t>Despite a different indication, the submission justified the choice of the ASPEN trial due to the lack of a large Phase 3 randomised trial directly comparing two BTK inhibitors</w:t>
      </w:r>
      <w:bookmarkEnd w:id="42"/>
      <w:r w:rsidRPr="00940F72">
        <w:t xml:space="preserve"> in MCL. </w:t>
      </w:r>
      <w:r w:rsidR="00E93E08" w:rsidRPr="00940F72">
        <w:t xml:space="preserve">The evaluation considered </w:t>
      </w:r>
      <w:r w:rsidR="00E93E08" w:rsidRPr="00940F72">
        <w:rPr>
          <w:iCs/>
        </w:rPr>
        <w:t>t</w:t>
      </w:r>
      <w:r w:rsidRPr="00940F72">
        <w:rPr>
          <w:iCs/>
        </w:rPr>
        <w:t xml:space="preserve">his </w:t>
      </w:r>
      <w:r w:rsidR="00E93E08" w:rsidRPr="00940F72">
        <w:rPr>
          <w:iCs/>
        </w:rPr>
        <w:t>to be</w:t>
      </w:r>
      <w:r w:rsidRPr="00940F72">
        <w:rPr>
          <w:iCs/>
        </w:rPr>
        <w:t xml:space="preserve"> reasonable, although the relevance of ASPEN is reduced as it represents a different disease.</w:t>
      </w:r>
    </w:p>
    <w:p w:rsidR="00955300" w:rsidRPr="00940F72" w:rsidRDefault="00955300" w:rsidP="00955300">
      <w:pPr>
        <w:pStyle w:val="3-BodyText"/>
      </w:pPr>
      <w:r w:rsidRPr="00940F72">
        <w:t xml:space="preserve">Table </w:t>
      </w:r>
      <w:r w:rsidR="00053418" w:rsidRPr="00940F72">
        <w:t>8</w:t>
      </w:r>
      <w:r w:rsidR="003F5AB2" w:rsidRPr="00940F72">
        <w:t xml:space="preserve"> </w:t>
      </w:r>
      <w:r w:rsidRPr="00940F72">
        <w:t xml:space="preserve">presents the key safety outcomes in the ASPEN trial. </w:t>
      </w:r>
    </w:p>
    <w:p w:rsidR="00955300" w:rsidRPr="00940F72" w:rsidRDefault="00955300" w:rsidP="00EC1071">
      <w:pPr>
        <w:pStyle w:val="TableFigureHeading"/>
        <w:rPr>
          <w:rStyle w:val="CommentReference"/>
          <w:b/>
          <w:szCs w:val="24"/>
        </w:rPr>
      </w:pPr>
      <w:bookmarkStart w:id="43" w:name="_Hlk71293887"/>
      <w:r w:rsidRPr="00940F72">
        <w:rPr>
          <w:rStyle w:val="CommentReference"/>
          <w:b/>
          <w:szCs w:val="24"/>
        </w:rPr>
        <w:t xml:space="preserve">Table </w:t>
      </w:r>
      <w:r w:rsidR="00053418" w:rsidRPr="00940F72">
        <w:rPr>
          <w:rStyle w:val="CommentReference"/>
          <w:b/>
          <w:szCs w:val="24"/>
        </w:rPr>
        <w:t>8</w:t>
      </w:r>
      <w:r w:rsidRPr="00940F72">
        <w:rPr>
          <w:rStyle w:val="CommentReference"/>
          <w:b/>
          <w:szCs w:val="24"/>
        </w:rPr>
        <w:t>: Summary of key adverse events in the ASPEN trial</w:t>
      </w:r>
    </w:p>
    <w:tbl>
      <w:tblPr>
        <w:tblStyle w:val="TableGrid1"/>
        <w:tblW w:w="5000" w:type="pct"/>
        <w:tblLook w:val="04A0" w:firstRow="1" w:lastRow="0" w:firstColumn="1" w:lastColumn="0" w:noHBand="0" w:noVBand="1"/>
        <w:tblCaption w:val="Table 8: Summary of key adverse events in the ASPEN trial"/>
      </w:tblPr>
      <w:tblGrid>
        <w:gridCol w:w="4532"/>
        <w:gridCol w:w="1619"/>
        <w:gridCol w:w="1434"/>
        <w:gridCol w:w="1432"/>
      </w:tblGrid>
      <w:tr w:rsidR="00955300" w:rsidRPr="00940F72" w:rsidTr="0009553F">
        <w:trPr>
          <w:tblHeader/>
        </w:trPr>
        <w:tc>
          <w:tcPr>
            <w:tcW w:w="2513" w:type="pct"/>
            <w:vMerge w:val="restart"/>
            <w:shd w:val="clear" w:color="auto" w:fill="auto"/>
          </w:tcPr>
          <w:p w:rsidR="00955300" w:rsidRPr="00940F72" w:rsidRDefault="00955300" w:rsidP="00865B1E">
            <w:pPr>
              <w:pStyle w:val="TableLeft"/>
              <w:keepNext/>
              <w:rPr>
                <w:rFonts w:ascii="Arial Narrow" w:hAnsi="Arial Narrow" w:cstheme="minorHAnsi"/>
                <w:b/>
                <w:sz w:val="20"/>
                <w:szCs w:val="20"/>
                <w:lang w:val="en-AU"/>
              </w:rPr>
            </w:pPr>
            <w:bookmarkStart w:id="44" w:name="_Hlk71215951"/>
            <w:bookmarkStart w:id="45" w:name="_GoBack" w:colFirst="0" w:colLast="4"/>
            <w:r w:rsidRPr="00940F72">
              <w:rPr>
                <w:rFonts w:ascii="Arial Narrow" w:hAnsi="Arial Narrow" w:cstheme="minorHAnsi"/>
                <w:b/>
                <w:sz w:val="20"/>
                <w:szCs w:val="20"/>
                <w:lang w:val="en-AU"/>
              </w:rPr>
              <w:t>Patients with events</w:t>
            </w:r>
          </w:p>
        </w:tc>
        <w:tc>
          <w:tcPr>
            <w:tcW w:w="898" w:type="pct"/>
            <w:shd w:val="clear" w:color="auto" w:fill="auto"/>
          </w:tcPr>
          <w:p w:rsidR="00955300" w:rsidRPr="00940F72" w:rsidRDefault="00955300" w:rsidP="00865B1E">
            <w:pPr>
              <w:pStyle w:val="TableLeft"/>
              <w:keepNext/>
              <w:jc w:val="center"/>
              <w:rPr>
                <w:rFonts w:ascii="Arial Narrow" w:hAnsi="Arial Narrow" w:cstheme="minorHAnsi"/>
                <w:b/>
                <w:sz w:val="20"/>
                <w:szCs w:val="20"/>
                <w:lang w:val="en-AU"/>
              </w:rPr>
            </w:pPr>
            <w:r w:rsidRPr="00940F72">
              <w:rPr>
                <w:rFonts w:ascii="Arial Narrow" w:hAnsi="Arial Narrow" w:cstheme="minorHAnsi"/>
                <w:b/>
                <w:sz w:val="20"/>
                <w:szCs w:val="20"/>
                <w:lang w:val="en-AU"/>
              </w:rPr>
              <w:t>Zanubrutinib</w:t>
            </w:r>
          </w:p>
        </w:tc>
        <w:tc>
          <w:tcPr>
            <w:tcW w:w="795" w:type="pct"/>
            <w:shd w:val="clear" w:color="auto" w:fill="auto"/>
          </w:tcPr>
          <w:p w:rsidR="00955300" w:rsidRPr="00940F72" w:rsidRDefault="00955300" w:rsidP="00865B1E">
            <w:pPr>
              <w:pStyle w:val="TableLeft"/>
              <w:keepNext/>
              <w:jc w:val="center"/>
              <w:rPr>
                <w:rFonts w:ascii="Arial Narrow" w:hAnsi="Arial Narrow" w:cstheme="minorHAnsi"/>
                <w:b/>
                <w:sz w:val="20"/>
                <w:szCs w:val="20"/>
                <w:lang w:val="en-AU"/>
              </w:rPr>
            </w:pPr>
            <w:r w:rsidRPr="00940F72">
              <w:rPr>
                <w:rFonts w:ascii="Arial Narrow" w:hAnsi="Arial Narrow" w:cstheme="minorHAnsi"/>
                <w:b/>
                <w:sz w:val="20"/>
                <w:szCs w:val="20"/>
                <w:lang w:val="en-AU"/>
              </w:rPr>
              <w:t>Ibrutinib</w:t>
            </w:r>
          </w:p>
        </w:tc>
        <w:tc>
          <w:tcPr>
            <w:tcW w:w="794" w:type="pct"/>
            <w:vMerge w:val="restart"/>
          </w:tcPr>
          <w:p w:rsidR="00955300" w:rsidRPr="00940F72" w:rsidRDefault="00955300" w:rsidP="00865B1E">
            <w:pPr>
              <w:pStyle w:val="TableLeft"/>
              <w:keepNext/>
              <w:jc w:val="center"/>
              <w:rPr>
                <w:rFonts w:ascii="Arial Narrow" w:hAnsi="Arial Narrow" w:cstheme="minorHAnsi"/>
                <w:b/>
                <w:iCs/>
                <w:sz w:val="20"/>
                <w:szCs w:val="20"/>
                <w:lang w:val="en-AU"/>
              </w:rPr>
            </w:pPr>
            <w:r w:rsidRPr="00940F72">
              <w:rPr>
                <w:rFonts w:ascii="Arial Narrow" w:hAnsi="Arial Narrow" w:cstheme="minorHAnsi"/>
                <w:b/>
                <w:iCs/>
                <w:sz w:val="20"/>
                <w:szCs w:val="20"/>
                <w:lang w:val="en-AU"/>
              </w:rPr>
              <w:t>Percent difference</w:t>
            </w:r>
          </w:p>
          <w:p w:rsidR="00955300" w:rsidRPr="00940F72" w:rsidRDefault="00955300" w:rsidP="00865B1E">
            <w:pPr>
              <w:pStyle w:val="TableLeft"/>
              <w:keepNext/>
              <w:jc w:val="center"/>
              <w:rPr>
                <w:rFonts w:ascii="Arial Narrow" w:hAnsi="Arial Narrow" w:cstheme="minorHAnsi"/>
                <w:b/>
                <w:iCs/>
                <w:sz w:val="20"/>
                <w:szCs w:val="20"/>
                <w:lang w:val="en-AU"/>
              </w:rPr>
            </w:pPr>
            <w:r w:rsidRPr="00940F72">
              <w:rPr>
                <w:rFonts w:ascii="Arial Narrow" w:hAnsi="Arial Narrow" w:cstheme="minorHAnsi"/>
                <w:b/>
                <w:iCs/>
                <w:sz w:val="20"/>
                <w:szCs w:val="20"/>
                <w:lang w:val="en-AU"/>
              </w:rPr>
              <w:t xml:space="preserve">% </w:t>
            </w:r>
          </w:p>
        </w:tc>
      </w:tr>
      <w:bookmarkEnd w:id="45"/>
      <w:tr w:rsidR="00955300" w:rsidRPr="00940F72" w:rsidTr="0009553F">
        <w:trPr>
          <w:tblHeader/>
        </w:trPr>
        <w:tc>
          <w:tcPr>
            <w:tcW w:w="2513" w:type="pct"/>
            <w:vMerge/>
            <w:shd w:val="clear" w:color="auto" w:fill="auto"/>
          </w:tcPr>
          <w:p w:rsidR="00955300" w:rsidRPr="00940F72" w:rsidRDefault="00955300" w:rsidP="00865B1E">
            <w:pPr>
              <w:pStyle w:val="TableLeft"/>
              <w:keepNext/>
              <w:rPr>
                <w:rFonts w:ascii="Arial Narrow" w:hAnsi="Arial Narrow" w:cstheme="minorHAnsi"/>
                <w:b/>
                <w:sz w:val="20"/>
                <w:szCs w:val="20"/>
                <w:lang w:val="en-AU"/>
              </w:rPr>
            </w:pPr>
          </w:p>
        </w:tc>
        <w:tc>
          <w:tcPr>
            <w:tcW w:w="898" w:type="pct"/>
            <w:shd w:val="clear" w:color="auto" w:fill="auto"/>
          </w:tcPr>
          <w:p w:rsidR="00955300" w:rsidRPr="00940F72" w:rsidRDefault="00955300" w:rsidP="00865B1E">
            <w:pPr>
              <w:pStyle w:val="TableLeft"/>
              <w:keepNext/>
              <w:jc w:val="center"/>
              <w:rPr>
                <w:rFonts w:ascii="Arial Narrow" w:hAnsi="Arial Narrow" w:cstheme="minorHAnsi"/>
                <w:b/>
                <w:sz w:val="20"/>
                <w:szCs w:val="20"/>
                <w:lang w:val="en-AU"/>
              </w:rPr>
            </w:pPr>
            <w:r w:rsidRPr="00940F72">
              <w:rPr>
                <w:rFonts w:ascii="Arial Narrow" w:hAnsi="Arial Narrow" w:cstheme="minorHAnsi"/>
                <w:b/>
                <w:sz w:val="20"/>
                <w:szCs w:val="20"/>
                <w:lang w:val="en-AU"/>
              </w:rPr>
              <w:t>N=101</w:t>
            </w:r>
          </w:p>
        </w:tc>
        <w:tc>
          <w:tcPr>
            <w:tcW w:w="795" w:type="pct"/>
            <w:shd w:val="clear" w:color="auto" w:fill="auto"/>
          </w:tcPr>
          <w:p w:rsidR="00955300" w:rsidRPr="00940F72" w:rsidRDefault="00955300" w:rsidP="00865B1E">
            <w:pPr>
              <w:pStyle w:val="TableLeft"/>
              <w:keepNext/>
              <w:jc w:val="center"/>
              <w:rPr>
                <w:rFonts w:ascii="Arial Narrow" w:hAnsi="Arial Narrow" w:cstheme="minorHAnsi"/>
                <w:b/>
                <w:sz w:val="20"/>
                <w:szCs w:val="20"/>
                <w:lang w:val="en-AU"/>
              </w:rPr>
            </w:pPr>
            <w:r w:rsidRPr="00940F72">
              <w:rPr>
                <w:rFonts w:ascii="Arial Narrow" w:hAnsi="Arial Narrow" w:cstheme="minorHAnsi"/>
                <w:b/>
                <w:sz w:val="20"/>
                <w:szCs w:val="20"/>
                <w:lang w:val="en-AU"/>
              </w:rPr>
              <w:t>N=98</w:t>
            </w:r>
          </w:p>
        </w:tc>
        <w:tc>
          <w:tcPr>
            <w:tcW w:w="794" w:type="pct"/>
            <w:vMerge/>
          </w:tcPr>
          <w:p w:rsidR="00955300" w:rsidRPr="00940F72" w:rsidRDefault="00955300" w:rsidP="00865B1E">
            <w:pPr>
              <w:pStyle w:val="TableLeft"/>
              <w:keepNext/>
              <w:jc w:val="center"/>
              <w:rPr>
                <w:rFonts w:ascii="Arial Narrow" w:hAnsi="Arial Narrow" w:cstheme="minorHAnsi"/>
                <w:b/>
                <w:iCs/>
                <w:sz w:val="20"/>
                <w:szCs w:val="20"/>
                <w:lang w:val="en-AU"/>
              </w:rPr>
            </w:pPr>
          </w:p>
        </w:tc>
      </w:tr>
      <w:tr w:rsidR="00955300" w:rsidRPr="00940F72" w:rsidTr="0009553F">
        <w:trPr>
          <w:tblHeader/>
        </w:trPr>
        <w:tc>
          <w:tcPr>
            <w:tcW w:w="2513" w:type="pct"/>
            <w:vMerge/>
            <w:shd w:val="clear" w:color="auto" w:fill="auto"/>
          </w:tcPr>
          <w:p w:rsidR="00955300" w:rsidRPr="00940F72" w:rsidRDefault="00955300" w:rsidP="00865B1E">
            <w:pPr>
              <w:pStyle w:val="TableLeft"/>
              <w:keepNext/>
              <w:rPr>
                <w:rFonts w:ascii="Arial Narrow" w:hAnsi="Arial Narrow" w:cstheme="minorHAnsi"/>
                <w:b/>
                <w:sz w:val="20"/>
                <w:szCs w:val="20"/>
                <w:lang w:val="en-AU"/>
              </w:rPr>
            </w:pPr>
          </w:p>
        </w:tc>
        <w:tc>
          <w:tcPr>
            <w:tcW w:w="898" w:type="pct"/>
            <w:shd w:val="clear" w:color="auto" w:fill="auto"/>
          </w:tcPr>
          <w:p w:rsidR="00955300" w:rsidRPr="00940F72" w:rsidRDefault="00955300" w:rsidP="00865B1E">
            <w:pPr>
              <w:pStyle w:val="TableLeft"/>
              <w:keepNext/>
              <w:jc w:val="center"/>
              <w:rPr>
                <w:rFonts w:ascii="Arial Narrow" w:hAnsi="Arial Narrow" w:cstheme="minorHAnsi"/>
                <w:b/>
                <w:sz w:val="20"/>
                <w:szCs w:val="20"/>
                <w:lang w:val="en-AU"/>
              </w:rPr>
            </w:pPr>
            <w:r w:rsidRPr="00940F72">
              <w:rPr>
                <w:rFonts w:ascii="Arial Narrow" w:hAnsi="Arial Narrow" w:cstheme="minorHAnsi"/>
                <w:b/>
                <w:sz w:val="20"/>
                <w:szCs w:val="20"/>
                <w:lang w:val="en-AU"/>
              </w:rPr>
              <w:t>n (%)</w:t>
            </w:r>
          </w:p>
        </w:tc>
        <w:tc>
          <w:tcPr>
            <w:tcW w:w="795" w:type="pct"/>
            <w:shd w:val="clear" w:color="auto" w:fill="auto"/>
          </w:tcPr>
          <w:p w:rsidR="00955300" w:rsidRPr="00940F72" w:rsidRDefault="00955300" w:rsidP="00865B1E">
            <w:pPr>
              <w:pStyle w:val="TableLeft"/>
              <w:keepNext/>
              <w:jc w:val="center"/>
              <w:rPr>
                <w:rFonts w:ascii="Arial Narrow" w:hAnsi="Arial Narrow" w:cstheme="minorHAnsi"/>
                <w:b/>
                <w:sz w:val="20"/>
                <w:szCs w:val="20"/>
                <w:lang w:val="en-AU"/>
              </w:rPr>
            </w:pPr>
            <w:r w:rsidRPr="00940F72">
              <w:rPr>
                <w:rFonts w:ascii="Arial Narrow" w:hAnsi="Arial Narrow" w:cstheme="minorHAnsi"/>
                <w:b/>
                <w:sz w:val="20"/>
                <w:szCs w:val="20"/>
                <w:lang w:val="en-AU"/>
              </w:rPr>
              <w:t>n (%)</w:t>
            </w:r>
          </w:p>
        </w:tc>
        <w:tc>
          <w:tcPr>
            <w:tcW w:w="794" w:type="pct"/>
            <w:vMerge/>
          </w:tcPr>
          <w:p w:rsidR="00955300" w:rsidRPr="00940F72" w:rsidRDefault="00955300" w:rsidP="00865B1E">
            <w:pPr>
              <w:pStyle w:val="TableLeft"/>
              <w:keepNext/>
              <w:jc w:val="center"/>
              <w:rPr>
                <w:rFonts w:ascii="Arial Narrow" w:hAnsi="Arial Narrow" w:cstheme="minorHAnsi"/>
                <w:b/>
                <w:iCs/>
                <w:sz w:val="20"/>
                <w:szCs w:val="20"/>
                <w:lang w:val="en-AU"/>
              </w:rPr>
            </w:pPr>
          </w:p>
        </w:tc>
      </w:tr>
      <w:tr w:rsidR="00955300" w:rsidRPr="00940F72" w:rsidTr="00E83D45">
        <w:tc>
          <w:tcPr>
            <w:tcW w:w="2513" w:type="pct"/>
          </w:tcPr>
          <w:p w:rsidR="00955300" w:rsidRPr="00940F72" w:rsidRDefault="00955300" w:rsidP="00865B1E">
            <w:pPr>
              <w:pStyle w:val="TableLeft"/>
              <w:keepNext/>
              <w:rPr>
                <w:rFonts w:ascii="Arial Narrow" w:hAnsi="Arial Narrow" w:cstheme="minorHAnsi"/>
                <w:b/>
                <w:bCs/>
                <w:sz w:val="20"/>
                <w:szCs w:val="20"/>
                <w:lang w:val="en-AU"/>
              </w:rPr>
            </w:pPr>
            <w:r w:rsidRPr="00940F72">
              <w:rPr>
                <w:rFonts w:ascii="Arial Narrow" w:hAnsi="Arial Narrow" w:cstheme="minorHAnsi"/>
                <w:b/>
                <w:bCs/>
                <w:sz w:val="20"/>
                <w:szCs w:val="20"/>
                <w:lang w:val="en-AU"/>
              </w:rPr>
              <w:t>Summary safety outcomes, n (%)</w:t>
            </w:r>
          </w:p>
        </w:tc>
        <w:tc>
          <w:tcPr>
            <w:tcW w:w="898" w:type="pct"/>
          </w:tcPr>
          <w:p w:rsidR="00955300" w:rsidRPr="00940F72" w:rsidRDefault="00955300" w:rsidP="00865B1E">
            <w:pPr>
              <w:pStyle w:val="TableText0"/>
              <w:jc w:val="center"/>
              <w:rPr>
                <w:lang w:val="en-AU"/>
              </w:rPr>
            </w:pPr>
          </w:p>
        </w:tc>
        <w:tc>
          <w:tcPr>
            <w:tcW w:w="795" w:type="pct"/>
          </w:tcPr>
          <w:p w:rsidR="00955300" w:rsidRPr="00940F72" w:rsidRDefault="00955300" w:rsidP="00865B1E">
            <w:pPr>
              <w:pStyle w:val="TableText0"/>
              <w:jc w:val="center"/>
              <w:rPr>
                <w:lang w:val="en-AU"/>
              </w:rPr>
            </w:pPr>
          </w:p>
        </w:tc>
        <w:tc>
          <w:tcPr>
            <w:tcW w:w="794" w:type="pct"/>
          </w:tcPr>
          <w:p w:rsidR="00955300" w:rsidRPr="00940F72" w:rsidRDefault="00955300" w:rsidP="00865B1E">
            <w:pPr>
              <w:pStyle w:val="TableText0"/>
              <w:jc w:val="center"/>
              <w:rPr>
                <w:iCs/>
                <w:lang w:val="en-AU"/>
              </w:rPr>
            </w:pP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Patients with at least one AE</w:t>
            </w:r>
          </w:p>
        </w:tc>
        <w:tc>
          <w:tcPr>
            <w:tcW w:w="898" w:type="pct"/>
          </w:tcPr>
          <w:p w:rsidR="00955300" w:rsidRPr="00940F72" w:rsidRDefault="00955300" w:rsidP="00865B1E">
            <w:pPr>
              <w:pStyle w:val="TableText0"/>
              <w:jc w:val="center"/>
              <w:rPr>
                <w:lang w:val="en-AU"/>
              </w:rPr>
            </w:pPr>
            <w:r w:rsidRPr="00940F72">
              <w:rPr>
                <w:lang w:val="en-AU"/>
              </w:rPr>
              <w:t>98 (97.0%)</w:t>
            </w:r>
          </w:p>
        </w:tc>
        <w:tc>
          <w:tcPr>
            <w:tcW w:w="795" w:type="pct"/>
          </w:tcPr>
          <w:p w:rsidR="00955300" w:rsidRPr="00940F72" w:rsidRDefault="00955300" w:rsidP="00865B1E">
            <w:pPr>
              <w:pStyle w:val="TableText0"/>
              <w:jc w:val="center"/>
              <w:rPr>
                <w:lang w:val="en-AU"/>
              </w:rPr>
            </w:pPr>
            <w:r w:rsidRPr="00940F72">
              <w:rPr>
                <w:lang w:val="en-AU"/>
              </w:rPr>
              <w:t>97 (99.0%)</w:t>
            </w:r>
          </w:p>
        </w:tc>
        <w:tc>
          <w:tcPr>
            <w:tcW w:w="794" w:type="pct"/>
          </w:tcPr>
          <w:p w:rsidR="00955300" w:rsidRPr="00940F72" w:rsidRDefault="00955300" w:rsidP="00865B1E">
            <w:pPr>
              <w:pStyle w:val="TableText0"/>
              <w:jc w:val="center"/>
              <w:rPr>
                <w:iCs/>
                <w:lang w:val="en-AU"/>
              </w:rPr>
            </w:pPr>
            <w:r w:rsidRPr="00940F72">
              <w:rPr>
                <w:iCs/>
                <w:lang w:val="en-AU"/>
              </w:rPr>
              <w:t>-2.0</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Patients with at least one treatment-related AE</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80 (79.2%)</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84 (85.7%)</w:t>
            </w:r>
          </w:p>
        </w:tc>
        <w:tc>
          <w:tcPr>
            <w:tcW w:w="794" w:type="pct"/>
            <w:vAlign w:val="bottom"/>
          </w:tcPr>
          <w:p w:rsidR="00955300" w:rsidRPr="00940F72" w:rsidRDefault="00955300" w:rsidP="00865B1E">
            <w:pPr>
              <w:pStyle w:val="TableText0"/>
              <w:jc w:val="center"/>
              <w:rPr>
                <w:iCs/>
                <w:lang w:val="en-AU"/>
              </w:rPr>
            </w:pPr>
            <w:r w:rsidRPr="00940F72">
              <w:rPr>
                <w:iCs/>
                <w:lang w:val="en-AU"/>
              </w:rPr>
              <w:t>-6.5</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Bidi"/>
                <w:sz w:val="20"/>
                <w:szCs w:val="20"/>
                <w:lang w:val="en-AU"/>
              </w:rPr>
              <w:t>Patients with any treatment emergent serious AE</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40 (39.6%)</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40 (40.8%)</w:t>
            </w:r>
          </w:p>
        </w:tc>
        <w:tc>
          <w:tcPr>
            <w:tcW w:w="794" w:type="pct"/>
            <w:vAlign w:val="bottom"/>
          </w:tcPr>
          <w:p w:rsidR="00955300" w:rsidRPr="00940F72" w:rsidRDefault="00955300" w:rsidP="00865B1E">
            <w:pPr>
              <w:pStyle w:val="TableText0"/>
              <w:jc w:val="center"/>
              <w:rPr>
                <w:iCs/>
                <w:lang w:val="en-AU"/>
              </w:rPr>
            </w:pPr>
            <w:r w:rsidRPr="00940F72">
              <w:rPr>
                <w:iCs/>
                <w:lang w:val="en-AU"/>
              </w:rPr>
              <w:t>-1.2</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AE leading to treatment discontinuation</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4 (4.0%)</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9 (9.2%)</w:t>
            </w:r>
          </w:p>
        </w:tc>
        <w:tc>
          <w:tcPr>
            <w:tcW w:w="794" w:type="pct"/>
            <w:vAlign w:val="bottom"/>
          </w:tcPr>
          <w:p w:rsidR="00955300" w:rsidRPr="00940F72" w:rsidRDefault="00955300" w:rsidP="00865B1E">
            <w:pPr>
              <w:pStyle w:val="TableText0"/>
              <w:jc w:val="center"/>
              <w:rPr>
                <w:iCs/>
                <w:lang w:val="en-AU"/>
              </w:rPr>
            </w:pPr>
            <w:r w:rsidRPr="00940F72">
              <w:rPr>
                <w:iCs/>
                <w:lang w:val="en-AU"/>
              </w:rPr>
              <w:t>-5.2</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AE leading to death</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1 (1.0%)</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4 (4.1%)</w:t>
            </w:r>
          </w:p>
        </w:tc>
        <w:tc>
          <w:tcPr>
            <w:tcW w:w="794" w:type="pct"/>
            <w:vAlign w:val="bottom"/>
          </w:tcPr>
          <w:p w:rsidR="00955300" w:rsidRPr="00940F72" w:rsidRDefault="00955300" w:rsidP="00865B1E">
            <w:pPr>
              <w:pStyle w:val="TableText0"/>
              <w:jc w:val="center"/>
              <w:rPr>
                <w:iCs/>
                <w:lang w:val="en-AU"/>
              </w:rPr>
            </w:pPr>
            <w:r w:rsidRPr="00940F72">
              <w:rPr>
                <w:iCs/>
                <w:lang w:val="en-AU"/>
              </w:rPr>
              <w:t>-3.1</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AE leading to dose reduction</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14 (13.9%)</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23 (23.5%)</w:t>
            </w:r>
          </w:p>
        </w:tc>
        <w:tc>
          <w:tcPr>
            <w:tcW w:w="794" w:type="pct"/>
            <w:vAlign w:val="bottom"/>
          </w:tcPr>
          <w:p w:rsidR="00955300" w:rsidRPr="00940F72" w:rsidRDefault="00955300" w:rsidP="00865B1E">
            <w:pPr>
              <w:pStyle w:val="TableText0"/>
              <w:jc w:val="center"/>
              <w:rPr>
                <w:iCs/>
                <w:lang w:val="en-AU"/>
              </w:rPr>
            </w:pPr>
            <w:r w:rsidRPr="00940F72">
              <w:rPr>
                <w:iCs/>
                <w:lang w:val="en-AU"/>
              </w:rPr>
              <w:t>-9.6</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Patients with at least one AE of special interest</w:t>
            </w:r>
          </w:p>
        </w:tc>
        <w:tc>
          <w:tcPr>
            <w:tcW w:w="898" w:type="pct"/>
          </w:tcPr>
          <w:p w:rsidR="00955300" w:rsidRPr="00940F72" w:rsidRDefault="00955300" w:rsidP="00865B1E">
            <w:pPr>
              <w:pStyle w:val="TableText0"/>
              <w:jc w:val="center"/>
              <w:rPr>
                <w:lang w:val="en-AU"/>
              </w:rPr>
            </w:pPr>
            <w:r w:rsidRPr="00940F72">
              <w:rPr>
                <w:lang w:val="en-AU"/>
              </w:rPr>
              <w:t>86 (85.1%)</w:t>
            </w:r>
          </w:p>
        </w:tc>
        <w:tc>
          <w:tcPr>
            <w:tcW w:w="795" w:type="pct"/>
          </w:tcPr>
          <w:p w:rsidR="00955300" w:rsidRPr="00940F72" w:rsidRDefault="00955300" w:rsidP="00865B1E">
            <w:pPr>
              <w:pStyle w:val="TableText0"/>
              <w:jc w:val="center"/>
              <w:rPr>
                <w:lang w:val="en-AU"/>
              </w:rPr>
            </w:pPr>
            <w:r w:rsidRPr="00940F72">
              <w:rPr>
                <w:lang w:val="en-AU"/>
              </w:rPr>
              <w:t>81 (82.7%)</w:t>
            </w:r>
          </w:p>
        </w:tc>
        <w:tc>
          <w:tcPr>
            <w:tcW w:w="794" w:type="pct"/>
            <w:vAlign w:val="bottom"/>
          </w:tcPr>
          <w:p w:rsidR="00955300" w:rsidRPr="00940F72" w:rsidRDefault="00955300" w:rsidP="00865B1E">
            <w:pPr>
              <w:pStyle w:val="TableText0"/>
              <w:jc w:val="center"/>
              <w:rPr>
                <w:iCs/>
                <w:lang w:val="en-AU"/>
              </w:rPr>
            </w:pPr>
            <w:r w:rsidRPr="00940F72">
              <w:rPr>
                <w:iCs/>
                <w:lang w:val="en-AU"/>
              </w:rPr>
              <w:t>2.4</w:t>
            </w:r>
          </w:p>
        </w:tc>
      </w:tr>
      <w:tr w:rsidR="00955300" w:rsidRPr="00940F72" w:rsidTr="00E83D45">
        <w:tc>
          <w:tcPr>
            <w:tcW w:w="2513" w:type="pct"/>
          </w:tcPr>
          <w:p w:rsidR="00955300" w:rsidRPr="00940F72" w:rsidRDefault="00955300" w:rsidP="00865B1E">
            <w:pPr>
              <w:pStyle w:val="TableLeft"/>
              <w:keepNext/>
              <w:rPr>
                <w:rFonts w:ascii="Arial Narrow" w:hAnsi="Arial Narrow" w:cstheme="minorHAnsi"/>
                <w:sz w:val="20"/>
                <w:szCs w:val="20"/>
                <w:lang w:val="en-AU"/>
              </w:rPr>
            </w:pPr>
            <w:r w:rsidRPr="00940F72">
              <w:rPr>
                <w:rFonts w:ascii="Arial Narrow" w:hAnsi="Arial Narrow"/>
                <w:b/>
                <w:sz w:val="20"/>
                <w:szCs w:val="20"/>
                <w:lang w:val="en-AU"/>
              </w:rPr>
              <w:t>Any Grade ≥3, n (%)</w:t>
            </w:r>
          </w:p>
        </w:tc>
        <w:tc>
          <w:tcPr>
            <w:tcW w:w="898" w:type="pct"/>
          </w:tcPr>
          <w:p w:rsidR="00955300" w:rsidRPr="00940F72" w:rsidRDefault="00955300" w:rsidP="00865B1E">
            <w:pPr>
              <w:pStyle w:val="TableText0"/>
              <w:jc w:val="center"/>
              <w:rPr>
                <w:lang w:val="en-AU"/>
              </w:rPr>
            </w:pPr>
          </w:p>
        </w:tc>
        <w:tc>
          <w:tcPr>
            <w:tcW w:w="795" w:type="pct"/>
          </w:tcPr>
          <w:p w:rsidR="00955300" w:rsidRPr="00940F72" w:rsidRDefault="00955300" w:rsidP="00865B1E">
            <w:pPr>
              <w:pStyle w:val="TableText0"/>
              <w:jc w:val="center"/>
              <w:rPr>
                <w:lang w:val="en-AU"/>
              </w:rPr>
            </w:pPr>
          </w:p>
        </w:tc>
        <w:tc>
          <w:tcPr>
            <w:tcW w:w="794" w:type="pct"/>
          </w:tcPr>
          <w:p w:rsidR="00955300" w:rsidRPr="00940F72" w:rsidRDefault="00955300" w:rsidP="00865B1E">
            <w:pPr>
              <w:pStyle w:val="TableText0"/>
              <w:jc w:val="center"/>
              <w:rPr>
                <w:iCs/>
                <w:lang w:val="en-AU"/>
              </w:rPr>
            </w:pPr>
          </w:p>
        </w:tc>
      </w:tr>
      <w:tr w:rsidR="00955300" w:rsidRPr="00940F72" w:rsidTr="00E83D45">
        <w:tc>
          <w:tcPr>
            <w:tcW w:w="2513" w:type="pct"/>
          </w:tcPr>
          <w:p w:rsidR="00955300" w:rsidRPr="00940F72" w:rsidRDefault="00955300" w:rsidP="00865B1E">
            <w:pPr>
              <w:pStyle w:val="TableLeft"/>
              <w:keepNext/>
              <w:ind w:left="169"/>
              <w:rPr>
                <w:rFonts w:ascii="Arial Narrow" w:hAnsi="Arial Narrow"/>
                <w:b/>
                <w:sz w:val="20"/>
                <w:szCs w:val="20"/>
                <w:lang w:val="en-AU"/>
              </w:rPr>
            </w:pPr>
            <w:r w:rsidRPr="00940F72">
              <w:rPr>
                <w:rFonts w:ascii="Arial Narrow" w:hAnsi="Arial Narrow" w:cstheme="minorHAnsi"/>
                <w:sz w:val="20"/>
                <w:szCs w:val="20"/>
                <w:lang w:val="en-AU"/>
              </w:rPr>
              <w:t>Any Grade 3 or higher</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59 (58.4%)</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62 (63.3%)</w:t>
            </w:r>
          </w:p>
        </w:tc>
        <w:tc>
          <w:tcPr>
            <w:tcW w:w="794" w:type="pct"/>
          </w:tcPr>
          <w:p w:rsidR="00955300" w:rsidRPr="00940F72" w:rsidRDefault="00955300" w:rsidP="00865B1E">
            <w:pPr>
              <w:pStyle w:val="TableText0"/>
              <w:jc w:val="center"/>
              <w:rPr>
                <w:iCs/>
                <w:lang w:val="en-AU"/>
              </w:rPr>
            </w:pPr>
            <w:r w:rsidRPr="00940F72">
              <w:rPr>
                <w:rFonts w:cstheme="minorBidi"/>
                <w:iCs/>
                <w:szCs w:val="20"/>
                <w:lang w:val="en-AU"/>
              </w:rPr>
              <w:t>-4.9</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Neutropenia</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16 (15.8%)</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8 (8.2%)</w:t>
            </w:r>
          </w:p>
        </w:tc>
        <w:tc>
          <w:tcPr>
            <w:tcW w:w="794" w:type="pct"/>
          </w:tcPr>
          <w:p w:rsidR="00955300" w:rsidRPr="00940F72" w:rsidRDefault="00955300" w:rsidP="00865B1E">
            <w:pPr>
              <w:pStyle w:val="TableText0"/>
              <w:jc w:val="center"/>
              <w:rPr>
                <w:iCs/>
                <w:lang w:val="en-AU"/>
              </w:rPr>
            </w:pPr>
            <w:r w:rsidRPr="00940F72">
              <w:rPr>
                <w:rFonts w:cstheme="minorBidi"/>
                <w:iCs/>
                <w:szCs w:val="20"/>
                <w:lang w:val="en-AU"/>
              </w:rPr>
              <w:t>7.6</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Hypertension</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6 (5.9%)</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11 (11.2%)</w:t>
            </w:r>
          </w:p>
        </w:tc>
        <w:tc>
          <w:tcPr>
            <w:tcW w:w="794" w:type="pct"/>
          </w:tcPr>
          <w:p w:rsidR="00955300" w:rsidRPr="00940F72" w:rsidRDefault="00955300" w:rsidP="00865B1E">
            <w:pPr>
              <w:pStyle w:val="TableText0"/>
              <w:jc w:val="center"/>
              <w:rPr>
                <w:iCs/>
                <w:lang w:val="en-AU"/>
              </w:rPr>
            </w:pPr>
            <w:r w:rsidRPr="00940F72">
              <w:rPr>
                <w:rFonts w:cstheme="minorBidi"/>
                <w:iCs/>
                <w:szCs w:val="20"/>
                <w:lang w:val="en-AU"/>
              </w:rPr>
              <w:t>-5.3</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Thrombocytopenia</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6 (5.9%)</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3 (3.1%)</w:t>
            </w:r>
          </w:p>
        </w:tc>
        <w:tc>
          <w:tcPr>
            <w:tcW w:w="794" w:type="pct"/>
          </w:tcPr>
          <w:p w:rsidR="00955300" w:rsidRPr="00940F72" w:rsidRDefault="00955300" w:rsidP="00865B1E">
            <w:pPr>
              <w:pStyle w:val="TableText0"/>
              <w:jc w:val="center"/>
              <w:rPr>
                <w:iCs/>
                <w:lang w:val="en-AU"/>
              </w:rPr>
            </w:pPr>
            <w:r w:rsidRPr="00940F72">
              <w:rPr>
                <w:rFonts w:cstheme="minorBidi"/>
                <w:iCs/>
                <w:szCs w:val="20"/>
                <w:lang w:val="en-AU"/>
              </w:rPr>
              <w:t>2.8</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Anaemia</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5 (5.0%)</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5 (5.1%)</w:t>
            </w:r>
          </w:p>
        </w:tc>
        <w:tc>
          <w:tcPr>
            <w:tcW w:w="794" w:type="pct"/>
            <w:vAlign w:val="bottom"/>
          </w:tcPr>
          <w:p w:rsidR="00955300" w:rsidRPr="00940F72" w:rsidRDefault="00955300" w:rsidP="00865B1E">
            <w:pPr>
              <w:pStyle w:val="TableText0"/>
              <w:jc w:val="center"/>
              <w:rPr>
                <w:iCs/>
                <w:lang w:val="en-AU"/>
              </w:rPr>
            </w:pPr>
            <w:r w:rsidRPr="00940F72">
              <w:rPr>
                <w:iCs/>
                <w:lang w:val="en-AU"/>
              </w:rPr>
              <w:t>-0.1</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Pneumonia</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1 (1.0%)</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7 (7.1%)</w:t>
            </w:r>
          </w:p>
        </w:tc>
        <w:tc>
          <w:tcPr>
            <w:tcW w:w="794" w:type="pct"/>
            <w:vAlign w:val="bottom"/>
          </w:tcPr>
          <w:p w:rsidR="00955300" w:rsidRPr="00940F72" w:rsidRDefault="00955300" w:rsidP="00865B1E">
            <w:pPr>
              <w:pStyle w:val="TableText0"/>
              <w:jc w:val="center"/>
              <w:rPr>
                <w:iCs/>
                <w:lang w:val="en-AU"/>
              </w:rPr>
            </w:pPr>
            <w:r w:rsidRPr="00940F72">
              <w:rPr>
                <w:iCs/>
                <w:lang w:val="en-AU"/>
              </w:rPr>
              <w:t>-6.1</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Atrial fibrillation and flutter</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0 (0.0%)</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4 (4.1%)</w:t>
            </w:r>
          </w:p>
        </w:tc>
        <w:tc>
          <w:tcPr>
            <w:tcW w:w="794" w:type="pct"/>
            <w:vAlign w:val="bottom"/>
          </w:tcPr>
          <w:p w:rsidR="00955300" w:rsidRPr="00940F72" w:rsidRDefault="00955300" w:rsidP="00865B1E">
            <w:pPr>
              <w:pStyle w:val="TableText0"/>
              <w:jc w:val="center"/>
              <w:rPr>
                <w:iCs/>
                <w:lang w:val="en-AU"/>
              </w:rPr>
            </w:pPr>
            <w:r w:rsidRPr="00940F72">
              <w:rPr>
                <w:iCs/>
                <w:lang w:val="en-AU"/>
              </w:rPr>
              <w:t>-4.1</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TE SAE ≥ Grade 3</w:t>
            </w:r>
          </w:p>
        </w:tc>
        <w:tc>
          <w:tcPr>
            <w:tcW w:w="898" w:type="pct"/>
          </w:tcPr>
          <w:p w:rsidR="00955300" w:rsidRPr="00940F72" w:rsidRDefault="00955300" w:rsidP="00865B1E">
            <w:pPr>
              <w:pStyle w:val="TableText0"/>
              <w:jc w:val="center"/>
              <w:rPr>
                <w:lang w:val="en-AU"/>
              </w:rPr>
            </w:pPr>
            <w:r w:rsidRPr="00940F72">
              <w:rPr>
                <w:rFonts w:cstheme="minorBidi"/>
                <w:szCs w:val="20"/>
                <w:lang w:val="en-AU"/>
              </w:rPr>
              <w:t>59 (58.4%)</w:t>
            </w:r>
          </w:p>
        </w:tc>
        <w:tc>
          <w:tcPr>
            <w:tcW w:w="795" w:type="pct"/>
          </w:tcPr>
          <w:p w:rsidR="00955300" w:rsidRPr="00940F72" w:rsidRDefault="00955300" w:rsidP="00865B1E">
            <w:pPr>
              <w:pStyle w:val="TableText0"/>
              <w:jc w:val="center"/>
              <w:rPr>
                <w:lang w:val="en-AU"/>
              </w:rPr>
            </w:pPr>
            <w:r w:rsidRPr="00940F72">
              <w:rPr>
                <w:rFonts w:cstheme="minorBidi"/>
                <w:szCs w:val="20"/>
                <w:lang w:val="en-AU"/>
              </w:rPr>
              <w:t>62 (63.3%)</w:t>
            </w:r>
          </w:p>
        </w:tc>
        <w:tc>
          <w:tcPr>
            <w:tcW w:w="794" w:type="pct"/>
            <w:vAlign w:val="bottom"/>
          </w:tcPr>
          <w:p w:rsidR="00955300" w:rsidRPr="00940F72" w:rsidRDefault="00955300" w:rsidP="00865B1E">
            <w:pPr>
              <w:pStyle w:val="TableText0"/>
              <w:jc w:val="center"/>
              <w:rPr>
                <w:iCs/>
                <w:lang w:val="en-AU"/>
              </w:rPr>
            </w:pPr>
            <w:r w:rsidRPr="00940F72">
              <w:rPr>
                <w:iCs/>
                <w:lang w:val="en-AU"/>
              </w:rPr>
              <w:t>-4.9</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Bidi"/>
                <w:sz w:val="20"/>
                <w:szCs w:val="20"/>
                <w:lang w:val="en-AU"/>
              </w:rPr>
              <w:t>Treatment related TE SAE</w:t>
            </w:r>
          </w:p>
        </w:tc>
        <w:tc>
          <w:tcPr>
            <w:tcW w:w="898" w:type="pct"/>
          </w:tcPr>
          <w:p w:rsidR="00955300" w:rsidRPr="00940F72" w:rsidRDefault="00955300" w:rsidP="00865B1E">
            <w:pPr>
              <w:pStyle w:val="TableText0"/>
              <w:jc w:val="center"/>
              <w:rPr>
                <w:lang w:val="en-AU"/>
              </w:rPr>
            </w:pPr>
            <w:r w:rsidRPr="00940F72">
              <w:rPr>
                <w:rFonts w:cstheme="minorBidi"/>
                <w:color w:val="231F20"/>
                <w:szCs w:val="20"/>
                <w:lang w:val="en-AU"/>
              </w:rPr>
              <w:t>16 (15.8%)</w:t>
            </w:r>
          </w:p>
        </w:tc>
        <w:tc>
          <w:tcPr>
            <w:tcW w:w="795" w:type="pct"/>
          </w:tcPr>
          <w:p w:rsidR="00955300" w:rsidRPr="00940F72" w:rsidRDefault="00955300" w:rsidP="00865B1E">
            <w:pPr>
              <w:pStyle w:val="TableText0"/>
              <w:jc w:val="center"/>
              <w:rPr>
                <w:lang w:val="en-AU"/>
              </w:rPr>
            </w:pPr>
            <w:r w:rsidRPr="00940F72">
              <w:rPr>
                <w:rFonts w:cstheme="minorBidi"/>
                <w:color w:val="231F20"/>
                <w:szCs w:val="20"/>
                <w:lang w:val="en-AU"/>
              </w:rPr>
              <w:t>20 (20.4%)</w:t>
            </w:r>
          </w:p>
        </w:tc>
        <w:tc>
          <w:tcPr>
            <w:tcW w:w="794" w:type="pct"/>
            <w:vAlign w:val="bottom"/>
          </w:tcPr>
          <w:p w:rsidR="00955300" w:rsidRPr="00940F72" w:rsidRDefault="00955300" w:rsidP="00865B1E">
            <w:pPr>
              <w:pStyle w:val="TableText0"/>
              <w:jc w:val="center"/>
              <w:rPr>
                <w:iCs/>
                <w:lang w:val="en-AU"/>
              </w:rPr>
            </w:pPr>
            <w:r w:rsidRPr="00940F72">
              <w:rPr>
                <w:iCs/>
                <w:lang w:val="en-AU"/>
              </w:rPr>
              <w:t>-4.6</w:t>
            </w:r>
          </w:p>
        </w:tc>
      </w:tr>
      <w:tr w:rsidR="00955300" w:rsidRPr="00940F72" w:rsidTr="00E83D45">
        <w:tc>
          <w:tcPr>
            <w:tcW w:w="2513" w:type="pct"/>
          </w:tcPr>
          <w:p w:rsidR="00955300" w:rsidRPr="00940F72" w:rsidRDefault="00955300" w:rsidP="00865B1E">
            <w:pPr>
              <w:pStyle w:val="TableLeft"/>
              <w:keepNext/>
              <w:rPr>
                <w:rFonts w:ascii="Arial Narrow" w:hAnsi="Arial Narrow" w:cstheme="minorHAnsi"/>
                <w:sz w:val="20"/>
                <w:szCs w:val="20"/>
                <w:lang w:val="en-AU"/>
              </w:rPr>
            </w:pPr>
            <w:r w:rsidRPr="00940F72">
              <w:rPr>
                <w:rFonts w:ascii="Arial Narrow" w:hAnsi="Arial Narrow"/>
                <w:b/>
                <w:sz w:val="20"/>
                <w:szCs w:val="20"/>
                <w:lang w:val="en-AU"/>
              </w:rPr>
              <w:t>Grade ≥3, incidence ≥5%, n (%)</w:t>
            </w:r>
          </w:p>
        </w:tc>
        <w:tc>
          <w:tcPr>
            <w:tcW w:w="898" w:type="pct"/>
          </w:tcPr>
          <w:p w:rsidR="00955300" w:rsidRPr="00940F72" w:rsidRDefault="00955300" w:rsidP="00865B1E">
            <w:pPr>
              <w:pStyle w:val="TableText0"/>
              <w:jc w:val="center"/>
              <w:rPr>
                <w:lang w:val="en-AU"/>
              </w:rPr>
            </w:pPr>
          </w:p>
        </w:tc>
        <w:tc>
          <w:tcPr>
            <w:tcW w:w="795" w:type="pct"/>
          </w:tcPr>
          <w:p w:rsidR="00955300" w:rsidRPr="00940F72" w:rsidRDefault="00955300" w:rsidP="00865B1E">
            <w:pPr>
              <w:pStyle w:val="TableText0"/>
              <w:jc w:val="center"/>
              <w:rPr>
                <w:lang w:val="en-AU"/>
              </w:rPr>
            </w:pPr>
          </w:p>
        </w:tc>
        <w:tc>
          <w:tcPr>
            <w:tcW w:w="794" w:type="pct"/>
          </w:tcPr>
          <w:p w:rsidR="00955300" w:rsidRPr="00940F72" w:rsidRDefault="00955300" w:rsidP="00865B1E">
            <w:pPr>
              <w:pStyle w:val="TableText0"/>
              <w:jc w:val="center"/>
              <w:rPr>
                <w:iCs/>
                <w:lang w:val="en-AU"/>
              </w:rPr>
            </w:pPr>
          </w:p>
        </w:tc>
      </w:tr>
      <w:tr w:rsidR="00955300" w:rsidRPr="00940F72" w:rsidTr="00E83D45">
        <w:tc>
          <w:tcPr>
            <w:tcW w:w="2513" w:type="pct"/>
          </w:tcPr>
          <w:p w:rsidR="00955300" w:rsidRPr="00940F72" w:rsidRDefault="00955300" w:rsidP="00865B1E">
            <w:pPr>
              <w:pStyle w:val="TableLeft"/>
              <w:keepNext/>
              <w:ind w:left="169"/>
              <w:rPr>
                <w:rFonts w:ascii="Arial Narrow" w:hAnsi="Arial Narrow"/>
                <w:b/>
                <w:sz w:val="20"/>
                <w:szCs w:val="20"/>
                <w:lang w:val="en-AU"/>
              </w:rPr>
            </w:pPr>
            <w:r w:rsidRPr="00940F72">
              <w:rPr>
                <w:rFonts w:ascii="Arial Narrow" w:hAnsi="Arial Narrow" w:cstheme="minorHAnsi"/>
                <w:sz w:val="20"/>
                <w:szCs w:val="20"/>
                <w:lang w:val="en-AU"/>
              </w:rPr>
              <w:t>Neutropenia</w:t>
            </w:r>
          </w:p>
        </w:tc>
        <w:tc>
          <w:tcPr>
            <w:tcW w:w="898" w:type="pct"/>
          </w:tcPr>
          <w:p w:rsidR="00955300" w:rsidRPr="00940F72" w:rsidRDefault="00955300" w:rsidP="00865B1E">
            <w:pPr>
              <w:pStyle w:val="TableText0"/>
              <w:jc w:val="center"/>
              <w:rPr>
                <w:bCs w:val="0"/>
                <w:szCs w:val="20"/>
                <w:lang w:val="en-AU"/>
              </w:rPr>
            </w:pPr>
            <w:r w:rsidRPr="00940F72">
              <w:rPr>
                <w:rFonts w:cstheme="minorHAnsi"/>
                <w:bCs w:val="0"/>
                <w:szCs w:val="20"/>
                <w:lang w:val="en-AU"/>
              </w:rPr>
              <w:t>16 (15.8)</w:t>
            </w:r>
          </w:p>
        </w:tc>
        <w:tc>
          <w:tcPr>
            <w:tcW w:w="795" w:type="pct"/>
          </w:tcPr>
          <w:p w:rsidR="00955300" w:rsidRPr="00940F72" w:rsidRDefault="00955300" w:rsidP="00865B1E">
            <w:pPr>
              <w:pStyle w:val="TableText0"/>
              <w:jc w:val="center"/>
              <w:rPr>
                <w:szCs w:val="20"/>
                <w:lang w:val="en-AU"/>
              </w:rPr>
            </w:pPr>
            <w:r w:rsidRPr="00940F72">
              <w:rPr>
                <w:rFonts w:cstheme="minorHAnsi"/>
                <w:szCs w:val="20"/>
                <w:lang w:val="en-AU"/>
              </w:rPr>
              <w:t>8 (8.2)</w:t>
            </w:r>
          </w:p>
        </w:tc>
        <w:tc>
          <w:tcPr>
            <w:tcW w:w="794" w:type="pct"/>
          </w:tcPr>
          <w:p w:rsidR="00955300" w:rsidRPr="00940F72" w:rsidRDefault="00955300" w:rsidP="00865B1E">
            <w:pPr>
              <w:pStyle w:val="TableText0"/>
              <w:jc w:val="center"/>
              <w:rPr>
                <w:iCs/>
                <w:lang w:val="en-AU"/>
              </w:rPr>
            </w:pPr>
            <w:r w:rsidRPr="00940F72">
              <w:rPr>
                <w:rFonts w:cstheme="minorBidi"/>
                <w:iCs/>
                <w:szCs w:val="20"/>
                <w:lang w:val="en-AU"/>
              </w:rPr>
              <w:t>7.6</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Hypertension</w:t>
            </w:r>
          </w:p>
        </w:tc>
        <w:tc>
          <w:tcPr>
            <w:tcW w:w="898" w:type="pct"/>
          </w:tcPr>
          <w:p w:rsidR="00955300" w:rsidRPr="00940F72" w:rsidRDefault="00955300" w:rsidP="00865B1E">
            <w:pPr>
              <w:pStyle w:val="TableText0"/>
              <w:jc w:val="center"/>
              <w:rPr>
                <w:rFonts w:cstheme="minorHAnsi"/>
                <w:b/>
                <w:szCs w:val="20"/>
                <w:lang w:val="en-AU"/>
              </w:rPr>
            </w:pPr>
            <w:r w:rsidRPr="00940F72">
              <w:rPr>
                <w:rFonts w:cstheme="minorHAnsi"/>
                <w:szCs w:val="20"/>
                <w:lang w:val="en-AU"/>
              </w:rPr>
              <w:t>6 (5.9)</w:t>
            </w:r>
          </w:p>
        </w:tc>
        <w:tc>
          <w:tcPr>
            <w:tcW w:w="795" w:type="pct"/>
          </w:tcPr>
          <w:p w:rsidR="00955300" w:rsidRPr="00940F72" w:rsidRDefault="00955300" w:rsidP="00865B1E">
            <w:pPr>
              <w:pStyle w:val="TableText0"/>
              <w:jc w:val="center"/>
              <w:rPr>
                <w:rFonts w:cstheme="minorHAnsi"/>
                <w:bCs w:val="0"/>
                <w:szCs w:val="20"/>
                <w:lang w:val="en-AU"/>
              </w:rPr>
            </w:pPr>
            <w:r w:rsidRPr="00940F72">
              <w:rPr>
                <w:rFonts w:cstheme="minorHAnsi"/>
                <w:bCs w:val="0"/>
                <w:szCs w:val="20"/>
                <w:lang w:val="en-AU"/>
              </w:rPr>
              <w:t>11 (11.2)</w:t>
            </w:r>
          </w:p>
        </w:tc>
        <w:tc>
          <w:tcPr>
            <w:tcW w:w="794" w:type="pct"/>
          </w:tcPr>
          <w:p w:rsidR="00955300" w:rsidRPr="00940F72" w:rsidRDefault="00955300" w:rsidP="00865B1E">
            <w:pPr>
              <w:pStyle w:val="TableText0"/>
              <w:jc w:val="center"/>
              <w:rPr>
                <w:iCs/>
                <w:lang w:val="en-AU"/>
              </w:rPr>
            </w:pPr>
            <w:r w:rsidRPr="00940F72">
              <w:rPr>
                <w:rFonts w:cstheme="minorBidi"/>
                <w:iCs/>
                <w:szCs w:val="20"/>
                <w:lang w:val="en-AU"/>
              </w:rPr>
              <w:t>-5.3</w:t>
            </w:r>
          </w:p>
        </w:tc>
      </w:tr>
      <w:tr w:rsidR="00955300" w:rsidRPr="00940F72" w:rsidTr="00E83D45">
        <w:tc>
          <w:tcPr>
            <w:tcW w:w="2513" w:type="pct"/>
          </w:tcPr>
          <w:p w:rsidR="00955300" w:rsidRPr="00940F72" w:rsidRDefault="00955300" w:rsidP="00865B1E">
            <w:pPr>
              <w:pStyle w:val="TableLeft"/>
              <w:keepNext/>
              <w:ind w:left="169"/>
              <w:rPr>
                <w:rFonts w:ascii="Arial Narrow" w:hAnsi="Arial Narrow" w:cstheme="minorHAnsi"/>
                <w:sz w:val="20"/>
                <w:szCs w:val="20"/>
                <w:lang w:val="en-AU"/>
              </w:rPr>
            </w:pPr>
            <w:r w:rsidRPr="00940F72">
              <w:rPr>
                <w:rFonts w:ascii="Arial Narrow" w:hAnsi="Arial Narrow" w:cstheme="minorHAnsi"/>
                <w:sz w:val="20"/>
                <w:szCs w:val="20"/>
                <w:lang w:val="en-AU"/>
              </w:rPr>
              <w:t>Pneumonia</w:t>
            </w:r>
          </w:p>
        </w:tc>
        <w:tc>
          <w:tcPr>
            <w:tcW w:w="898" w:type="pct"/>
          </w:tcPr>
          <w:p w:rsidR="00955300" w:rsidRPr="00940F72" w:rsidRDefault="00955300" w:rsidP="00865B1E">
            <w:pPr>
              <w:pStyle w:val="TableText0"/>
              <w:jc w:val="center"/>
              <w:rPr>
                <w:rFonts w:cstheme="minorHAnsi"/>
                <w:szCs w:val="20"/>
                <w:lang w:val="en-AU"/>
              </w:rPr>
            </w:pPr>
            <w:r w:rsidRPr="00940F72">
              <w:rPr>
                <w:rFonts w:cstheme="minorHAnsi"/>
                <w:szCs w:val="20"/>
                <w:lang w:val="en-AU"/>
              </w:rPr>
              <w:t>1 (1.0)</w:t>
            </w:r>
          </w:p>
        </w:tc>
        <w:tc>
          <w:tcPr>
            <w:tcW w:w="795" w:type="pct"/>
          </w:tcPr>
          <w:p w:rsidR="00955300" w:rsidRPr="00940F72" w:rsidRDefault="00955300" w:rsidP="00865B1E">
            <w:pPr>
              <w:pStyle w:val="TableText0"/>
              <w:jc w:val="center"/>
              <w:rPr>
                <w:rFonts w:cstheme="minorHAnsi"/>
                <w:bCs w:val="0"/>
                <w:szCs w:val="20"/>
                <w:lang w:val="en-AU"/>
              </w:rPr>
            </w:pPr>
            <w:r w:rsidRPr="00940F72">
              <w:rPr>
                <w:rFonts w:cstheme="minorHAnsi"/>
                <w:bCs w:val="0"/>
                <w:szCs w:val="20"/>
                <w:lang w:val="en-AU"/>
              </w:rPr>
              <w:t>7 (7.1)</w:t>
            </w:r>
          </w:p>
        </w:tc>
        <w:tc>
          <w:tcPr>
            <w:tcW w:w="794" w:type="pct"/>
          </w:tcPr>
          <w:p w:rsidR="00955300" w:rsidRPr="00940F72" w:rsidRDefault="00955300" w:rsidP="00865B1E">
            <w:pPr>
              <w:pStyle w:val="TableText0"/>
              <w:jc w:val="center"/>
              <w:rPr>
                <w:iCs/>
                <w:lang w:val="en-AU"/>
              </w:rPr>
            </w:pPr>
            <w:r w:rsidRPr="00940F72">
              <w:rPr>
                <w:iCs/>
                <w:lang w:val="en-AU"/>
              </w:rPr>
              <w:t>-6.1</w:t>
            </w:r>
          </w:p>
        </w:tc>
      </w:tr>
    </w:tbl>
    <w:p w:rsidR="00955300" w:rsidRPr="00940F72" w:rsidRDefault="00955300" w:rsidP="00955300">
      <w:pPr>
        <w:pStyle w:val="TableFigureFooter"/>
      </w:pPr>
      <w:bookmarkStart w:id="46" w:name="_Hlk71215987"/>
      <w:bookmarkEnd w:id="44"/>
      <w:r w:rsidRPr="00940F72">
        <w:t xml:space="preserve">AE=adverse event; SAE= serious adverse event; TE=treatment emergent. </w:t>
      </w:r>
    </w:p>
    <w:bookmarkEnd w:id="43"/>
    <w:p w:rsidR="00955300" w:rsidRPr="00940F72" w:rsidRDefault="00955300" w:rsidP="00955300">
      <w:pPr>
        <w:pStyle w:val="TableFigureFooter"/>
      </w:pPr>
      <w:r w:rsidRPr="00940F72">
        <w:t>Source: Tables 2.45 and 2.47, pp84, 86 of the submission</w:t>
      </w:r>
      <w:bookmarkEnd w:id="46"/>
      <w:r w:rsidRPr="00940F72">
        <w:t xml:space="preserve">. </w:t>
      </w:r>
    </w:p>
    <w:p w:rsidR="00955300" w:rsidRPr="00940F72" w:rsidRDefault="00955300" w:rsidP="00955300">
      <w:pPr>
        <w:pStyle w:val="3-BodyText"/>
        <w:rPr>
          <w:iCs/>
        </w:rPr>
      </w:pPr>
      <w:r w:rsidRPr="00940F72">
        <w:rPr>
          <w:iCs/>
        </w:rPr>
        <w:t xml:space="preserve">Percentage differences in the incidence of </w:t>
      </w:r>
      <w:r w:rsidR="00984D66" w:rsidRPr="00940F72">
        <w:rPr>
          <w:iCs/>
        </w:rPr>
        <w:t>AEs</w:t>
      </w:r>
      <w:r w:rsidRPr="00940F72">
        <w:rPr>
          <w:iCs/>
        </w:rPr>
        <w:t xml:space="preserve"> </w:t>
      </w:r>
      <w:r w:rsidR="00F96D67" w:rsidRPr="00940F72">
        <w:rPr>
          <w:iCs/>
        </w:rPr>
        <w:t xml:space="preserve">indicated </w:t>
      </w:r>
      <w:r w:rsidRPr="00940F72">
        <w:rPr>
          <w:iCs/>
        </w:rPr>
        <w:t>that:</w:t>
      </w:r>
    </w:p>
    <w:p w:rsidR="00955300" w:rsidRPr="00940F72" w:rsidRDefault="00955300" w:rsidP="008153D6">
      <w:pPr>
        <w:pStyle w:val="3-BodyText"/>
        <w:numPr>
          <w:ilvl w:val="0"/>
          <w:numId w:val="11"/>
        </w:numPr>
        <w:rPr>
          <w:iCs/>
        </w:rPr>
      </w:pPr>
      <w:bookmarkStart w:id="47" w:name="_Hlk71216029"/>
      <w:r w:rsidRPr="00940F72">
        <w:rPr>
          <w:iCs/>
        </w:rPr>
        <w:t xml:space="preserve">In terms of the Grade </w:t>
      </w:r>
      <w:r w:rsidRPr="00940F72">
        <w:rPr>
          <w:rFonts w:cstheme="minorHAnsi"/>
          <w:iCs/>
        </w:rPr>
        <w:t>≥</w:t>
      </w:r>
      <w:r w:rsidRPr="00940F72">
        <w:rPr>
          <w:iCs/>
        </w:rPr>
        <w:t xml:space="preserve">3 </w:t>
      </w:r>
      <w:r w:rsidR="00984D66" w:rsidRPr="00940F72">
        <w:rPr>
          <w:iCs/>
        </w:rPr>
        <w:t>AEs</w:t>
      </w:r>
      <w:r w:rsidRPr="00940F72">
        <w:rPr>
          <w:iCs/>
        </w:rPr>
        <w:t xml:space="preserve"> with greater than 5% frequency, hypertension and pneumonia were higher in the ibrutinib arm whereas higher</w:t>
      </w:r>
      <w:r w:rsidR="00F64B49" w:rsidRPr="00940F72">
        <w:rPr>
          <w:iCs/>
        </w:rPr>
        <w:t xml:space="preserve"> comparative</w:t>
      </w:r>
      <w:r w:rsidRPr="00940F72">
        <w:rPr>
          <w:iCs/>
        </w:rPr>
        <w:t xml:space="preserve"> rates of neutropenia were seen in the zanubrutinib arm</w:t>
      </w:r>
      <w:r w:rsidR="00F96D67" w:rsidRPr="00940F72">
        <w:rPr>
          <w:iCs/>
        </w:rPr>
        <w:t xml:space="preserve"> (7.6%)</w:t>
      </w:r>
      <w:r w:rsidR="00DB1AA9" w:rsidRPr="00940F72">
        <w:rPr>
          <w:iCs/>
        </w:rPr>
        <w:t xml:space="preserve">. </w:t>
      </w:r>
    </w:p>
    <w:p w:rsidR="00955300" w:rsidRPr="00940F72" w:rsidRDefault="00955300" w:rsidP="008153D6">
      <w:pPr>
        <w:pStyle w:val="3-BodyText"/>
        <w:numPr>
          <w:ilvl w:val="0"/>
          <w:numId w:val="11"/>
        </w:numPr>
        <w:rPr>
          <w:iCs/>
        </w:rPr>
      </w:pPr>
      <w:r w:rsidRPr="00940F72">
        <w:rPr>
          <w:iCs/>
        </w:rPr>
        <w:t xml:space="preserve">The zanubrutinib treatment arm had </w:t>
      </w:r>
      <w:r w:rsidR="00FC7386" w:rsidRPr="00940F72">
        <w:rPr>
          <w:iCs/>
        </w:rPr>
        <w:t xml:space="preserve">a </w:t>
      </w:r>
      <w:r w:rsidRPr="00940F72">
        <w:rPr>
          <w:iCs/>
        </w:rPr>
        <w:t>slightly lower</w:t>
      </w:r>
      <w:r w:rsidR="00F64B49" w:rsidRPr="00940F72">
        <w:rPr>
          <w:iCs/>
        </w:rPr>
        <w:t xml:space="preserve"> comparative</w:t>
      </w:r>
      <w:r w:rsidRPr="00940F72">
        <w:rPr>
          <w:iCs/>
        </w:rPr>
        <w:t xml:space="preserve"> incidence (-4.9%) of patients with any Grade </w:t>
      </w:r>
      <w:r w:rsidRPr="00940F72">
        <w:rPr>
          <w:rFonts w:cstheme="minorHAnsi"/>
          <w:iCs/>
        </w:rPr>
        <w:t>≥</w:t>
      </w:r>
      <w:r w:rsidRPr="00940F72">
        <w:rPr>
          <w:iCs/>
        </w:rPr>
        <w:t xml:space="preserve">3 </w:t>
      </w:r>
      <w:r w:rsidR="00984D66" w:rsidRPr="00940F72">
        <w:rPr>
          <w:iCs/>
        </w:rPr>
        <w:t>AEs</w:t>
      </w:r>
      <w:r w:rsidRPr="00940F72">
        <w:rPr>
          <w:iCs/>
        </w:rPr>
        <w:t xml:space="preserve">. Comparatively higher incidence of thrombocytopenia (2.8%) and lower frequency of atrial fibrillation/flutter (-4.1%) was seen in the zanubrutinib arm. </w:t>
      </w:r>
    </w:p>
    <w:p w:rsidR="00955300" w:rsidRPr="00940F72" w:rsidRDefault="00F64B49" w:rsidP="008153D6">
      <w:pPr>
        <w:pStyle w:val="3-BodyText"/>
        <w:numPr>
          <w:ilvl w:val="0"/>
          <w:numId w:val="11"/>
        </w:numPr>
        <w:rPr>
          <w:iCs/>
        </w:rPr>
      </w:pPr>
      <w:r w:rsidRPr="00940F72">
        <w:rPr>
          <w:iCs/>
        </w:rPr>
        <w:t>Comparatively fewer</w:t>
      </w:r>
      <w:r w:rsidR="00955300" w:rsidRPr="00940F72">
        <w:rPr>
          <w:iCs/>
        </w:rPr>
        <w:t xml:space="preserve"> patients discontinued treatment in the </w:t>
      </w:r>
      <w:r w:rsidRPr="00940F72">
        <w:rPr>
          <w:iCs/>
        </w:rPr>
        <w:t xml:space="preserve">zanubrutinib </w:t>
      </w:r>
      <w:r w:rsidR="00955300" w:rsidRPr="00940F72">
        <w:rPr>
          <w:iCs/>
        </w:rPr>
        <w:t xml:space="preserve">arm </w:t>
      </w:r>
      <w:r w:rsidR="00FC7386" w:rsidRPr="00940F72">
        <w:rPr>
          <w:iCs/>
        </w:rPr>
        <w:t>than</w:t>
      </w:r>
      <w:r w:rsidR="00955300" w:rsidRPr="00940F72">
        <w:rPr>
          <w:iCs/>
        </w:rPr>
        <w:t xml:space="preserve"> the </w:t>
      </w:r>
      <w:r w:rsidRPr="00940F72">
        <w:rPr>
          <w:iCs/>
        </w:rPr>
        <w:t xml:space="preserve">ibrutinib </w:t>
      </w:r>
      <w:r w:rsidR="00955300" w:rsidRPr="00940F72">
        <w:rPr>
          <w:iCs/>
        </w:rPr>
        <w:t>arm</w:t>
      </w:r>
      <w:r w:rsidRPr="00940F72">
        <w:rPr>
          <w:iCs/>
        </w:rPr>
        <w:t xml:space="preserve"> (-5.2%)</w:t>
      </w:r>
      <w:r w:rsidR="00955300" w:rsidRPr="00940F72">
        <w:rPr>
          <w:iCs/>
        </w:rPr>
        <w:t xml:space="preserve">. Similarly, </w:t>
      </w:r>
      <w:r w:rsidR="00984D66" w:rsidRPr="00940F72">
        <w:rPr>
          <w:iCs/>
        </w:rPr>
        <w:t>AEs</w:t>
      </w:r>
      <w:r w:rsidR="00955300" w:rsidRPr="00940F72">
        <w:rPr>
          <w:iCs/>
        </w:rPr>
        <w:t xml:space="preserve"> leading to dose reductions were</w:t>
      </w:r>
      <w:r w:rsidRPr="00940F72">
        <w:rPr>
          <w:iCs/>
        </w:rPr>
        <w:t xml:space="preserve"> comparatively</w:t>
      </w:r>
      <w:r w:rsidR="00955300" w:rsidRPr="00940F72">
        <w:rPr>
          <w:iCs/>
        </w:rPr>
        <w:t xml:space="preserve"> lower in the zanubrutinib arm (-9.6%). </w:t>
      </w:r>
    </w:p>
    <w:p w:rsidR="00955300" w:rsidRPr="00940F72" w:rsidRDefault="00F64B49" w:rsidP="00053418">
      <w:pPr>
        <w:pStyle w:val="3-BodyText"/>
        <w:numPr>
          <w:ilvl w:val="0"/>
          <w:numId w:val="11"/>
        </w:numPr>
      </w:pPr>
      <w:r w:rsidRPr="00940F72">
        <w:rPr>
          <w:iCs/>
        </w:rPr>
        <w:t>Comparatively fewer</w:t>
      </w:r>
      <w:r w:rsidR="00955300" w:rsidRPr="00940F72">
        <w:rPr>
          <w:iCs/>
        </w:rPr>
        <w:t xml:space="preserve"> patients died due to </w:t>
      </w:r>
      <w:r w:rsidR="00984D66" w:rsidRPr="00940F72">
        <w:rPr>
          <w:iCs/>
        </w:rPr>
        <w:t>AEs</w:t>
      </w:r>
      <w:r w:rsidR="00955300" w:rsidRPr="00940F72">
        <w:rPr>
          <w:iCs/>
        </w:rPr>
        <w:t xml:space="preserve"> in the </w:t>
      </w:r>
      <w:r w:rsidRPr="00940F72">
        <w:rPr>
          <w:iCs/>
        </w:rPr>
        <w:t xml:space="preserve">zanubrutinib </w:t>
      </w:r>
      <w:r w:rsidR="00955300" w:rsidRPr="00940F72">
        <w:rPr>
          <w:iCs/>
        </w:rPr>
        <w:t xml:space="preserve">arm compared with the </w:t>
      </w:r>
      <w:r w:rsidRPr="00940F72">
        <w:rPr>
          <w:iCs/>
        </w:rPr>
        <w:t xml:space="preserve">ibrutinib </w:t>
      </w:r>
      <w:r w:rsidR="00955300" w:rsidRPr="00940F72">
        <w:rPr>
          <w:iCs/>
        </w:rPr>
        <w:t>arm</w:t>
      </w:r>
      <w:r w:rsidRPr="00940F72">
        <w:rPr>
          <w:iCs/>
        </w:rPr>
        <w:t xml:space="preserve"> (-3.1%)</w:t>
      </w:r>
      <w:r w:rsidR="00955300" w:rsidRPr="00940F72">
        <w:rPr>
          <w:iCs/>
        </w:rPr>
        <w:t>. Treatment</w:t>
      </w:r>
      <w:r w:rsidR="00FC7386" w:rsidRPr="00940F72">
        <w:rPr>
          <w:iCs/>
        </w:rPr>
        <w:t>-</w:t>
      </w:r>
      <w:r w:rsidR="00955300" w:rsidRPr="00940F72">
        <w:rPr>
          <w:iCs/>
        </w:rPr>
        <w:t xml:space="preserve">emergent serious </w:t>
      </w:r>
      <w:r w:rsidR="00984D66" w:rsidRPr="00940F72">
        <w:rPr>
          <w:iCs/>
        </w:rPr>
        <w:t>AEs</w:t>
      </w:r>
      <w:r w:rsidR="00955300" w:rsidRPr="00940F72">
        <w:rPr>
          <w:iCs/>
        </w:rPr>
        <w:t xml:space="preserve"> of ≥ grade 3 were also comparatively lower in the zanubrutinib arm (-4.9%)</w:t>
      </w:r>
      <w:bookmarkEnd w:id="47"/>
      <w:r w:rsidR="00955300" w:rsidRPr="00940F72">
        <w:t>.</w:t>
      </w:r>
    </w:p>
    <w:p w:rsidR="002511BE" w:rsidRPr="00940F72" w:rsidRDefault="00AB3127" w:rsidP="009B1D52">
      <w:pPr>
        <w:pStyle w:val="3-BodyText"/>
      </w:pPr>
      <w:r w:rsidRPr="00940F72">
        <w:t>Regarding</w:t>
      </w:r>
      <w:r w:rsidR="002511BE" w:rsidRPr="00940F72">
        <w:t xml:space="preserve"> comparative safety, the ESC noted the recent presentation of interim results from a head-to-head trial of zanubrutinib and ibrutinib in patients with </w:t>
      </w:r>
      <w:r w:rsidR="00E5447B" w:rsidRPr="00940F72">
        <w:t>R/R</w:t>
      </w:r>
      <w:r w:rsidR="002511BE" w:rsidRPr="00940F72">
        <w:t xml:space="preserve"> </w:t>
      </w:r>
      <w:r w:rsidR="00E5447B" w:rsidRPr="00940F72">
        <w:t>CLL</w:t>
      </w:r>
      <w:r w:rsidR="002511BE" w:rsidRPr="00940F72">
        <w:t>/</w:t>
      </w:r>
      <w:r w:rsidR="00E5447B" w:rsidRPr="00940F72">
        <w:t>SLL</w:t>
      </w:r>
      <w:r w:rsidR="002511BE" w:rsidRPr="00940F72">
        <w:t xml:space="preserve"> (ALPINE study</w:t>
      </w:r>
      <w:r w:rsidR="002511BE" w:rsidRPr="00940F72">
        <w:rPr>
          <w:rStyle w:val="FootnoteReference"/>
        </w:rPr>
        <w:footnoteReference w:id="4"/>
      </w:r>
      <w:r w:rsidR="002511BE" w:rsidRPr="00940F72">
        <w:t>).</w:t>
      </w:r>
      <w:r w:rsidR="00E5447B" w:rsidRPr="00940F72">
        <w:t xml:space="preserve"> The rate of atrial fibrillation/flutter was significantly lower with zanubrutinib compared to ibrutinib (2.5% vs 10.1%, p=0.0014). Rates of major bleeding, and AEs leading to discontinuation or death were also lower with zanubrutinib. The rate of neutropenia was higher with zanubrutinib, while grade ≥3 infections were lower with zanubrutinib.</w:t>
      </w:r>
      <w:r w:rsidR="002511BE" w:rsidRPr="00940F72">
        <w:t xml:space="preserve"> </w:t>
      </w:r>
      <w:r w:rsidR="00B93858" w:rsidRPr="00940F72">
        <w:t>While results from this trial are only available in abstract form without a full statistical analysis, and relate</w:t>
      </w:r>
      <w:r w:rsidR="002511BE" w:rsidRPr="00940F72">
        <w:t xml:space="preserve"> to a different indication, the ESC considered it might provide additional data for assessment of the safety claim.</w:t>
      </w:r>
    </w:p>
    <w:p w:rsidR="00955300" w:rsidRPr="00940F72" w:rsidRDefault="00417F96" w:rsidP="00955300">
      <w:pPr>
        <w:pStyle w:val="5-SubsectionSubheading"/>
        <w:rPr>
          <w:color w:val="auto"/>
        </w:rPr>
      </w:pPr>
      <w:bookmarkStart w:id="48" w:name="_Toc72318706"/>
      <w:r w:rsidRPr="00940F72">
        <w:t>Matching Adjusted Indirect Comparison</w:t>
      </w:r>
      <w:bookmarkEnd w:id="48"/>
      <w:r w:rsidR="00955300" w:rsidRPr="00940F72">
        <w:t xml:space="preserve"> </w:t>
      </w:r>
      <w:r w:rsidR="007A0236" w:rsidRPr="00940F72">
        <w:t>(MAIC)</w:t>
      </w:r>
    </w:p>
    <w:p w:rsidR="00955300" w:rsidRPr="00940F72" w:rsidRDefault="00955300" w:rsidP="00955300">
      <w:pPr>
        <w:pStyle w:val="3-BodyText"/>
        <w:rPr>
          <w:color w:val="0066FF"/>
        </w:rPr>
      </w:pPr>
      <w:r w:rsidRPr="00940F72">
        <w:t>The submission also presented a MAIC between the pooled zanubrutinib and pooled ibrutinib trials as secondary safety analysis.</w:t>
      </w:r>
    </w:p>
    <w:p w:rsidR="000D6EED" w:rsidRPr="00940F72" w:rsidRDefault="000D6EED" w:rsidP="00955300">
      <w:pPr>
        <w:pStyle w:val="3-BodyText"/>
        <w:rPr>
          <w:color w:val="0066FF"/>
        </w:rPr>
      </w:pPr>
      <w:r w:rsidRPr="00940F72">
        <w:t xml:space="preserve">Table </w:t>
      </w:r>
      <w:r w:rsidR="00053418" w:rsidRPr="00940F72">
        <w:t>9</w:t>
      </w:r>
      <w:r w:rsidR="003F5AB2" w:rsidRPr="00940F72">
        <w:t xml:space="preserve"> </w:t>
      </w:r>
      <w:r w:rsidRPr="00940F72">
        <w:t xml:space="preserve">presents a summary of ≥ Grade 3 </w:t>
      </w:r>
      <w:r w:rsidR="00984D66" w:rsidRPr="00940F72">
        <w:t>AEs</w:t>
      </w:r>
      <w:r w:rsidRPr="00940F72">
        <w:t xml:space="preserve"> for the zanubrutinib trials (Study 206 + Study AU-003) and pooled analysis for the MCL-3001/RAY, PCYC-1104 and MCL-2001/SPARK trials </w:t>
      </w:r>
      <w:r w:rsidR="00DB27CB" w:rsidRPr="00940F72">
        <w:t>without adjustment</w:t>
      </w:r>
      <w:r w:rsidRPr="00940F72">
        <w:t xml:space="preserve"> and after matching on baseline characteristics.</w:t>
      </w:r>
    </w:p>
    <w:p w:rsidR="00891BDB" w:rsidRDefault="00891BDB">
      <w:pPr>
        <w:jc w:val="left"/>
        <w:rPr>
          <w:rFonts w:ascii="Arial Narrow" w:eastAsiaTheme="majorEastAsia" w:hAnsi="Arial Narrow" w:cstheme="majorBidi"/>
          <w:b/>
          <w:bCs/>
          <w:sz w:val="20"/>
        </w:rPr>
      </w:pPr>
      <w:r>
        <w:br w:type="page"/>
      </w:r>
    </w:p>
    <w:p w:rsidR="000D6EED" w:rsidRPr="00940F72" w:rsidRDefault="000D6EED" w:rsidP="000D6EED">
      <w:pPr>
        <w:pStyle w:val="TableFigureHeading"/>
      </w:pPr>
      <w:r w:rsidRPr="00940F72">
        <w:t xml:space="preserve">Table </w:t>
      </w:r>
      <w:r w:rsidR="00053418" w:rsidRPr="00940F72">
        <w:t>9</w:t>
      </w:r>
      <w:r w:rsidRPr="00940F72">
        <w:t>: Summary of key adverse events without adjustment and after matching in the pooled studies</w:t>
      </w:r>
    </w:p>
    <w:tbl>
      <w:tblPr>
        <w:tblStyle w:val="TableGrid"/>
        <w:tblW w:w="5000" w:type="pct"/>
        <w:tblLook w:val="04A0" w:firstRow="1" w:lastRow="0" w:firstColumn="1" w:lastColumn="0" w:noHBand="0" w:noVBand="1"/>
        <w:tblCaption w:val="Table 9: Summary of key adverse events without adjustment and after matching in the pooled studies"/>
      </w:tblPr>
      <w:tblGrid>
        <w:gridCol w:w="2830"/>
        <w:gridCol w:w="1702"/>
        <w:gridCol w:w="1701"/>
        <w:gridCol w:w="1134"/>
        <w:gridCol w:w="1650"/>
      </w:tblGrid>
      <w:tr w:rsidR="000D6EED" w:rsidRPr="00940F72" w:rsidTr="0009553F">
        <w:trPr>
          <w:tblHeader/>
        </w:trPr>
        <w:tc>
          <w:tcPr>
            <w:tcW w:w="1569" w:type="pct"/>
          </w:tcPr>
          <w:p w:rsidR="000D6EED" w:rsidRPr="00940F72" w:rsidRDefault="000D6EED" w:rsidP="00533B2A">
            <w:pPr>
              <w:keepNext/>
              <w:rPr>
                <w:rFonts w:ascii="Arial Narrow" w:hAnsi="Arial Narrow" w:cstheme="minorHAnsi"/>
                <w:sz w:val="20"/>
                <w:szCs w:val="20"/>
              </w:rPr>
            </w:pPr>
          </w:p>
        </w:tc>
        <w:tc>
          <w:tcPr>
            <w:tcW w:w="944" w:type="pct"/>
            <w:vAlign w:val="bottom"/>
          </w:tcPr>
          <w:p w:rsidR="000D6EED" w:rsidRPr="00940F72" w:rsidRDefault="000D6EED" w:rsidP="00533B2A">
            <w:pPr>
              <w:keepNext/>
              <w:jc w:val="center"/>
              <w:rPr>
                <w:rFonts w:ascii="Arial Narrow" w:hAnsi="Arial Narrow" w:cstheme="minorHAnsi"/>
                <w:b/>
                <w:sz w:val="20"/>
                <w:szCs w:val="20"/>
                <w:u w:val="single"/>
              </w:rPr>
            </w:pPr>
            <w:r w:rsidRPr="00940F72">
              <w:rPr>
                <w:rFonts w:ascii="Arial Narrow" w:hAnsi="Arial Narrow" w:cstheme="minorHAnsi"/>
                <w:b/>
                <w:sz w:val="20"/>
                <w:szCs w:val="20"/>
              </w:rPr>
              <w:t>Without adjustment</w:t>
            </w:r>
          </w:p>
        </w:tc>
        <w:tc>
          <w:tcPr>
            <w:tcW w:w="943" w:type="pct"/>
          </w:tcPr>
          <w:p w:rsidR="000D6EED" w:rsidRPr="00940F72" w:rsidRDefault="000D6EED" w:rsidP="00533B2A">
            <w:pPr>
              <w:keepNext/>
              <w:jc w:val="center"/>
              <w:rPr>
                <w:rFonts w:ascii="Arial Narrow" w:hAnsi="Arial Narrow" w:cstheme="minorHAnsi"/>
                <w:b/>
                <w:sz w:val="20"/>
                <w:szCs w:val="20"/>
                <w:u w:val="single"/>
              </w:rPr>
            </w:pPr>
            <w:r w:rsidRPr="00940F72">
              <w:rPr>
                <w:rFonts w:ascii="Arial Narrow" w:hAnsi="Arial Narrow" w:cstheme="minorHAnsi"/>
                <w:b/>
                <w:sz w:val="20"/>
                <w:szCs w:val="20"/>
              </w:rPr>
              <w:t>After matching</w:t>
            </w:r>
          </w:p>
        </w:tc>
        <w:tc>
          <w:tcPr>
            <w:tcW w:w="629" w:type="pct"/>
          </w:tcPr>
          <w:p w:rsidR="000D6EED" w:rsidRPr="00940F72" w:rsidRDefault="000D6EED" w:rsidP="00533B2A">
            <w:pPr>
              <w:keepNext/>
              <w:jc w:val="center"/>
              <w:rPr>
                <w:rFonts w:ascii="Arial Narrow" w:hAnsi="Arial Narrow" w:cstheme="minorHAnsi"/>
                <w:b/>
                <w:sz w:val="20"/>
                <w:szCs w:val="20"/>
              </w:rPr>
            </w:pPr>
          </w:p>
        </w:tc>
        <w:tc>
          <w:tcPr>
            <w:tcW w:w="915" w:type="pct"/>
          </w:tcPr>
          <w:p w:rsidR="000D6EED" w:rsidRPr="00940F72" w:rsidRDefault="000D6EED" w:rsidP="00533B2A">
            <w:pPr>
              <w:keepNext/>
              <w:jc w:val="center"/>
              <w:rPr>
                <w:rFonts w:ascii="Arial Narrow" w:hAnsi="Arial Narrow" w:cstheme="minorHAnsi"/>
                <w:b/>
                <w:iCs/>
                <w:sz w:val="20"/>
                <w:szCs w:val="20"/>
              </w:rPr>
            </w:pP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p>
        </w:tc>
        <w:tc>
          <w:tcPr>
            <w:tcW w:w="944" w:type="pct"/>
          </w:tcPr>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Zanubrutinib</w:t>
            </w:r>
          </w:p>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Study 206+AU-003</w:t>
            </w:r>
          </w:p>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w:t>
            </w:r>
          </w:p>
        </w:tc>
        <w:tc>
          <w:tcPr>
            <w:tcW w:w="943" w:type="pct"/>
          </w:tcPr>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Zanubrutinib</w:t>
            </w:r>
          </w:p>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Study 206+AU-003</w:t>
            </w:r>
          </w:p>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w:t>
            </w:r>
          </w:p>
        </w:tc>
        <w:tc>
          <w:tcPr>
            <w:tcW w:w="629" w:type="pct"/>
          </w:tcPr>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Ibrutinib</w:t>
            </w:r>
          </w:p>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POOLED</w:t>
            </w:r>
          </w:p>
          <w:p w:rsidR="000D6EED" w:rsidRPr="00940F72" w:rsidRDefault="000D6EED" w:rsidP="00533B2A">
            <w:pPr>
              <w:keepNext/>
              <w:jc w:val="center"/>
              <w:rPr>
                <w:rFonts w:ascii="Arial Narrow" w:hAnsi="Arial Narrow" w:cstheme="minorHAnsi"/>
                <w:b/>
                <w:sz w:val="20"/>
                <w:szCs w:val="20"/>
              </w:rPr>
            </w:pPr>
            <w:r w:rsidRPr="00940F72">
              <w:rPr>
                <w:rFonts w:ascii="Arial Narrow" w:hAnsi="Arial Narrow" w:cstheme="minorHAnsi"/>
                <w:b/>
                <w:sz w:val="20"/>
                <w:szCs w:val="20"/>
              </w:rPr>
              <w:t>%</w:t>
            </w:r>
          </w:p>
        </w:tc>
        <w:tc>
          <w:tcPr>
            <w:tcW w:w="915" w:type="pct"/>
          </w:tcPr>
          <w:p w:rsidR="000D6EED" w:rsidRPr="00940F72" w:rsidRDefault="000D6EED" w:rsidP="00533B2A">
            <w:pPr>
              <w:keepNext/>
              <w:jc w:val="center"/>
              <w:rPr>
                <w:rFonts w:ascii="Arial Narrow" w:hAnsi="Arial Narrow" w:cstheme="minorHAnsi"/>
                <w:b/>
                <w:iCs/>
                <w:sz w:val="20"/>
                <w:szCs w:val="20"/>
              </w:rPr>
            </w:pPr>
            <w:r w:rsidRPr="00940F72">
              <w:rPr>
                <w:rFonts w:ascii="Arial Narrow" w:hAnsi="Arial Narrow" w:cstheme="minorHAnsi"/>
                <w:b/>
                <w:iCs/>
                <w:sz w:val="20"/>
                <w:szCs w:val="20"/>
              </w:rPr>
              <w:t>Percent difference</w:t>
            </w:r>
          </w:p>
          <w:p w:rsidR="000D6EED" w:rsidRPr="00940F72" w:rsidRDefault="000D6EED" w:rsidP="00533B2A">
            <w:pPr>
              <w:keepNext/>
              <w:jc w:val="center"/>
              <w:rPr>
                <w:rFonts w:ascii="Arial Narrow" w:hAnsi="Arial Narrow" w:cstheme="minorHAnsi"/>
                <w:b/>
                <w:iCs/>
                <w:sz w:val="20"/>
                <w:szCs w:val="20"/>
              </w:rPr>
            </w:pPr>
            <w:r w:rsidRPr="00940F72">
              <w:rPr>
                <w:rFonts w:ascii="Arial Narrow" w:hAnsi="Arial Narrow" w:cstheme="minorHAnsi"/>
                <w:b/>
                <w:iCs/>
                <w:sz w:val="20"/>
                <w:szCs w:val="20"/>
              </w:rPr>
              <w:t>Zanubrutinib</w:t>
            </w:r>
          </w:p>
          <w:p w:rsidR="000D6EED" w:rsidRPr="00940F72" w:rsidRDefault="000D6EED" w:rsidP="00533B2A">
            <w:pPr>
              <w:keepNext/>
              <w:jc w:val="center"/>
              <w:rPr>
                <w:rFonts w:ascii="Arial Narrow" w:hAnsi="Arial Narrow" w:cstheme="minorHAnsi"/>
                <w:b/>
                <w:iCs/>
                <w:sz w:val="20"/>
                <w:szCs w:val="20"/>
              </w:rPr>
            </w:pPr>
            <w:r w:rsidRPr="00940F72">
              <w:rPr>
                <w:rFonts w:ascii="Arial Narrow" w:hAnsi="Arial Narrow" w:cstheme="minorHAnsi"/>
                <w:b/>
                <w:iCs/>
                <w:sz w:val="20"/>
                <w:szCs w:val="20"/>
              </w:rPr>
              <w:t>after matching vs. ibrutinib POOLED %</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color w:val="333333"/>
                <w:sz w:val="20"/>
                <w:szCs w:val="20"/>
              </w:rPr>
              <w:t>THROMBOCYTOPENIA</w:t>
            </w:r>
          </w:p>
        </w:tc>
        <w:tc>
          <w:tcPr>
            <w:tcW w:w="944" w:type="pct"/>
          </w:tcPr>
          <w:p w:rsidR="000D6EED" w:rsidRPr="00940F72" w:rsidRDefault="000D6EED" w:rsidP="00533B2A">
            <w:pPr>
              <w:keepNext/>
              <w:jc w:val="center"/>
              <w:rPr>
                <w:rFonts w:ascii="Arial Narrow" w:hAnsi="Arial Narrow" w:cstheme="minorHAnsi"/>
                <w:sz w:val="20"/>
                <w:szCs w:val="20"/>
                <w:highlight w:val="yellow"/>
              </w:rPr>
            </w:pPr>
            <w:r w:rsidRPr="00940F72">
              <w:rPr>
                <w:rFonts w:ascii="Arial Narrow" w:hAnsi="Arial Narrow" w:cstheme="minorHAnsi"/>
                <w:color w:val="333333"/>
                <w:sz w:val="20"/>
                <w:szCs w:val="20"/>
              </w:rPr>
              <w:t>0.00</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11.08</w:t>
            </w:r>
          </w:p>
        </w:tc>
        <w:tc>
          <w:tcPr>
            <w:tcW w:w="915" w:type="pct"/>
          </w:tcPr>
          <w:p w:rsidR="000D6EED" w:rsidRPr="00940F72" w:rsidRDefault="000D6EED" w:rsidP="00533B2A">
            <w:pPr>
              <w:pStyle w:val="TableText0"/>
              <w:jc w:val="center"/>
              <w:rPr>
                <w:rFonts w:cstheme="minorHAnsi"/>
                <w:iCs/>
                <w:color w:val="333333"/>
                <w:szCs w:val="20"/>
              </w:rPr>
            </w:pPr>
            <w:r w:rsidRPr="00940F72">
              <w:rPr>
                <w:iCs/>
                <w:szCs w:val="20"/>
              </w:rPr>
              <w:t>-11.1</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color w:val="333333"/>
                <w:sz w:val="20"/>
                <w:szCs w:val="20"/>
              </w:rPr>
              <w:t>THROMBOCYTOPENIA (GROUP)</w:t>
            </w:r>
          </w:p>
        </w:tc>
        <w:tc>
          <w:tcPr>
            <w:tcW w:w="944"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NA</w:t>
            </w:r>
          </w:p>
        </w:tc>
        <w:tc>
          <w:tcPr>
            <w:tcW w:w="915" w:type="pct"/>
          </w:tcPr>
          <w:p w:rsidR="000D6EED" w:rsidRPr="00940F72" w:rsidRDefault="000D6EED" w:rsidP="00533B2A">
            <w:pPr>
              <w:pStyle w:val="TableText0"/>
              <w:jc w:val="center"/>
              <w:rPr>
                <w:rFonts w:cstheme="minorHAnsi"/>
                <w:iCs/>
                <w:color w:val="333333"/>
                <w:szCs w:val="20"/>
              </w:rPr>
            </w:pPr>
            <w:r w:rsidRPr="00940F72">
              <w:rPr>
                <w:iCs/>
                <w:szCs w:val="20"/>
              </w:rPr>
              <w:t>NA</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b/>
                <w:bCs/>
                <w:color w:val="333333"/>
                <w:sz w:val="20"/>
                <w:szCs w:val="20"/>
              </w:rPr>
              <w:t>ABDOMINAL PAIN</w:t>
            </w:r>
          </w:p>
        </w:tc>
        <w:tc>
          <w:tcPr>
            <w:tcW w:w="944"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b/>
                <w:color w:val="333333"/>
                <w:sz w:val="20"/>
                <w:szCs w:val="20"/>
              </w:rPr>
              <w:t>9.02</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b/>
                <w:color w:val="333333"/>
                <w:sz w:val="20"/>
                <w:szCs w:val="20"/>
              </w:rPr>
              <w:t>24.19</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b/>
                <w:color w:val="333333"/>
                <w:sz w:val="20"/>
                <w:szCs w:val="20"/>
              </w:rPr>
              <w:t>3.51</w:t>
            </w:r>
          </w:p>
        </w:tc>
        <w:tc>
          <w:tcPr>
            <w:tcW w:w="915" w:type="pct"/>
          </w:tcPr>
          <w:p w:rsidR="000D6EED" w:rsidRPr="00940F72" w:rsidRDefault="000D6EED" w:rsidP="00533B2A">
            <w:pPr>
              <w:pStyle w:val="TableText0"/>
              <w:jc w:val="center"/>
              <w:rPr>
                <w:rFonts w:cstheme="minorHAnsi"/>
                <w:b/>
                <w:iCs/>
                <w:color w:val="333333"/>
                <w:szCs w:val="20"/>
              </w:rPr>
            </w:pPr>
            <w:r w:rsidRPr="00940F72">
              <w:rPr>
                <w:iCs/>
                <w:szCs w:val="20"/>
              </w:rPr>
              <w:t>20.7</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color w:val="333333"/>
                <w:sz w:val="20"/>
                <w:szCs w:val="20"/>
              </w:rPr>
              <w:t>ANAEMIA</w:t>
            </w:r>
          </w:p>
        </w:tc>
        <w:tc>
          <w:tcPr>
            <w:tcW w:w="944"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8.11</w:t>
            </w:r>
          </w:p>
        </w:tc>
        <w:tc>
          <w:tcPr>
            <w:tcW w:w="915" w:type="pct"/>
          </w:tcPr>
          <w:p w:rsidR="000D6EED" w:rsidRPr="00940F72" w:rsidRDefault="000D6EED" w:rsidP="00533B2A">
            <w:pPr>
              <w:pStyle w:val="TableText0"/>
              <w:jc w:val="center"/>
              <w:rPr>
                <w:rFonts w:cstheme="minorHAnsi"/>
                <w:iCs/>
                <w:color w:val="333333"/>
                <w:szCs w:val="20"/>
              </w:rPr>
            </w:pPr>
            <w:r w:rsidRPr="00940F72">
              <w:rPr>
                <w:iCs/>
                <w:szCs w:val="20"/>
              </w:rPr>
              <w:t>-8.1</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color w:val="333333"/>
                <w:sz w:val="20"/>
                <w:szCs w:val="20"/>
              </w:rPr>
              <w:t>ARTHRALGIA</w:t>
            </w:r>
          </w:p>
        </w:tc>
        <w:tc>
          <w:tcPr>
            <w:tcW w:w="944"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0.54</w:t>
            </w:r>
          </w:p>
        </w:tc>
        <w:tc>
          <w:tcPr>
            <w:tcW w:w="915" w:type="pct"/>
          </w:tcPr>
          <w:p w:rsidR="000D6EED" w:rsidRPr="00940F72" w:rsidRDefault="000D6EED" w:rsidP="00533B2A">
            <w:pPr>
              <w:pStyle w:val="TableText0"/>
              <w:jc w:val="center"/>
              <w:rPr>
                <w:rFonts w:cstheme="minorHAnsi"/>
                <w:iCs/>
                <w:color w:val="333333"/>
                <w:szCs w:val="20"/>
              </w:rPr>
            </w:pPr>
            <w:r w:rsidRPr="00940F72">
              <w:rPr>
                <w:iCs/>
                <w:szCs w:val="20"/>
              </w:rPr>
              <w:t>-0.5</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color w:val="333333"/>
                <w:sz w:val="20"/>
                <w:szCs w:val="20"/>
              </w:rPr>
              <w:t>BACK PAIN</w:t>
            </w:r>
          </w:p>
        </w:tc>
        <w:tc>
          <w:tcPr>
            <w:tcW w:w="944"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1.62</w:t>
            </w:r>
          </w:p>
        </w:tc>
        <w:tc>
          <w:tcPr>
            <w:tcW w:w="915" w:type="pct"/>
          </w:tcPr>
          <w:p w:rsidR="000D6EED" w:rsidRPr="00940F72" w:rsidRDefault="000D6EED" w:rsidP="00533B2A">
            <w:pPr>
              <w:pStyle w:val="TableText0"/>
              <w:jc w:val="center"/>
              <w:rPr>
                <w:rFonts w:cstheme="minorHAnsi"/>
                <w:iCs/>
                <w:color w:val="333333"/>
                <w:szCs w:val="20"/>
              </w:rPr>
            </w:pPr>
            <w:r w:rsidRPr="00940F72">
              <w:rPr>
                <w:iCs/>
                <w:szCs w:val="20"/>
              </w:rPr>
              <w:t>-1.6</w:t>
            </w:r>
          </w:p>
        </w:tc>
      </w:tr>
      <w:tr w:rsidR="000D6EED" w:rsidRPr="00940F72" w:rsidTr="002C6785">
        <w:tc>
          <w:tcPr>
            <w:tcW w:w="1569" w:type="pct"/>
          </w:tcPr>
          <w:p w:rsidR="000D6EED" w:rsidRPr="00940F72" w:rsidRDefault="000D6EED" w:rsidP="00533B2A">
            <w:pPr>
              <w:keepNext/>
              <w:rPr>
                <w:rFonts w:ascii="Arial Narrow" w:hAnsi="Arial Narrow" w:cstheme="minorHAnsi"/>
                <w:sz w:val="20"/>
                <w:szCs w:val="20"/>
              </w:rPr>
            </w:pPr>
            <w:r w:rsidRPr="00940F72">
              <w:rPr>
                <w:rFonts w:ascii="Arial Narrow" w:hAnsi="Arial Narrow" w:cstheme="minorHAnsi"/>
                <w:color w:val="333333"/>
                <w:sz w:val="20"/>
                <w:szCs w:val="20"/>
              </w:rPr>
              <w:t>CONSTIPATION</w:t>
            </w:r>
          </w:p>
        </w:tc>
        <w:tc>
          <w:tcPr>
            <w:tcW w:w="944"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533B2A">
            <w:pPr>
              <w:keepNext/>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15" w:type="pct"/>
          </w:tcPr>
          <w:p w:rsidR="000D6EED" w:rsidRPr="00940F72" w:rsidRDefault="000D6EED" w:rsidP="00533B2A">
            <w:pPr>
              <w:pStyle w:val="TableText0"/>
              <w:jc w:val="center"/>
              <w:rPr>
                <w:rFonts w:cstheme="minorHAnsi"/>
                <w:iCs/>
                <w:color w:val="333333"/>
                <w:szCs w:val="20"/>
              </w:rPr>
            </w:pPr>
            <w:r w:rsidRPr="00940F72">
              <w:rPr>
                <w:iCs/>
                <w:szCs w:val="20"/>
              </w:rPr>
              <w:t>0.0</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b/>
                <w:bCs/>
                <w:color w:val="333333"/>
                <w:sz w:val="20"/>
                <w:szCs w:val="20"/>
              </w:rPr>
              <w:t>CONTUSION</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0.82</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3.38</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0.00</w:t>
            </w:r>
          </w:p>
        </w:tc>
        <w:tc>
          <w:tcPr>
            <w:tcW w:w="915" w:type="pct"/>
          </w:tcPr>
          <w:p w:rsidR="000D6EED" w:rsidRPr="00940F72" w:rsidRDefault="000D6EED" w:rsidP="002C6785">
            <w:pPr>
              <w:pStyle w:val="TableText0"/>
              <w:jc w:val="center"/>
              <w:rPr>
                <w:rFonts w:cstheme="minorHAnsi"/>
                <w:b/>
                <w:iCs/>
                <w:color w:val="333333"/>
                <w:szCs w:val="20"/>
              </w:rPr>
            </w:pPr>
            <w:r w:rsidRPr="00940F72">
              <w:rPr>
                <w:iCs/>
                <w:szCs w:val="20"/>
              </w:rPr>
              <w:t>3.4</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color w:val="333333"/>
                <w:sz w:val="20"/>
                <w:szCs w:val="20"/>
              </w:rPr>
              <w:t>COUGH</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0.0</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color w:val="333333"/>
                <w:sz w:val="20"/>
                <w:szCs w:val="20"/>
              </w:rPr>
              <w:t>DECREASED APPETITE</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0.81</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-0.8</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color w:val="333333"/>
                <w:sz w:val="20"/>
                <w:szCs w:val="20"/>
              </w:rPr>
              <w:t>DIARRHOEA</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0.82</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0.13</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3.51</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-3.4</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color w:val="333333"/>
                <w:sz w:val="20"/>
                <w:szCs w:val="20"/>
              </w:rPr>
              <w:t>DYSPNOEA</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color w:val="333333"/>
                <w:sz w:val="20"/>
                <w:szCs w:val="20"/>
              </w:rPr>
              <w:t>3.24</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-3.2</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b/>
                <w:bCs/>
                <w:color w:val="333333"/>
                <w:sz w:val="20"/>
                <w:szCs w:val="20"/>
              </w:rPr>
              <w:t>FATIGUE</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3.28</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6.17</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4.32</w:t>
            </w:r>
          </w:p>
        </w:tc>
        <w:tc>
          <w:tcPr>
            <w:tcW w:w="915" w:type="pct"/>
          </w:tcPr>
          <w:p w:rsidR="000D6EED" w:rsidRPr="00940F72" w:rsidRDefault="000D6EED" w:rsidP="002C6785">
            <w:pPr>
              <w:pStyle w:val="TableText0"/>
              <w:jc w:val="center"/>
              <w:rPr>
                <w:rFonts w:cstheme="minorHAnsi"/>
                <w:b/>
                <w:iCs/>
                <w:color w:val="333333"/>
                <w:szCs w:val="20"/>
              </w:rPr>
            </w:pPr>
            <w:r w:rsidRPr="00940F72">
              <w:rPr>
                <w:iCs/>
                <w:szCs w:val="20"/>
              </w:rPr>
              <w:t>1.9</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b/>
                <w:bCs/>
                <w:color w:val="333333"/>
                <w:sz w:val="20"/>
                <w:szCs w:val="20"/>
              </w:rPr>
              <w:t>HEADACHE</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1.64</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0.28</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0.00</w:t>
            </w:r>
          </w:p>
        </w:tc>
        <w:tc>
          <w:tcPr>
            <w:tcW w:w="915" w:type="pct"/>
          </w:tcPr>
          <w:p w:rsidR="000D6EED" w:rsidRPr="00940F72" w:rsidRDefault="000D6EED" w:rsidP="002C6785">
            <w:pPr>
              <w:pStyle w:val="TableText0"/>
              <w:jc w:val="center"/>
              <w:rPr>
                <w:rFonts w:cstheme="minorHAnsi"/>
                <w:b/>
                <w:iCs/>
                <w:color w:val="333333"/>
                <w:szCs w:val="20"/>
              </w:rPr>
            </w:pPr>
            <w:r w:rsidRPr="00940F72">
              <w:rPr>
                <w:iCs/>
                <w:szCs w:val="20"/>
              </w:rPr>
              <w:t>0.3</w:t>
            </w:r>
          </w:p>
        </w:tc>
      </w:tr>
      <w:tr w:rsidR="000D6EED" w:rsidRPr="00940F72" w:rsidTr="002C6785">
        <w:tc>
          <w:tcPr>
            <w:tcW w:w="1569" w:type="pct"/>
          </w:tcPr>
          <w:p w:rsidR="000D6EED" w:rsidRPr="00940F72" w:rsidRDefault="000D6EED" w:rsidP="002C6785">
            <w:pPr>
              <w:rPr>
                <w:rFonts w:ascii="Arial Narrow" w:hAnsi="Arial Narrow" w:cstheme="minorHAnsi"/>
                <w:b/>
                <w:bCs/>
                <w:sz w:val="20"/>
                <w:szCs w:val="20"/>
              </w:rPr>
            </w:pPr>
            <w:r w:rsidRPr="00940F72">
              <w:rPr>
                <w:rFonts w:ascii="Arial Narrow" w:hAnsi="Arial Narrow" w:cstheme="minorHAnsi"/>
                <w:color w:val="333333"/>
                <w:sz w:val="20"/>
                <w:szCs w:val="20"/>
              </w:rPr>
              <w:t>HEADACHE (GROUP)</w:t>
            </w:r>
          </w:p>
        </w:tc>
        <w:tc>
          <w:tcPr>
            <w:tcW w:w="944" w:type="pct"/>
          </w:tcPr>
          <w:p w:rsidR="000D6EED" w:rsidRPr="00940F72" w:rsidRDefault="000D6EED" w:rsidP="002C6785">
            <w:pPr>
              <w:jc w:val="center"/>
              <w:rPr>
                <w:rFonts w:ascii="Arial Narrow" w:hAnsi="Arial Narrow" w:cstheme="minorHAnsi"/>
                <w:b/>
                <w:sz w:val="20"/>
                <w:szCs w:val="20"/>
              </w:rPr>
            </w:pPr>
            <w:r w:rsidRPr="00940F72">
              <w:rPr>
                <w:rFonts w:ascii="Arial Narrow" w:hAnsi="Arial Narrow" w:cstheme="minorHAnsi"/>
                <w:color w:val="333333"/>
                <w:sz w:val="20"/>
                <w:szCs w:val="20"/>
              </w:rPr>
              <w:t>4.10</w:t>
            </w:r>
          </w:p>
        </w:tc>
        <w:tc>
          <w:tcPr>
            <w:tcW w:w="943" w:type="pct"/>
          </w:tcPr>
          <w:p w:rsidR="000D6EED" w:rsidRPr="00940F72" w:rsidRDefault="000D6EED" w:rsidP="002C6785">
            <w:pPr>
              <w:jc w:val="center"/>
              <w:rPr>
                <w:rFonts w:ascii="Arial Narrow" w:hAnsi="Arial Narrow" w:cstheme="minorHAnsi"/>
                <w:b/>
                <w:sz w:val="20"/>
                <w:szCs w:val="20"/>
              </w:rPr>
            </w:pPr>
            <w:r w:rsidRPr="00940F72">
              <w:rPr>
                <w:rFonts w:ascii="Arial Narrow" w:hAnsi="Arial Narrow" w:cstheme="minorHAnsi"/>
                <w:color w:val="333333"/>
                <w:sz w:val="20"/>
                <w:szCs w:val="20"/>
              </w:rPr>
              <w:t>1.73</w:t>
            </w:r>
          </w:p>
        </w:tc>
        <w:tc>
          <w:tcPr>
            <w:tcW w:w="629" w:type="pct"/>
          </w:tcPr>
          <w:p w:rsidR="000D6EED" w:rsidRPr="00940F72" w:rsidRDefault="000D6EED" w:rsidP="002C6785">
            <w:pPr>
              <w:jc w:val="center"/>
              <w:rPr>
                <w:rFonts w:ascii="Arial Narrow" w:hAnsi="Arial Narrow" w:cstheme="minorHAnsi"/>
                <w:b/>
                <w:sz w:val="20"/>
                <w:szCs w:val="20"/>
              </w:rPr>
            </w:pPr>
            <w:r w:rsidRPr="00940F72">
              <w:rPr>
                <w:rFonts w:ascii="Arial Narrow" w:hAnsi="Arial Narrow" w:cstheme="minorHAnsi"/>
                <w:color w:val="333333"/>
                <w:sz w:val="20"/>
                <w:szCs w:val="20"/>
              </w:rPr>
              <w:t>NA</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NA</w:t>
            </w:r>
          </w:p>
        </w:tc>
      </w:tr>
      <w:tr w:rsidR="000D6EED" w:rsidRPr="00940F72" w:rsidTr="002C6785">
        <w:tc>
          <w:tcPr>
            <w:tcW w:w="1569" w:type="pct"/>
          </w:tcPr>
          <w:p w:rsidR="000D6EED" w:rsidRPr="00940F72" w:rsidRDefault="000D6EED" w:rsidP="002C6785">
            <w:pPr>
              <w:rPr>
                <w:rFonts w:ascii="Arial Narrow" w:hAnsi="Arial Narrow" w:cstheme="minorHAnsi"/>
                <w:sz w:val="20"/>
                <w:szCs w:val="20"/>
              </w:rPr>
            </w:pPr>
            <w:r w:rsidRPr="00940F72">
              <w:rPr>
                <w:rFonts w:ascii="Arial Narrow" w:hAnsi="Arial Narrow" w:cstheme="minorHAnsi"/>
                <w:b/>
                <w:bCs/>
                <w:color w:val="333333"/>
                <w:sz w:val="20"/>
                <w:szCs w:val="20"/>
              </w:rPr>
              <w:t>MUSCLE SPASMS</w:t>
            </w:r>
          </w:p>
        </w:tc>
        <w:tc>
          <w:tcPr>
            <w:tcW w:w="944"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0.82</w:t>
            </w:r>
          </w:p>
        </w:tc>
        <w:tc>
          <w:tcPr>
            <w:tcW w:w="943"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0.16</w:t>
            </w:r>
          </w:p>
        </w:tc>
        <w:tc>
          <w:tcPr>
            <w:tcW w:w="629" w:type="pct"/>
          </w:tcPr>
          <w:p w:rsidR="000D6EED" w:rsidRPr="00940F72" w:rsidRDefault="000D6EED" w:rsidP="002C6785">
            <w:pPr>
              <w:jc w:val="center"/>
              <w:rPr>
                <w:rFonts w:ascii="Arial Narrow" w:hAnsi="Arial Narrow" w:cstheme="minorHAnsi"/>
                <w:sz w:val="20"/>
                <w:szCs w:val="20"/>
              </w:rPr>
            </w:pPr>
            <w:r w:rsidRPr="00940F72">
              <w:rPr>
                <w:rFonts w:ascii="Arial Narrow" w:hAnsi="Arial Narrow" w:cstheme="minorHAnsi"/>
                <w:b/>
                <w:color w:val="333333"/>
                <w:sz w:val="20"/>
                <w:szCs w:val="20"/>
              </w:rPr>
              <w:t>0.00</w:t>
            </w:r>
          </w:p>
        </w:tc>
        <w:tc>
          <w:tcPr>
            <w:tcW w:w="915" w:type="pct"/>
          </w:tcPr>
          <w:p w:rsidR="000D6EED" w:rsidRPr="00940F72" w:rsidRDefault="000D6EED" w:rsidP="002C6785">
            <w:pPr>
              <w:pStyle w:val="TableText0"/>
              <w:jc w:val="center"/>
              <w:rPr>
                <w:rFonts w:cstheme="minorHAnsi"/>
                <w:b/>
                <w:iCs/>
                <w:color w:val="333333"/>
                <w:szCs w:val="20"/>
              </w:rPr>
            </w:pPr>
            <w:r w:rsidRPr="00940F72">
              <w:rPr>
                <w:iCs/>
                <w:szCs w:val="20"/>
              </w:rPr>
              <w:t>0.2</w:t>
            </w:r>
          </w:p>
        </w:tc>
      </w:tr>
      <w:tr w:rsidR="000D6EED" w:rsidRPr="00940F72" w:rsidTr="002C6785">
        <w:tc>
          <w:tcPr>
            <w:tcW w:w="1569" w:type="pct"/>
          </w:tcPr>
          <w:p w:rsidR="000D6EED" w:rsidRPr="00940F72" w:rsidRDefault="000D6EED" w:rsidP="002C6785">
            <w:pPr>
              <w:rPr>
                <w:rFonts w:ascii="Arial Narrow" w:hAnsi="Arial Narrow" w:cstheme="minorHAnsi"/>
                <w:b/>
                <w:bCs/>
                <w:color w:val="333333"/>
                <w:sz w:val="20"/>
                <w:szCs w:val="20"/>
              </w:rPr>
            </w:pPr>
            <w:r w:rsidRPr="00940F72">
              <w:rPr>
                <w:rFonts w:ascii="Arial Narrow" w:hAnsi="Arial Narrow" w:cstheme="minorHAnsi"/>
                <w:color w:val="333333"/>
                <w:sz w:val="20"/>
                <w:szCs w:val="20"/>
              </w:rPr>
              <w:t>NAUSEA</w:t>
            </w:r>
          </w:p>
        </w:tc>
        <w:tc>
          <w:tcPr>
            <w:tcW w:w="944"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0.27</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-0.3</w:t>
            </w:r>
          </w:p>
        </w:tc>
      </w:tr>
      <w:tr w:rsidR="000D6EED" w:rsidRPr="00940F72" w:rsidTr="002C6785">
        <w:tc>
          <w:tcPr>
            <w:tcW w:w="1569" w:type="pct"/>
          </w:tcPr>
          <w:p w:rsidR="000D6EED" w:rsidRPr="00940F72" w:rsidRDefault="000D6EED" w:rsidP="002C6785">
            <w:pPr>
              <w:rPr>
                <w:rFonts w:ascii="Arial Narrow" w:hAnsi="Arial Narrow" w:cstheme="minorHAnsi"/>
                <w:b/>
                <w:bCs/>
                <w:color w:val="333333"/>
                <w:sz w:val="20"/>
                <w:szCs w:val="20"/>
              </w:rPr>
            </w:pPr>
            <w:r w:rsidRPr="00940F72">
              <w:rPr>
                <w:rFonts w:ascii="Arial Narrow" w:hAnsi="Arial Narrow" w:cstheme="minorHAnsi"/>
                <w:color w:val="333333"/>
                <w:sz w:val="20"/>
                <w:szCs w:val="20"/>
              </w:rPr>
              <w:t>NAUSEA (GROUP)</w:t>
            </w:r>
          </w:p>
        </w:tc>
        <w:tc>
          <w:tcPr>
            <w:tcW w:w="944"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0.82</w:t>
            </w:r>
          </w:p>
        </w:tc>
        <w:tc>
          <w:tcPr>
            <w:tcW w:w="943"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0.31</w:t>
            </w:r>
          </w:p>
        </w:tc>
        <w:tc>
          <w:tcPr>
            <w:tcW w:w="629"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NA</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NA</w:t>
            </w:r>
          </w:p>
        </w:tc>
      </w:tr>
      <w:tr w:rsidR="000D6EED" w:rsidRPr="00940F72" w:rsidTr="002C6785">
        <w:tc>
          <w:tcPr>
            <w:tcW w:w="1569" w:type="pct"/>
          </w:tcPr>
          <w:p w:rsidR="000D6EED" w:rsidRPr="00940F72" w:rsidRDefault="000D6EED" w:rsidP="002C6785">
            <w:pPr>
              <w:rPr>
                <w:rFonts w:ascii="Arial Narrow" w:hAnsi="Arial Narrow" w:cstheme="minorHAnsi"/>
                <w:b/>
                <w:bCs/>
                <w:color w:val="333333"/>
                <w:sz w:val="20"/>
                <w:szCs w:val="20"/>
              </w:rPr>
            </w:pPr>
            <w:r w:rsidRPr="00940F72">
              <w:rPr>
                <w:rFonts w:ascii="Arial Narrow" w:hAnsi="Arial Narrow" w:cstheme="minorHAnsi"/>
                <w:color w:val="333333"/>
                <w:sz w:val="20"/>
                <w:szCs w:val="20"/>
              </w:rPr>
              <w:t>NEUTROPENIA</w:t>
            </w:r>
          </w:p>
        </w:tc>
        <w:tc>
          <w:tcPr>
            <w:tcW w:w="944"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16.49</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-16.5</w:t>
            </w:r>
          </w:p>
        </w:tc>
      </w:tr>
      <w:tr w:rsidR="000D6EED" w:rsidRPr="00940F72" w:rsidTr="002C6785">
        <w:tc>
          <w:tcPr>
            <w:tcW w:w="1569" w:type="pct"/>
          </w:tcPr>
          <w:p w:rsidR="000D6EED" w:rsidRPr="00940F72" w:rsidRDefault="000D6EED" w:rsidP="002C6785">
            <w:pPr>
              <w:rPr>
                <w:rFonts w:ascii="Arial Narrow" w:hAnsi="Arial Narrow" w:cstheme="minorHAnsi"/>
                <w:b/>
                <w:bCs/>
                <w:color w:val="333333"/>
                <w:sz w:val="20"/>
                <w:szCs w:val="20"/>
              </w:rPr>
            </w:pPr>
            <w:r w:rsidRPr="00940F72">
              <w:rPr>
                <w:rFonts w:ascii="Arial Narrow" w:hAnsi="Arial Narrow" w:cstheme="minorHAnsi"/>
                <w:b/>
                <w:bCs/>
                <w:color w:val="333333"/>
                <w:sz w:val="20"/>
                <w:szCs w:val="20"/>
              </w:rPr>
              <w:t>PERIPHERAL OEDEMA</w:t>
            </w:r>
          </w:p>
        </w:tc>
        <w:tc>
          <w:tcPr>
            <w:tcW w:w="944"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b/>
                <w:color w:val="333333"/>
                <w:sz w:val="20"/>
                <w:szCs w:val="20"/>
              </w:rPr>
              <w:t>1.64</w:t>
            </w:r>
          </w:p>
        </w:tc>
        <w:tc>
          <w:tcPr>
            <w:tcW w:w="943"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b/>
                <w:color w:val="333333"/>
                <w:sz w:val="20"/>
                <w:szCs w:val="20"/>
              </w:rPr>
              <w:t>4.88</w:t>
            </w:r>
          </w:p>
        </w:tc>
        <w:tc>
          <w:tcPr>
            <w:tcW w:w="629"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b/>
                <w:color w:val="333333"/>
                <w:sz w:val="20"/>
                <w:szCs w:val="20"/>
              </w:rPr>
              <w:t>1.62</w:t>
            </w:r>
          </w:p>
        </w:tc>
        <w:tc>
          <w:tcPr>
            <w:tcW w:w="915" w:type="pct"/>
          </w:tcPr>
          <w:p w:rsidR="000D6EED" w:rsidRPr="00940F72" w:rsidRDefault="000D6EED" w:rsidP="002C6785">
            <w:pPr>
              <w:pStyle w:val="TableText0"/>
              <w:jc w:val="center"/>
              <w:rPr>
                <w:rFonts w:cstheme="minorHAnsi"/>
                <w:b/>
                <w:iCs/>
                <w:color w:val="333333"/>
                <w:szCs w:val="20"/>
              </w:rPr>
            </w:pPr>
            <w:r w:rsidRPr="00940F72">
              <w:rPr>
                <w:iCs/>
                <w:szCs w:val="20"/>
              </w:rPr>
              <w:t>3.3</w:t>
            </w:r>
          </w:p>
        </w:tc>
      </w:tr>
      <w:tr w:rsidR="000D6EED" w:rsidRPr="00940F72" w:rsidTr="002C6785">
        <w:tc>
          <w:tcPr>
            <w:tcW w:w="1569" w:type="pct"/>
          </w:tcPr>
          <w:p w:rsidR="000D6EED" w:rsidRPr="00940F72" w:rsidRDefault="000D6EED" w:rsidP="002C6785">
            <w:pPr>
              <w:rPr>
                <w:rFonts w:ascii="Arial Narrow" w:hAnsi="Arial Narrow" w:cstheme="minorHAnsi"/>
                <w:b/>
                <w:bCs/>
                <w:color w:val="333333"/>
                <w:sz w:val="20"/>
                <w:szCs w:val="20"/>
              </w:rPr>
            </w:pPr>
            <w:r w:rsidRPr="00940F72">
              <w:rPr>
                <w:rFonts w:ascii="Arial Narrow" w:hAnsi="Arial Narrow" w:cstheme="minorHAnsi"/>
                <w:color w:val="333333"/>
                <w:sz w:val="20"/>
                <w:szCs w:val="20"/>
              </w:rPr>
              <w:t>PNEUMONIA</w:t>
            </w:r>
          </w:p>
        </w:tc>
        <w:tc>
          <w:tcPr>
            <w:tcW w:w="944"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8.92</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-8.9</w:t>
            </w:r>
          </w:p>
        </w:tc>
      </w:tr>
      <w:tr w:rsidR="000D6EED" w:rsidRPr="00940F72" w:rsidTr="002C6785">
        <w:tc>
          <w:tcPr>
            <w:tcW w:w="1569" w:type="pct"/>
          </w:tcPr>
          <w:p w:rsidR="000D6EED" w:rsidRPr="00940F72" w:rsidRDefault="000D6EED" w:rsidP="002C6785">
            <w:pPr>
              <w:rPr>
                <w:rFonts w:ascii="Arial Narrow" w:hAnsi="Arial Narrow" w:cstheme="minorHAnsi"/>
                <w:b/>
                <w:bCs/>
                <w:color w:val="333333"/>
                <w:sz w:val="20"/>
                <w:szCs w:val="20"/>
              </w:rPr>
            </w:pPr>
            <w:r w:rsidRPr="00940F72">
              <w:rPr>
                <w:rFonts w:ascii="Arial Narrow" w:hAnsi="Arial Narrow" w:cstheme="minorHAnsi"/>
                <w:color w:val="333333"/>
                <w:sz w:val="20"/>
                <w:szCs w:val="20"/>
              </w:rPr>
              <w:t>PYREXIA</w:t>
            </w:r>
          </w:p>
        </w:tc>
        <w:tc>
          <w:tcPr>
            <w:tcW w:w="944"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943"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0.00</w:t>
            </w:r>
          </w:p>
        </w:tc>
        <w:tc>
          <w:tcPr>
            <w:tcW w:w="629" w:type="pct"/>
          </w:tcPr>
          <w:p w:rsidR="000D6EED" w:rsidRPr="00940F72" w:rsidRDefault="000D6EED" w:rsidP="002C6785">
            <w:pPr>
              <w:jc w:val="center"/>
              <w:rPr>
                <w:rFonts w:ascii="Arial Narrow" w:hAnsi="Arial Narrow" w:cstheme="minorHAnsi"/>
                <w:b/>
                <w:color w:val="333333"/>
                <w:sz w:val="20"/>
                <w:szCs w:val="20"/>
              </w:rPr>
            </w:pPr>
            <w:r w:rsidRPr="00940F72">
              <w:rPr>
                <w:rFonts w:ascii="Arial Narrow" w:hAnsi="Arial Narrow" w:cstheme="minorHAnsi"/>
                <w:color w:val="333333"/>
                <w:sz w:val="20"/>
                <w:szCs w:val="20"/>
              </w:rPr>
              <w:t>0.81</w:t>
            </w:r>
          </w:p>
        </w:tc>
        <w:tc>
          <w:tcPr>
            <w:tcW w:w="915" w:type="pct"/>
          </w:tcPr>
          <w:p w:rsidR="000D6EED" w:rsidRPr="00940F72" w:rsidRDefault="000D6EED" w:rsidP="002C6785">
            <w:pPr>
              <w:pStyle w:val="TableText0"/>
              <w:jc w:val="center"/>
              <w:rPr>
                <w:rFonts w:cstheme="minorHAnsi"/>
                <w:iCs/>
                <w:color w:val="333333"/>
                <w:szCs w:val="20"/>
              </w:rPr>
            </w:pPr>
            <w:r w:rsidRPr="00940F72">
              <w:rPr>
                <w:iCs/>
                <w:szCs w:val="20"/>
              </w:rPr>
              <w:t>-0.8</w:t>
            </w:r>
          </w:p>
        </w:tc>
      </w:tr>
    </w:tbl>
    <w:p w:rsidR="000D6EED" w:rsidRPr="00940F72" w:rsidRDefault="000D6EED" w:rsidP="000D6EED">
      <w:pPr>
        <w:pStyle w:val="3-BodyText"/>
        <w:numPr>
          <w:ilvl w:val="0"/>
          <w:numId w:val="0"/>
        </w:numPr>
        <w:rPr>
          <w:color w:val="0066FF"/>
        </w:rPr>
      </w:pPr>
      <w:r w:rsidRPr="00940F72">
        <w:rPr>
          <w:rStyle w:val="TableFigureFooterChar"/>
        </w:rPr>
        <w:t>Source: Table 2.54, p95 of the submission.</w:t>
      </w:r>
    </w:p>
    <w:p w:rsidR="00955300" w:rsidRPr="00940F72" w:rsidRDefault="00955300" w:rsidP="00955300">
      <w:pPr>
        <w:pStyle w:val="3-BodyText"/>
      </w:pPr>
      <w:r w:rsidRPr="00940F72">
        <w:rPr>
          <w:snapToGrid/>
        </w:rPr>
        <w:t xml:space="preserve">Out of the 22 </w:t>
      </w:r>
      <w:r w:rsidR="00984D66" w:rsidRPr="00940F72">
        <w:rPr>
          <w:snapToGrid/>
        </w:rPr>
        <w:t>AEs</w:t>
      </w:r>
      <w:r w:rsidRPr="00940F72">
        <w:rPr>
          <w:snapToGrid/>
        </w:rPr>
        <w:t xml:space="preserve"> ≥ Grade 3 groupings seen in the MAIC, 11 had </w:t>
      </w:r>
      <w:r w:rsidR="00FC7386" w:rsidRPr="00940F72">
        <w:rPr>
          <w:snapToGrid/>
        </w:rPr>
        <w:t xml:space="preserve">a </w:t>
      </w:r>
      <w:r w:rsidRPr="00940F72">
        <w:rPr>
          <w:snapToGrid/>
        </w:rPr>
        <w:t xml:space="preserve">higher frequency in the </w:t>
      </w:r>
      <w:r w:rsidR="006B095C" w:rsidRPr="00940F72">
        <w:rPr>
          <w:snapToGrid/>
        </w:rPr>
        <w:t>pooled</w:t>
      </w:r>
      <w:r w:rsidRPr="00940F72">
        <w:rPr>
          <w:snapToGrid/>
        </w:rPr>
        <w:t xml:space="preserve"> ibrutinib dataset compared with 6 in the zanubrutinib studies. </w:t>
      </w:r>
      <w:r w:rsidR="00252EA5" w:rsidRPr="00940F72">
        <w:rPr>
          <w:snapToGrid/>
        </w:rPr>
        <w:t>T</w:t>
      </w:r>
      <w:r w:rsidR="00FC7386" w:rsidRPr="00940F72">
        <w:rPr>
          <w:snapToGrid/>
        </w:rPr>
        <w:t xml:space="preserve">he </w:t>
      </w:r>
      <w:r w:rsidRPr="00940F72">
        <w:rPr>
          <w:snapToGrid/>
        </w:rPr>
        <w:t>incidence of thrombocytopenia, anaemia, neutropenia, and pneumonia w</w:t>
      </w:r>
      <w:r w:rsidR="00FC7386" w:rsidRPr="00940F72">
        <w:rPr>
          <w:snapToGrid/>
        </w:rPr>
        <w:t>as</w:t>
      </w:r>
      <w:r w:rsidRPr="00940F72">
        <w:rPr>
          <w:snapToGrid/>
        </w:rPr>
        <w:t xml:space="preserve"> higher in the </w:t>
      </w:r>
      <w:r w:rsidR="006B095C" w:rsidRPr="00940F72">
        <w:rPr>
          <w:snapToGrid/>
        </w:rPr>
        <w:t xml:space="preserve">pooled </w:t>
      </w:r>
      <w:r w:rsidRPr="00940F72">
        <w:rPr>
          <w:snapToGrid/>
        </w:rPr>
        <w:t>ibrutinib dataset. In contrast, the frequency of abdominal pain, contusion and peripheral oedema w</w:t>
      </w:r>
      <w:r w:rsidR="00FC7386" w:rsidRPr="00940F72">
        <w:rPr>
          <w:snapToGrid/>
        </w:rPr>
        <w:t>as</w:t>
      </w:r>
      <w:r w:rsidRPr="00940F72">
        <w:rPr>
          <w:snapToGrid/>
        </w:rPr>
        <w:t xml:space="preserve"> higher in the zanubrutinib group.</w:t>
      </w:r>
    </w:p>
    <w:p w:rsidR="00955300" w:rsidRPr="00940F72" w:rsidRDefault="00955300" w:rsidP="00A738C1">
      <w:pPr>
        <w:pStyle w:val="3-BodyText"/>
      </w:pPr>
      <w:r w:rsidRPr="00940F72">
        <w:rPr>
          <w:iCs/>
        </w:rPr>
        <w:t xml:space="preserve">The superior safety claim made was primarily based on the lower incidence of atrial fibrillation and hypertension in the zanubrutinib arm of </w:t>
      </w:r>
      <w:r w:rsidR="00FC7386" w:rsidRPr="00940F72">
        <w:rPr>
          <w:iCs/>
        </w:rPr>
        <w:t xml:space="preserve">the </w:t>
      </w:r>
      <w:r w:rsidRPr="00940F72">
        <w:rPr>
          <w:iCs/>
        </w:rPr>
        <w:t xml:space="preserve">ASPEN trial compared with the ibrutinib arm (Table </w:t>
      </w:r>
      <w:r w:rsidR="00DB27CB" w:rsidRPr="00940F72">
        <w:rPr>
          <w:iCs/>
        </w:rPr>
        <w:t>8</w:t>
      </w:r>
      <w:r w:rsidRPr="00940F72">
        <w:rPr>
          <w:iCs/>
        </w:rPr>
        <w:t xml:space="preserve">). However, these </w:t>
      </w:r>
      <w:r w:rsidR="00984D66" w:rsidRPr="00940F72">
        <w:rPr>
          <w:iCs/>
        </w:rPr>
        <w:t>AEs</w:t>
      </w:r>
      <w:r w:rsidRPr="00940F72">
        <w:rPr>
          <w:iCs/>
        </w:rPr>
        <w:t xml:space="preserve"> were not presented in the MAIC safety analysis. </w:t>
      </w:r>
    </w:p>
    <w:p w:rsidR="00955300" w:rsidRPr="00940F72" w:rsidRDefault="00A738C1" w:rsidP="00955300">
      <w:pPr>
        <w:pStyle w:val="3-BodyText"/>
      </w:pPr>
      <w:r w:rsidRPr="00940F72">
        <w:rPr>
          <w:iCs/>
        </w:rPr>
        <w:t xml:space="preserve">The evaluation considered that </w:t>
      </w:r>
      <w:r w:rsidR="00955300" w:rsidRPr="00940F72">
        <w:rPr>
          <w:iCs/>
        </w:rPr>
        <w:t xml:space="preserve">inadequate justification for the use of the MAIC methodology for </w:t>
      </w:r>
      <w:r w:rsidR="00984D66" w:rsidRPr="00940F72">
        <w:rPr>
          <w:iCs/>
        </w:rPr>
        <w:t>AEs</w:t>
      </w:r>
      <w:r w:rsidR="00955300" w:rsidRPr="00940F72">
        <w:rPr>
          <w:iCs/>
        </w:rPr>
        <w:t>, and the small effective sample size for the zanubrutinib arm increase the uncertainty in the MAIC findings</w:t>
      </w:r>
      <w:r w:rsidR="00FA1752" w:rsidRPr="00940F72">
        <w:rPr>
          <w:iCs/>
        </w:rPr>
        <w:t xml:space="preserve"> with respect to safety</w:t>
      </w:r>
      <w:r w:rsidR="00955300" w:rsidRPr="00940F72">
        <w:t>.</w:t>
      </w:r>
    </w:p>
    <w:p w:rsidR="00955300" w:rsidRPr="00940F72" w:rsidRDefault="00955300" w:rsidP="00955300">
      <w:pPr>
        <w:pStyle w:val="4-SubsectionHeading"/>
      </w:pPr>
      <w:bookmarkStart w:id="49" w:name="_Toc22897643"/>
      <w:bookmarkStart w:id="50" w:name="_Toc22898855"/>
      <w:bookmarkStart w:id="51" w:name="_Toc72318707"/>
      <w:r w:rsidRPr="00940F72">
        <w:t>Benefits/harms</w:t>
      </w:r>
      <w:bookmarkEnd w:id="49"/>
      <w:bookmarkEnd w:id="50"/>
      <w:bookmarkEnd w:id="51"/>
    </w:p>
    <w:p w:rsidR="00955300" w:rsidRPr="00940F72" w:rsidRDefault="00955300" w:rsidP="00955300">
      <w:pPr>
        <w:pStyle w:val="3-BodyText"/>
      </w:pPr>
      <w:r w:rsidRPr="00940F72">
        <w:t xml:space="preserve">A summary of the comparative harms for zanubrutinib versus ibrutinib from the ASPEN trial is presented in Table </w:t>
      </w:r>
      <w:r w:rsidR="00DB27CB" w:rsidRPr="00940F72">
        <w:t>1</w:t>
      </w:r>
      <w:r w:rsidR="00053418" w:rsidRPr="00940F72">
        <w:t>0</w:t>
      </w:r>
      <w:r w:rsidRPr="00940F72">
        <w:t xml:space="preserve">. </w:t>
      </w:r>
    </w:p>
    <w:p w:rsidR="00955300" w:rsidRPr="00940F72" w:rsidRDefault="00955300" w:rsidP="00955300">
      <w:pPr>
        <w:pStyle w:val="TableFigureHeading"/>
      </w:pPr>
      <w:r w:rsidRPr="00940F72">
        <w:t xml:space="preserve">Table </w:t>
      </w:r>
      <w:r w:rsidR="00DB27CB" w:rsidRPr="00940F72">
        <w:t>1</w:t>
      </w:r>
      <w:r w:rsidR="00053418" w:rsidRPr="00940F72">
        <w:t>0</w:t>
      </w:r>
      <w:r w:rsidRPr="00940F72">
        <w:t>: Summary of comparative harms for zanubrutinib and ibrutinib in the ASPEN trial</w:t>
      </w:r>
    </w:p>
    <w:tbl>
      <w:tblPr>
        <w:tblW w:w="5000" w:type="pct"/>
        <w:tblCellMar>
          <w:left w:w="28" w:type="dxa"/>
          <w:right w:w="28" w:type="dxa"/>
        </w:tblCellMar>
        <w:tblLook w:val="04A0" w:firstRow="1" w:lastRow="0" w:firstColumn="1" w:lastColumn="0" w:noHBand="0" w:noVBand="1"/>
      </w:tblPr>
      <w:tblGrid>
        <w:gridCol w:w="1331"/>
        <w:gridCol w:w="1414"/>
        <w:gridCol w:w="1416"/>
        <w:gridCol w:w="1738"/>
        <w:gridCol w:w="1643"/>
        <w:gridCol w:w="1475"/>
      </w:tblGrid>
      <w:tr w:rsidR="00955300" w:rsidRPr="00940F72" w:rsidTr="00E83D45">
        <w:trPr>
          <w:trHeight w:val="70"/>
        </w:trPr>
        <w:tc>
          <w:tcPr>
            <w:tcW w:w="738" w:type="pct"/>
            <w:tcBorders>
              <w:top w:val="single" w:sz="4" w:space="0" w:color="auto"/>
              <w:left w:val="single" w:sz="4" w:space="0" w:color="auto"/>
              <w:bottom w:val="single" w:sz="4" w:space="0" w:color="auto"/>
            </w:tcBorders>
            <w:shd w:val="clear" w:color="auto" w:fill="auto"/>
            <w:vAlign w:val="center"/>
          </w:tcPr>
          <w:p w:rsidR="00955300" w:rsidRPr="00940F72" w:rsidRDefault="00955300" w:rsidP="00E83D45">
            <w:pPr>
              <w:pStyle w:val="In-tableHeading"/>
              <w:rPr>
                <w:lang w:val="en-AU"/>
              </w:rPr>
            </w:pPr>
            <w:r w:rsidRPr="00940F72">
              <w:rPr>
                <w:lang w:val="en-AU"/>
              </w:rPr>
              <w:t>Harms</w:t>
            </w:r>
          </w:p>
        </w:tc>
        <w:tc>
          <w:tcPr>
            <w:tcW w:w="784" w:type="pct"/>
            <w:tcBorders>
              <w:top w:val="single" w:sz="4" w:space="0" w:color="auto"/>
              <w:left w:val="nil"/>
              <w:bottom w:val="single" w:sz="4" w:space="0" w:color="auto"/>
            </w:tcBorders>
            <w:vAlign w:val="center"/>
          </w:tcPr>
          <w:p w:rsidR="00955300" w:rsidRPr="00940F72" w:rsidRDefault="00955300" w:rsidP="00E83D45">
            <w:pPr>
              <w:pStyle w:val="In-tableHeading"/>
              <w:jc w:val="center"/>
              <w:rPr>
                <w:lang w:val="en-AU"/>
              </w:rPr>
            </w:pPr>
          </w:p>
        </w:tc>
        <w:tc>
          <w:tcPr>
            <w:tcW w:w="785" w:type="pct"/>
            <w:tcBorders>
              <w:top w:val="single" w:sz="4" w:space="0" w:color="auto"/>
              <w:left w:val="nil"/>
              <w:bottom w:val="single" w:sz="4" w:space="0" w:color="auto"/>
            </w:tcBorders>
            <w:vAlign w:val="center"/>
          </w:tcPr>
          <w:p w:rsidR="00955300" w:rsidRPr="00940F72" w:rsidRDefault="00955300" w:rsidP="00E83D45">
            <w:pPr>
              <w:pStyle w:val="In-tableHeading"/>
              <w:jc w:val="center"/>
              <w:rPr>
                <w:lang w:val="en-AU"/>
              </w:rPr>
            </w:pPr>
          </w:p>
        </w:tc>
        <w:tc>
          <w:tcPr>
            <w:tcW w:w="1875" w:type="pct"/>
            <w:gridSpan w:val="2"/>
            <w:tcBorders>
              <w:top w:val="single" w:sz="4" w:space="0" w:color="auto"/>
              <w:left w:val="nil"/>
              <w:bottom w:val="single" w:sz="4" w:space="0" w:color="auto"/>
            </w:tcBorders>
            <w:vAlign w:val="center"/>
          </w:tcPr>
          <w:p w:rsidR="00955300" w:rsidRPr="00940F72" w:rsidRDefault="00955300" w:rsidP="00E83D45">
            <w:pPr>
              <w:pStyle w:val="In-tableHeading"/>
              <w:jc w:val="center"/>
              <w:rPr>
                <w:lang w:val="en-AU"/>
              </w:rPr>
            </w:pPr>
          </w:p>
        </w:tc>
        <w:tc>
          <w:tcPr>
            <w:tcW w:w="818" w:type="pct"/>
            <w:tcBorders>
              <w:top w:val="single" w:sz="4" w:space="0" w:color="auto"/>
              <w:left w:val="nil"/>
              <w:bottom w:val="single" w:sz="4" w:space="0" w:color="auto"/>
              <w:right w:val="single" w:sz="4" w:space="0" w:color="auto"/>
            </w:tcBorders>
            <w:vAlign w:val="center"/>
          </w:tcPr>
          <w:p w:rsidR="00955300" w:rsidRPr="00940F72" w:rsidRDefault="00955300" w:rsidP="00E83D45">
            <w:pPr>
              <w:pStyle w:val="In-tableHeading"/>
              <w:jc w:val="center"/>
              <w:rPr>
                <w:lang w:val="en-AU"/>
              </w:rPr>
            </w:pPr>
          </w:p>
        </w:tc>
      </w:tr>
      <w:tr w:rsidR="00955300" w:rsidRPr="00940F72" w:rsidTr="00E83D45">
        <w:trPr>
          <w:trHeight w:val="70"/>
        </w:trPr>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300" w:rsidRPr="00940F72" w:rsidRDefault="00955300" w:rsidP="00E83D45">
            <w:pPr>
              <w:pStyle w:val="In-tableHeading"/>
              <w:rPr>
                <w:lang w:val="en-AU"/>
              </w:rPr>
            </w:pPr>
            <w:bookmarkStart w:id="52" w:name="_Hlk71232868"/>
          </w:p>
        </w:tc>
        <w:tc>
          <w:tcPr>
            <w:tcW w:w="784" w:type="pct"/>
            <w:vMerge w:val="restar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r w:rsidRPr="00940F72">
              <w:rPr>
                <w:lang w:val="en-AU"/>
              </w:rPr>
              <w:t>Zanubrutinib</w:t>
            </w:r>
          </w:p>
          <w:p w:rsidR="00955300" w:rsidRPr="00940F72" w:rsidRDefault="00955300" w:rsidP="00E83D45">
            <w:pPr>
              <w:pStyle w:val="In-tableHeading"/>
              <w:jc w:val="center"/>
              <w:rPr>
                <w:b w:val="0"/>
                <w:bCs/>
                <w:lang w:val="en-AU"/>
              </w:rPr>
            </w:pPr>
            <w:r w:rsidRPr="00940F72">
              <w:rPr>
                <w:b w:val="0"/>
                <w:bCs/>
                <w:lang w:val="en-AU"/>
              </w:rPr>
              <w:t>n/N</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r w:rsidRPr="00940F72">
              <w:rPr>
                <w:lang w:val="en-AU"/>
              </w:rPr>
              <w:t>Ibrutinib</w:t>
            </w:r>
          </w:p>
          <w:p w:rsidR="00955300" w:rsidRPr="00940F72" w:rsidRDefault="00955300" w:rsidP="00E83D45">
            <w:pPr>
              <w:pStyle w:val="In-tableHeading"/>
              <w:jc w:val="center"/>
              <w:rPr>
                <w:b w:val="0"/>
                <w:bCs/>
                <w:lang w:val="en-AU"/>
              </w:rPr>
            </w:pPr>
            <w:r w:rsidRPr="00940F72">
              <w:rPr>
                <w:b w:val="0"/>
                <w:bCs/>
                <w:lang w:val="en-AU"/>
              </w:rPr>
              <w:t>n/N</w:t>
            </w:r>
          </w:p>
        </w:tc>
        <w:tc>
          <w:tcPr>
            <w:tcW w:w="1875" w:type="pct"/>
            <w:gridSpan w:val="2"/>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r w:rsidRPr="00940F72">
              <w:rPr>
                <w:lang w:val="en-AU"/>
              </w:rPr>
              <w:t xml:space="preserve">Event rate/100 patients </w:t>
            </w:r>
          </w:p>
        </w:tc>
        <w:tc>
          <w:tcPr>
            <w:tcW w:w="818" w:type="pct"/>
            <w:vMerge w:val="restar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r w:rsidRPr="00940F72">
              <w:rPr>
                <w:lang w:val="en-AU"/>
              </w:rPr>
              <w:t>RD</w:t>
            </w:r>
          </w:p>
        </w:tc>
      </w:tr>
      <w:tr w:rsidR="00955300" w:rsidRPr="00940F72" w:rsidTr="00E83D45">
        <w:trPr>
          <w:trHeight w:val="390"/>
        </w:trPr>
        <w:tc>
          <w:tcPr>
            <w:tcW w:w="7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5300" w:rsidRPr="00940F72" w:rsidRDefault="00955300" w:rsidP="00E83D45">
            <w:pPr>
              <w:pStyle w:val="In-tableHeading"/>
              <w:rPr>
                <w:lang w:val="en-AU"/>
              </w:rPr>
            </w:pPr>
          </w:p>
        </w:tc>
        <w:tc>
          <w:tcPr>
            <w:tcW w:w="784" w:type="pct"/>
            <w:vMerge/>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p>
        </w:tc>
        <w:tc>
          <w:tcPr>
            <w:tcW w:w="785" w:type="pct"/>
            <w:vMerge/>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p>
        </w:tc>
        <w:tc>
          <w:tcPr>
            <w:tcW w:w="96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r w:rsidRPr="00940F72">
              <w:rPr>
                <w:lang w:val="en-AU"/>
              </w:rPr>
              <w:t>Zanubrutinib</w:t>
            </w:r>
          </w:p>
        </w:tc>
        <w:tc>
          <w:tcPr>
            <w:tcW w:w="911"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jc w:val="center"/>
              <w:rPr>
                <w:lang w:val="en-AU"/>
              </w:rPr>
            </w:pPr>
            <w:r w:rsidRPr="00940F72">
              <w:rPr>
                <w:lang w:val="en-AU"/>
              </w:rPr>
              <w:t>Ibrutinib</w:t>
            </w:r>
          </w:p>
        </w:tc>
        <w:tc>
          <w:tcPr>
            <w:tcW w:w="818" w:type="pct"/>
            <w:vMerge/>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In-tableHeading"/>
              <w:rPr>
                <w:lang w:val="en-AU"/>
              </w:rPr>
            </w:pPr>
          </w:p>
        </w:tc>
      </w:tr>
      <w:tr w:rsidR="00955300" w:rsidRPr="00940F72" w:rsidTr="00E83D45">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955300" w:rsidRPr="00940F72" w:rsidRDefault="00955300" w:rsidP="00E83D45">
            <w:pPr>
              <w:pStyle w:val="TableText0"/>
            </w:pPr>
            <w:r w:rsidRPr="00940F72">
              <w:t>Neutropenia</w:t>
            </w:r>
          </w:p>
        </w:tc>
        <w:tc>
          <w:tcPr>
            <w:tcW w:w="78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16/101</w:t>
            </w:r>
          </w:p>
        </w:tc>
        <w:tc>
          <w:tcPr>
            <w:tcW w:w="785"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8/98</w:t>
            </w:r>
          </w:p>
        </w:tc>
        <w:tc>
          <w:tcPr>
            <w:tcW w:w="96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15.8</w:t>
            </w:r>
          </w:p>
        </w:tc>
        <w:tc>
          <w:tcPr>
            <w:tcW w:w="911"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8.2</w:t>
            </w:r>
          </w:p>
        </w:tc>
        <w:tc>
          <w:tcPr>
            <w:tcW w:w="818" w:type="pct"/>
            <w:tcBorders>
              <w:top w:val="single" w:sz="4" w:space="0" w:color="auto"/>
              <w:left w:val="single" w:sz="4" w:space="0" w:color="auto"/>
              <w:bottom w:val="single" w:sz="4" w:space="0" w:color="auto"/>
              <w:right w:val="single" w:sz="4" w:space="0" w:color="auto"/>
            </w:tcBorders>
            <w:vAlign w:val="bottom"/>
          </w:tcPr>
          <w:p w:rsidR="00955300" w:rsidRPr="00940F72" w:rsidRDefault="00955300" w:rsidP="00E83D45">
            <w:pPr>
              <w:pStyle w:val="TableText0"/>
              <w:jc w:val="center"/>
            </w:pPr>
            <w:r w:rsidRPr="00940F72">
              <w:t>7.6</w:t>
            </w:r>
          </w:p>
        </w:tc>
      </w:tr>
      <w:tr w:rsidR="00955300" w:rsidRPr="00940F72" w:rsidTr="00E83D45">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955300" w:rsidRPr="00940F72" w:rsidRDefault="00955300" w:rsidP="00E83D45">
            <w:pPr>
              <w:pStyle w:val="TableText0"/>
            </w:pPr>
            <w:r w:rsidRPr="00940F72">
              <w:t>Hypertension</w:t>
            </w:r>
          </w:p>
        </w:tc>
        <w:tc>
          <w:tcPr>
            <w:tcW w:w="78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6/101</w:t>
            </w:r>
          </w:p>
        </w:tc>
        <w:tc>
          <w:tcPr>
            <w:tcW w:w="785"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11/98</w:t>
            </w:r>
          </w:p>
        </w:tc>
        <w:tc>
          <w:tcPr>
            <w:tcW w:w="96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5.9</w:t>
            </w:r>
          </w:p>
        </w:tc>
        <w:tc>
          <w:tcPr>
            <w:tcW w:w="911"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11.2</w:t>
            </w:r>
          </w:p>
        </w:tc>
        <w:tc>
          <w:tcPr>
            <w:tcW w:w="818"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 xml:space="preserve">-5.3 </w:t>
            </w:r>
          </w:p>
        </w:tc>
      </w:tr>
      <w:tr w:rsidR="00955300" w:rsidRPr="00940F72" w:rsidTr="00E83D45">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955300" w:rsidRPr="00940F72" w:rsidRDefault="00955300" w:rsidP="00E83D45">
            <w:pPr>
              <w:pStyle w:val="TableText0"/>
            </w:pPr>
            <w:r w:rsidRPr="00940F72">
              <w:t>Pneumonia</w:t>
            </w:r>
          </w:p>
        </w:tc>
        <w:tc>
          <w:tcPr>
            <w:tcW w:w="78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1/101</w:t>
            </w:r>
          </w:p>
        </w:tc>
        <w:tc>
          <w:tcPr>
            <w:tcW w:w="785"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7/98</w:t>
            </w:r>
          </w:p>
        </w:tc>
        <w:tc>
          <w:tcPr>
            <w:tcW w:w="96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1.0</w:t>
            </w:r>
          </w:p>
        </w:tc>
        <w:tc>
          <w:tcPr>
            <w:tcW w:w="911"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7.1</w:t>
            </w:r>
          </w:p>
        </w:tc>
        <w:tc>
          <w:tcPr>
            <w:tcW w:w="818"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-6.1</w:t>
            </w:r>
          </w:p>
        </w:tc>
      </w:tr>
      <w:tr w:rsidR="00955300" w:rsidRPr="00940F72" w:rsidTr="00E83D45">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955300" w:rsidRPr="00940F72" w:rsidRDefault="00955300" w:rsidP="00E83D45">
            <w:pPr>
              <w:pStyle w:val="TableText0"/>
            </w:pPr>
            <w:r w:rsidRPr="00940F72">
              <w:t>Atrial Fibrillation and Flutter</w:t>
            </w:r>
          </w:p>
        </w:tc>
        <w:tc>
          <w:tcPr>
            <w:tcW w:w="78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0/101</w:t>
            </w:r>
          </w:p>
        </w:tc>
        <w:tc>
          <w:tcPr>
            <w:tcW w:w="785"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4/98</w:t>
            </w:r>
          </w:p>
        </w:tc>
        <w:tc>
          <w:tcPr>
            <w:tcW w:w="964"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0</w:t>
            </w:r>
          </w:p>
        </w:tc>
        <w:tc>
          <w:tcPr>
            <w:tcW w:w="911"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4.1</w:t>
            </w:r>
          </w:p>
        </w:tc>
        <w:tc>
          <w:tcPr>
            <w:tcW w:w="818" w:type="pct"/>
            <w:tcBorders>
              <w:top w:val="single" w:sz="4" w:space="0" w:color="auto"/>
              <w:left w:val="single" w:sz="4" w:space="0" w:color="auto"/>
              <w:bottom w:val="single" w:sz="4" w:space="0" w:color="auto"/>
              <w:right w:val="single" w:sz="4" w:space="0" w:color="auto"/>
            </w:tcBorders>
            <w:vAlign w:val="center"/>
          </w:tcPr>
          <w:p w:rsidR="00955300" w:rsidRPr="00940F72" w:rsidRDefault="00955300" w:rsidP="00E83D45">
            <w:pPr>
              <w:pStyle w:val="TableText0"/>
              <w:jc w:val="center"/>
            </w:pPr>
            <w:r w:rsidRPr="00940F72">
              <w:t>-4.1</w:t>
            </w:r>
          </w:p>
        </w:tc>
      </w:tr>
    </w:tbl>
    <w:bookmarkEnd w:id="52"/>
    <w:p w:rsidR="00955300" w:rsidRPr="00940F72" w:rsidRDefault="00955300" w:rsidP="00955300">
      <w:pPr>
        <w:pStyle w:val="TableFigureFooter"/>
      </w:pPr>
      <w:r w:rsidRPr="00940F72">
        <w:t>RD=risk difference.</w:t>
      </w:r>
    </w:p>
    <w:p w:rsidR="00955300" w:rsidRPr="00940F72" w:rsidRDefault="00955300" w:rsidP="00955300">
      <w:pPr>
        <w:pStyle w:val="TableFigureFooter"/>
      </w:pPr>
      <w:r w:rsidRPr="00940F72">
        <w:t>Source: Tables 2.45 and 2.47, pp84, 86 of the submission.</w:t>
      </w:r>
    </w:p>
    <w:p w:rsidR="00955300" w:rsidRPr="00940F72" w:rsidRDefault="00955300" w:rsidP="00955300">
      <w:pPr>
        <w:pStyle w:val="TableFigureFooter"/>
      </w:pPr>
      <w:r w:rsidRPr="00940F72">
        <w:t xml:space="preserve"> </w:t>
      </w:r>
    </w:p>
    <w:p w:rsidR="00955300" w:rsidRPr="00940F72" w:rsidRDefault="00AB3127" w:rsidP="00955300">
      <w:pPr>
        <w:pStyle w:val="3-BodyText"/>
      </w:pPr>
      <w:r w:rsidRPr="00940F72">
        <w:t>Based on</w:t>
      </w:r>
      <w:r w:rsidR="00955300" w:rsidRPr="00940F72">
        <w:t xml:space="preserve"> direct evidence presented by the submission, for every 100 patients</w:t>
      </w:r>
      <w:r w:rsidR="00252EA5" w:rsidRPr="00940F72">
        <w:t xml:space="preserve"> with </w:t>
      </w:r>
      <w:r w:rsidR="0040623D" w:rsidRPr="00940F72">
        <w:rPr>
          <w:rFonts w:eastAsia="Calibri"/>
        </w:rPr>
        <w:t>Waldenström Macroglobulinemia (WM)</w:t>
      </w:r>
      <w:r w:rsidR="00955300" w:rsidRPr="00940F72">
        <w:t xml:space="preserve"> treated with zanubrutinib in comparison with ibrutinib:</w:t>
      </w:r>
    </w:p>
    <w:p w:rsidR="00955300" w:rsidRPr="00940F72" w:rsidRDefault="00955300" w:rsidP="00955300">
      <w:pPr>
        <w:pStyle w:val="ListParagraph"/>
      </w:pPr>
      <w:r w:rsidRPr="00940F72">
        <w:t>Approximately 8 more patients will experience</w:t>
      </w:r>
      <w:r w:rsidR="007A0236" w:rsidRPr="00940F72">
        <w:t xml:space="preserve"> Grade ≥3</w:t>
      </w:r>
      <w:r w:rsidRPr="00940F72">
        <w:t xml:space="preserve"> neutropenia;</w:t>
      </w:r>
    </w:p>
    <w:p w:rsidR="00955300" w:rsidRPr="00940F72" w:rsidRDefault="00955300" w:rsidP="00955300">
      <w:pPr>
        <w:pStyle w:val="ListParagraph"/>
      </w:pPr>
      <w:r w:rsidRPr="00940F72">
        <w:t>Approximately 5 fewer patients will experience</w:t>
      </w:r>
      <w:r w:rsidR="007A0236" w:rsidRPr="00940F72">
        <w:t xml:space="preserve"> Grade ≥3 </w:t>
      </w:r>
      <w:r w:rsidRPr="00940F72">
        <w:t>hypertension;</w:t>
      </w:r>
    </w:p>
    <w:p w:rsidR="00955300" w:rsidRPr="00940F72" w:rsidRDefault="00955300" w:rsidP="00955300">
      <w:pPr>
        <w:pStyle w:val="ListParagraph"/>
      </w:pPr>
      <w:r w:rsidRPr="00940F72">
        <w:t xml:space="preserve">Approximately 6 fewer patients will experience </w:t>
      </w:r>
      <w:r w:rsidR="007A0236" w:rsidRPr="00940F72">
        <w:t xml:space="preserve">Grade ≥3 </w:t>
      </w:r>
      <w:r w:rsidRPr="00940F72">
        <w:t>pneumonia;</w:t>
      </w:r>
    </w:p>
    <w:p w:rsidR="00955300" w:rsidRPr="00940F72" w:rsidRDefault="00955300" w:rsidP="00955300">
      <w:pPr>
        <w:pStyle w:val="ListParagraph"/>
      </w:pPr>
      <w:r w:rsidRPr="00940F72">
        <w:t xml:space="preserve">Approximately 4 fewer patients will experience </w:t>
      </w:r>
      <w:r w:rsidR="00C87AC8" w:rsidRPr="00940F72">
        <w:t xml:space="preserve">Grade ≥3 </w:t>
      </w:r>
      <w:r w:rsidRPr="00940F72">
        <w:t>atrial fibrillation.</w:t>
      </w:r>
    </w:p>
    <w:p w:rsidR="00955300" w:rsidRPr="00940F72" w:rsidRDefault="00955300" w:rsidP="00955300">
      <w:pPr>
        <w:pStyle w:val="4-SubsectionHeading"/>
      </w:pPr>
      <w:bookmarkStart w:id="53" w:name="_Toc22897644"/>
      <w:bookmarkStart w:id="54" w:name="_Toc22898856"/>
      <w:bookmarkStart w:id="55" w:name="_Toc72318708"/>
      <w:r w:rsidRPr="00940F72">
        <w:t>Clinical claim</w:t>
      </w:r>
      <w:bookmarkEnd w:id="53"/>
      <w:bookmarkEnd w:id="54"/>
      <w:bookmarkEnd w:id="55"/>
    </w:p>
    <w:p w:rsidR="00955300" w:rsidRPr="00940F72" w:rsidRDefault="00955300" w:rsidP="00955300">
      <w:pPr>
        <w:pStyle w:val="3-BodyText"/>
        <w:rPr>
          <w:rFonts w:eastAsia="Calibri"/>
        </w:rPr>
      </w:pPr>
      <w:r w:rsidRPr="00940F72">
        <w:rPr>
          <w:rFonts w:eastAsia="Calibri"/>
        </w:rPr>
        <w:t xml:space="preserve">The submission described zanubrutinib as at least non-inferior in terms of effectiveness compared to ibrutinib. </w:t>
      </w:r>
      <w:r w:rsidRPr="00940F72">
        <w:rPr>
          <w:rFonts w:eastAsia="Calibri"/>
          <w:iCs/>
        </w:rPr>
        <w:t>T</w:t>
      </w:r>
      <w:r w:rsidR="003A6544" w:rsidRPr="00940F72">
        <w:rPr>
          <w:rFonts w:eastAsia="Calibri"/>
          <w:iCs/>
        </w:rPr>
        <w:t xml:space="preserve">he </w:t>
      </w:r>
      <w:r w:rsidR="00252EA5" w:rsidRPr="00940F72">
        <w:rPr>
          <w:rFonts w:eastAsia="Calibri"/>
          <w:iCs/>
        </w:rPr>
        <w:t>key issues were</w:t>
      </w:r>
      <w:r w:rsidRPr="00940F72">
        <w:rPr>
          <w:rFonts w:eastAsia="Calibri"/>
        </w:rPr>
        <w:t>:</w:t>
      </w:r>
    </w:p>
    <w:p w:rsidR="00955300" w:rsidRPr="00940F72" w:rsidRDefault="00955300" w:rsidP="008153D6">
      <w:pPr>
        <w:pStyle w:val="3-BodyText"/>
        <w:numPr>
          <w:ilvl w:val="0"/>
          <w:numId w:val="12"/>
        </w:numPr>
        <w:rPr>
          <w:rFonts w:eastAsia="Calibri"/>
          <w:iCs/>
        </w:rPr>
      </w:pPr>
      <w:r w:rsidRPr="00940F72">
        <w:rPr>
          <w:rFonts w:eastAsia="Calibri"/>
          <w:iCs/>
        </w:rPr>
        <w:t>The clinical evidence for zanubrutinib was based on two single-arm open</w:t>
      </w:r>
      <w:r w:rsidR="00FC7386" w:rsidRPr="00940F72">
        <w:rPr>
          <w:rFonts w:eastAsia="Calibri"/>
          <w:iCs/>
        </w:rPr>
        <w:t>-</w:t>
      </w:r>
      <w:r w:rsidRPr="00940F72">
        <w:rPr>
          <w:rFonts w:eastAsia="Calibri"/>
          <w:iCs/>
        </w:rPr>
        <w:t>label</w:t>
      </w:r>
      <w:r w:rsidR="00796A33" w:rsidRPr="00940F72">
        <w:rPr>
          <w:rFonts w:eastAsia="Calibri"/>
          <w:iCs/>
        </w:rPr>
        <w:t xml:space="preserve"> </w:t>
      </w:r>
      <w:r w:rsidRPr="00940F72">
        <w:rPr>
          <w:rFonts w:eastAsia="Calibri"/>
          <w:iCs/>
        </w:rPr>
        <w:t>nonrandomised studies (Study 206 and Study AU-003). The results from these studies were compared to those from ibrutinib studies by naïve comparisons and an unanchored MAIC.</w:t>
      </w:r>
    </w:p>
    <w:p w:rsidR="00955300" w:rsidRPr="00940F72" w:rsidRDefault="00955300" w:rsidP="008153D6">
      <w:pPr>
        <w:pStyle w:val="3-BodyText"/>
        <w:numPr>
          <w:ilvl w:val="0"/>
          <w:numId w:val="12"/>
        </w:numPr>
        <w:rPr>
          <w:rFonts w:eastAsia="Calibri"/>
          <w:iCs/>
        </w:rPr>
      </w:pPr>
      <w:r w:rsidRPr="00940F72">
        <w:rPr>
          <w:rFonts w:eastAsia="Calibri"/>
          <w:iCs/>
        </w:rPr>
        <w:t>The included studies differed in terms of inclusion/exclusion criteria</w:t>
      </w:r>
      <w:r w:rsidR="00B25729" w:rsidRPr="00940F72">
        <w:rPr>
          <w:rFonts w:eastAsia="Calibri"/>
          <w:iCs/>
        </w:rPr>
        <w:t xml:space="preserve"> and</w:t>
      </w:r>
      <w:r w:rsidRPr="00940F72">
        <w:rPr>
          <w:rFonts w:eastAsia="Calibri"/>
          <w:iCs/>
        </w:rPr>
        <w:t xml:space="preserve"> baseline disease characteristics and duration of </w:t>
      </w:r>
      <w:r w:rsidR="00252EA5" w:rsidRPr="00940F72">
        <w:rPr>
          <w:rFonts w:eastAsia="Calibri"/>
          <w:iCs/>
        </w:rPr>
        <w:t>follow-up</w:t>
      </w:r>
      <w:r w:rsidRPr="00940F72">
        <w:rPr>
          <w:rFonts w:eastAsia="Calibri"/>
          <w:iCs/>
        </w:rPr>
        <w:t>. There may also be unobserved confounders. These differences may confound the results of the naïve</w:t>
      </w:r>
      <w:r w:rsidR="009D059E" w:rsidRPr="00940F72">
        <w:rPr>
          <w:rFonts w:eastAsia="Calibri"/>
          <w:iCs/>
        </w:rPr>
        <w:t xml:space="preserve"> </w:t>
      </w:r>
      <w:r w:rsidRPr="00940F72">
        <w:rPr>
          <w:rFonts w:eastAsia="Calibri"/>
          <w:iCs/>
        </w:rPr>
        <w:t xml:space="preserve">study comparisons. </w:t>
      </w:r>
    </w:p>
    <w:p w:rsidR="0040316C" w:rsidRPr="00940F72" w:rsidRDefault="00FC7386" w:rsidP="0040316C">
      <w:pPr>
        <w:pStyle w:val="3-BodyText"/>
      </w:pPr>
      <w:r w:rsidRPr="00940F72">
        <w:rPr>
          <w:rFonts w:eastAsia="Calibri"/>
        </w:rPr>
        <w:t>Non</w:t>
      </w:r>
      <w:r w:rsidR="00556D85" w:rsidRPr="00940F72">
        <w:rPr>
          <w:rFonts w:eastAsia="Calibri"/>
        </w:rPr>
        <w:t>-</w:t>
      </w:r>
      <w:r w:rsidRPr="00940F72">
        <w:rPr>
          <w:rFonts w:eastAsia="Calibri"/>
        </w:rPr>
        <w:t>inferiority</w:t>
      </w:r>
      <w:r w:rsidR="00955300" w:rsidRPr="00940F72">
        <w:rPr>
          <w:rFonts w:eastAsia="Calibri"/>
        </w:rPr>
        <w:t xml:space="preserve"> margins were not nominated for any of the clinical outcomes used to support the clinical claim: ORR, PFS, or OS. </w:t>
      </w:r>
      <w:r w:rsidR="00994D03" w:rsidRPr="00940F72">
        <w:t xml:space="preserve">Consistent with the Section 2.4.5 of the PBAC Guidelines (v5.0), </w:t>
      </w:r>
      <w:r w:rsidR="00994D03" w:rsidRPr="00940F72">
        <w:rPr>
          <w:rFonts w:eastAsia="Calibri"/>
        </w:rPr>
        <w:t>t</w:t>
      </w:r>
      <w:r w:rsidR="00955300" w:rsidRPr="00940F72">
        <w:rPr>
          <w:rFonts w:eastAsia="Calibri"/>
        </w:rPr>
        <w:t>he lack of a statistically significant difference is not sufficient to establish non</w:t>
      </w:r>
      <w:r w:rsidR="00556D85" w:rsidRPr="00940F72">
        <w:rPr>
          <w:rFonts w:eastAsia="Calibri"/>
        </w:rPr>
        <w:t>-</w:t>
      </w:r>
      <w:r w:rsidR="00955300" w:rsidRPr="00940F72">
        <w:rPr>
          <w:rFonts w:eastAsia="Calibri"/>
        </w:rPr>
        <w:t>inferiority</w:t>
      </w:r>
      <w:r w:rsidR="00DB1AA9" w:rsidRPr="00940F72">
        <w:rPr>
          <w:rFonts w:eastAsia="Calibri"/>
        </w:rPr>
        <w:t xml:space="preserve">. </w:t>
      </w:r>
      <w:r w:rsidR="0040316C" w:rsidRPr="00940F72">
        <w:t xml:space="preserve">The PSCR stated that a non-inferiority margin was not nominated because there is no widely accepted minimal clinically important difference (MCID) for </w:t>
      </w:r>
      <w:r w:rsidR="00A738C1" w:rsidRPr="00940F72">
        <w:t>PFS</w:t>
      </w:r>
      <w:r w:rsidR="0040316C" w:rsidRPr="00940F72">
        <w:t xml:space="preserve">, </w:t>
      </w:r>
      <w:r w:rsidR="00A738C1" w:rsidRPr="00940F72">
        <w:t>OS</w:t>
      </w:r>
      <w:r w:rsidR="0040316C" w:rsidRPr="00940F72">
        <w:t>, overall response, or time to next treatment in this disease area.</w:t>
      </w:r>
      <w:r w:rsidR="00FC6F7E" w:rsidRPr="00940F72">
        <w:rPr>
          <w:color w:val="000000" w:themeColor="text1"/>
        </w:rPr>
        <w:t xml:space="preserve"> The PSCR also stated that lack of MCID is consistent with previous submissions in the same drug class, citing the previous recommendation for acalabrutinib in R/R CLL/SLL (</w:t>
      </w:r>
      <w:r w:rsidR="00FC6F7E" w:rsidRPr="00940F72">
        <w:t>paragraph 6.14, acalabrutinib</w:t>
      </w:r>
      <w:r w:rsidR="00DF2C56">
        <w:t xml:space="preserve"> PSD</w:t>
      </w:r>
      <w:r w:rsidR="00FC6F7E" w:rsidRPr="00940F72">
        <w:t>, March 2020 PBAC meeting)</w:t>
      </w:r>
      <w:r w:rsidR="00FC6F7E" w:rsidRPr="00940F72">
        <w:rPr>
          <w:color w:val="000000" w:themeColor="text1"/>
        </w:rPr>
        <w:t xml:space="preserve">. </w:t>
      </w:r>
    </w:p>
    <w:p w:rsidR="00955300" w:rsidRPr="00940F72" w:rsidRDefault="00955300" w:rsidP="00FC6F7E">
      <w:pPr>
        <w:pStyle w:val="3-BodyText"/>
      </w:pPr>
      <w:r w:rsidRPr="00940F72">
        <w:t>Whilst</w:t>
      </w:r>
      <w:r w:rsidR="00233D7A" w:rsidRPr="00940F72">
        <w:t>, based on the information provided,</w:t>
      </w:r>
      <w:r w:rsidRPr="00940F72">
        <w:t xml:space="preserve"> the </w:t>
      </w:r>
      <w:r w:rsidR="000B5A3F" w:rsidRPr="00940F72">
        <w:t>Sponsor</w:t>
      </w:r>
      <w:r w:rsidRPr="00940F72">
        <w:t xml:space="preserve"> appears to have conducted the MAIC analyses </w:t>
      </w:r>
      <w:r w:rsidR="00233D7A" w:rsidRPr="00940F72">
        <w:t>using appropriate methodology</w:t>
      </w:r>
      <w:r w:rsidRPr="00940F72">
        <w:t>, the results of the MAIC comparing zanubrutinib and ibrutinib were considered uncertain</w:t>
      </w:r>
      <w:r w:rsidR="00233D7A" w:rsidRPr="00940F72">
        <w:t xml:space="preserve"> because</w:t>
      </w:r>
      <w:r w:rsidRPr="00940F72">
        <w:t>:</w:t>
      </w:r>
      <w:r w:rsidR="00F4575E" w:rsidRPr="00940F72">
        <w:t xml:space="preserve"> </w:t>
      </w:r>
    </w:p>
    <w:p w:rsidR="00955300" w:rsidRPr="00940F72" w:rsidRDefault="00CF2DFD" w:rsidP="00B9749C">
      <w:pPr>
        <w:pStyle w:val="ListParagraph"/>
        <w:numPr>
          <w:ilvl w:val="1"/>
          <w:numId w:val="28"/>
        </w:numPr>
        <w:ind w:left="709" w:hanging="283"/>
        <w:rPr>
          <w:iCs/>
        </w:rPr>
      </w:pPr>
      <w:r w:rsidRPr="00940F72">
        <w:rPr>
          <w:iCs/>
        </w:rPr>
        <w:t xml:space="preserve">The </w:t>
      </w:r>
      <w:r w:rsidR="00955300" w:rsidRPr="00940F72">
        <w:rPr>
          <w:iCs/>
        </w:rPr>
        <w:t>MAIC analysis resulted in an effective sample size of 38, compared with the original sample size of 123.</w:t>
      </w:r>
      <w:r w:rsidR="00955300" w:rsidRPr="00940F72">
        <w:t xml:space="preserve"> </w:t>
      </w:r>
      <w:r w:rsidR="00955300" w:rsidRPr="00940F72">
        <w:rPr>
          <w:iCs/>
        </w:rPr>
        <w:t>This suggests poor overlap between the zanubrutinib and ibrutinib trial populations</w:t>
      </w:r>
      <w:r w:rsidR="00AF5A3F" w:rsidRPr="00940F72">
        <w:rPr>
          <w:iCs/>
        </w:rPr>
        <w:t xml:space="preserve"> and</w:t>
      </w:r>
      <w:r w:rsidR="00955300" w:rsidRPr="00940F72">
        <w:rPr>
          <w:iCs/>
        </w:rPr>
        <w:t xml:space="preserve"> that the results of the MAIC may be unstable.</w:t>
      </w:r>
    </w:p>
    <w:p w:rsidR="00ED2707" w:rsidRPr="00940F72" w:rsidRDefault="00955300" w:rsidP="004C2E7C">
      <w:pPr>
        <w:pStyle w:val="ListParagraph"/>
        <w:numPr>
          <w:ilvl w:val="1"/>
          <w:numId w:val="28"/>
        </w:numPr>
        <w:ind w:left="709" w:hanging="283"/>
        <w:rPr>
          <w:iCs/>
        </w:rPr>
      </w:pPr>
      <w:r w:rsidRPr="00940F72">
        <w:rPr>
          <w:iCs/>
        </w:rPr>
        <w:t>The MAIC was unanchored. Unanchored MAICs make strong assumptions that are very hard to me</w:t>
      </w:r>
      <w:r w:rsidR="00425416" w:rsidRPr="00940F72">
        <w:rPr>
          <w:iCs/>
        </w:rPr>
        <w:t>et.</w:t>
      </w:r>
      <w:r w:rsidRPr="00940F72">
        <w:rPr>
          <w:iCs/>
        </w:rPr>
        <w:t xml:space="preserve"> For example, ‘‘conditional constancy of absolute effects’’ means that the absolute treatment effects are assumed constant at any given level of the effect modifiers and prognostic variables, and all effect modifiers and prognostic variables are required to be known. </w:t>
      </w:r>
      <w:r w:rsidR="00CF2DFD" w:rsidRPr="00940F72">
        <w:rPr>
          <w:rFonts w:eastAsia="Calibri"/>
          <w:iCs/>
        </w:rPr>
        <w:t xml:space="preserve">Post-matching characteristics for variables not chosen for matching were not provided. </w:t>
      </w:r>
      <w:r w:rsidRPr="00940F72">
        <w:rPr>
          <w:iCs/>
        </w:rPr>
        <w:t>There is an unknown risk of bias due to the potential for observed and unobserved missing effect modifiers or prognostic variables in the MAIC.</w:t>
      </w:r>
      <w:r w:rsidR="00994FA9" w:rsidRPr="00940F72">
        <w:rPr>
          <w:iCs/>
        </w:rPr>
        <w:t xml:space="preserve"> </w:t>
      </w:r>
      <w:r w:rsidR="00B42776" w:rsidRPr="00940F72">
        <w:t>The PSCR</w:t>
      </w:r>
      <w:r w:rsidR="00FC6F7E" w:rsidRPr="00940F72">
        <w:t xml:space="preserve"> </w:t>
      </w:r>
      <w:r w:rsidR="00B42776" w:rsidRPr="00940F72">
        <w:t>stated that all relevant available data were used for this MAIC analysis of zanubrutinib vs ibrutinib</w:t>
      </w:r>
      <w:r w:rsidR="00994FA9" w:rsidRPr="00940F72">
        <w:t>, with b</w:t>
      </w:r>
      <w:r w:rsidR="00B42776" w:rsidRPr="00940F72">
        <w:t>aseline characteristics reported in all 3 ibrutinib studies (PYCY-1104, MCL-2001/SPARK, MCL-3001</w:t>
      </w:r>
      <w:r w:rsidR="00984D66" w:rsidRPr="00940F72">
        <w:t>/RAY) included in the matching.</w:t>
      </w:r>
      <w:r w:rsidR="00994FA9" w:rsidRPr="00940F72">
        <w:t xml:space="preserve"> The PSCR acknowledged t</w:t>
      </w:r>
      <w:r w:rsidR="00B42776" w:rsidRPr="00940F72">
        <w:t xml:space="preserve">here may be potential prognostic variables or effect modifiers not included in the matching, </w:t>
      </w:r>
      <w:r w:rsidR="00994FA9" w:rsidRPr="00940F72">
        <w:t>however maintained that these could not be included in the MAIC if</w:t>
      </w:r>
      <w:r w:rsidR="002537AF" w:rsidRPr="00940F72">
        <w:t xml:space="preserve"> they were</w:t>
      </w:r>
      <w:r w:rsidR="00994FA9" w:rsidRPr="00940F72">
        <w:t xml:space="preserve"> not</w:t>
      </w:r>
      <w:r w:rsidR="00B42776" w:rsidRPr="00940F72">
        <w:t xml:space="preserve"> </w:t>
      </w:r>
      <w:r w:rsidR="00994FA9" w:rsidRPr="00940F72">
        <w:t>reported for ibrutinib studies.</w:t>
      </w:r>
    </w:p>
    <w:p w:rsidR="00FC6F7E" w:rsidRPr="00940F72" w:rsidRDefault="00FC6F7E" w:rsidP="00955300">
      <w:pPr>
        <w:pStyle w:val="3-BodyText"/>
        <w:rPr>
          <w:rFonts w:eastAsia="Calibri"/>
        </w:rPr>
      </w:pPr>
      <w:r w:rsidRPr="00940F72">
        <w:t xml:space="preserve">The PSCR stated that in the absence of direct comparative evidence, the submission presented </w:t>
      </w:r>
      <w:r w:rsidRPr="00940F72">
        <w:rPr>
          <w:iCs/>
        </w:rPr>
        <w:t>multiple</w:t>
      </w:r>
      <w:r w:rsidRPr="00940F72">
        <w:t xml:space="preserve"> approaches for the indirect comparisons, and </w:t>
      </w:r>
      <w:r w:rsidR="008963D3" w:rsidRPr="00940F72">
        <w:t>it was</w:t>
      </w:r>
      <w:r w:rsidRPr="00940F72">
        <w:t xml:space="preserve"> claim</w:t>
      </w:r>
      <w:r w:rsidR="008963D3" w:rsidRPr="00940F72">
        <w:t>ed</w:t>
      </w:r>
      <w:r w:rsidRPr="00940F72">
        <w:t xml:space="preserve"> that these multiple analytical approaches demonstrate consistency in outcomes across key trial endpoints, supporting the clinical claim of non-inferiority.</w:t>
      </w:r>
      <w:r w:rsidRPr="00940F72">
        <w:rPr>
          <w:rStyle w:val="FootnoteReference"/>
        </w:rPr>
        <w:footnoteReference w:id="5"/>
      </w:r>
    </w:p>
    <w:p w:rsidR="00955300" w:rsidRPr="00940F72" w:rsidRDefault="00955300" w:rsidP="00955300">
      <w:pPr>
        <w:pStyle w:val="3-BodyText"/>
        <w:rPr>
          <w:rFonts w:eastAsia="Calibri"/>
        </w:rPr>
      </w:pPr>
      <w:r w:rsidRPr="00940F72">
        <w:rPr>
          <w:rFonts w:eastAsia="Calibri"/>
        </w:rPr>
        <w:t>The submission described zanubrutinib as superior in terms of safety compared to ibrutinib. The key issues were:</w:t>
      </w:r>
    </w:p>
    <w:p w:rsidR="00955300" w:rsidRPr="00940F72" w:rsidRDefault="00955300" w:rsidP="008153D6">
      <w:pPr>
        <w:pStyle w:val="3-BodyText"/>
        <w:numPr>
          <w:ilvl w:val="0"/>
          <w:numId w:val="13"/>
        </w:numPr>
        <w:rPr>
          <w:rFonts w:eastAsia="Calibri"/>
          <w:iCs/>
        </w:rPr>
      </w:pPr>
      <w:r w:rsidRPr="00940F72">
        <w:rPr>
          <w:rFonts w:eastAsia="Calibri"/>
          <w:iCs/>
        </w:rPr>
        <w:t xml:space="preserve">Patients in the ASPEN trial that underpinned the safety claim had a </w:t>
      </w:r>
      <w:r w:rsidR="00675E00" w:rsidRPr="00940F72">
        <w:rPr>
          <w:rFonts w:eastAsia="Calibri"/>
          <w:iCs/>
        </w:rPr>
        <w:t xml:space="preserve">different disease, </w:t>
      </w:r>
      <w:r w:rsidR="0040623D" w:rsidRPr="00940F72">
        <w:rPr>
          <w:rFonts w:eastAsia="Calibri"/>
          <w:iCs/>
        </w:rPr>
        <w:t>WM</w:t>
      </w:r>
      <w:r w:rsidRPr="00940F72">
        <w:rPr>
          <w:rFonts w:eastAsia="Calibri"/>
          <w:iCs/>
        </w:rPr>
        <w:t>.</w:t>
      </w:r>
    </w:p>
    <w:p w:rsidR="00955300" w:rsidRPr="00940F72" w:rsidRDefault="00955300" w:rsidP="008153D6">
      <w:pPr>
        <w:pStyle w:val="3-BodyText"/>
        <w:numPr>
          <w:ilvl w:val="0"/>
          <w:numId w:val="13"/>
        </w:numPr>
        <w:rPr>
          <w:rFonts w:eastAsia="Calibri"/>
          <w:iCs/>
        </w:rPr>
      </w:pPr>
      <w:r w:rsidRPr="00940F72">
        <w:rPr>
          <w:rFonts w:eastAsia="Calibri"/>
          <w:iCs/>
        </w:rPr>
        <w:t>The superior safety claim was based primarily on the lower rates of atrial fibrillation and hypertension in the zanubrutinib arm of the ASPEN trial compared with the ibrutinib arm. However, n</w:t>
      </w:r>
      <w:r w:rsidR="00CF2DFD" w:rsidRPr="00940F72">
        <w:rPr>
          <w:rFonts w:eastAsia="Calibri"/>
          <w:iCs/>
        </w:rPr>
        <w:t>either</w:t>
      </w:r>
      <w:r w:rsidRPr="00940F72">
        <w:rPr>
          <w:rFonts w:eastAsia="Calibri"/>
          <w:iCs/>
        </w:rPr>
        <w:t xml:space="preserve"> of these </w:t>
      </w:r>
      <w:r w:rsidR="00984D66" w:rsidRPr="00940F72">
        <w:rPr>
          <w:rFonts w:eastAsia="Calibri"/>
          <w:iCs/>
        </w:rPr>
        <w:t>AEs</w:t>
      </w:r>
      <w:r w:rsidRPr="00940F72">
        <w:rPr>
          <w:rFonts w:eastAsia="Calibri"/>
          <w:iCs/>
        </w:rPr>
        <w:t xml:space="preserve"> </w:t>
      </w:r>
      <w:r w:rsidR="00DD7E03" w:rsidRPr="00940F72">
        <w:rPr>
          <w:rFonts w:eastAsia="Calibri"/>
          <w:iCs/>
        </w:rPr>
        <w:t>was</w:t>
      </w:r>
      <w:r w:rsidRPr="00940F72">
        <w:rPr>
          <w:rFonts w:eastAsia="Calibri"/>
          <w:iCs/>
        </w:rPr>
        <w:t xml:space="preserve"> included in the MAIC analysis.</w:t>
      </w:r>
    </w:p>
    <w:p w:rsidR="00B9749C" w:rsidRPr="00940F72" w:rsidRDefault="00154D21" w:rsidP="00E405A0">
      <w:pPr>
        <w:pStyle w:val="3-BodyText"/>
        <w:rPr>
          <w:rFonts w:eastAsia="Calibri"/>
        </w:rPr>
      </w:pPr>
      <w:r w:rsidRPr="00940F72">
        <w:rPr>
          <w:rFonts w:eastAsia="Calibri"/>
        </w:rPr>
        <w:t>The PSCR maintained that zanubrutinib is superior in terms of safety compared to ibrutinib</w:t>
      </w:r>
      <w:r w:rsidR="007947CC" w:rsidRPr="00940F72">
        <w:rPr>
          <w:rFonts w:eastAsia="Calibri"/>
        </w:rPr>
        <w:t xml:space="preserve"> noting that this claim was supported </w:t>
      </w:r>
      <w:r w:rsidR="007B00C8" w:rsidRPr="00940F72">
        <w:rPr>
          <w:rFonts w:eastAsia="Calibri"/>
        </w:rPr>
        <w:t xml:space="preserve">primarily </w:t>
      </w:r>
      <w:r w:rsidR="007947CC" w:rsidRPr="00940F72">
        <w:rPr>
          <w:rFonts w:eastAsia="Calibri"/>
        </w:rPr>
        <w:t xml:space="preserve">by a </w:t>
      </w:r>
      <w:r w:rsidR="007B00C8" w:rsidRPr="00940F72">
        <w:rPr>
          <w:rFonts w:eastAsia="Calibri"/>
        </w:rPr>
        <w:t>randomised</w:t>
      </w:r>
      <w:r w:rsidR="007947CC" w:rsidRPr="00940F72">
        <w:rPr>
          <w:rFonts w:eastAsia="Calibri"/>
        </w:rPr>
        <w:t xml:space="preserve"> comparison of zanubrutinib with ibrutinib in the ASPEN trial for patients with </w:t>
      </w:r>
      <w:r w:rsidR="009A1868" w:rsidRPr="00940F72">
        <w:rPr>
          <w:rFonts w:eastAsia="Calibri"/>
        </w:rPr>
        <w:t>WM</w:t>
      </w:r>
      <w:r w:rsidR="007947CC" w:rsidRPr="00940F72">
        <w:rPr>
          <w:rFonts w:eastAsia="Calibri"/>
        </w:rPr>
        <w:t xml:space="preserve">. </w:t>
      </w:r>
      <w:r w:rsidR="007B00C8" w:rsidRPr="00940F72">
        <w:rPr>
          <w:rFonts w:eastAsia="Calibri"/>
        </w:rPr>
        <w:t xml:space="preserve">The PSCR </w:t>
      </w:r>
      <w:r w:rsidR="00191FAD" w:rsidRPr="00940F72">
        <w:rPr>
          <w:rFonts w:eastAsia="Calibri"/>
        </w:rPr>
        <w:t>noted</w:t>
      </w:r>
      <w:r w:rsidR="007B00C8" w:rsidRPr="00940F72">
        <w:rPr>
          <w:rFonts w:eastAsia="Calibri"/>
        </w:rPr>
        <w:t xml:space="preserve"> that </w:t>
      </w:r>
      <w:r w:rsidRPr="00940F72">
        <w:rPr>
          <w:rFonts w:eastAsia="Calibri"/>
        </w:rPr>
        <w:t>ASPEN was conducted in a different B-cell malignancy (W</w:t>
      </w:r>
      <w:r w:rsidR="0040623D" w:rsidRPr="00940F72">
        <w:rPr>
          <w:rFonts w:eastAsia="Calibri"/>
        </w:rPr>
        <w:t>M</w:t>
      </w:r>
      <w:r w:rsidRPr="00940F72">
        <w:rPr>
          <w:rFonts w:eastAsia="Calibri"/>
        </w:rPr>
        <w:t>)</w:t>
      </w:r>
      <w:r w:rsidR="007B00C8" w:rsidRPr="00940F72">
        <w:rPr>
          <w:rFonts w:eastAsia="Calibri"/>
        </w:rPr>
        <w:t xml:space="preserve">, however contended that </w:t>
      </w:r>
      <w:r w:rsidRPr="00940F72">
        <w:rPr>
          <w:rFonts w:eastAsia="Calibri"/>
        </w:rPr>
        <w:t xml:space="preserve">the improvements in safety profile are attributable to the improved selectivity for the BTK target of zanubrutinib over ibrutinib and are therefore applicable across multiple indications. </w:t>
      </w:r>
      <w:r w:rsidR="007B00C8" w:rsidRPr="00940F72">
        <w:rPr>
          <w:rFonts w:eastAsia="Calibri"/>
        </w:rPr>
        <w:t>The PSCR also noted that a higher dose of ibrutinib (560</w:t>
      </w:r>
      <w:r w:rsidR="00191FAD" w:rsidRPr="00940F72">
        <w:rPr>
          <w:rFonts w:eastAsia="Calibri"/>
        </w:rPr>
        <w:t xml:space="preserve"> </w:t>
      </w:r>
      <w:r w:rsidR="007B00C8" w:rsidRPr="00940F72">
        <w:rPr>
          <w:rFonts w:eastAsia="Calibri"/>
        </w:rPr>
        <w:t xml:space="preserve">mg) is used in MCL than was studied in ASPEN (420 mg) for WM patients, potentially underestimating the risk of </w:t>
      </w:r>
      <w:r w:rsidR="00191FAD" w:rsidRPr="00940F72">
        <w:rPr>
          <w:rFonts w:eastAsia="Calibri"/>
        </w:rPr>
        <w:t>AEs</w:t>
      </w:r>
      <w:r w:rsidR="007B00C8" w:rsidRPr="00940F72">
        <w:rPr>
          <w:rFonts w:eastAsia="Calibri"/>
        </w:rPr>
        <w:t xml:space="preserve"> an</w:t>
      </w:r>
      <w:r w:rsidR="00191FAD" w:rsidRPr="00940F72">
        <w:rPr>
          <w:rFonts w:eastAsia="Calibri"/>
        </w:rPr>
        <w:t>d biasing against zanubrutinib.</w:t>
      </w:r>
      <w:r w:rsidR="007B00C8" w:rsidRPr="00940F72">
        <w:rPr>
          <w:rFonts w:eastAsia="Calibri"/>
        </w:rPr>
        <w:t xml:space="preserve"> The ESC noted that</w:t>
      </w:r>
      <w:r w:rsidR="00A738D8" w:rsidRPr="00940F72">
        <w:rPr>
          <w:rFonts w:eastAsia="Calibri"/>
        </w:rPr>
        <w:t xml:space="preserve"> while</w:t>
      </w:r>
      <w:r w:rsidR="007B00C8" w:rsidRPr="00940F72">
        <w:rPr>
          <w:rFonts w:eastAsia="Calibri"/>
        </w:rPr>
        <w:t xml:space="preserve"> the dose of ibrutinib in ASPEN may have potentially biased against zanubrutinib, use of lower doses for the comparator does not automatically infer underestimation of </w:t>
      </w:r>
      <w:r w:rsidR="00984D66" w:rsidRPr="00940F72">
        <w:rPr>
          <w:rFonts w:eastAsia="Calibri"/>
        </w:rPr>
        <w:t>AEs</w:t>
      </w:r>
      <w:r w:rsidR="007B00C8" w:rsidRPr="00940F72">
        <w:rPr>
          <w:rFonts w:eastAsia="Calibri"/>
        </w:rPr>
        <w:t>.</w:t>
      </w:r>
      <w:r w:rsidR="0010565D" w:rsidRPr="00940F72">
        <w:rPr>
          <w:rFonts w:eastAsia="Calibri"/>
        </w:rPr>
        <w:t xml:space="preserve"> The ESC agreed</w:t>
      </w:r>
      <w:r w:rsidR="00166121" w:rsidRPr="00940F72">
        <w:rPr>
          <w:rFonts w:eastAsia="Calibri"/>
        </w:rPr>
        <w:t xml:space="preserve"> with the submission</w:t>
      </w:r>
      <w:r w:rsidR="0010565D" w:rsidRPr="00940F72">
        <w:rPr>
          <w:rFonts w:eastAsia="Calibri"/>
        </w:rPr>
        <w:t xml:space="preserve"> that it was informative to provide data from the ASPEN trial for assessment of the safety claim.</w:t>
      </w:r>
      <w:r w:rsidR="00A20526" w:rsidRPr="00940F72">
        <w:rPr>
          <w:rFonts w:eastAsia="Calibri"/>
        </w:rPr>
        <w:t xml:space="preserve"> </w:t>
      </w:r>
    </w:p>
    <w:p w:rsidR="00154D21" w:rsidRPr="00940F72" w:rsidRDefault="00154D21" w:rsidP="00E405A0">
      <w:pPr>
        <w:pStyle w:val="3-BodyText"/>
        <w:rPr>
          <w:rFonts w:eastAsia="Calibri"/>
        </w:rPr>
      </w:pPr>
      <w:r w:rsidRPr="00940F72">
        <w:rPr>
          <w:rFonts w:eastAsia="Calibri"/>
          <w:iCs/>
        </w:rPr>
        <w:t xml:space="preserve">The </w:t>
      </w:r>
      <w:r w:rsidR="007B00C8" w:rsidRPr="00940F72">
        <w:rPr>
          <w:rFonts w:eastAsia="Calibri"/>
          <w:iCs/>
        </w:rPr>
        <w:t xml:space="preserve">PSCR stated that the </w:t>
      </w:r>
      <w:r w:rsidRPr="00940F72">
        <w:rPr>
          <w:rFonts w:eastAsia="Calibri"/>
          <w:iCs/>
        </w:rPr>
        <w:t>MAIC is</w:t>
      </w:r>
      <w:r w:rsidR="00DD3D75" w:rsidRPr="00940F72">
        <w:rPr>
          <w:rFonts w:eastAsia="Calibri"/>
          <w:iCs/>
        </w:rPr>
        <w:t xml:space="preserve"> also</w:t>
      </w:r>
      <w:r w:rsidRPr="00940F72">
        <w:rPr>
          <w:rFonts w:eastAsia="Calibri"/>
          <w:iCs/>
        </w:rPr>
        <w:t xml:space="preserve"> broadly supportive of the superiority claim</w:t>
      </w:r>
      <w:r w:rsidR="00DD3D75" w:rsidRPr="00940F72">
        <w:rPr>
          <w:rFonts w:eastAsia="Calibri"/>
          <w:iCs/>
        </w:rPr>
        <w:t xml:space="preserve"> for </w:t>
      </w:r>
      <w:r w:rsidR="00656BF7" w:rsidRPr="00940F72">
        <w:rPr>
          <w:rFonts w:eastAsia="Calibri"/>
          <w:iCs/>
        </w:rPr>
        <w:t>safety but</w:t>
      </w:r>
      <w:r w:rsidRPr="00940F72">
        <w:rPr>
          <w:rFonts w:eastAsia="Calibri"/>
          <w:iCs/>
        </w:rPr>
        <w:t xml:space="preserve"> is </w:t>
      </w:r>
      <w:r w:rsidR="007B00C8" w:rsidRPr="00940F72">
        <w:rPr>
          <w:rFonts w:eastAsia="Calibri"/>
          <w:iCs/>
        </w:rPr>
        <w:t xml:space="preserve">limited because it is </w:t>
      </w:r>
      <w:r w:rsidRPr="00940F72">
        <w:rPr>
          <w:rFonts w:eastAsia="Calibri"/>
          <w:iCs/>
        </w:rPr>
        <w:t xml:space="preserve">only able to present </w:t>
      </w:r>
      <w:r w:rsidR="00984D66" w:rsidRPr="00940F72">
        <w:rPr>
          <w:rFonts w:eastAsia="Calibri"/>
          <w:iCs/>
        </w:rPr>
        <w:t>AEs</w:t>
      </w:r>
      <w:r w:rsidRPr="00940F72">
        <w:rPr>
          <w:rFonts w:eastAsia="Calibri"/>
          <w:iCs/>
        </w:rPr>
        <w:t xml:space="preserve"> that were commonl</w:t>
      </w:r>
      <w:r w:rsidR="00A20526" w:rsidRPr="00940F72">
        <w:rPr>
          <w:rFonts w:eastAsia="Calibri"/>
          <w:iCs/>
        </w:rPr>
        <w:t>y reported between the studies.</w:t>
      </w:r>
    </w:p>
    <w:p w:rsidR="00154D21" w:rsidRPr="00940F72" w:rsidRDefault="00994D03" w:rsidP="00DD3D75">
      <w:pPr>
        <w:pStyle w:val="3-BodyText"/>
        <w:rPr>
          <w:rFonts w:eastAsia="Calibri"/>
          <w:iCs/>
        </w:rPr>
      </w:pPr>
      <w:r w:rsidRPr="00940F72">
        <w:rPr>
          <w:rFonts w:eastAsia="Calibri"/>
          <w:iCs/>
        </w:rPr>
        <w:t>While acknowledging the uncertainty associated with the evidence presented in the submission, the ESC considered that non-inferior efficacy</w:t>
      </w:r>
      <w:r w:rsidR="00847884" w:rsidRPr="00940F72">
        <w:rPr>
          <w:rFonts w:eastAsia="Calibri"/>
          <w:iCs/>
        </w:rPr>
        <w:t xml:space="preserve"> of zanubrutinib</w:t>
      </w:r>
      <w:r w:rsidRPr="00940F72">
        <w:rPr>
          <w:rFonts w:eastAsia="Calibri"/>
          <w:iCs/>
        </w:rPr>
        <w:t xml:space="preserve"> to ibrutinib may be reasonable.</w:t>
      </w:r>
      <w:r w:rsidR="00DD3D75" w:rsidRPr="00940F72">
        <w:rPr>
          <w:rFonts w:eastAsia="Calibri"/>
          <w:iCs/>
        </w:rPr>
        <w:t xml:space="preserve"> However, t</w:t>
      </w:r>
      <w:r w:rsidR="001F040C" w:rsidRPr="00940F72">
        <w:rPr>
          <w:rFonts w:eastAsia="Calibri"/>
          <w:iCs/>
        </w:rPr>
        <w:t xml:space="preserve">he ESC considered that </w:t>
      </w:r>
      <w:r w:rsidR="00314F80" w:rsidRPr="00940F72">
        <w:rPr>
          <w:rFonts w:eastAsia="Calibri"/>
          <w:iCs/>
        </w:rPr>
        <w:t xml:space="preserve">the claim of </w:t>
      </w:r>
      <w:r w:rsidR="001F040C" w:rsidRPr="00940F72">
        <w:rPr>
          <w:rFonts w:eastAsia="Calibri"/>
          <w:iCs/>
        </w:rPr>
        <w:t xml:space="preserve">superior safety </w:t>
      </w:r>
      <w:r w:rsidR="00314F80" w:rsidRPr="00940F72">
        <w:rPr>
          <w:rFonts w:eastAsia="Calibri"/>
          <w:iCs/>
        </w:rPr>
        <w:t xml:space="preserve">to ibrutinib </w:t>
      </w:r>
      <w:r w:rsidR="001F040C" w:rsidRPr="00940F72">
        <w:rPr>
          <w:rFonts w:eastAsia="Calibri"/>
          <w:iCs/>
        </w:rPr>
        <w:t>was not supported</w:t>
      </w:r>
      <w:r w:rsidR="00846471" w:rsidRPr="00940F72">
        <w:rPr>
          <w:rFonts w:eastAsia="Calibri"/>
          <w:iCs/>
        </w:rPr>
        <w:t xml:space="preserve"> because of the uncertain application of the MAIC methodology to AE data and the randomised safety comparison being in a different B-cell malignancy. The ESC considered </w:t>
      </w:r>
      <w:r w:rsidR="001F040C" w:rsidRPr="00940F72">
        <w:rPr>
          <w:rFonts w:eastAsia="Calibri"/>
          <w:iCs/>
        </w:rPr>
        <w:t>that a claim of non-inferior safety would be more appropriate.</w:t>
      </w:r>
      <w:r w:rsidR="00157B27" w:rsidRPr="00940F72">
        <w:rPr>
          <w:rFonts w:eastAsia="Calibri"/>
          <w:iCs/>
        </w:rPr>
        <w:t xml:space="preserve"> The Pre-PBAC response maintained that the claim of superior safety was reasonable. </w:t>
      </w:r>
    </w:p>
    <w:p w:rsidR="00455DCF" w:rsidRPr="00940F72" w:rsidRDefault="00607117" w:rsidP="00455DCF">
      <w:pPr>
        <w:pStyle w:val="3-BodyText"/>
        <w:rPr>
          <w:rFonts w:eastAsia="Calibri"/>
          <w:iCs/>
        </w:rPr>
      </w:pPr>
      <w:r w:rsidRPr="00940F72">
        <w:rPr>
          <w:rFonts w:eastAsia="Calibri"/>
          <w:iCs/>
        </w:rPr>
        <w:t xml:space="preserve">The PBAC </w:t>
      </w:r>
      <w:r w:rsidR="009A1868" w:rsidRPr="00940F72">
        <w:rPr>
          <w:rFonts w:eastAsia="Calibri"/>
          <w:iCs/>
        </w:rPr>
        <w:t>considered</w:t>
      </w:r>
      <w:r w:rsidRPr="00940F72">
        <w:rPr>
          <w:rFonts w:eastAsia="Calibri"/>
          <w:iCs/>
        </w:rPr>
        <w:t xml:space="preserve"> that</w:t>
      </w:r>
      <w:r w:rsidR="009A1868" w:rsidRPr="00940F72">
        <w:rPr>
          <w:rFonts w:eastAsia="Calibri"/>
          <w:iCs/>
        </w:rPr>
        <w:t xml:space="preserve"> while</w:t>
      </w:r>
      <w:r w:rsidRPr="00940F72">
        <w:rPr>
          <w:rFonts w:eastAsia="Calibri"/>
          <w:iCs/>
        </w:rPr>
        <w:t xml:space="preserve"> the comparison between zanubrutinib and ibrutinib using single arm data was uncertain due to</w:t>
      </w:r>
      <w:r w:rsidR="00C83062" w:rsidRPr="00940F72">
        <w:rPr>
          <w:rFonts w:eastAsia="Calibri"/>
          <w:iCs/>
        </w:rPr>
        <w:t xml:space="preserve"> </w:t>
      </w:r>
      <w:r w:rsidR="009A1868" w:rsidRPr="00940F72">
        <w:rPr>
          <w:rFonts w:eastAsia="Calibri"/>
          <w:iCs/>
        </w:rPr>
        <w:t>the issues discussed in paragraphs 6.</w:t>
      </w:r>
      <w:r w:rsidR="00F414C0" w:rsidRPr="00940F72">
        <w:rPr>
          <w:rFonts w:eastAsia="Calibri"/>
          <w:iCs/>
        </w:rPr>
        <w:t>49</w:t>
      </w:r>
      <w:r w:rsidR="009A1868" w:rsidRPr="00940F72">
        <w:rPr>
          <w:rFonts w:eastAsia="Calibri"/>
          <w:iCs/>
        </w:rPr>
        <w:t>, 6.5</w:t>
      </w:r>
      <w:r w:rsidR="00F414C0" w:rsidRPr="00940F72">
        <w:rPr>
          <w:rFonts w:eastAsia="Calibri"/>
          <w:iCs/>
        </w:rPr>
        <w:t>0</w:t>
      </w:r>
      <w:r w:rsidR="009A1868" w:rsidRPr="00940F72">
        <w:rPr>
          <w:rFonts w:eastAsia="Calibri"/>
          <w:iCs/>
        </w:rPr>
        <w:t xml:space="preserve"> and 6.5</w:t>
      </w:r>
      <w:r w:rsidR="00F414C0" w:rsidRPr="00940F72">
        <w:rPr>
          <w:rFonts w:eastAsia="Calibri"/>
          <w:iCs/>
        </w:rPr>
        <w:t>1</w:t>
      </w:r>
      <w:r w:rsidR="009A1868" w:rsidRPr="00940F72">
        <w:rPr>
          <w:rFonts w:eastAsia="Calibri"/>
          <w:iCs/>
        </w:rPr>
        <w:t xml:space="preserve">, both </w:t>
      </w:r>
      <w:r w:rsidR="00BC3783" w:rsidRPr="00940F72">
        <w:rPr>
          <w:rFonts w:eastAsia="Calibri"/>
          <w:iCs/>
        </w:rPr>
        <w:t xml:space="preserve">the naïve comparison and the MAIC analysis were consistent with </w:t>
      </w:r>
      <w:r w:rsidR="009A1868" w:rsidRPr="00940F72">
        <w:rPr>
          <w:rFonts w:eastAsia="Calibri"/>
          <w:iCs/>
        </w:rPr>
        <w:t>non-inferiority</w:t>
      </w:r>
      <w:r w:rsidR="00DF3128" w:rsidRPr="00940F72">
        <w:rPr>
          <w:rFonts w:eastAsia="Calibri"/>
          <w:iCs/>
        </w:rPr>
        <w:t xml:space="preserve"> and that</w:t>
      </w:r>
      <w:r w:rsidR="00BC3783" w:rsidRPr="00940F72">
        <w:rPr>
          <w:rFonts w:eastAsia="Calibri"/>
          <w:iCs/>
        </w:rPr>
        <w:t xml:space="preserve"> on</w:t>
      </w:r>
      <w:r w:rsidRPr="00940F72">
        <w:rPr>
          <w:rFonts w:eastAsia="Calibri"/>
          <w:iCs/>
        </w:rPr>
        <w:t xml:space="preserve"> balance, zanubrutinib is likely to have similar effectiveness to ibrutinib in R/R MCL.</w:t>
      </w:r>
    </w:p>
    <w:p w:rsidR="00615610" w:rsidRPr="00940F72" w:rsidRDefault="007D0CCA" w:rsidP="00455DCF">
      <w:pPr>
        <w:pStyle w:val="3-BodyText"/>
        <w:rPr>
          <w:rFonts w:eastAsia="Calibri"/>
          <w:iCs/>
        </w:rPr>
      </w:pPr>
      <w:r w:rsidRPr="00940F72">
        <w:rPr>
          <w:rFonts w:eastAsia="Calibri"/>
          <w:iCs/>
        </w:rPr>
        <w:t xml:space="preserve">The PBAC considered the claim that zanubrutinib is superior in terms of comparative safety compared with ibrutinib was </w:t>
      </w:r>
      <w:r w:rsidR="00615610" w:rsidRPr="00940F72">
        <w:rPr>
          <w:rFonts w:eastAsia="Calibri"/>
          <w:iCs/>
        </w:rPr>
        <w:t>not adequately supported. The PBAC acknowledged the data in indications other than MCL suggested that treatment with zan</w:t>
      </w:r>
      <w:r w:rsidR="00AD567D" w:rsidRPr="00940F72">
        <w:rPr>
          <w:rFonts w:eastAsia="Calibri"/>
          <w:iCs/>
        </w:rPr>
        <w:t>u</w:t>
      </w:r>
      <w:r w:rsidR="00615610" w:rsidRPr="00940F72">
        <w:rPr>
          <w:rFonts w:eastAsia="Calibri"/>
          <w:iCs/>
        </w:rPr>
        <w:t>brutinib may be associated with a lower rate of AEs compared with ibrutinib, including lower rates of atrial fibrillation and hypertension, however based on the</w:t>
      </w:r>
      <w:r w:rsidR="002F17F5" w:rsidRPr="00940F72">
        <w:rPr>
          <w:rFonts w:eastAsia="Calibri"/>
          <w:iCs/>
        </w:rPr>
        <w:t xml:space="preserve"> limited single arm</w:t>
      </w:r>
      <w:r w:rsidR="00615610" w:rsidRPr="00940F72">
        <w:rPr>
          <w:rFonts w:eastAsia="Calibri"/>
          <w:iCs/>
        </w:rPr>
        <w:t xml:space="preserve"> data </w:t>
      </w:r>
      <w:r w:rsidR="002F17F5" w:rsidRPr="00940F72">
        <w:rPr>
          <w:rFonts w:eastAsia="Calibri"/>
          <w:iCs/>
        </w:rPr>
        <w:t xml:space="preserve">currently </w:t>
      </w:r>
      <w:r w:rsidR="00615610" w:rsidRPr="00940F72">
        <w:rPr>
          <w:rFonts w:eastAsia="Calibri"/>
          <w:iCs/>
        </w:rPr>
        <w:t>available for zan</w:t>
      </w:r>
      <w:r w:rsidR="00AD567D" w:rsidRPr="00940F72">
        <w:rPr>
          <w:rFonts w:eastAsia="Calibri"/>
          <w:iCs/>
        </w:rPr>
        <w:t>u</w:t>
      </w:r>
      <w:r w:rsidR="00615610" w:rsidRPr="00940F72">
        <w:rPr>
          <w:rFonts w:eastAsia="Calibri"/>
          <w:iCs/>
        </w:rPr>
        <w:t xml:space="preserve">brutinib in MCL, </w:t>
      </w:r>
      <w:r w:rsidR="002F17F5" w:rsidRPr="00940F72">
        <w:rPr>
          <w:rFonts w:eastAsia="Calibri"/>
          <w:iCs/>
        </w:rPr>
        <w:t>the PBAC did not accept the superiority claim.</w:t>
      </w:r>
    </w:p>
    <w:p w:rsidR="00955300" w:rsidRPr="00940F72" w:rsidRDefault="00955300" w:rsidP="00955300">
      <w:pPr>
        <w:pStyle w:val="4-SubsectionHeading"/>
      </w:pPr>
      <w:bookmarkStart w:id="56" w:name="_Toc22897645"/>
      <w:bookmarkStart w:id="57" w:name="_Toc22898857"/>
      <w:bookmarkStart w:id="58" w:name="_Toc72318709"/>
      <w:r w:rsidRPr="00940F72">
        <w:t>Economic analysis</w:t>
      </w:r>
      <w:bookmarkEnd w:id="56"/>
      <w:bookmarkEnd w:id="57"/>
      <w:bookmarkEnd w:id="58"/>
      <w:r w:rsidRPr="00940F72">
        <w:t xml:space="preserve"> </w:t>
      </w:r>
    </w:p>
    <w:p w:rsidR="00955300" w:rsidRPr="00940F72" w:rsidRDefault="00955300" w:rsidP="00955300">
      <w:pPr>
        <w:pStyle w:val="3-BodyText"/>
      </w:pPr>
      <w:r w:rsidRPr="00940F72">
        <w:t xml:space="preserve">The submission presented a CMA of zanubrutinib versus ibrutinib based on the claim of non-inferior efficacy and superior safety. </w:t>
      </w:r>
      <w:r w:rsidRPr="00940F72">
        <w:rPr>
          <w:iCs/>
        </w:rPr>
        <w:t>A cost-minimisation approach is consistent with the clinical claim.</w:t>
      </w:r>
      <w:r w:rsidRPr="00940F72">
        <w:rPr>
          <w:color w:val="3366FF"/>
        </w:rPr>
        <w:t xml:space="preserve"> </w:t>
      </w:r>
    </w:p>
    <w:p w:rsidR="00955300" w:rsidRPr="00940F72" w:rsidRDefault="00955300" w:rsidP="00955300">
      <w:pPr>
        <w:pStyle w:val="3-BodyText"/>
      </w:pPr>
      <w:r w:rsidRPr="00940F72">
        <w:t>The equi-effective doses were estimated as:</w:t>
      </w:r>
    </w:p>
    <w:p w:rsidR="00955300" w:rsidRPr="00940F72" w:rsidRDefault="00955300" w:rsidP="004C2E7C">
      <w:pPr>
        <w:pStyle w:val="3-BodyText"/>
        <w:numPr>
          <w:ilvl w:val="0"/>
          <w:numId w:val="14"/>
        </w:numPr>
        <w:ind w:left="709" w:hanging="283"/>
      </w:pPr>
      <w:r w:rsidRPr="00940F72">
        <w:t>Zanubrutinib 320 mg (four 80 mg capsules) taken oral</w:t>
      </w:r>
      <w:r w:rsidR="00E57AD3" w:rsidRPr="00940F72">
        <w:t>ly once daily or 160 mg (two 80 </w:t>
      </w:r>
      <w:r w:rsidRPr="00940F72">
        <w:t>mg capsules), taken orally</w:t>
      </w:r>
      <w:r w:rsidR="00E57AD3" w:rsidRPr="00940F72">
        <w:t xml:space="preserve"> twice daily</w:t>
      </w:r>
      <w:r w:rsidRPr="00940F72">
        <w:t xml:space="preserve"> until disease progression or unacceptable toxicity, and</w:t>
      </w:r>
    </w:p>
    <w:p w:rsidR="00955300" w:rsidRPr="00940F72" w:rsidRDefault="00955300" w:rsidP="004C2E7C">
      <w:pPr>
        <w:pStyle w:val="3-BodyText"/>
        <w:numPr>
          <w:ilvl w:val="0"/>
          <w:numId w:val="14"/>
        </w:numPr>
        <w:ind w:left="709" w:hanging="283"/>
      </w:pPr>
      <w:r w:rsidRPr="00940F72">
        <w:t>Ibrutinib 560</w:t>
      </w:r>
      <w:r w:rsidR="00E57AD3" w:rsidRPr="00940F72">
        <w:t xml:space="preserve"> </w:t>
      </w:r>
      <w:r w:rsidRPr="00940F72">
        <w:t>mg</w:t>
      </w:r>
      <w:r w:rsidR="00E57AD3" w:rsidRPr="00940F72">
        <w:t xml:space="preserve"> taken orally</w:t>
      </w:r>
      <w:r w:rsidRPr="00940F72">
        <w:t xml:space="preserve"> once daily until disease progression or unacceptable toxicity</w:t>
      </w:r>
      <w:r w:rsidR="00E57AD3" w:rsidRPr="00940F72">
        <w:t>.</w:t>
      </w:r>
    </w:p>
    <w:p w:rsidR="00955300" w:rsidRPr="00940F72" w:rsidRDefault="00955300" w:rsidP="00955300">
      <w:pPr>
        <w:pStyle w:val="3-BodyText"/>
        <w:rPr>
          <w:color w:val="0066FF"/>
        </w:rPr>
      </w:pPr>
      <w:r w:rsidRPr="00940F72">
        <w:rPr>
          <w:iCs/>
        </w:rPr>
        <w:t>The proposed equi-effective doses were consistent with the medicine doses and treatment regimens in the included studies</w:t>
      </w:r>
      <w:r w:rsidRPr="00940F72">
        <w:t xml:space="preserve"> </w:t>
      </w:r>
      <w:r w:rsidRPr="00940F72">
        <w:rPr>
          <w:iCs/>
        </w:rPr>
        <w:t>and the TGA Product Information for zanubrutinib and ibrutinib.</w:t>
      </w:r>
    </w:p>
    <w:p w:rsidR="00955300" w:rsidRPr="00940F72" w:rsidRDefault="00955300" w:rsidP="00955300">
      <w:pPr>
        <w:pStyle w:val="3-BodyText"/>
      </w:pPr>
      <w:r w:rsidRPr="00940F72">
        <w:t xml:space="preserve">At the latest data cut, </w:t>
      </w:r>
      <w:bookmarkStart w:id="59" w:name="_Hlk69258719"/>
      <w:r w:rsidRPr="00940F72">
        <w:t>the median duration of treatment was longer for zanubrutinib (Study 206: 17.</w:t>
      </w:r>
      <w:r w:rsidR="007D01D6" w:rsidRPr="00940F72">
        <w:t xml:space="preserve">8 </w:t>
      </w:r>
      <w:r w:rsidRPr="00940F72">
        <w:t>months</w:t>
      </w:r>
      <w:r w:rsidR="00C03ECB" w:rsidRPr="00940F72">
        <w:t xml:space="preserve"> with median follow-up of 18.4 months</w:t>
      </w:r>
      <w:r w:rsidRPr="00940F72">
        <w:t xml:space="preserve"> and Study AU-003: 15.4 months</w:t>
      </w:r>
      <w:r w:rsidR="00C03ECB" w:rsidRPr="00940F72">
        <w:t xml:space="preserve"> with median follow-up of 19.4 months</w:t>
      </w:r>
      <w:r w:rsidRPr="00940F72">
        <w:t xml:space="preserve">) than for ibrutinib (14.4 months </w:t>
      </w:r>
      <w:r w:rsidR="00C03ECB" w:rsidRPr="00940F72">
        <w:t xml:space="preserve">with a median follow-up of 38.7 months </w:t>
      </w:r>
      <w:r w:rsidRPr="00940F72">
        <w:t>in the MCL-3001/RAY study).</w:t>
      </w:r>
      <w:bookmarkEnd w:id="59"/>
      <w:r w:rsidRPr="00940F72">
        <w:t xml:space="preserve"> </w:t>
      </w:r>
      <w:r w:rsidRPr="00940F72">
        <w:rPr>
          <w:iCs/>
        </w:rPr>
        <w:t>This does not support the assumption of equal duration of treatment with zanubrutinib and ibrutinib, although any difference may be due to differences in patient baseline characteristics between the zanubrutinib and ibrutinib studies.</w:t>
      </w:r>
      <w:r w:rsidR="00F24707" w:rsidRPr="00940F72">
        <w:rPr>
          <w:iCs/>
        </w:rPr>
        <w:t xml:space="preserve"> Mean duration of treatment for the MCL-3001/RAY trial is unpublished</w:t>
      </w:r>
      <w:r w:rsidR="00D44895" w:rsidRPr="00940F72">
        <w:rPr>
          <w:iCs/>
        </w:rPr>
        <w:t xml:space="preserve">. </w:t>
      </w:r>
      <w:r w:rsidR="00797857" w:rsidRPr="00940F72">
        <w:rPr>
          <w:iCs/>
        </w:rPr>
        <w:t>Mean</w:t>
      </w:r>
      <w:r w:rsidR="00F24707" w:rsidRPr="00940F72">
        <w:rPr>
          <w:iCs/>
        </w:rPr>
        <w:t xml:space="preserve"> duration</w:t>
      </w:r>
      <w:r w:rsidR="00797857" w:rsidRPr="00940F72">
        <w:rPr>
          <w:iCs/>
        </w:rPr>
        <w:t>s</w:t>
      </w:r>
      <w:r w:rsidR="00F24707" w:rsidRPr="00940F72">
        <w:rPr>
          <w:iCs/>
        </w:rPr>
        <w:t xml:space="preserve"> of treatment</w:t>
      </w:r>
      <w:r w:rsidR="00797857" w:rsidRPr="00940F72">
        <w:rPr>
          <w:iCs/>
        </w:rPr>
        <w:t xml:space="preserve"> were not reported in the submission for </w:t>
      </w:r>
      <w:r w:rsidR="00D44895" w:rsidRPr="00940F72">
        <w:rPr>
          <w:iCs/>
        </w:rPr>
        <w:t>Study 206 and Study AU-003</w:t>
      </w:r>
      <w:r w:rsidR="00797857" w:rsidRPr="00940F72">
        <w:rPr>
          <w:iCs/>
        </w:rPr>
        <w:t xml:space="preserve">, but were available in the clinical study reports, noting there was a </w:t>
      </w:r>
      <w:r w:rsidR="00D44895" w:rsidRPr="00940F72">
        <w:rPr>
          <w:iCs/>
        </w:rPr>
        <w:t>shorter follow-up time in the zanubrutinib studies</w:t>
      </w:r>
      <w:r w:rsidR="00797857" w:rsidRPr="00940F72">
        <w:rPr>
          <w:iCs/>
        </w:rPr>
        <w:t xml:space="preserve"> as compared with MCL-3001/RAY trial.</w:t>
      </w:r>
    </w:p>
    <w:p w:rsidR="00955300" w:rsidRPr="00940F72" w:rsidRDefault="00955300" w:rsidP="00955300">
      <w:pPr>
        <w:pStyle w:val="3-BodyText"/>
      </w:pPr>
      <w:r w:rsidRPr="00940F72">
        <w:t xml:space="preserve">No additional costs/or cost offsets were claimed. The CMA results included the drug costs only. </w:t>
      </w:r>
    </w:p>
    <w:p w:rsidR="00797857" w:rsidRPr="00940F72" w:rsidRDefault="00955300" w:rsidP="00955300">
      <w:pPr>
        <w:pStyle w:val="3-BodyText"/>
      </w:pPr>
      <w:r w:rsidRPr="00940F72">
        <w:t>As a secondary analysis, a potential cost saving of $</w:t>
      </w:r>
      <w:r w:rsidR="00C13E60">
        <w:rPr>
          <w:noProof/>
          <w:color w:val="000000"/>
          <w:highlight w:val="black"/>
        </w:rPr>
        <w:t>'''''''''''</w:t>
      </w:r>
      <w:r w:rsidRPr="00940F72">
        <w:t xml:space="preserve"> per patient per 30 days was estimated with zanubrutinib use due to the reduced costs of treating atrial fibrillation and pneumonia, despite increased costs of treating neutropenia.</w:t>
      </w:r>
      <w:r w:rsidR="006B3AAE" w:rsidRPr="00940F72">
        <w:t xml:space="preserve"> In its consideration of acalabrutinib as treatment for patients with R/R CLL/SLL, the PBAC considered that the cost-minimisation analysis should not include AE costs due to the unreliability of the data presented in the MAIC (paragraph 7.11, acalabrutinib</w:t>
      </w:r>
      <w:r w:rsidR="00DF2C56">
        <w:t xml:space="preserve"> PSD</w:t>
      </w:r>
      <w:r w:rsidR="006B3AAE" w:rsidRPr="00940F72">
        <w:t>, March 2020 PBAC meeting).</w:t>
      </w:r>
    </w:p>
    <w:p w:rsidR="00797857" w:rsidRPr="00940F72" w:rsidRDefault="00797857" w:rsidP="00955300">
      <w:pPr>
        <w:pStyle w:val="3-BodyText"/>
      </w:pPr>
      <w:r w:rsidRPr="00940F72">
        <w:t>The PBAC considered that to ensure the cost per patient treated with zanubrutinib is no more than for ibrutinib, that cost offsets for AEs should not be included in the CMA given</w:t>
      </w:r>
      <w:r w:rsidRPr="00940F72">
        <w:rPr>
          <w:iCs/>
        </w:rPr>
        <w:t xml:space="preserve"> the clinical uncertainty associated with the inputs informing these costs.</w:t>
      </w:r>
    </w:p>
    <w:p w:rsidR="00955300" w:rsidRPr="00940F72" w:rsidRDefault="00955300" w:rsidP="00955300">
      <w:pPr>
        <w:pStyle w:val="3-BodyText"/>
      </w:pPr>
      <w:r w:rsidRPr="00940F72">
        <w:t xml:space="preserve">The results of the cost-minimisation analysis based on the published AEMP of ibrutinib are presented in Table </w:t>
      </w:r>
      <w:r w:rsidR="003F5AB2" w:rsidRPr="00940F72">
        <w:t>1</w:t>
      </w:r>
      <w:r w:rsidR="00053418" w:rsidRPr="00940F72">
        <w:t>1</w:t>
      </w:r>
      <w:r w:rsidRPr="00940F72">
        <w:t xml:space="preserve">. </w:t>
      </w:r>
    </w:p>
    <w:p w:rsidR="00955300" w:rsidRPr="00940F72" w:rsidRDefault="0086429A" w:rsidP="003739CA">
      <w:pPr>
        <w:pStyle w:val="TableFigureHeading"/>
        <w:keepLines/>
      </w:pPr>
      <w:bookmarkStart w:id="60" w:name="_Hlk71540797"/>
      <w:bookmarkStart w:id="61" w:name="_Hlk72251203"/>
      <w:r w:rsidRPr="00940F72">
        <w:t>Table 1</w:t>
      </w:r>
      <w:r w:rsidR="00053418" w:rsidRPr="00940F72">
        <w:t>1</w:t>
      </w:r>
      <w:r w:rsidR="00955300" w:rsidRPr="00940F72">
        <w:t xml:space="preserve">: Results of the cost-minimisation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194"/>
        <w:gridCol w:w="2628"/>
      </w:tblGrid>
      <w:tr w:rsidR="00955300" w:rsidRPr="00940F72" w:rsidTr="003739CA">
        <w:tc>
          <w:tcPr>
            <w:tcW w:w="1772" w:type="pct"/>
          </w:tcPr>
          <w:p w:rsidR="00955300" w:rsidRPr="00940F72" w:rsidRDefault="00955300" w:rsidP="003739CA">
            <w:pPr>
              <w:pStyle w:val="In-tableHeading"/>
              <w:keepLines/>
              <w:rPr>
                <w:lang w:val="en-AU"/>
              </w:rPr>
            </w:pPr>
            <w:r w:rsidRPr="00940F72">
              <w:rPr>
                <w:lang w:val="en-AU"/>
              </w:rPr>
              <w:t>Component</w:t>
            </w:r>
          </w:p>
        </w:tc>
        <w:tc>
          <w:tcPr>
            <w:tcW w:w="1771" w:type="pct"/>
          </w:tcPr>
          <w:p w:rsidR="00955300" w:rsidRPr="00940F72" w:rsidRDefault="00955300" w:rsidP="003739CA">
            <w:pPr>
              <w:pStyle w:val="In-tableHeading"/>
              <w:keepLines/>
              <w:rPr>
                <w:lang w:val="en-AU"/>
              </w:rPr>
            </w:pPr>
            <w:r w:rsidRPr="00940F72">
              <w:rPr>
                <w:lang w:val="en-AU"/>
              </w:rPr>
              <w:t>Zanubrutinib</w:t>
            </w:r>
          </w:p>
        </w:tc>
        <w:tc>
          <w:tcPr>
            <w:tcW w:w="1457" w:type="pct"/>
          </w:tcPr>
          <w:p w:rsidR="00955300" w:rsidRPr="00940F72" w:rsidRDefault="00955300" w:rsidP="003739CA">
            <w:pPr>
              <w:pStyle w:val="In-tableHeading"/>
              <w:keepLines/>
              <w:rPr>
                <w:lang w:val="en-AU"/>
              </w:rPr>
            </w:pPr>
            <w:r w:rsidRPr="00940F72">
              <w:rPr>
                <w:lang w:val="en-AU"/>
              </w:rPr>
              <w:t>Ibrutinib</w:t>
            </w:r>
          </w:p>
        </w:tc>
      </w:tr>
      <w:tr w:rsidR="00955300" w:rsidRPr="00940F72" w:rsidTr="003739CA">
        <w:tc>
          <w:tcPr>
            <w:tcW w:w="1772" w:type="pct"/>
          </w:tcPr>
          <w:p w:rsidR="00955300" w:rsidRPr="00940F72" w:rsidRDefault="002F25EC" w:rsidP="003739CA">
            <w:pPr>
              <w:pStyle w:val="TableText0"/>
              <w:keepLines/>
            </w:pPr>
            <w:r w:rsidRPr="00940F72">
              <w:t>Ex-manufacturer price (published)</w:t>
            </w:r>
          </w:p>
        </w:tc>
        <w:tc>
          <w:tcPr>
            <w:tcW w:w="1771" w:type="pct"/>
          </w:tcPr>
          <w:p w:rsidR="00955300" w:rsidRPr="00940F72" w:rsidRDefault="00955300" w:rsidP="003739CA">
            <w:pPr>
              <w:pStyle w:val="TableText0"/>
              <w:keepLines/>
            </w:pPr>
            <w:r w:rsidRPr="00940F72">
              <w:t>$11,511</w:t>
            </w:r>
            <w:r w:rsidR="002F25EC" w:rsidRPr="00940F72">
              <w:t>.05</w:t>
            </w:r>
            <w:r w:rsidR="002F25EC" w:rsidRPr="00940F72">
              <w:rPr>
                <w:vertAlign w:val="superscript"/>
              </w:rPr>
              <w:t>a</w:t>
            </w:r>
          </w:p>
        </w:tc>
        <w:tc>
          <w:tcPr>
            <w:tcW w:w="1457" w:type="pct"/>
          </w:tcPr>
          <w:p w:rsidR="00955300" w:rsidRPr="00940F72" w:rsidRDefault="00955300" w:rsidP="003739CA">
            <w:pPr>
              <w:pStyle w:val="TableText0"/>
              <w:keepLines/>
            </w:pPr>
            <w:r w:rsidRPr="00940F72">
              <w:t>$11,511</w:t>
            </w:r>
            <w:r w:rsidR="002F25EC" w:rsidRPr="00940F72">
              <w:t>.05</w:t>
            </w:r>
            <w:r w:rsidR="002F25EC" w:rsidRPr="00940F72">
              <w:rPr>
                <w:vertAlign w:val="superscript"/>
              </w:rPr>
              <w:t>a</w:t>
            </w:r>
          </w:p>
        </w:tc>
      </w:tr>
      <w:tr w:rsidR="00955300" w:rsidRPr="00940F72" w:rsidTr="003739CA">
        <w:tc>
          <w:tcPr>
            <w:tcW w:w="1772" w:type="pct"/>
          </w:tcPr>
          <w:p w:rsidR="00955300" w:rsidRPr="00940F72" w:rsidRDefault="00955300" w:rsidP="003739CA">
            <w:pPr>
              <w:pStyle w:val="TableText0"/>
              <w:keepLines/>
            </w:pPr>
            <w:r w:rsidRPr="00940F72">
              <w:t>Days per pack</w:t>
            </w:r>
          </w:p>
        </w:tc>
        <w:tc>
          <w:tcPr>
            <w:tcW w:w="1771" w:type="pct"/>
          </w:tcPr>
          <w:p w:rsidR="00955300" w:rsidRPr="00940F72" w:rsidRDefault="00955300" w:rsidP="003739CA">
            <w:pPr>
              <w:pStyle w:val="TableText0"/>
              <w:keepLines/>
            </w:pPr>
            <w:r w:rsidRPr="00940F72">
              <w:t>30</w:t>
            </w:r>
          </w:p>
        </w:tc>
        <w:tc>
          <w:tcPr>
            <w:tcW w:w="1457" w:type="pct"/>
          </w:tcPr>
          <w:p w:rsidR="00955300" w:rsidRPr="00940F72" w:rsidRDefault="00955300" w:rsidP="003739CA">
            <w:pPr>
              <w:pStyle w:val="TableText0"/>
              <w:keepLines/>
            </w:pPr>
            <w:r w:rsidRPr="00940F72">
              <w:t>30</w:t>
            </w:r>
          </w:p>
        </w:tc>
      </w:tr>
      <w:tr w:rsidR="00955300" w:rsidRPr="00940F72" w:rsidTr="003739CA">
        <w:tc>
          <w:tcPr>
            <w:tcW w:w="1772" w:type="pct"/>
          </w:tcPr>
          <w:p w:rsidR="00955300" w:rsidRPr="00940F72" w:rsidRDefault="00955300" w:rsidP="003739CA">
            <w:pPr>
              <w:pStyle w:val="TableText0"/>
              <w:keepLines/>
              <w:rPr>
                <w:iCs/>
                <w:vertAlign w:val="superscript"/>
              </w:rPr>
            </w:pPr>
            <w:r w:rsidRPr="00940F72">
              <w:rPr>
                <w:iCs/>
              </w:rPr>
              <w:t xml:space="preserve">Medicine cost per day </w:t>
            </w:r>
            <w:r w:rsidR="002F25EC" w:rsidRPr="00940F72">
              <w:rPr>
                <w:vertAlign w:val="superscript"/>
              </w:rPr>
              <w:t>b</w:t>
            </w:r>
          </w:p>
        </w:tc>
        <w:tc>
          <w:tcPr>
            <w:tcW w:w="1771" w:type="pct"/>
          </w:tcPr>
          <w:p w:rsidR="00955300" w:rsidRPr="00940F72" w:rsidRDefault="00955300" w:rsidP="003739CA">
            <w:pPr>
              <w:pStyle w:val="TableText0"/>
              <w:keepLines/>
              <w:rPr>
                <w:iCs/>
              </w:rPr>
            </w:pPr>
            <w:r w:rsidRPr="00940F72">
              <w:rPr>
                <w:iCs/>
              </w:rPr>
              <w:t>$38</w:t>
            </w:r>
            <w:r w:rsidR="002F25EC" w:rsidRPr="00940F72">
              <w:rPr>
                <w:iCs/>
              </w:rPr>
              <w:t>3.70</w:t>
            </w:r>
          </w:p>
        </w:tc>
        <w:tc>
          <w:tcPr>
            <w:tcW w:w="1457" w:type="pct"/>
          </w:tcPr>
          <w:p w:rsidR="00955300" w:rsidRPr="00940F72" w:rsidRDefault="00955300" w:rsidP="003739CA">
            <w:pPr>
              <w:pStyle w:val="TableText0"/>
              <w:keepLines/>
              <w:rPr>
                <w:iCs/>
              </w:rPr>
            </w:pPr>
            <w:r w:rsidRPr="00940F72">
              <w:rPr>
                <w:iCs/>
              </w:rPr>
              <w:t>$38</w:t>
            </w:r>
            <w:r w:rsidR="002F25EC" w:rsidRPr="00940F72">
              <w:rPr>
                <w:iCs/>
              </w:rPr>
              <w:t>3.70</w:t>
            </w:r>
          </w:p>
        </w:tc>
      </w:tr>
    </w:tbl>
    <w:bookmarkEnd w:id="60"/>
    <w:p w:rsidR="002F25EC" w:rsidRPr="00940F72" w:rsidRDefault="002F25EC" w:rsidP="003739CA">
      <w:pPr>
        <w:pStyle w:val="TableFigureFooter"/>
        <w:keepNext/>
        <w:keepLines/>
      </w:pPr>
      <w:r w:rsidRPr="00940F72">
        <w:rPr>
          <w:vertAlign w:val="superscript"/>
        </w:rPr>
        <w:t>a</w:t>
      </w:r>
      <w:r w:rsidR="00955300" w:rsidRPr="00940F72">
        <w:t xml:space="preserve"> The effective price is subject to special pricing arrangement.</w:t>
      </w:r>
    </w:p>
    <w:p w:rsidR="00955300" w:rsidRPr="00940F72" w:rsidRDefault="002F25EC" w:rsidP="003739CA">
      <w:pPr>
        <w:pStyle w:val="TableFigureFooter"/>
        <w:keepNext/>
        <w:keepLines/>
        <w:rPr>
          <w:iCs/>
        </w:rPr>
      </w:pPr>
      <w:r w:rsidRPr="00940F72">
        <w:rPr>
          <w:iCs/>
          <w:vertAlign w:val="superscript"/>
        </w:rPr>
        <w:t>b</w:t>
      </w:r>
      <w:r w:rsidR="00955300" w:rsidRPr="00940F72">
        <w:rPr>
          <w:iCs/>
          <w:vertAlign w:val="superscript"/>
        </w:rPr>
        <w:t xml:space="preserve"> </w:t>
      </w:r>
      <w:r w:rsidR="00955300" w:rsidRPr="00940F72">
        <w:rPr>
          <w:iCs/>
        </w:rPr>
        <w:t>Medicine cost per day calculated by dividing $11,511</w:t>
      </w:r>
      <w:r w:rsidRPr="00940F72">
        <w:rPr>
          <w:iCs/>
        </w:rPr>
        <w:t>.05</w:t>
      </w:r>
      <w:r w:rsidR="00955300" w:rsidRPr="00940F72">
        <w:rPr>
          <w:iCs/>
        </w:rPr>
        <w:t xml:space="preserve"> by 30.</w:t>
      </w:r>
    </w:p>
    <w:p w:rsidR="00035F52" w:rsidRPr="00940F72" w:rsidRDefault="00955300" w:rsidP="003739CA">
      <w:pPr>
        <w:pStyle w:val="TableFigureFooter"/>
        <w:keepNext/>
        <w:keepLines/>
      </w:pPr>
      <w:r w:rsidRPr="00940F72">
        <w:rPr>
          <w:iCs/>
        </w:rPr>
        <w:t xml:space="preserve"> </w:t>
      </w:r>
      <w:r w:rsidRPr="00940F72">
        <w:t>Source: Table 3.10, p111 of the submission.</w:t>
      </w:r>
    </w:p>
    <w:bookmarkEnd w:id="61"/>
    <w:p w:rsidR="007D01D6" w:rsidRPr="00940F72" w:rsidRDefault="007D01D6" w:rsidP="007D01D6">
      <w:pPr>
        <w:pStyle w:val="3-BodyText"/>
        <w:rPr>
          <w:iCs/>
        </w:rPr>
      </w:pPr>
      <w:r w:rsidRPr="00940F72">
        <w:rPr>
          <w:iCs/>
        </w:rPr>
        <w:t>The ESC noted that for patients who have developed an intolerance to ibrutinib necessitating permanent treatment withdrawal, and then go on to receive zanubrutinib as</w:t>
      </w:r>
      <w:r w:rsidR="00AA1D0A" w:rsidRPr="00940F72">
        <w:rPr>
          <w:iCs/>
        </w:rPr>
        <w:t xml:space="preserve"> per the</w:t>
      </w:r>
      <w:r w:rsidRPr="00940F72">
        <w:rPr>
          <w:iCs/>
        </w:rPr>
        <w:t xml:space="preserve"> requested</w:t>
      </w:r>
      <w:r w:rsidR="00AA1D0A" w:rsidRPr="00940F72">
        <w:rPr>
          <w:iCs/>
        </w:rPr>
        <w:t xml:space="preserve"> listing</w:t>
      </w:r>
      <w:r w:rsidRPr="00940F72">
        <w:rPr>
          <w:iCs/>
        </w:rPr>
        <w:t xml:space="preserve"> (paragraph </w:t>
      </w:r>
      <w:r w:rsidR="0053569C" w:rsidRPr="00940F72">
        <w:rPr>
          <w:iCs/>
        </w:rPr>
        <w:t>3.</w:t>
      </w:r>
      <w:r w:rsidR="0060091C" w:rsidRPr="00940F72">
        <w:rPr>
          <w:iCs/>
        </w:rPr>
        <w:t>6</w:t>
      </w:r>
      <w:r w:rsidRPr="00940F72">
        <w:rPr>
          <w:iCs/>
        </w:rPr>
        <w:t>), the duration of therapy for zanubrutinib after initial exposure to ibrutinib is unknown and has not been accounted for in the CMA.</w:t>
      </w:r>
    </w:p>
    <w:p w:rsidR="006E41CB" w:rsidRPr="00940F72" w:rsidRDefault="006E41CB" w:rsidP="006E41CB">
      <w:pPr>
        <w:pStyle w:val="3-BodyText"/>
        <w:rPr>
          <w:iCs/>
        </w:rPr>
      </w:pPr>
      <w:r w:rsidRPr="00940F72">
        <w:t xml:space="preserve">The PBAC noted that the cost-minimisation approach must establish that the cost per patient for zanubrutinib would be no more than the cost per patient of ibrutinib. The cost per patient takes into account the mean equi-effective doses of the new intervention and the alternative therapy, </w:t>
      </w:r>
      <w:r w:rsidR="00656BF7" w:rsidRPr="00940F72">
        <w:t>and</w:t>
      </w:r>
      <w:r w:rsidRPr="00940F72">
        <w:t xml:space="preserve"> accounts for any difference in the </w:t>
      </w:r>
      <w:r w:rsidR="003453AE" w:rsidRPr="00940F72">
        <w:t xml:space="preserve">median </w:t>
      </w:r>
      <w:r w:rsidRPr="00940F72">
        <w:t>duration of treatment. Where these cost per patient calculations are uncertain, the guiding principle is that the Australian Government should not bear the financial risk of this uncertainty because the Australian population already has access to therapy that is at least as effective and safe.</w:t>
      </w:r>
    </w:p>
    <w:p w:rsidR="008970F1" w:rsidRPr="00940F72" w:rsidRDefault="007D01D6" w:rsidP="00DD3F1B">
      <w:pPr>
        <w:pStyle w:val="3-BodyText"/>
      </w:pPr>
      <w:r w:rsidRPr="00940F72">
        <w:rPr>
          <w:iCs/>
        </w:rPr>
        <w:t xml:space="preserve">The ESC noted that the CMA draws from a limited clinical evidence base that used naïve comparisons and an unanchored MAIC. To limit the consequences of the clinical uncertainty, the ESC recommended adjustment of the </w:t>
      </w:r>
      <w:r w:rsidR="00165E62" w:rsidRPr="00940F72">
        <w:rPr>
          <w:iCs/>
        </w:rPr>
        <w:t xml:space="preserve">duration of treatment </w:t>
      </w:r>
      <w:r w:rsidR="00675E00" w:rsidRPr="00940F72">
        <w:rPr>
          <w:iCs/>
        </w:rPr>
        <w:t xml:space="preserve">included in the CMA. </w:t>
      </w:r>
    </w:p>
    <w:p w:rsidR="007D01D6" w:rsidRPr="00940F72" w:rsidRDefault="007D01D6" w:rsidP="004C2E7C">
      <w:pPr>
        <w:pStyle w:val="ListParagraph"/>
        <w:numPr>
          <w:ilvl w:val="0"/>
          <w:numId w:val="26"/>
        </w:numPr>
        <w:ind w:left="709" w:hanging="283"/>
      </w:pPr>
      <w:r w:rsidRPr="00940F72">
        <w:t>The time on treatment for each agent should reflect the clinical trial data</w:t>
      </w:r>
      <w:r w:rsidR="00475ACE" w:rsidRPr="00940F72">
        <w:t>:</w:t>
      </w:r>
      <w:r w:rsidRPr="00940F72">
        <w:t xml:space="preserve"> </w:t>
      </w:r>
      <w:r w:rsidR="002205FF" w:rsidRPr="00940F72">
        <w:t xml:space="preserve">median of </w:t>
      </w:r>
      <w:r w:rsidR="00972E86" w:rsidRPr="00940F72">
        <w:t>17.8 or 15.4</w:t>
      </w:r>
      <w:r w:rsidRPr="00940F72">
        <w:t xml:space="preserve"> months for zanubrutinib at </w:t>
      </w:r>
      <w:r w:rsidR="00972E86" w:rsidRPr="00940F72">
        <w:t>18.4 or 19.4</w:t>
      </w:r>
      <w:r w:rsidRPr="00940F72">
        <w:t xml:space="preserve"> months median follow-up</w:t>
      </w:r>
      <w:r w:rsidR="00972E86" w:rsidRPr="00940F72">
        <w:t>, for Study 206 and AU-003, respectively</w:t>
      </w:r>
      <w:r w:rsidRPr="00940F72">
        <w:t xml:space="preserve">, and 14.4 months for ibrutinib at 38.7 months median follow-up. </w:t>
      </w:r>
      <w:r w:rsidRPr="00940F72">
        <w:rPr>
          <w:iCs/>
        </w:rPr>
        <w:t xml:space="preserve">The ESC considered that the assumed equal duration of treatment for zanubrutinib and ibrutinib (14.4 months) was not </w:t>
      </w:r>
      <w:r w:rsidR="002205FF" w:rsidRPr="00940F72">
        <w:rPr>
          <w:iCs/>
        </w:rPr>
        <w:t xml:space="preserve">justified </w:t>
      </w:r>
      <w:r w:rsidRPr="00940F72">
        <w:rPr>
          <w:iCs/>
        </w:rPr>
        <w:t xml:space="preserve">given the median length of treatment in the pivotal zanubrutinib studies </w:t>
      </w:r>
      <w:r w:rsidR="00844A2E" w:rsidRPr="00940F72">
        <w:rPr>
          <w:iCs/>
        </w:rPr>
        <w:t>that established</w:t>
      </w:r>
      <w:r w:rsidRPr="00940F72">
        <w:rPr>
          <w:iCs/>
        </w:rPr>
        <w:t xml:space="preserve"> non-inferiority was longer (17.8 </w:t>
      </w:r>
      <w:r w:rsidR="00C4058C" w:rsidRPr="00940F72">
        <w:rPr>
          <w:iCs/>
        </w:rPr>
        <w:t xml:space="preserve">months for Study 206 </w:t>
      </w:r>
      <w:r w:rsidR="00972E86" w:rsidRPr="00940F72">
        <w:rPr>
          <w:iCs/>
        </w:rPr>
        <w:t xml:space="preserve">and 15.4 </w:t>
      </w:r>
      <w:r w:rsidRPr="00940F72">
        <w:rPr>
          <w:iCs/>
        </w:rPr>
        <w:t>months</w:t>
      </w:r>
      <w:r w:rsidR="00C4058C" w:rsidRPr="00940F72">
        <w:rPr>
          <w:iCs/>
        </w:rPr>
        <w:t xml:space="preserve"> for AU-003</w:t>
      </w:r>
      <w:r w:rsidRPr="00940F72">
        <w:rPr>
          <w:iCs/>
        </w:rPr>
        <w:t>).</w:t>
      </w:r>
      <w:r w:rsidR="008C5268" w:rsidRPr="00940F72">
        <w:rPr>
          <w:iCs/>
        </w:rPr>
        <w:t xml:space="preserve"> On this issue, the PSCR commented that t</w:t>
      </w:r>
      <w:r w:rsidR="008C5268" w:rsidRPr="00940F72">
        <w:t xml:space="preserve">he assumption of equal duration of treatment is consistent with the clinical claim of non-inferiority in </w:t>
      </w:r>
      <w:r w:rsidR="00087310" w:rsidRPr="00940F72">
        <w:t>PFS</w:t>
      </w:r>
      <w:r w:rsidR="008C5268" w:rsidRPr="00940F72">
        <w:t xml:space="preserve">, given that patients are treated to disease progression. </w:t>
      </w:r>
    </w:p>
    <w:p w:rsidR="00D15F6D" w:rsidRPr="00940F72" w:rsidRDefault="00D15F6D" w:rsidP="00EF746D">
      <w:pPr>
        <w:pStyle w:val="3-BodyText"/>
        <w:rPr>
          <w:iCs/>
        </w:rPr>
      </w:pPr>
      <w:r w:rsidRPr="00940F72">
        <w:rPr>
          <w:iCs/>
        </w:rPr>
        <w:t xml:space="preserve">While the PBAC agreed with the ESC that equal duration of treatment for zanubrutinib and ibrutinib was not </w:t>
      </w:r>
      <w:r w:rsidR="00EF746D" w:rsidRPr="00940F72">
        <w:rPr>
          <w:iCs/>
        </w:rPr>
        <w:t>adequately supported</w:t>
      </w:r>
      <w:r w:rsidRPr="00940F72">
        <w:rPr>
          <w:iCs/>
        </w:rPr>
        <w:t xml:space="preserve">, </w:t>
      </w:r>
      <w:r w:rsidR="00EF746D" w:rsidRPr="00940F72">
        <w:rPr>
          <w:iCs/>
        </w:rPr>
        <w:t>the PBAC considere</w:t>
      </w:r>
      <w:r w:rsidR="006E41CB" w:rsidRPr="00940F72">
        <w:rPr>
          <w:iCs/>
        </w:rPr>
        <w:t>d that the follow-up in the zanu</w:t>
      </w:r>
      <w:r w:rsidR="00EF746D" w:rsidRPr="00940F72">
        <w:rPr>
          <w:iCs/>
        </w:rPr>
        <w:t>brutinib trial was too short</w:t>
      </w:r>
      <w:r w:rsidR="004E7682" w:rsidRPr="00940F72">
        <w:rPr>
          <w:iCs/>
        </w:rPr>
        <w:t xml:space="preserve"> (median of approximately 19 months versus 39 months for ibrutinib)</w:t>
      </w:r>
      <w:r w:rsidR="00EF746D" w:rsidRPr="00940F72">
        <w:rPr>
          <w:iCs/>
        </w:rPr>
        <w:t xml:space="preserve"> to provide a reliable and comparable estimate of the likely treatment duration for zan</w:t>
      </w:r>
      <w:r w:rsidR="006E41CB" w:rsidRPr="00940F72">
        <w:rPr>
          <w:iCs/>
        </w:rPr>
        <w:t>u</w:t>
      </w:r>
      <w:r w:rsidR="00EF746D" w:rsidRPr="00940F72">
        <w:rPr>
          <w:iCs/>
        </w:rPr>
        <w:t>brutinib.</w:t>
      </w:r>
      <w:r w:rsidR="00996AE6" w:rsidRPr="00940F72">
        <w:rPr>
          <w:iCs/>
        </w:rPr>
        <w:t xml:space="preserve"> </w:t>
      </w:r>
      <w:r w:rsidR="00A716C0" w:rsidRPr="00940F72">
        <w:rPr>
          <w:iCs/>
        </w:rPr>
        <w:t>The median duration for zanubrutinib was also only slightly longer than the median follow-up for</w:t>
      </w:r>
      <w:r w:rsidR="008053BD" w:rsidRPr="00940F72">
        <w:rPr>
          <w:iCs/>
        </w:rPr>
        <w:t xml:space="preserve"> Study 206</w:t>
      </w:r>
      <w:r w:rsidR="00A716C0" w:rsidRPr="00940F72">
        <w:rPr>
          <w:iCs/>
        </w:rPr>
        <w:t xml:space="preserve">, and trial AU-003 was small. </w:t>
      </w:r>
      <w:r w:rsidR="00996AE6" w:rsidRPr="00940F72">
        <w:rPr>
          <w:iCs/>
        </w:rPr>
        <w:t xml:space="preserve">The PBAC </w:t>
      </w:r>
      <w:r w:rsidR="00EF746D" w:rsidRPr="00940F72">
        <w:rPr>
          <w:iCs/>
        </w:rPr>
        <w:t>therefore</w:t>
      </w:r>
      <w:r w:rsidR="00996AE6" w:rsidRPr="00940F72">
        <w:rPr>
          <w:iCs/>
        </w:rPr>
        <w:t xml:space="preserve"> recommend</w:t>
      </w:r>
      <w:r w:rsidR="00EF746D" w:rsidRPr="00940F72">
        <w:rPr>
          <w:iCs/>
        </w:rPr>
        <w:t>ed</w:t>
      </w:r>
      <w:r w:rsidR="00996AE6" w:rsidRPr="00940F72">
        <w:rPr>
          <w:iCs/>
        </w:rPr>
        <w:t xml:space="preserve"> that</w:t>
      </w:r>
      <w:r w:rsidR="008D5E1F" w:rsidRPr="00940F72">
        <w:rPr>
          <w:iCs/>
        </w:rPr>
        <w:t>, after adjustment for equi-effective doses,</w:t>
      </w:r>
      <w:r w:rsidR="00996AE6" w:rsidRPr="00940F72">
        <w:rPr>
          <w:iCs/>
        </w:rPr>
        <w:t xml:space="preserve"> zanubrutinib should be listed</w:t>
      </w:r>
      <w:r w:rsidR="00B844EE" w:rsidRPr="00940F72">
        <w:rPr>
          <w:iCs/>
        </w:rPr>
        <w:t xml:space="preserve"> on the PBS</w:t>
      </w:r>
      <w:r w:rsidR="00996AE6" w:rsidRPr="00940F72">
        <w:rPr>
          <w:iCs/>
        </w:rPr>
        <w:t xml:space="preserve"> </w:t>
      </w:r>
      <w:r w:rsidR="00B63D0E" w:rsidRPr="00940F72">
        <w:rPr>
          <w:iCs/>
        </w:rPr>
        <w:t>at a cost</w:t>
      </w:r>
      <w:r w:rsidR="008D5E1F" w:rsidRPr="00940F72">
        <w:rPr>
          <w:iCs/>
        </w:rPr>
        <w:t xml:space="preserve"> per day</w:t>
      </w:r>
      <w:r w:rsidR="00B63D0E" w:rsidRPr="00940F72">
        <w:rPr>
          <w:iCs/>
        </w:rPr>
        <w:t xml:space="preserve"> that is no higher than </w:t>
      </w:r>
      <w:r w:rsidR="008D5E1F" w:rsidRPr="00940F72">
        <w:rPr>
          <w:iCs/>
        </w:rPr>
        <w:t>the</w:t>
      </w:r>
      <w:r w:rsidR="00B63D0E" w:rsidRPr="00940F72">
        <w:rPr>
          <w:iCs/>
        </w:rPr>
        <w:t xml:space="preserve"> cost per day</w:t>
      </w:r>
      <w:r w:rsidR="008D5E1F" w:rsidRPr="00940F72">
        <w:rPr>
          <w:iCs/>
        </w:rPr>
        <w:t xml:space="preserve"> of</w:t>
      </w:r>
      <w:r w:rsidR="00B63D0E" w:rsidRPr="00940F72">
        <w:rPr>
          <w:iCs/>
        </w:rPr>
        <w:t xml:space="preserve"> </w:t>
      </w:r>
      <w:r w:rsidR="00EF746D" w:rsidRPr="00940F72">
        <w:rPr>
          <w:iCs/>
        </w:rPr>
        <w:t>other BTK inhibitors</w:t>
      </w:r>
      <w:r w:rsidR="00BC6629" w:rsidRPr="00940F72">
        <w:rPr>
          <w:iCs/>
        </w:rPr>
        <w:t xml:space="preserve"> recommended for listing by the PBAC for the treatment of MCL</w:t>
      </w:r>
      <w:r w:rsidR="00996AE6" w:rsidRPr="00940F72">
        <w:rPr>
          <w:iCs/>
        </w:rPr>
        <w:t>.</w:t>
      </w:r>
    </w:p>
    <w:p w:rsidR="00955300" w:rsidRPr="00940F72" w:rsidRDefault="00955300" w:rsidP="007A1650">
      <w:pPr>
        <w:pStyle w:val="4-SubsectionHeading"/>
      </w:pPr>
      <w:bookmarkStart w:id="62" w:name="_Toc72318710"/>
      <w:r w:rsidRPr="00940F72">
        <w:t>Drug cost/</w:t>
      </w:r>
      <w:r w:rsidR="008053BD" w:rsidRPr="00940F72">
        <w:t xml:space="preserve">treatment </w:t>
      </w:r>
      <w:r w:rsidRPr="00940F72">
        <w:t>course</w:t>
      </w:r>
      <w:bookmarkEnd w:id="62"/>
    </w:p>
    <w:p w:rsidR="00B45F90" w:rsidRPr="00940F72" w:rsidRDefault="00B45F90" w:rsidP="00B45F90">
      <w:pPr>
        <w:pStyle w:val="3-BodyText"/>
      </w:pPr>
      <w:r w:rsidRPr="00940F72">
        <w:t>The proposed published AEMP for zanubrutinib was $</w:t>
      </w:r>
      <w:r w:rsidR="00C13E60">
        <w:rPr>
          <w:noProof/>
          <w:color w:val="000000"/>
          <w:highlight w:val="black"/>
        </w:rPr>
        <w:t>'''''''''''''''''''</w:t>
      </w:r>
      <w:r w:rsidRPr="00060A1F">
        <w:t xml:space="preserve"> (DPMQ</w:t>
      </w:r>
      <w:r w:rsidR="002E467E" w:rsidRPr="00060A1F">
        <w:t> </w:t>
      </w:r>
      <w:r w:rsidRPr="00060A1F">
        <w:t>=</w:t>
      </w:r>
      <w:r w:rsidR="002E467E" w:rsidRPr="00060A1F">
        <w:t> </w:t>
      </w:r>
      <w:r w:rsidRPr="00060A1F">
        <w:t>$</w:t>
      </w:r>
      <w:r w:rsidR="00C13E60">
        <w:rPr>
          <w:noProof/>
          <w:color w:val="000000"/>
          <w:highlight w:val="black"/>
        </w:rPr>
        <w:t>''''''''''''''''''''</w:t>
      </w:r>
      <w:r w:rsidRPr="00060A1F">
        <w:t>, based on 1 July 2021 fees and mark-ups</w:t>
      </w:r>
      <w:r w:rsidR="002E467E" w:rsidRPr="00060A1F">
        <w:t>, and was previously $</w:t>
      </w:r>
      <w:r w:rsidR="00C13E60">
        <w:rPr>
          <w:noProof/>
          <w:color w:val="000000"/>
          <w:highlight w:val="black"/>
        </w:rPr>
        <w:t>'''''''''''''''''''''</w:t>
      </w:r>
      <w:r w:rsidR="002E467E" w:rsidRPr="00060A1F">
        <w:t xml:space="preserve"> at the time of the evaluation</w:t>
      </w:r>
      <w:r w:rsidRPr="00060A1F">
        <w:t>). The submission assumed an equal duration of treatment with zanubrutinib and ibrutinib (14.4 months), resulting in a cost per treatment course of $</w:t>
      </w:r>
      <w:r w:rsidR="00C13E60">
        <w:rPr>
          <w:noProof/>
          <w:color w:val="000000"/>
          <w:highlight w:val="black"/>
        </w:rPr>
        <w:t>'''''''''''''''''</w:t>
      </w:r>
      <w:r w:rsidRPr="00060A1F">
        <w:t xml:space="preserve"> (assuming 1 month is 30.44 days). Increasing the </w:t>
      </w:r>
      <w:r w:rsidR="00A716C0" w:rsidRPr="00060A1F">
        <w:t xml:space="preserve">median </w:t>
      </w:r>
      <w:r w:rsidRPr="00060A1F">
        <w:t>duration of treatment to 17.</w:t>
      </w:r>
      <w:r w:rsidR="00A716C0" w:rsidRPr="00060A1F">
        <w:t>8</w:t>
      </w:r>
      <w:r w:rsidRPr="00060A1F">
        <w:t xml:space="preserve"> months </w:t>
      </w:r>
      <w:r w:rsidR="00A716C0" w:rsidRPr="00060A1F">
        <w:t>per</w:t>
      </w:r>
      <w:r w:rsidR="00C337B1" w:rsidRPr="00060A1F">
        <w:t xml:space="preserve"> Study 206</w:t>
      </w:r>
      <w:r w:rsidR="00A716C0" w:rsidRPr="00060A1F">
        <w:t xml:space="preserve"> </w:t>
      </w:r>
      <w:r w:rsidRPr="00060A1F">
        <w:t>increases the cost per treatment course to $</w:t>
      </w:r>
      <w:r w:rsidR="00C13E60">
        <w:rPr>
          <w:noProof/>
          <w:color w:val="000000"/>
          <w:highlight w:val="black"/>
        </w:rPr>
        <w:t>''''''''''''''</w:t>
      </w:r>
      <w:r w:rsidRPr="00060A1F">
        <w:t xml:space="preserve"> at the proposed price.</w:t>
      </w:r>
    </w:p>
    <w:p w:rsidR="00955300" w:rsidRPr="00940F72" w:rsidRDefault="00955300" w:rsidP="00955300">
      <w:pPr>
        <w:pStyle w:val="4-SubsectionHeading"/>
      </w:pPr>
      <w:bookmarkStart w:id="63" w:name="_Toc22897647"/>
      <w:bookmarkStart w:id="64" w:name="_Toc22898859"/>
      <w:bookmarkStart w:id="65" w:name="_Toc72318711"/>
      <w:r w:rsidRPr="00940F72">
        <w:t>Estimated PBS usage &amp; financial implications</w:t>
      </w:r>
      <w:bookmarkEnd w:id="63"/>
      <w:bookmarkEnd w:id="64"/>
      <w:bookmarkEnd w:id="65"/>
    </w:p>
    <w:p w:rsidR="00455DCF" w:rsidRPr="00940F72" w:rsidRDefault="008D7437" w:rsidP="00455DCF">
      <w:pPr>
        <w:pStyle w:val="3-BodyText"/>
        <w:rPr>
          <w:color w:val="0066FF"/>
        </w:rPr>
      </w:pPr>
      <w:bookmarkStart w:id="66" w:name="_Hlk50110924"/>
      <w:r w:rsidRPr="00940F72">
        <w:t xml:space="preserve">DUSC considered this </w:t>
      </w:r>
      <w:r w:rsidR="00455DCF" w:rsidRPr="00940F72">
        <w:t>submission</w:t>
      </w:r>
      <w:bookmarkEnd w:id="66"/>
      <w:r w:rsidR="00455DCF" w:rsidRPr="00940F72">
        <w:rPr>
          <w:color w:val="0070C0"/>
        </w:rPr>
        <w:t xml:space="preserve">. </w:t>
      </w:r>
    </w:p>
    <w:p w:rsidR="00455DCF" w:rsidRPr="00940F72" w:rsidRDefault="00455DCF" w:rsidP="00455DCF">
      <w:pPr>
        <w:pStyle w:val="3-BodyText"/>
        <w:rPr>
          <w:color w:val="0066FF"/>
        </w:rPr>
      </w:pPr>
      <w:r w:rsidRPr="00940F72">
        <w:t>A combination of epidemiological and market share approaches was used to estimate the utilisation and financial impacts associated with the PBS listing of zanubrutinib.</w:t>
      </w:r>
    </w:p>
    <w:p w:rsidR="00455DCF" w:rsidRPr="00940F72" w:rsidRDefault="00455DCF" w:rsidP="00455DCF">
      <w:pPr>
        <w:pStyle w:val="3-BodyText"/>
        <w:rPr>
          <w:color w:val="0066FF"/>
        </w:rPr>
      </w:pPr>
      <w:r w:rsidRPr="00940F72">
        <w:t xml:space="preserve">For the market share approach, commissioned research data were used to estimate the number of zanubrutinib scripts directly substituting ibrutinib. Using the epidemiological approach, additional patients who are eligible for a BTK inhibitor but are currently not treated with ibrutinib due to the risk of atrial fibrillation were assumed to benefit from zanubrutinib treatment. </w:t>
      </w:r>
    </w:p>
    <w:p w:rsidR="00455DCF" w:rsidRPr="00940F72" w:rsidRDefault="00FE35AD" w:rsidP="00455DCF">
      <w:pPr>
        <w:pStyle w:val="3-BodyText"/>
        <w:rPr>
          <w:rFonts w:ascii="Arial Narrow" w:hAnsi="Arial Narrow"/>
          <w:sz w:val="20"/>
        </w:rPr>
      </w:pPr>
      <w:r w:rsidRPr="00940F72">
        <w:t>Table 1</w:t>
      </w:r>
      <w:r w:rsidR="00053418" w:rsidRPr="00940F72">
        <w:t>2</w:t>
      </w:r>
      <w:r w:rsidRPr="00940F72">
        <w:t xml:space="preserve"> shows the key </w:t>
      </w:r>
      <w:r w:rsidR="00455DCF" w:rsidRPr="00940F72">
        <w:t>inputs used in the financial estimates.</w:t>
      </w:r>
    </w:p>
    <w:p w:rsidR="00455DCF" w:rsidRPr="00940F72" w:rsidRDefault="00455DCF" w:rsidP="00455DCF">
      <w:pPr>
        <w:jc w:val="left"/>
      </w:pPr>
      <w:r w:rsidRPr="00940F72">
        <w:br w:type="page"/>
      </w:r>
    </w:p>
    <w:p w:rsidR="00455DCF" w:rsidRPr="00940F72" w:rsidRDefault="00455DCF" w:rsidP="00D82939">
      <w:pPr>
        <w:pStyle w:val="TableFigureHeading"/>
        <w:keepNext w:val="0"/>
      </w:pPr>
      <w:r w:rsidRPr="00940F72">
        <w:rPr>
          <w:rStyle w:val="CommentReference"/>
          <w:b/>
          <w:szCs w:val="24"/>
        </w:rPr>
        <w:t>Table 1</w:t>
      </w:r>
      <w:r w:rsidR="00053418" w:rsidRPr="00940F72">
        <w:rPr>
          <w:rStyle w:val="CommentReference"/>
          <w:b/>
          <w:szCs w:val="24"/>
        </w:rPr>
        <w:t>2</w:t>
      </w:r>
      <w:r w:rsidRPr="00940F72">
        <w:rPr>
          <w:rStyle w:val="CommentReference"/>
          <w:b/>
          <w:szCs w:val="24"/>
        </w:rPr>
        <w:t xml:space="preserve">: Key inputs for financial estimates </w:t>
      </w:r>
    </w:p>
    <w:tbl>
      <w:tblPr>
        <w:tblStyle w:val="TableGrid1"/>
        <w:tblpPr w:leftFromText="180" w:rightFromText="180" w:vertAnchor="text" w:tblpY="1"/>
        <w:tblOverlap w:val="never"/>
        <w:tblW w:w="5000" w:type="pct"/>
        <w:tblLook w:val="04A0" w:firstRow="1" w:lastRow="0" w:firstColumn="1" w:lastColumn="0" w:noHBand="0" w:noVBand="1"/>
        <w:tblCaption w:val="Table 12: Key inputs for financial estimates "/>
      </w:tblPr>
      <w:tblGrid>
        <w:gridCol w:w="1571"/>
        <w:gridCol w:w="1300"/>
        <w:gridCol w:w="2678"/>
        <w:gridCol w:w="3468"/>
      </w:tblGrid>
      <w:tr w:rsidR="00455DCF" w:rsidRPr="00940F72" w:rsidTr="00196CEC">
        <w:trPr>
          <w:cantSplit/>
          <w:tblHeader/>
        </w:trPr>
        <w:tc>
          <w:tcPr>
            <w:tcW w:w="871" w:type="pct"/>
          </w:tcPr>
          <w:p w:rsidR="00455DCF" w:rsidRPr="00940F72" w:rsidRDefault="00455DCF" w:rsidP="00D82939">
            <w:pPr>
              <w:pStyle w:val="In-tableHeading"/>
              <w:keepNext w:val="0"/>
              <w:widowControl w:val="0"/>
              <w:rPr>
                <w:lang w:val="en-AU"/>
              </w:rPr>
            </w:pPr>
            <w:r w:rsidRPr="00940F72">
              <w:rPr>
                <w:lang w:val="en-AU"/>
              </w:rPr>
              <w:t>Data type</w:t>
            </w:r>
          </w:p>
        </w:tc>
        <w:tc>
          <w:tcPr>
            <w:tcW w:w="721" w:type="pct"/>
          </w:tcPr>
          <w:p w:rsidR="00455DCF" w:rsidRPr="00940F72" w:rsidRDefault="00455DCF" w:rsidP="00D82939">
            <w:pPr>
              <w:pStyle w:val="In-tableHeading"/>
              <w:keepNext w:val="0"/>
              <w:widowControl w:val="0"/>
              <w:rPr>
                <w:iCs/>
                <w:lang w:val="en-AU"/>
              </w:rPr>
            </w:pPr>
            <w:r w:rsidRPr="00940F72">
              <w:rPr>
                <w:iCs/>
                <w:lang w:val="en-AU"/>
              </w:rPr>
              <w:t>Value</w:t>
            </w:r>
          </w:p>
        </w:tc>
        <w:tc>
          <w:tcPr>
            <w:tcW w:w="1485" w:type="pct"/>
          </w:tcPr>
          <w:p w:rsidR="00455DCF" w:rsidRPr="00940F72" w:rsidRDefault="00455DCF" w:rsidP="00D82939">
            <w:pPr>
              <w:pStyle w:val="In-tableHeading"/>
              <w:keepNext w:val="0"/>
              <w:widowControl w:val="0"/>
              <w:rPr>
                <w:lang w:val="en-AU"/>
              </w:rPr>
            </w:pPr>
            <w:r w:rsidRPr="00940F72">
              <w:rPr>
                <w:lang w:val="en-AU"/>
              </w:rPr>
              <w:t>Data sources</w:t>
            </w:r>
          </w:p>
        </w:tc>
        <w:tc>
          <w:tcPr>
            <w:tcW w:w="1923" w:type="pct"/>
          </w:tcPr>
          <w:p w:rsidR="00455DCF" w:rsidRPr="00940F72" w:rsidRDefault="00455DCF" w:rsidP="00D82939">
            <w:pPr>
              <w:pStyle w:val="In-tableHeading"/>
              <w:keepNext w:val="0"/>
              <w:widowControl w:val="0"/>
              <w:rPr>
                <w:lang w:val="en-AU"/>
              </w:rPr>
            </w:pPr>
            <w:r w:rsidRPr="00940F72">
              <w:rPr>
                <w:lang w:val="en-AU"/>
              </w:rPr>
              <w:t>Comment</w:t>
            </w:r>
          </w:p>
        </w:tc>
      </w:tr>
      <w:tr w:rsidR="00455DCF" w:rsidRPr="00940F72" w:rsidTr="00196CEC">
        <w:trPr>
          <w:cantSplit/>
        </w:trPr>
        <w:tc>
          <w:tcPr>
            <w:tcW w:w="871" w:type="pct"/>
          </w:tcPr>
          <w:p w:rsidR="00455DCF" w:rsidRPr="00940F72" w:rsidRDefault="00455DCF" w:rsidP="00D82939">
            <w:pPr>
              <w:pStyle w:val="TableText0"/>
              <w:keepNext w:val="0"/>
              <w:widowControl w:val="0"/>
              <w:rPr>
                <w:lang w:val="en-AU"/>
              </w:rPr>
            </w:pPr>
            <w:r w:rsidRPr="00940F72">
              <w:rPr>
                <w:lang w:val="en-AU"/>
              </w:rPr>
              <w:t>Utilisation of ibrutinib for R/R MCL – Year 2020</w:t>
            </w:r>
          </w:p>
        </w:tc>
        <w:tc>
          <w:tcPr>
            <w:tcW w:w="721" w:type="pct"/>
          </w:tcPr>
          <w:p w:rsidR="00455DCF" w:rsidRPr="00940F72" w:rsidRDefault="00455DCF" w:rsidP="00D82939">
            <w:pPr>
              <w:pStyle w:val="TableText0"/>
              <w:keepNext w:val="0"/>
              <w:widowControl w:val="0"/>
              <w:rPr>
                <w:iCs/>
                <w:vertAlign w:val="superscript"/>
                <w:lang w:val="en-AU"/>
              </w:rPr>
            </w:pPr>
            <w:r w:rsidRPr="00940F72">
              <w:rPr>
                <w:iCs/>
                <w:lang w:val="en-AU"/>
              </w:rPr>
              <w:t>2,514</w:t>
            </w:r>
          </w:p>
        </w:tc>
        <w:tc>
          <w:tcPr>
            <w:tcW w:w="1485" w:type="pct"/>
          </w:tcPr>
          <w:p w:rsidR="00455DCF" w:rsidRPr="00940F72" w:rsidRDefault="00455DCF" w:rsidP="00D82939">
            <w:pPr>
              <w:pStyle w:val="TableText0"/>
              <w:keepNext w:val="0"/>
              <w:widowControl w:val="0"/>
              <w:rPr>
                <w:iCs/>
                <w:lang w:val="en-AU"/>
              </w:rPr>
            </w:pPr>
            <w:r w:rsidRPr="00940F72">
              <w:rPr>
                <w:lang w:val="en-AU"/>
              </w:rPr>
              <w:t>PBS data from Medicare Statistics for ibrutinib, item number 11419B between Jan-20 to Dec-20</w:t>
            </w:r>
            <w:r w:rsidRPr="00940F72">
              <w:rPr>
                <w:iCs/>
                <w:vertAlign w:val="superscript"/>
                <w:lang w:val="en-AU"/>
              </w:rPr>
              <w:t>a</w:t>
            </w:r>
          </w:p>
        </w:tc>
        <w:tc>
          <w:tcPr>
            <w:tcW w:w="1923" w:type="pct"/>
          </w:tcPr>
          <w:p w:rsidR="00455DCF" w:rsidRPr="00940F72" w:rsidRDefault="00DE6A97" w:rsidP="00D82939">
            <w:pPr>
              <w:pStyle w:val="TableText0"/>
              <w:keepNext w:val="0"/>
              <w:widowControl w:val="0"/>
              <w:rPr>
                <w:iCs/>
                <w:lang w:val="en-AU"/>
              </w:rPr>
            </w:pPr>
            <w:r w:rsidRPr="00940F72">
              <w:rPr>
                <w:iCs/>
                <w:lang w:val="en-AU"/>
              </w:rPr>
              <w:t>The evaluation considered t</w:t>
            </w:r>
            <w:r w:rsidR="00455DCF" w:rsidRPr="00940F72">
              <w:rPr>
                <w:iCs/>
                <w:lang w:val="en-AU"/>
              </w:rPr>
              <w:t>he data source</w:t>
            </w:r>
            <w:r w:rsidRPr="00940F72">
              <w:rPr>
                <w:iCs/>
                <w:lang w:val="en-AU"/>
              </w:rPr>
              <w:t xml:space="preserve"> to be</w:t>
            </w:r>
            <w:r w:rsidR="00455DCF" w:rsidRPr="00940F72">
              <w:rPr>
                <w:iCs/>
                <w:lang w:val="en-AU"/>
              </w:rPr>
              <w:t xml:space="preserve"> appropriate</w:t>
            </w:r>
            <w:r w:rsidRPr="00940F72">
              <w:rPr>
                <w:iCs/>
                <w:lang w:val="en-AU"/>
              </w:rPr>
              <w:t xml:space="preserve">, although the DUSC commented that </w:t>
            </w:r>
            <w:r w:rsidRPr="00940F72">
              <w:rPr>
                <w:rFonts w:eastAsia="Times New Roman" w:cs="Arial"/>
                <w:bCs w:val="0"/>
                <w:szCs w:val="20"/>
                <w:lang w:val="en-AU" w:eastAsia="en-AU"/>
              </w:rPr>
              <w:t>d</w:t>
            </w:r>
            <w:r w:rsidRPr="00940F72">
              <w:rPr>
                <w:iCs/>
                <w:lang w:val="en-AU"/>
              </w:rPr>
              <w:t>ue to the effects of COVID</w:t>
            </w:r>
            <w:r w:rsidR="00106FA4" w:rsidRPr="00940F72">
              <w:rPr>
                <w:iCs/>
                <w:lang w:val="en-AU"/>
              </w:rPr>
              <w:t>-19</w:t>
            </w:r>
            <w:r w:rsidRPr="00940F72">
              <w:rPr>
                <w:iCs/>
                <w:lang w:val="en-AU"/>
              </w:rPr>
              <w:t>, scripts from 2019 may be more appropriate</w:t>
            </w:r>
            <w:r w:rsidR="00455DCF" w:rsidRPr="00940F72">
              <w:rPr>
                <w:iCs/>
                <w:lang w:val="en-AU"/>
              </w:rPr>
              <w:t xml:space="preserve">. </w:t>
            </w:r>
          </w:p>
        </w:tc>
      </w:tr>
      <w:tr w:rsidR="00455DCF" w:rsidRPr="00940F72" w:rsidTr="00196CEC">
        <w:trPr>
          <w:cantSplit/>
        </w:trPr>
        <w:tc>
          <w:tcPr>
            <w:tcW w:w="871" w:type="pct"/>
          </w:tcPr>
          <w:p w:rsidR="00455DCF" w:rsidRPr="00940F72" w:rsidRDefault="00455DCF" w:rsidP="00D82939">
            <w:pPr>
              <w:pStyle w:val="TableText0"/>
              <w:keepNext w:val="0"/>
              <w:widowControl w:val="0"/>
              <w:rPr>
                <w:lang w:val="en-AU"/>
              </w:rPr>
            </w:pPr>
            <w:r w:rsidRPr="00940F72">
              <w:rPr>
                <w:lang w:val="en-AU"/>
              </w:rPr>
              <w:t>Rate of yearly growth in R/R MCL total market scripts</w:t>
            </w:r>
          </w:p>
        </w:tc>
        <w:tc>
          <w:tcPr>
            <w:tcW w:w="721" w:type="pct"/>
          </w:tcPr>
          <w:p w:rsidR="00455DCF" w:rsidRPr="00940F72" w:rsidRDefault="00455DCF" w:rsidP="00D82939">
            <w:pPr>
              <w:pStyle w:val="TableText0"/>
              <w:keepNext w:val="0"/>
              <w:widowControl w:val="0"/>
              <w:rPr>
                <w:lang w:val="en-AU"/>
              </w:rPr>
            </w:pPr>
            <w:r w:rsidRPr="00940F72">
              <w:rPr>
                <w:lang w:val="en-AU"/>
              </w:rPr>
              <w:t>3.28%</w:t>
            </w:r>
          </w:p>
        </w:tc>
        <w:tc>
          <w:tcPr>
            <w:tcW w:w="1485" w:type="pct"/>
          </w:tcPr>
          <w:p w:rsidR="00455DCF" w:rsidRPr="00940F72" w:rsidRDefault="00455DCF" w:rsidP="00D82939">
            <w:pPr>
              <w:pStyle w:val="TableText0"/>
              <w:keepNext w:val="0"/>
              <w:widowControl w:val="0"/>
              <w:rPr>
                <w:iCs/>
                <w:lang w:val="en-AU"/>
              </w:rPr>
            </w:pPr>
            <w:r w:rsidRPr="00940F72">
              <w:rPr>
                <w:lang w:val="en-AU"/>
              </w:rPr>
              <w:t>Based on the ibrutinib script growth through 2020</w:t>
            </w:r>
            <w:r w:rsidRPr="00940F72">
              <w:rPr>
                <w:iCs/>
                <w:lang w:val="en-AU"/>
              </w:rPr>
              <w:t>.</w:t>
            </w:r>
          </w:p>
        </w:tc>
        <w:tc>
          <w:tcPr>
            <w:tcW w:w="1923" w:type="pct"/>
          </w:tcPr>
          <w:p w:rsidR="00455DCF" w:rsidRPr="00940F72" w:rsidRDefault="00455DCF" w:rsidP="00D82939">
            <w:pPr>
              <w:pStyle w:val="TableText0"/>
              <w:keepNext w:val="0"/>
              <w:widowControl w:val="0"/>
              <w:rPr>
                <w:lang w:val="en-AU"/>
              </w:rPr>
            </w:pPr>
            <w:r w:rsidRPr="00940F72">
              <w:rPr>
                <w:iCs/>
                <w:lang w:val="en-AU"/>
              </w:rPr>
              <w:t>This assumption is likely underestimated. The growth rate in ibrutinib scripts between 2019 and 2020 was 26%, suggesting that a steady-state is not reached yet.</w:t>
            </w:r>
          </w:p>
        </w:tc>
      </w:tr>
      <w:tr w:rsidR="00455DCF" w:rsidRPr="00940F72" w:rsidTr="00196CEC">
        <w:trPr>
          <w:cantSplit/>
        </w:trPr>
        <w:tc>
          <w:tcPr>
            <w:tcW w:w="871" w:type="pct"/>
          </w:tcPr>
          <w:p w:rsidR="00455DCF" w:rsidRPr="00940F72" w:rsidRDefault="00455DCF" w:rsidP="00D82939">
            <w:pPr>
              <w:pStyle w:val="TableText0"/>
              <w:keepNext w:val="0"/>
              <w:widowControl w:val="0"/>
              <w:rPr>
                <w:iCs/>
                <w:lang w:val="en-AU"/>
              </w:rPr>
            </w:pPr>
            <w:r w:rsidRPr="00940F72">
              <w:rPr>
                <w:iCs/>
                <w:lang w:val="en-AU"/>
              </w:rPr>
              <w:t>Duration of treatment in epidemiological model</w:t>
            </w:r>
          </w:p>
        </w:tc>
        <w:tc>
          <w:tcPr>
            <w:tcW w:w="721" w:type="pct"/>
          </w:tcPr>
          <w:p w:rsidR="00455DCF" w:rsidRPr="00940F72" w:rsidRDefault="00455DCF" w:rsidP="00D82939">
            <w:pPr>
              <w:pStyle w:val="TableText0"/>
              <w:keepNext w:val="0"/>
              <w:widowControl w:val="0"/>
              <w:rPr>
                <w:iCs/>
                <w:lang w:val="en-AU"/>
              </w:rPr>
            </w:pPr>
            <w:r w:rsidRPr="00940F72">
              <w:rPr>
                <w:iCs/>
                <w:lang w:val="en-AU"/>
              </w:rPr>
              <w:t>17 months</w:t>
            </w:r>
          </w:p>
        </w:tc>
        <w:tc>
          <w:tcPr>
            <w:tcW w:w="1485" w:type="pct"/>
          </w:tcPr>
          <w:p w:rsidR="00455DCF" w:rsidRPr="00940F72" w:rsidRDefault="00455DCF" w:rsidP="00D82939">
            <w:pPr>
              <w:pStyle w:val="TableText0"/>
              <w:keepNext w:val="0"/>
              <w:widowControl w:val="0"/>
              <w:rPr>
                <w:iCs/>
                <w:lang w:val="en-AU"/>
              </w:rPr>
            </w:pPr>
            <w:r w:rsidRPr="00940F72">
              <w:rPr>
                <w:iCs/>
                <w:lang w:val="en-AU"/>
              </w:rPr>
              <w:t>Study 206</w:t>
            </w:r>
          </w:p>
        </w:tc>
        <w:tc>
          <w:tcPr>
            <w:tcW w:w="1923" w:type="pct"/>
          </w:tcPr>
          <w:p w:rsidR="00455DCF" w:rsidRPr="00940F72" w:rsidRDefault="00DE6A97" w:rsidP="00D82939">
            <w:pPr>
              <w:pStyle w:val="TableText0"/>
              <w:keepNext w:val="0"/>
              <w:widowControl w:val="0"/>
              <w:rPr>
                <w:iCs/>
                <w:lang w:val="en-AU"/>
              </w:rPr>
            </w:pPr>
            <w:r w:rsidRPr="00940F72">
              <w:rPr>
                <w:iCs/>
                <w:lang w:val="en-AU"/>
              </w:rPr>
              <w:t>The evaluation considered t</w:t>
            </w:r>
            <w:r w:rsidR="00455DCF" w:rsidRPr="00940F72">
              <w:rPr>
                <w:iCs/>
                <w:lang w:val="en-AU"/>
              </w:rPr>
              <w:t xml:space="preserve">his </w:t>
            </w:r>
            <w:r w:rsidRPr="00940F72">
              <w:rPr>
                <w:iCs/>
                <w:lang w:val="en-AU"/>
              </w:rPr>
              <w:t>was</w:t>
            </w:r>
            <w:r w:rsidR="00455DCF" w:rsidRPr="00940F72">
              <w:rPr>
                <w:iCs/>
                <w:lang w:val="en-AU"/>
              </w:rPr>
              <w:t xml:space="preserve"> reasonable</w:t>
            </w:r>
            <w:r w:rsidR="007F4A42" w:rsidRPr="00940F72">
              <w:rPr>
                <w:iCs/>
                <w:lang w:val="en-AU"/>
              </w:rPr>
              <w:t>, a</w:t>
            </w:r>
            <w:r w:rsidR="00455DCF" w:rsidRPr="00940F72">
              <w:rPr>
                <w:iCs/>
                <w:lang w:val="en-AU"/>
              </w:rPr>
              <w:t>lthough the median treatment for Study 206 was 17.8</w:t>
            </w:r>
            <w:r w:rsidR="007F4A42" w:rsidRPr="00940F72">
              <w:rPr>
                <w:iCs/>
                <w:lang w:val="en-AU"/>
              </w:rPr>
              <w:t xml:space="preserve"> months</w:t>
            </w:r>
            <w:r w:rsidRPr="00940F72">
              <w:rPr>
                <w:iCs/>
                <w:lang w:val="en-AU"/>
              </w:rPr>
              <w:t>. DUSC commented that it is unclear why a different duration was used.</w:t>
            </w:r>
          </w:p>
        </w:tc>
      </w:tr>
      <w:tr w:rsidR="00A42A3E" w:rsidRPr="00940F72" w:rsidTr="00196CEC">
        <w:trPr>
          <w:cantSplit/>
        </w:trPr>
        <w:tc>
          <w:tcPr>
            <w:tcW w:w="871" w:type="pct"/>
          </w:tcPr>
          <w:p w:rsidR="00A42A3E" w:rsidRPr="00940F72" w:rsidRDefault="00A42A3E" w:rsidP="00D82939">
            <w:pPr>
              <w:pStyle w:val="TableText0"/>
              <w:keepNext w:val="0"/>
              <w:widowControl w:val="0"/>
              <w:rPr>
                <w:iCs/>
                <w:lang w:val="en-AU"/>
              </w:rPr>
            </w:pPr>
            <w:r w:rsidRPr="00940F72">
              <w:rPr>
                <w:iCs/>
                <w:lang w:val="en-AU"/>
              </w:rPr>
              <w:t>Compliance</w:t>
            </w:r>
          </w:p>
        </w:tc>
        <w:tc>
          <w:tcPr>
            <w:tcW w:w="721" w:type="pct"/>
          </w:tcPr>
          <w:p w:rsidR="00A42A3E" w:rsidRPr="00940F72" w:rsidRDefault="00A42A3E" w:rsidP="00D82939">
            <w:pPr>
              <w:jc w:val="left"/>
              <w:rPr>
                <w:rFonts w:ascii="Arial Narrow" w:hAnsi="Arial Narrow"/>
                <w:sz w:val="20"/>
                <w:szCs w:val="20"/>
                <w:lang w:val="en-AU"/>
              </w:rPr>
            </w:pPr>
            <w:r w:rsidRPr="00940F72">
              <w:rPr>
                <w:rFonts w:ascii="Arial Narrow" w:hAnsi="Arial Narrow"/>
                <w:sz w:val="20"/>
                <w:szCs w:val="20"/>
                <w:lang w:val="en-AU"/>
              </w:rPr>
              <w:t>100% first year,</w:t>
            </w:r>
          </w:p>
          <w:p w:rsidR="00A42A3E" w:rsidRPr="00940F72" w:rsidRDefault="00A42A3E" w:rsidP="00D82939">
            <w:pPr>
              <w:pStyle w:val="TableText0"/>
              <w:keepNext w:val="0"/>
              <w:widowControl w:val="0"/>
              <w:rPr>
                <w:iCs/>
                <w:lang w:val="en-AU"/>
              </w:rPr>
            </w:pPr>
            <w:r w:rsidRPr="00940F72">
              <w:rPr>
                <w:szCs w:val="20"/>
                <w:lang w:val="en-AU"/>
              </w:rPr>
              <w:t>95% second year</w:t>
            </w:r>
          </w:p>
        </w:tc>
        <w:tc>
          <w:tcPr>
            <w:tcW w:w="1485" w:type="pct"/>
          </w:tcPr>
          <w:p w:rsidR="00A42A3E" w:rsidRPr="00940F72" w:rsidRDefault="00A42A3E" w:rsidP="00D82939">
            <w:pPr>
              <w:pStyle w:val="TableText0"/>
              <w:keepNext w:val="0"/>
              <w:widowControl w:val="0"/>
              <w:rPr>
                <w:iCs/>
                <w:lang w:val="en-AU"/>
              </w:rPr>
            </w:pPr>
            <w:r w:rsidRPr="00940F72">
              <w:rPr>
                <w:iCs/>
                <w:lang w:val="en-AU"/>
              </w:rPr>
              <w:t>Assumption</w:t>
            </w:r>
          </w:p>
        </w:tc>
        <w:tc>
          <w:tcPr>
            <w:tcW w:w="1923" w:type="pct"/>
          </w:tcPr>
          <w:p w:rsidR="00A42A3E" w:rsidRPr="00940F72" w:rsidRDefault="00A42A3E" w:rsidP="00D82939">
            <w:pPr>
              <w:pStyle w:val="TableText0"/>
              <w:keepNext w:val="0"/>
              <w:widowControl w:val="0"/>
              <w:rPr>
                <w:iCs/>
                <w:lang w:val="en-AU"/>
              </w:rPr>
            </w:pPr>
            <w:r w:rsidRPr="00940F72">
              <w:rPr>
                <w:iCs/>
                <w:lang w:val="en-AU"/>
              </w:rPr>
              <w:t>DUSC commented that it was unclear why compliance dropped in the second year.</w:t>
            </w:r>
          </w:p>
        </w:tc>
      </w:tr>
      <w:tr w:rsidR="00455DCF" w:rsidRPr="00940F72" w:rsidTr="00196CEC">
        <w:trPr>
          <w:cantSplit/>
        </w:trPr>
        <w:tc>
          <w:tcPr>
            <w:tcW w:w="871" w:type="pct"/>
          </w:tcPr>
          <w:p w:rsidR="00455DCF" w:rsidRPr="00940F72" w:rsidRDefault="00455DCF" w:rsidP="00D82939">
            <w:pPr>
              <w:pStyle w:val="TableText0"/>
              <w:keepNext w:val="0"/>
              <w:widowControl w:val="0"/>
              <w:rPr>
                <w:lang w:val="en-AU"/>
              </w:rPr>
            </w:pPr>
            <w:r w:rsidRPr="00940F72">
              <w:rPr>
                <w:lang w:val="en-AU"/>
              </w:rPr>
              <w:t xml:space="preserve">Increase in R/R MCL market size due to zanubrutinib listing </w:t>
            </w:r>
          </w:p>
        </w:tc>
        <w:tc>
          <w:tcPr>
            <w:tcW w:w="721" w:type="pct"/>
          </w:tcPr>
          <w:p w:rsidR="00455DCF" w:rsidRPr="00940F72" w:rsidRDefault="00455DCF" w:rsidP="00D82939">
            <w:pPr>
              <w:pStyle w:val="TableText0"/>
              <w:keepNext w:val="0"/>
              <w:widowControl w:val="0"/>
              <w:rPr>
                <w:iCs/>
                <w:lang w:val="en-AU"/>
              </w:rPr>
            </w:pPr>
            <w:r w:rsidRPr="00940F72">
              <w:rPr>
                <w:iCs/>
                <w:lang w:val="en-AU"/>
              </w:rPr>
              <w:t>4.39%</w:t>
            </w:r>
          </w:p>
        </w:tc>
        <w:tc>
          <w:tcPr>
            <w:tcW w:w="1485" w:type="pct"/>
          </w:tcPr>
          <w:p w:rsidR="00455DCF" w:rsidRPr="00940F72" w:rsidRDefault="00455DCF" w:rsidP="00D82939">
            <w:pPr>
              <w:pStyle w:val="TableText0"/>
              <w:keepNext w:val="0"/>
              <w:widowControl w:val="0"/>
              <w:rPr>
                <w:iCs/>
                <w:lang w:val="en-AU"/>
              </w:rPr>
            </w:pPr>
            <w:r w:rsidRPr="00940F72">
              <w:rPr>
                <w:iCs/>
                <w:lang w:val="en-AU"/>
              </w:rPr>
              <w:t xml:space="preserve">Based on the </w:t>
            </w:r>
            <w:r w:rsidR="00FE35AD" w:rsidRPr="00940F72">
              <w:rPr>
                <w:iCs/>
                <w:lang w:val="en-AU"/>
              </w:rPr>
              <w:t>DUSC review</w:t>
            </w:r>
            <w:r w:rsidRPr="00940F72">
              <w:rPr>
                <w:iCs/>
                <w:lang w:val="en-AU"/>
              </w:rPr>
              <w:t xml:space="preserve"> (DUSC, 2016).</w:t>
            </w:r>
            <w:r w:rsidRPr="00940F72">
              <w:rPr>
                <w:iCs/>
                <w:vertAlign w:val="superscript"/>
                <w:lang w:val="en-AU"/>
              </w:rPr>
              <w:t>b</w:t>
            </w:r>
            <w:r w:rsidRPr="00940F72">
              <w:rPr>
                <w:iCs/>
                <w:lang w:val="en-AU"/>
              </w:rPr>
              <w:t xml:space="preserve"> </w:t>
            </w:r>
            <w:r w:rsidR="00DE6A97" w:rsidRPr="00940F72">
              <w:rPr>
                <w:iCs/>
                <w:lang w:val="en-AU"/>
              </w:rPr>
              <w:t xml:space="preserve">Assumes an </w:t>
            </w:r>
            <w:r w:rsidRPr="00940F72">
              <w:rPr>
                <w:iCs/>
                <w:lang w:val="en-AU"/>
              </w:rPr>
              <w:t>additional 7 patients with previous atrial fibrillation and contraindicated for ibrutinib</w:t>
            </w:r>
            <w:r w:rsidR="00DE6A97" w:rsidRPr="00940F72">
              <w:rPr>
                <w:iCs/>
                <w:lang w:val="en-AU"/>
              </w:rPr>
              <w:t>. A</w:t>
            </w:r>
            <w:r w:rsidRPr="00940F72">
              <w:rPr>
                <w:iCs/>
                <w:lang w:val="en-AU"/>
              </w:rPr>
              <w:t>pproximately 50% of these patients (roughly 3 patients) were estimated to receive zanubrutinib every year</w:t>
            </w:r>
            <w:r w:rsidR="00DE6A97" w:rsidRPr="00940F72">
              <w:rPr>
                <w:iCs/>
                <w:lang w:val="en-AU"/>
              </w:rPr>
              <w:t>.</w:t>
            </w:r>
            <w:r w:rsidRPr="00940F72">
              <w:rPr>
                <w:iCs/>
                <w:vertAlign w:val="superscript"/>
                <w:lang w:val="en-AU"/>
              </w:rPr>
              <w:t>c</w:t>
            </w:r>
            <w:r w:rsidRPr="00940F72">
              <w:rPr>
                <w:iCs/>
                <w:lang w:val="en-AU"/>
              </w:rPr>
              <w:t xml:space="preserve"> </w:t>
            </w:r>
          </w:p>
        </w:tc>
        <w:tc>
          <w:tcPr>
            <w:tcW w:w="1923" w:type="pct"/>
          </w:tcPr>
          <w:p w:rsidR="00455DCF" w:rsidRPr="00940F72" w:rsidRDefault="00DE6A97" w:rsidP="00D82939">
            <w:pPr>
              <w:pStyle w:val="TableText0"/>
              <w:keepNext w:val="0"/>
              <w:widowControl w:val="0"/>
              <w:rPr>
                <w:iCs/>
                <w:lang w:val="en-AU"/>
              </w:rPr>
            </w:pPr>
            <w:r w:rsidRPr="00940F72">
              <w:rPr>
                <w:lang w:val="en-AU"/>
              </w:rPr>
              <w:t>DUSC commented it was unclear how this figure (4.39%) was derived from the Novel Anticoagulants 2016 DUSC report. Age adjusted prevalence of atrial fibrillation included in report by Sturm et al. (2002) for those aged 60-69 years, 70-79 years and 80 years and over were 4.2%, 10.9% and 14.8%, respectively. DUSC considered as MCL patients are generally older, the atrial fibrillation rate used in the submission is likely underestimated.</w:t>
            </w:r>
            <w:r w:rsidR="00D82939" w:rsidRPr="00940F72">
              <w:rPr>
                <w:lang w:val="en-AU"/>
              </w:rPr>
              <w:t xml:space="preserve"> The Pre-PBAC response revised the estimate to an age-adjusted prevalence of 11.5%.</w:t>
            </w:r>
          </w:p>
        </w:tc>
      </w:tr>
      <w:tr w:rsidR="00EA0329" w:rsidRPr="00940F72" w:rsidTr="00196CEC">
        <w:trPr>
          <w:cantSplit/>
        </w:trPr>
        <w:tc>
          <w:tcPr>
            <w:tcW w:w="871" w:type="pct"/>
          </w:tcPr>
          <w:p w:rsidR="00EA0329" w:rsidRPr="00940F72" w:rsidRDefault="00EA0329" w:rsidP="00D82939">
            <w:pPr>
              <w:pStyle w:val="TableText0"/>
              <w:keepNext w:val="0"/>
              <w:widowControl w:val="0"/>
              <w:rPr>
                <w:iCs/>
                <w:szCs w:val="20"/>
                <w:lang w:val="en-AU"/>
              </w:rPr>
            </w:pPr>
            <w:r w:rsidRPr="00940F72">
              <w:rPr>
                <w:iCs/>
                <w:szCs w:val="20"/>
                <w:lang w:val="en-AU"/>
              </w:rPr>
              <w:t>Script ratio</w:t>
            </w:r>
          </w:p>
        </w:tc>
        <w:tc>
          <w:tcPr>
            <w:tcW w:w="721" w:type="pct"/>
          </w:tcPr>
          <w:p w:rsidR="00EA0329" w:rsidRPr="00940F72" w:rsidRDefault="00EA0329" w:rsidP="00D82939">
            <w:pPr>
              <w:pStyle w:val="TableText0"/>
              <w:keepNext w:val="0"/>
              <w:widowControl w:val="0"/>
              <w:rPr>
                <w:iCs/>
                <w:szCs w:val="20"/>
                <w:lang w:val="en-AU"/>
              </w:rPr>
            </w:pPr>
            <w:r w:rsidRPr="00940F72">
              <w:rPr>
                <w:szCs w:val="20"/>
                <w:lang w:val="en-AU"/>
              </w:rPr>
              <w:t>1.0</w:t>
            </w:r>
          </w:p>
        </w:tc>
        <w:tc>
          <w:tcPr>
            <w:tcW w:w="1485" w:type="pct"/>
          </w:tcPr>
          <w:p w:rsidR="00EA0329" w:rsidRPr="00940F72" w:rsidRDefault="00EA0329" w:rsidP="00D82939">
            <w:pPr>
              <w:pStyle w:val="TableText0"/>
              <w:keepNext w:val="0"/>
              <w:widowControl w:val="0"/>
              <w:rPr>
                <w:iCs/>
                <w:lang w:val="en-AU"/>
              </w:rPr>
            </w:pPr>
            <w:r w:rsidRPr="00940F72">
              <w:rPr>
                <w:iCs/>
                <w:lang w:val="en-AU"/>
              </w:rPr>
              <w:t>Assumption based on same median duration of treatment and same relative dose intensity.</w:t>
            </w:r>
          </w:p>
        </w:tc>
        <w:tc>
          <w:tcPr>
            <w:tcW w:w="1923" w:type="pct"/>
          </w:tcPr>
          <w:p w:rsidR="00EA0329" w:rsidRPr="00940F72" w:rsidRDefault="00EA0329" w:rsidP="00D82939">
            <w:pPr>
              <w:pStyle w:val="TableText0"/>
              <w:keepNext w:val="0"/>
              <w:widowControl w:val="0"/>
              <w:rPr>
                <w:iCs/>
                <w:lang w:val="en-AU"/>
              </w:rPr>
            </w:pPr>
            <w:r w:rsidRPr="00940F72">
              <w:rPr>
                <w:iCs/>
                <w:lang w:val="en-AU"/>
              </w:rPr>
              <w:t>DUSC commented the validity of safety claims were unclear as treatment duration would be longer for zanubrutinib than for ibrutinib. Treatment duration based on trials would be more appropriate.</w:t>
            </w:r>
          </w:p>
        </w:tc>
      </w:tr>
      <w:tr w:rsidR="00455DCF" w:rsidRPr="00940F72" w:rsidTr="00196CEC">
        <w:trPr>
          <w:cantSplit/>
          <w:trHeight w:val="2616"/>
        </w:trPr>
        <w:tc>
          <w:tcPr>
            <w:tcW w:w="871" w:type="pct"/>
          </w:tcPr>
          <w:p w:rsidR="00455DCF" w:rsidRPr="00940F72" w:rsidRDefault="00455DCF" w:rsidP="00D82939">
            <w:pPr>
              <w:pStyle w:val="TableText0"/>
              <w:keepNext w:val="0"/>
              <w:widowControl w:val="0"/>
              <w:rPr>
                <w:iCs/>
                <w:szCs w:val="20"/>
                <w:lang w:val="en-AU"/>
              </w:rPr>
            </w:pPr>
            <w:r w:rsidRPr="00940F72">
              <w:rPr>
                <w:iCs/>
                <w:szCs w:val="20"/>
                <w:lang w:val="en-AU"/>
              </w:rPr>
              <w:t>Grandfathered patients</w:t>
            </w:r>
          </w:p>
        </w:tc>
        <w:tc>
          <w:tcPr>
            <w:tcW w:w="721" w:type="pct"/>
          </w:tcPr>
          <w:p w:rsidR="00455DCF" w:rsidRPr="00940F72" w:rsidRDefault="00455DCF" w:rsidP="00D82939">
            <w:pPr>
              <w:pStyle w:val="TableText0"/>
              <w:keepNext w:val="0"/>
              <w:widowControl w:val="0"/>
              <w:rPr>
                <w:iCs/>
                <w:szCs w:val="20"/>
                <w:lang w:val="en-AU"/>
              </w:rPr>
            </w:pPr>
            <w:r w:rsidRPr="00940F72">
              <w:rPr>
                <w:iCs/>
                <w:szCs w:val="20"/>
                <w:lang w:val="en-AU"/>
              </w:rPr>
              <w:t>Nil</w:t>
            </w:r>
          </w:p>
        </w:tc>
        <w:tc>
          <w:tcPr>
            <w:tcW w:w="1485" w:type="pct"/>
          </w:tcPr>
          <w:p w:rsidR="00455DCF" w:rsidRPr="00940F72" w:rsidRDefault="00455DCF" w:rsidP="00D82939">
            <w:pPr>
              <w:pStyle w:val="TableText0"/>
              <w:keepNext w:val="0"/>
              <w:widowControl w:val="0"/>
              <w:rPr>
                <w:iCs/>
                <w:lang w:val="en-AU"/>
              </w:rPr>
            </w:pPr>
            <w:r w:rsidRPr="00940F72">
              <w:rPr>
                <w:iCs/>
                <w:lang w:val="en-AU"/>
              </w:rPr>
              <w:t>Not included in the budget impact estimates.</w:t>
            </w:r>
          </w:p>
        </w:tc>
        <w:tc>
          <w:tcPr>
            <w:tcW w:w="1923" w:type="pct"/>
          </w:tcPr>
          <w:p w:rsidR="00106FA4" w:rsidRPr="00940F72" w:rsidRDefault="00455DCF" w:rsidP="00D82939">
            <w:pPr>
              <w:pStyle w:val="TableText0"/>
              <w:keepNext w:val="0"/>
              <w:widowControl w:val="0"/>
              <w:rPr>
                <w:iCs/>
                <w:lang w:val="en-AU"/>
              </w:rPr>
            </w:pPr>
            <w:r w:rsidRPr="00940F72">
              <w:rPr>
                <w:iCs/>
                <w:lang w:val="en-AU"/>
              </w:rPr>
              <w:t xml:space="preserve">The proposed listing included </w:t>
            </w:r>
            <w:r w:rsidR="00106FA4" w:rsidRPr="00940F72">
              <w:rPr>
                <w:iCs/>
                <w:lang w:val="en-AU"/>
              </w:rPr>
              <w:t>grandfathered patients. It may not be reasonable to exclude grandfathered patients from the budget impact estimates. If patients in the patient access program are contra-indicated for or intolerant to ibrutinib, they will grow the market when grandfathered.</w:t>
            </w:r>
          </w:p>
          <w:p w:rsidR="00106FA4" w:rsidRPr="00940F72" w:rsidRDefault="00106FA4" w:rsidP="00D82939">
            <w:pPr>
              <w:pStyle w:val="TableText0"/>
              <w:keepNext w:val="0"/>
              <w:widowControl w:val="0"/>
              <w:rPr>
                <w:iCs/>
                <w:lang w:val="en-AU"/>
              </w:rPr>
            </w:pPr>
            <w:r w:rsidRPr="00940F72">
              <w:rPr>
                <w:iCs/>
                <w:lang w:val="en-AU"/>
              </w:rPr>
              <w:t>The PSCR stated that there will be approximately 26 patients eligible for the grandfather restriction at the time of PBS listing.</w:t>
            </w:r>
          </w:p>
        </w:tc>
      </w:tr>
      <w:tr w:rsidR="00455DCF" w:rsidRPr="00940F72" w:rsidTr="00196CEC">
        <w:trPr>
          <w:cantSplit/>
          <w:trHeight w:val="2967"/>
        </w:trPr>
        <w:tc>
          <w:tcPr>
            <w:tcW w:w="871" w:type="pct"/>
          </w:tcPr>
          <w:p w:rsidR="00455DCF" w:rsidRPr="00940F72" w:rsidRDefault="00455DCF" w:rsidP="00D82939">
            <w:pPr>
              <w:pStyle w:val="TableText0"/>
              <w:keepNext w:val="0"/>
              <w:widowControl w:val="0"/>
              <w:rPr>
                <w:lang w:val="en-AU"/>
              </w:rPr>
            </w:pPr>
            <w:r w:rsidRPr="00940F72">
              <w:rPr>
                <w:lang w:val="en-AU"/>
              </w:rPr>
              <w:t>Uptake rate</w:t>
            </w:r>
          </w:p>
          <w:p w:rsidR="00455DCF" w:rsidRPr="00940F72" w:rsidRDefault="00455DCF" w:rsidP="00D82939">
            <w:pPr>
              <w:pStyle w:val="TableText0"/>
              <w:keepNext w:val="0"/>
              <w:widowControl w:val="0"/>
              <w:rPr>
                <w:lang w:val="en-AU"/>
              </w:rPr>
            </w:pPr>
            <w:r w:rsidRPr="00940F72">
              <w:rPr>
                <w:lang w:val="en-AU"/>
              </w:rPr>
              <w:t>(market share of zanubrutinib after listing)</w:t>
            </w:r>
          </w:p>
        </w:tc>
        <w:tc>
          <w:tcPr>
            <w:tcW w:w="721" w:type="pct"/>
          </w:tcPr>
          <w:p w:rsidR="00455DCF" w:rsidRPr="00940F72" w:rsidRDefault="00455DCF" w:rsidP="00D82939">
            <w:pPr>
              <w:pStyle w:val="TableText0"/>
              <w:keepNext w:val="0"/>
              <w:widowControl w:val="0"/>
              <w:rPr>
                <w:iCs/>
                <w:lang w:val="en-AU"/>
              </w:rPr>
            </w:pPr>
            <w:r w:rsidRPr="00940F72">
              <w:rPr>
                <w:iCs/>
                <w:lang w:val="en-AU"/>
              </w:rPr>
              <w:t xml:space="preserve">Yr 1: </w:t>
            </w:r>
            <w:r w:rsidR="00C13E60">
              <w:rPr>
                <w:iCs/>
                <w:noProof/>
                <w:color w:val="000000"/>
                <w:highlight w:val="black"/>
                <w:lang w:val="en-AU"/>
              </w:rPr>
              <w:t>''''''''''''</w:t>
            </w:r>
            <w:r w:rsidRPr="00940F72">
              <w:rPr>
                <w:iCs/>
                <w:lang w:val="en-AU"/>
              </w:rPr>
              <w:t>%</w:t>
            </w:r>
          </w:p>
          <w:p w:rsidR="00455DCF" w:rsidRPr="00940F72" w:rsidRDefault="00455DCF" w:rsidP="00D82939">
            <w:pPr>
              <w:pStyle w:val="TableText0"/>
              <w:keepNext w:val="0"/>
              <w:widowControl w:val="0"/>
              <w:rPr>
                <w:iCs/>
                <w:lang w:val="en-AU"/>
              </w:rPr>
            </w:pPr>
            <w:r w:rsidRPr="00940F72">
              <w:rPr>
                <w:iCs/>
                <w:lang w:val="en-AU"/>
              </w:rPr>
              <w:t xml:space="preserve">Yr 2: </w:t>
            </w:r>
            <w:r w:rsidR="00C13E60">
              <w:rPr>
                <w:iCs/>
                <w:noProof/>
                <w:color w:val="000000"/>
                <w:highlight w:val="black"/>
                <w:lang w:val="en-AU"/>
              </w:rPr>
              <w:t>''''''''''</w:t>
            </w:r>
            <w:r w:rsidRPr="00940F72">
              <w:rPr>
                <w:iCs/>
                <w:lang w:val="en-AU"/>
              </w:rPr>
              <w:t>%</w:t>
            </w:r>
          </w:p>
          <w:p w:rsidR="00455DCF" w:rsidRPr="00940F72" w:rsidRDefault="00455DCF" w:rsidP="00D82939">
            <w:pPr>
              <w:pStyle w:val="TableText0"/>
              <w:keepNext w:val="0"/>
              <w:widowControl w:val="0"/>
              <w:rPr>
                <w:iCs/>
                <w:lang w:val="en-AU"/>
              </w:rPr>
            </w:pPr>
            <w:r w:rsidRPr="00940F72">
              <w:rPr>
                <w:iCs/>
                <w:lang w:val="en-AU"/>
              </w:rPr>
              <w:t xml:space="preserve">Yr 3: </w:t>
            </w:r>
            <w:r w:rsidR="00C13E60">
              <w:rPr>
                <w:iCs/>
                <w:noProof/>
                <w:color w:val="000000"/>
                <w:highlight w:val="black"/>
                <w:lang w:val="en-AU"/>
              </w:rPr>
              <w:t>''''''''''</w:t>
            </w:r>
            <w:r w:rsidRPr="00940F72">
              <w:rPr>
                <w:iCs/>
                <w:lang w:val="en-AU"/>
              </w:rPr>
              <w:t>%</w:t>
            </w:r>
          </w:p>
          <w:p w:rsidR="00455DCF" w:rsidRPr="00940F72" w:rsidRDefault="00455DCF" w:rsidP="00D82939">
            <w:pPr>
              <w:pStyle w:val="TableText0"/>
              <w:keepNext w:val="0"/>
              <w:widowControl w:val="0"/>
              <w:rPr>
                <w:iCs/>
                <w:lang w:val="en-AU"/>
              </w:rPr>
            </w:pPr>
            <w:r w:rsidRPr="00940F72">
              <w:rPr>
                <w:iCs/>
                <w:lang w:val="en-AU"/>
              </w:rPr>
              <w:t xml:space="preserve">Yr 4: </w:t>
            </w:r>
            <w:r w:rsidR="00C13E60">
              <w:rPr>
                <w:iCs/>
                <w:noProof/>
                <w:color w:val="000000"/>
                <w:highlight w:val="black"/>
                <w:lang w:val="en-AU"/>
              </w:rPr>
              <w:t>'''''''''''</w:t>
            </w:r>
            <w:r w:rsidRPr="00940F72">
              <w:rPr>
                <w:iCs/>
                <w:lang w:val="en-AU"/>
              </w:rPr>
              <w:t>%</w:t>
            </w:r>
          </w:p>
          <w:p w:rsidR="00455DCF" w:rsidRPr="00940F72" w:rsidRDefault="00455DCF" w:rsidP="00D82939">
            <w:pPr>
              <w:pStyle w:val="TableText0"/>
              <w:keepNext w:val="0"/>
              <w:widowControl w:val="0"/>
              <w:rPr>
                <w:iCs/>
                <w:lang w:val="en-AU"/>
              </w:rPr>
            </w:pPr>
            <w:r w:rsidRPr="00940F72">
              <w:rPr>
                <w:iCs/>
                <w:lang w:val="en-AU"/>
              </w:rPr>
              <w:t xml:space="preserve">Yr 5: </w:t>
            </w:r>
            <w:r w:rsidR="00C13E60">
              <w:rPr>
                <w:iCs/>
                <w:noProof/>
                <w:color w:val="000000"/>
                <w:highlight w:val="black"/>
                <w:lang w:val="en-AU"/>
              </w:rPr>
              <w:t>'''''''''''</w:t>
            </w:r>
            <w:r w:rsidRPr="00940F72">
              <w:rPr>
                <w:iCs/>
                <w:lang w:val="en-AU"/>
              </w:rPr>
              <w:t>%</w:t>
            </w:r>
          </w:p>
          <w:p w:rsidR="00455DCF" w:rsidRPr="00940F72" w:rsidRDefault="00455DCF" w:rsidP="00D82939">
            <w:pPr>
              <w:pStyle w:val="TableText0"/>
              <w:keepNext w:val="0"/>
              <w:widowControl w:val="0"/>
              <w:rPr>
                <w:iCs/>
                <w:lang w:val="en-AU"/>
              </w:rPr>
            </w:pPr>
            <w:r w:rsidRPr="00940F72">
              <w:rPr>
                <w:iCs/>
                <w:lang w:val="en-AU"/>
              </w:rPr>
              <w:t xml:space="preserve">Yr 6: </w:t>
            </w:r>
            <w:r w:rsidR="00C13E60">
              <w:rPr>
                <w:iCs/>
                <w:noProof/>
                <w:color w:val="000000"/>
                <w:highlight w:val="black"/>
                <w:lang w:val="en-AU"/>
              </w:rPr>
              <w:t>'''''''''''</w:t>
            </w:r>
            <w:r w:rsidRPr="00940F72">
              <w:rPr>
                <w:iCs/>
                <w:lang w:val="en-AU"/>
              </w:rPr>
              <w:t>%</w:t>
            </w:r>
          </w:p>
        </w:tc>
        <w:tc>
          <w:tcPr>
            <w:tcW w:w="1485" w:type="pct"/>
          </w:tcPr>
          <w:p w:rsidR="00455DCF" w:rsidRPr="00940F72" w:rsidRDefault="00455DCF" w:rsidP="00D82939">
            <w:pPr>
              <w:pStyle w:val="TableText0"/>
              <w:keepNext w:val="0"/>
              <w:widowControl w:val="0"/>
              <w:rPr>
                <w:lang w:val="en-AU"/>
              </w:rPr>
            </w:pPr>
            <w:r w:rsidRPr="00940F72">
              <w:rPr>
                <w:lang w:val="en-AU"/>
              </w:rPr>
              <w:t xml:space="preserve">Assumption based on commissioned data (number of respondents=27, 93% response rate). </w:t>
            </w:r>
          </w:p>
        </w:tc>
        <w:tc>
          <w:tcPr>
            <w:tcW w:w="1923" w:type="pct"/>
          </w:tcPr>
          <w:p w:rsidR="00455DCF" w:rsidRPr="00940F72" w:rsidRDefault="00455DCF" w:rsidP="00D82939">
            <w:pPr>
              <w:pStyle w:val="TableText0"/>
              <w:keepNext w:val="0"/>
              <w:widowControl w:val="0"/>
              <w:rPr>
                <w:iCs/>
                <w:lang w:val="en-AU"/>
              </w:rPr>
            </w:pPr>
            <w:r w:rsidRPr="00940F72">
              <w:rPr>
                <w:iCs/>
                <w:lang w:val="en-AU"/>
              </w:rPr>
              <w:t xml:space="preserve">This is uncertain. These estimates included MCL and Waldenström Macroglobulinemia patients treated with zanubrutinib and acalabrutinib for multiple lines of therapy. The results were unable to be verified (pp7-12 of the Attachment IQVIA survey). If zanubrutinib is perceived to have a favourable safety profile compared to other BTK inhibitors, the market share will be underestimated. </w:t>
            </w:r>
            <w:r w:rsidR="00D82939" w:rsidRPr="00940F72">
              <w:rPr>
                <w:iCs/>
                <w:lang w:val="en-AU"/>
              </w:rPr>
              <w:t>The Pre-PBAC response clarified</w:t>
            </w:r>
            <w:r w:rsidR="00260416" w:rsidRPr="00940F72">
              <w:rPr>
                <w:iCs/>
                <w:lang w:val="en-AU"/>
              </w:rPr>
              <w:t xml:space="preserve"> that</w:t>
            </w:r>
            <w:r w:rsidR="00260416" w:rsidRPr="00940F72">
              <w:rPr>
                <w:lang w:val="en-AU"/>
              </w:rPr>
              <w:t xml:space="preserve"> the provided market research data comprised different modules segregated by indication.</w:t>
            </w:r>
          </w:p>
        </w:tc>
      </w:tr>
      <w:tr w:rsidR="00455DCF" w:rsidRPr="00940F72" w:rsidTr="00196CEC">
        <w:trPr>
          <w:cantSplit/>
        </w:trPr>
        <w:tc>
          <w:tcPr>
            <w:tcW w:w="871" w:type="pct"/>
          </w:tcPr>
          <w:p w:rsidR="00455DCF" w:rsidRPr="00940F72" w:rsidRDefault="00455DCF" w:rsidP="00D82939">
            <w:pPr>
              <w:pStyle w:val="TableText0"/>
              <w:keepNext w:val="0"/>
              <w:widowControl w:val="0"/>
              <w:rPr>
                <w:iCs/>
                <w:lang w:val="en-AU"/>
              </w:rPr>
            </w:pPr>
            <w:r w:rsidRPr="00940F72">
              <w:rPr>
                <w:iCs/>
                <w:lang w:val="en-AU"/>
              </w:rPr>
              <w:t>Ibrutinib published DPMQ</w:t>
            </w:r>
          </w:p>
        </w:tc>
        <w:tc>
          <w:tcPr>
            <w:tcW w:w="721" w:type="pct"/>
          </w:tcPr>
          <w:p w:rsidR="00455DCF" w:rsidRPr="00940F72" w:rsidRDefault="00455DCF" w:rsidP="00D82939">
            <w:pPr>
              <w:pStyle w:val="TableText0"/>
              <w:keepNext w:val="0"/>
              <w:widowControl w:val="0"/>
              <w:rPr>
                <w:iCs/>
                <w:lang w:val="en-AU"/>
              </w:rPr>
            </w:pPr>
            <w:r w:rsidRPr="00940F72">
              <w:rPr>
                <w:iCs/>
                <w:lang w:val="en-AU"/>
              </w:rPr>
              <w:t>$11,667.93</w:t>
            </w:r>
          </w:p>
          <w:p w:rsidR="00455DCF" w:rsidRPr="00940F72" w:rsidRDefault="00455DCF" w:rsidP="00D82939">
            <w:pPr>
              <w:pStyle w:val="TableText0"/>
              <w:keepNext w:val="0"/>
              <w:widowControl w:val="0"/>
              <w:rPr>
                <w:iCs/>
                <w:lang w:val="en-AU"/>
              </w:rPr>
            </w:pPr>
            <w:r w:rsidRPr="00940F72">
              <w:rPr>
                <w:iCs/>
                <w:lang w:val="en-AU"/>
              </w:rPr>
              <w:t>(Latest price: $11,672.21)</w:t>
            </w:r>
          </w:p>
        </w:tc>
        <w:tc>
          <w:tcPr>
            <w:tcW w:w="1485" w:type="pct"/>
          </w:tcPr>
          <w:p w:rsidR="00455DCF" w:rsidRPr="00940F72" w:rsidRDefault="00455DCF" w:rsidP="00D82939">
            <w:pPr>
              <w:pStyle w:val="TableText0"/>
              <w:keepNext w:val="0"/>
              <w:widowControl w:val="0"/>
              <w:rPr>
                <w:iCs/>
                <w:lang w:val="en-AU"/>
              </w:rPr>
            </w:pPr>
            <w:r w:rsidRPr="00940F72">
              <w:rPr>
                <w:iCs/>
                <w:lang w:val="en-AU"/>
              </w:rPr>
              <w:t>PBS item number 11419B.</w:t>
            </w:r>
          </w:p>
        </w:tc>
        <w:tc>
          <w:tcPr>
            <w:tcW w:w="1923" w:type="pct"/>
          </w:tcPr>
          <w:p w:rsidR="00455DCF" w:rsidRPr="00940F72" w:rsidRDefault="00455DCF" w:rsidP="0040623D">
            <w:pPr>
              <w:pStyle w:val="TableText0"/>
              <w:keepNext w:val="0"/>
              <w:widowControl w:val="0"/>
              <w:rPr>
                <w:lang w:val="en-AU"/>
              </w:rPr>
            </w:pPr>
            <w:r w:rsidRPr="00940F72">
              <w:rPr>
                <w:iCs/>
                <w:lang w:val="en-AU"/>
              </w:rPr>
              <w:t>The DPMQ presented in the submission was $11,667.93, slightly less than the latest PBS DPMQ of $11,672.21. Prices as per the latest PB</w:t>
            </w:r>
            <w:r w:rsidR="0040623D" w:rsidRPr="00940F72">
              <w:rPr>
                <w:iCs/>
                <w:lang w:val="en-AU"/>
              </w:rPr>
              <w:t>S</w:t>
            </w:r>
            <w:r w:rsidRPr="00940F72">
              <w:rPr>
                <w:iCs/>
                <w:lang w:val="en-AU"/>
              </w:rPr>
              <w:t xml:space="preserve"> values were added in the commentary.</w:t>
            </w:r>
          </w:p>
        </w:tc>
      </w:tr>
      <w:tr w:rsidR="00455DCF" w:rsidRPr="00940F72" w:rsidTr="00196CEC">
        <w:trPr>
          <w:cantSplit/>
        </w:trPr>
        <w:tc>
          <w:tcPr>
            <w:tcW w:w="871" w:type="pct"/>
          </w:tcPr>
          <w:p w:rsidR="00455DCF" w:rsidRPr="00940F72" w:rsidRDefault="00455DCF" w:rsidP="00D82939">
            <w:pPr>
              <w:pStyle w:val="TableText0"/>
              <w:keepNext w:val="0"/>
              <w:widowControl w:val="0"/>
              <w:rPr>
                <w:iCs/>
                <w:lang w:val="en-AU"/>
              </w:rPr>
            </w:pPr>
            <w:r w:rsidRPr="00940F72">
              <w:rPr>
                <w:iCs/>
                <w:lang w:val="en-AU"/>
              </w:rPr>
              <w:t>Zanubrutinib DPMQ</w:t>
            </w:r>
          </w:p>
        </w:tc>
        <w:tc>
          <w:tcPr>
            <w:tcW w:w="721" w:type="pct"/>
          </w:tcPr>
          <w:p w:rsidR="00455DCF" w:rsidRPr="00940F72" w:rsidRDefault="00455DCF" w:rsidP="00D82939">
            <w:pPr>
              <w:pStyle w:val="TableText0"/>
              <w:keepNext w:val="0"/>
              <w:widowControl w:val="0"/>
              <w:rPr>
                <w:iCs/>
                <w:lang w:val="en-AU"/>
              </w:rPr>
            </w:pPr>
            <w:r w:rsidRPr="00940F72">
              <w:rPr>
                <w:iCs/>
                <w:lang w:val="en-AU"/>
              </w:rPr>
              <w:t>$11,667.93</w:t>
            </w:r>
          </w:p>
          <w:p w:rsidR="00455DCF" w:rsidRPr="00940F72" w:rsidRDefault="00455DCF" w:rsidP="00D82939">
            <w:pPr>
              <w:pStyle w:val="TableText0"/>
              <w:keepNext w:val="0"/>
              <w:widowControl w:val="0"/>
              <w:rPr>
                <w:iCs/>
                <w:lang w:val="en-AU"/>
              </w:rPr>
            </w:pPr>
            <w:r w:rsidRPr="00940F72">
              <w:rPr>
                <w:iCs/>
                <w:lang w:val="en-AU"/>
              </w:rPr>
              <w:t>(Latest price: $11,672.21)</w:t>
            </w:r>
          </w:p>
        </w:tc>
        <w:tc>
          <w:tcPr>
            <w:tcW w:w="1485" w:type="pct"/>
          </w:tcPr>
          <w:p w:rsidR="00455DCF" w:rsidRPr="00940F72" w:rsidRDefault="00455DCF" w:rsidP="00D82939">
            <w:pPr>
              <w:pStyle w:val="TableText0"/>
              <w:keepNext w:val="0"/>
              <w:widowControl w:val="0"/>
              <w:rPr>
                <w:iCs/>
                <w:lang w:val="en-AU"/>
              </w:rPr>
            </w:pPr>
            <w:r w:rsidRPr="00940F72">
              <w:rPr>
                <w:iCs/>
                <w:lang w:val="en-AU"/>
              </w:rPr>
              <w:t>Requested price</w:t>
            </w:r>
          </w:p>
        </w:tc>
        <w:tc>
          <w:tcPr>
            <w:tcW w:w="1923" w:type="pct"/>
          </w:tcPr>
          <w:p w:rsidR="00455DCF" w:rsidRPr="00940F72" w:rsidRDefault="00455DCF" w:rsidP="00D82939">
            <w:pPr>
              <w:pStyle w:val="TableText0"/>
              <w:keepNext w:val="0"/>
              <w:widowControl w:val="0"/>
              <w:rPr>
                <w:iCs/>
                <w:lang w:val="en-AU"/>
              </w:rPr>
            </w:pPr>
            <w:r w:rsidRPr="00940F72">
              <w:rPr>
                <w:iCs/>
                <w:lang w:val="en-AU"/>
              </w:rPr>
              <w:t>Assumed to be equal to ibrutinib.</w:t>
            </w:r>
          </w:p>
        </w:tc>
      </w:tr>
      <w:tr w:rsidR="00455DCF" w:rsidRPr="00940F72" w:rsidTr="00196CEC">
        <w:trPr>
          <w:cantSplit/>
        </w:trPr>
        <w:tc>
          <w:tcPr>
            <w:tcW w:w="871" w:type="pct"/>
          </w:tcPr>
          <w:p w:rsidR="00455DCF" w:rsidRPr="00940F72" w:rsidRDefault="00455DCF" w:rsidP="00D82939">
            <w:pPr>
              <w:pStyle w:val="TableText0"/>
              <w:keepNext w:val="0"/>
              <w:widowControl w:val="0"/>
              <w:rPr>
                <w:lang w:val="en-AU"/>
              </w:rPr>
            </w:pPr>
            <w:r w:rsidRPr="00940F72">
              <w:rPr>
                <w:lang w:val="en-AU"/>
              </w:rPr>
              <w:t>Cost to MBS</w:t>
            </w:r>
          </w:p>
        </w:tc>
        <w:tc>
          <w:tcPr>
            <w:tcW w:w="721" w:type="pct"/>
          </w:tcPr>
          <w:p w:rsidR="00455DCF" w:rsidRPr="00940F72" w:rsidRDefault="00455DCF" w:rsidP="00D82939">
            <w:pPr>
              <w:pStyle w:val="TableText0"/>
              <w:keepNext w:val="0"/>
              <w:widowControl w:val="0"/>
              <w:rPr>
                <w:iCs/>
                <w:lang w:val="en-AU"/>
              </w:rPr>
            </w:pPr>
            <w:r w:rsidRPr="00940F72">
              <w:rPr>
                <w:iCs/>
                <w:lang w:val="en-AU"/>
              </w:rPr>
              <w:t>Nil</w:t>
            </w:r>
          </w:p>
        </w:tc>
        <w:tc>
          <w:tcPr>
            <w:tcW w:w="1485" w:type="pct"/>
          </w:tcPr>
          <w:p w:rsidR="00455DCF" w:rsidRPr="00940F72" w:rsidRDefault="00455DCF" w:rsidP="00D82939">
            <w:pPr>
              <w:pStyle w:val="TableText0"/>
              <w:keepNext w:val="0"/>
              <w:widowControl w:val="0"/>
              <w:rPr>
                <w:lang w:val="en-AU"/>
              </w:rPr>
            </w:pPr>
            <w:r w:rsidRPr="00940F72">
              <w:rPr>
                <w:lang w:val="en-AU"/>
              </w:rPr>
              <w:t>MBS online</w:t>
            </w:r>
          </w:p>
        </w:tc>
        <w:tc>
          <w:tcPr>
            <w:tcW w:w="1923" w:type="pct"/>
          </w:tcPr>
          <w:p w:rsidR="00455DCF" w:rsidRPr="00940F72" w:rsidRDefault="00455DCF" w:rsidP="00D82939">
            <w:pPr>
              <w:pStyle w:val="TableText0"/>
              <w:keepNext w:val="0"/>
              <w:widowControl w:val="0"/>
              <w:rPr>
                <w:lang w:val="en-AU"/>
              </w:rPr>
            </w:pPr>
            <w:r w:rsidRPr="00940F72">
              <w:rPr>
                <w:iCs/>
                <w:lang w:val="en-AU"/>
              </w:rPr>
              <w:t>This is reasonable. A potential cost saving of $12,576 over six years was estimated by the submission due to fewer resources required to manage adverse events with zanubrutinib versus ibrutinib. However, the CMA results presented in section 3.4 of the submission did not include the MBS cost savings. MBS cost savings were included as a potential cost-saving scenario only.</w:t>
            </w:r>
          </w:p>
        </w:tc>
      </w:tr>
      <w:tr w:rsidR="00455DCF" w:rsidRPr="00940F72" w:rsidTr="00196CEC">
        <w:trPr>
          <w:cantSplit/>
        </w:trPr>
        <w:tc>
          <w:tcPr>
            <w:tcW w:w="871" w:type="pct"/>
          </w:tcPr>
          <w:p w:rsidR="00455DCF" w:rsidRPr="00940F72" w:rsidRDefault="00455DCF" w:rsidP="00D82939">
            <w:pPr>
              <w:pStyle w:val="TableText0"/>
              <w:keepNext w:val="0"/>
              <w:widowControl w:val="0"/>
              <w:rPr>
                <w:lang w:val="en-AU"/>
              </w:rPr>
            </w:pPr>
            <w:r w:rsidRPr="00940F72">
              <w:rPr>
                <w:lang w:val="en-AU"/>
              </w:rPr>
              <w:t>Cost of hospitalisations for adverse events</w:t>
            </w:r>
          </w:p>
        </w:tc>
        <w:tc>
          <w:tcPr>
            <w:tcW w:w="721" w:type="pct"/>
          </w:tcPr>
          <w:p w:rsidR="00455DCF" w:rsidRPr="00940F72" w:rsidRDefault="00455DCF" w:rsidP="00D82939">
            <w:pPr>
              <w:pStyle w:val="TableText0"/>
              <w:keepNext w:val="0"/>
              <w:widowControl w:val="0"/>
              <w:rPr>
                <w:iCs/>
                <w:lang w:val="en-AU"/>
              </w:rPr>
            </w:pPr>
            <w:r w:rsidRPr="00940F72">
              <w:rPr>
                <w:iCs/>
                <w:lang w:val="en-AU"/>
              </w:rPr>
              <w:t>Nil</w:t>
            </w:r>
          </w:p>
        </w:tc>
        <w:tc>
          <w:tcPr>
            <w:tcW w:w="1485" w:type="pct"/>
          </w:tcPr>
          <w:p w:rsidR="00455DCF" w:rsidRPr="00940F72" w:rsidRDefault="00455DCF" w:rsidP="00D82939">
            <w:pPr>
              <w:pStyle w:val="TableText0"/>
              <w:keepNext w:val="0"/>
              <w:widowControl w:val="0"/>
              <w:rPr>
                <w:lang w:val="en-AU"/>
              </w:rPr>
            </w:pPr>
            <w:r w:rsidRPr="00940F72">
              <w:rPr>
                <w:lang w:val="en-AU"/>
              </w:rPr>
              <w:t>NHCDC Round 22 Cost weight tables, DRG Version 10</w:t>
            </w:r>
          </w:p>
        </w:tc>
        <w:tc>
          <w:tcPr>
            <w:tcW w:w="1923" w:type="pct"/>
          </w:tcPr>
          <w:p w:rsidR="00455DCF" w:rsidRPr="00940F72" w:rsidRDefault="00455DCF" w:rsidP="00D82939">
            <w:pPr>
              <w:pStyle w:val="TableText0"/>
              <w:keepNext w:val="0"/>
              <w:widowControl w:val="0"/>
              <w:rPr>
                <w:lang w:val="en-AU"/>
              </w:rPr>
            </w:pPr>
            <w:r w:rsidRPr="00940F72">
              <w:rPr>
                <w:iCs/>
                <w:lang w:val="en-AU"/>
              </w:rPr>
              <w:t>This is reasonable. A potential cost saving of $116,347 over six years was estimated by the submission due to fewer hospitalisations. However, the CMA results presented in section 3.4 of the submission did not include the hospitali</w:t>
            </w:r>
            <w:r w:rsidR="00FE1514" w:rsidRPr="00940F72">
              <w:rPr>
                <w:iCs/>
                <w:lang w:val="en-AU"/>
              </w:rPr>
              <w:t>s</w:t>
            </w:r>
            <w:r w:rsidRPr="00940F72">
              <w:rPr>
                <w:iCs/>
                <w:lang w:val="en-AU"/>
              </w:rPr>
              <w:t>ation costs. These costs were included as a potential cost-saving scenario only.</w:t>
            </w:r>
          </w:p>
        </w:tc>
      </w:tr>
    </w:tbl>
    <w:p w:rsidR="00455DCF" w:rsidRPr="00940F72" w:rsidRDefault="00455DCF" w:rsidP="00D82939">
      <w:pPr>
        <w:pStyle w:val="TableFigureFooter"/>
        <w:rPr>
          <w:i/>
          <w:iCs/>
        </w:rPr>
      </w:pPr>
      <w:r w:rsidRPr="00940F72">
        <w:t>DPMQ= Dispensed Price for Maximum Quantity; BIM = budget impact model; MCL – Mantle Cell Lymphoma; PBS =</w:t>
      </w:r>
      <w:r w:rsidR="00162C76" w:rsidRPr="00940F72">
        <w:t xml:space="preserve"> Pharmaceutical Benefits Scheme.</w:t>
      </w:r>
    </w:p>
    <w:p w:rsidR="00455DCF" w:rsidRPr="00940F72" w:rsidRDefault="00455DCF" w:rsidP="00D82939">
      <w:pPr>
        <w:pStyle w:val="TableFigureFooter"/>
        <w:rPr>
          <w:iCs/>
        </w:rPr>
      </w:pPr>
      <w:r w:rsidRPr="00940F72">
        <w:rPr>
          <w:iCs/>
          <w:vertAlign w:val="superscript"/>
        </w:rPr>
        <w:t>a</w:t>
      </w:r>
      <w:r w:rsidRPr="00940F72">
        <w:rPr>
          <w:iCs/>
        </w:rPr>
        <w:t xml:space="preserve"> 2,514 was derived from Ibrutinib use Jan-20 to Dec-20, source: financial worksheet PBS_Data_MCL_monthly.</w:t>
      </w:r>
    </w:p>
    <w:p w:rsidR="00455DCF" w:rsidRPr="00940F72" w:rsidRDefault="00455DCF" w:rsidP="00D82939">
      <w:pPr>
        <w:pStyle w:val="TableFigureFooter"/>
        <w:rPr>
          <w:iCs/>
        </w:rPr>
      </w:pPr>
      <w:r w:rsidRPr="00940F72">
        <w:rPr>
          <w:iCs/>
          <w:vertAlign w:val="superscript"/>
        </w:rPr>
        <w:t>b</w:t>
      </w:r>
      <w:r w:rsidRPr="00940F72">
        <w:rPr>
          <w:iCs/>
        </w:rPr>
        <w:t xml:space="preserve"> The baseline rate of atrial fibrillation, 4.39%, was taken from the age-adjusted prevalence of the general population provided in the Drug Utilisation Sub-committee report (DUSC, 2016). Source: DUSC (2016) Novel Oral Anticoagulants: Predicted vs actual analysis - Drug utilisation sub-committee (DUSC)</w:t>
      </w:r>
    </w:p>
    <w:p w:rsidR="00455DCF" w:rsidRPr="00940F72" w:rsidRDefault="00455DCF" w:rsidP="00D82939">
      <w:pPr>
        <w:pStyle w:val="TableFigureFooter"/>
        <w:rPr>
          <w:iCs/>
        </w:rPr>
      </w:pPr>
      <w:r w:rsidRPr="00940F72">
        <w:rPr>
          <w:iCs/>
          <w:vertAlign w:val="superscript"/>
        </w:rPr>
        <w:t>c</w:t>
      </w:r>
      <w:r w:rsidRPr="00940F72">
        <w:rPr>
          <w:iCs/>
        </w:rPr>
        <w:t xml:space="preserve"> The lower estimate was derived from the incidence rate for MCL of 0.5 per 100,000 persons (340 cases) in Australia (Cheah 2019) and the upper estimate of 1.73 per 100,000 persons (450 cases). For the epidemiological model, the midpoint of these two estimates was used, 1.12 per 100,000 persons. The relapse rate (from incident MCL to R/R MCL) was estimated as 50% (Attachment IQVIA Survey MCL). </w:t>
      </w:r>
    </w:p>
    <w:p w:rsidR="00455DCF" w:rsidRPr="00940F72" w:rsidRDefault="00455DCF" w:rsidP="00D82939">
      <w:pPr>
        <w:pStyle w:val="TableFigureFooter"/>
      </w:pPr>
      <w:r w:rsidRPr="00940F72">
        <w:t>Source: Table 4.1, p113 of the submission.</w:t>
      </w:r>
    </w:p>
    <w:p w:rsidR="00455DCF" w:rsidRPr="00940F72" w:rsidRDefault="00455DCF" w:rsidP="00455DCF">
      <w:pPr>
        <w:pStyle w:val="3-BodyText"/>
        <w:rPr>
          <w:color w:val="0066FF"/>
        </w:rPr>
      </w:pPr>
      <w:r w:rsidRPr="00940F72">
        <w:t>Table 1</w:t>
      </w:r>
      <w:r w:rsidR="00053418" w:rsidRPr="00940F72">
        <w:t>3</w:t>
      </w:r>
      <w:r w:rsidRPr="00940F72">
        <w:t xml:space="preserve"> presents the estimated financial implications for the listing of zanubrutinib based on the published price of ibrutinib (DPMQ $11,667.93). </w:t>
      </w:r>
      <w:r w:rsidRPr="00940F72">
        <w:rPr>
          <w:iCs/>
        </w:rPr>
        <w:t>The financial estimates were updated using the latest DPMQ price ($11,672.21) for ibrutinib during the evaluation</w:t>
      </w:r>
      <w:r w:rsidRPr="00940F72">
        <w:t xml:space="preserve">. </w:t>
      </w:r>
    </w:p>
    <w:p w:rsidR="00455DCF" w:rsidRPr="00940F72" w:rsidRDefault="00455DCF" w:rsidP="00455DCF">
      <w:pPr>
        <w:pStyle w:val="TableFigureHeading"/>
      </w:pPr>
      <w:bookmarkStart w:id="67" w:name="_Hlk71540893"/>
      <w:r w:rsidRPr="00940F72">
        <w:rPr>
          <w:rStyle w:val="CommentReference"/>
          <w:b/>
          <w:szCs w:val="24"/>
        </w:rPr>
        <w:t>Table 1</w:t>
      </w:r>
      <w:r w:rsidR="00053418" w:rsidRPr="00940F72">
        <w:rPr>
          <w:rStyle w:val="CommentReference"/>
          <w:b/>
          <w:szCs w:val="24"/>
        </w:rPr>
        <w:t>3</w:t>
      </w:r>
      <w:r w:rsidRPr="00940F72">
        <w:rPr>
          <w:rStyle w:val="CommentReference"/>
          <w:b/>
          <w:szCs w:val="24"/>
        </w:rPr>
        <w:t>: Estimated use and financial implications (published DPMQ)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455DCF" w:rsidRPr="00940F72" w:rsidTr="003A6544">
        <w:trPr>
          <w:tblHeader/>
        </w:trPr>
        <w:tc>
          <w:tcPr>
            <w:tcW w:w="1116" w:type="pct"/>
            <w:shd w:val="clear" w:color="auto" w:fill="auto"/>
            <w:vAlign w:val="center"/>
          </w:tcPr>
          <w:p w:rsidR="00455DCF" w:rsidRPr="00940F72" w:rsidRDefault="00455DCF" w:rsidP="003A6544">
            <w:pPr>
              <w:pStyle w:val="In-tableHeading"/>
              <w:jc w:val="center"/>
              <w:rPr>
                <w:lang w:val="en-AU"/>
              </w:rPr>
            </w:pPr>
          </w:p>
        </w:tc>
        <w:tc>
          <w:tcPr>
            <w:tcW w:w="647" w:type="pct"/>
            <w:shd w:val="clear" w:color="auto" w:fill="auto"/>
            <w:vAlign w:val="center"/>
          </w:tcPr>
          <w:p w:rsidR="00455DCF" w:rsidRPr="00940F72" w:rsidRDefault="00455DCF" w:rsidP="003A6544">
            <w:pPr>
              <w:pStyle w:val="In-tableHeading"/>
              <w:jc w:val="center"/>
              <w:rPr>
                <w:lang w:val="en-AU"/>
              </w:rPr>
            </w:pPr>
            <w:r w:rsidRPr="00940F72">
              <w:rPr>
                <w:lang w:val="en-AU"/>
              </w:rPr>
              <w:t>Year 1</w:t>
            </w:r>
          </w:p>
          <w:p w:rsidR="00455DCF" w:rsidRPr="00940F72" w:rsidRDefault="00455DCF" w:rsidP="003A6544">
            <w:pPr>
              <w:pStyle w:val="In-tableHeading"/>
              <w:jc w:val="center"/>
              <w:rPr>
                <w:lang w:val="en-AU"/>
              </w:rPr>
            </w:pPr>
            <w:r w:rsidRPr="00940F72">
              <w:rPr>
                <w:lang w:val="en-AU"/>
              </w:rPr>
              <w:t>2022</w:t>
            </w:r>
          </w:p>
        </w:tc>
        <w:tc>
          <w:tcPr>
            <w:tcW w:w="647" w:type="pct"/>
            <w:shd w:val="clear" w:color="auto" w:fill="auto"/>
            <w:vAlign w:val="center"/>
          </w:tcPr>
          <w:p w:rsidR="00455DCF" w:rsidRPr="00940F72" w:rsidRDefault="00455DCF" w:rsidP="003A6544">
            <w:pPr>
              <w:pStyle w:val="In-tableHeading"/>
              <w:jc w:val="center"/>
              <w:rPr>
                <w:lang w:val="en-AU"/>
              </w:rPr>
            </w:pPr>
            <w:r w:rsidRPr="00940F72">
              <w:rPr>
                <w:lang w:val="en-AU"/>
              </w:rPr>
              <w:t>Year 2</w:t>
            </w:r>
          </w:p>
          <w:p w:rsidR="00455DCF" w:rsidRPr="00940F72" w:rsidRDefault="00455DCF" w:rsidP="003A6544">
            <w:pPr>
              <w:pStyle w:val="In-tableHeading"/>
              <w:jc w:val="center"/>
              <w:rPr>
                <w:lang w:val="en-AU"/>
              </w:rPr>
            </w:pPr>
            <w:r w:rsidRPr="00940F72">
              <w:rPr>
                <w:lang w:val="en-AU"/>
              </w:rPr>
              <w:t>2023</w:t>
            </w:r>
          </w:p>
        </w:tc>
        <w:tc>
          <w:tcPr>
            <w:tcW w:w="647" w:type="pct"/>
            <w:shd w:val="clear" w:color="auto" w:fill="auto"/>
            <w:vAlign w:val="center"/>
          </w:tcPr>
          <w:p w:rsidR="00455DCF" w:rsidRPr="00940F72" w:rsidRDefault="00455DCF" w:rsidP="003A6544">
            <w:pPr>
              <w:pStyle w:val="In-tableHeading"/>
              <w:jc w:val="center"/>
              <w:rPr>
                <w:lang w:val="en-AU"/>
              </w:rPr>
            </w:pPr>
            <w:r w:rsidRPr="00940F72">
              <w:rPr>
                <w:lang w:val="en-AU"/>
              </w:rPr>
              <w:t>Year 3</w:t>
            </w:r>
          </w:p>
          <w:p w:rsidR="00455DCF" w:rsidRPr="00940F72" w:rsidRDefault="00455DCF" w:rsidP="003A6544">
            <w:pPr>
              <w:pStyle w:val="In-tableHeading"/>
              <w:jc w:val="center"/>
              <w:rPr>
                <w:lang w:val="en-AU"/>
              </w:rPr>
            </w:pPr>
            <w:r w:rsidRPr="00940F72">
              <w:rPr>
                <w:lang w:val="en-AU"/>
              </w:rPr>
              <w:t>2024</w:t>
            </w:r>
          </w:p>
        </w:tc>
        <w:tc>
          <w:tcPr>
            <w:tcW w:w="647" w:type="pct"/>
            <w:shd w:val="clear" w:color="auto" w:fill="auto"/>
            <w:vAlign w:val="center"/>
          </w:tcPr>
          <w:p w:rsidR="00455DCF" w:rsidRPr="00940F72" w:rsidRDefault="00455DCF" w:rsidP="003A6544">
            <w:pPr>
              <w:pStyle w:val="In-tableHeading"/>
              <w:jc w:val="center"/>
              <w:rPr>
                <w:lang w:val="en-AU"/>
              </w:rPr>
            </w:pPr>
            <w:r w:rsidRPr="00940F72">
              <w:rPr>
                <w:lang w:val="en-AU"/>
              </w:rPr>
              <w:t>Year 4</w:t>
            </w:r>
          </w:p>
          <w:p w:rsidR="00455DCF" w:rsidRPr="00940F72" w:rsidRDefault="00455DCF" w:rsidP="003A6544">
            <w:pPr>
              <w:pStyle w:val="In-tableHeading"/>
              <w:jc w:val="center"/>
              <w:rPr>
                <w:lang w:val="en-AU"/>
              </w:rPr>
            </w:pPr>
            <w:r w:rsidRPr="00940F72">
              <w:rPr>
                <w:lang w:val="en-AU"/>
              </w:rPr>
              <w:t>2025</w:t>
            </w:r>
          </w:p>
        </w:tc>
        <w:tc>
          <w:tcPr>
            <w:tcW w:w="647" w:type="pct"/>
            <w:shd w:val="clear" w:color="auto" w:fill="auto"/>
            <w:vAlign w:val="center"/>
          </w:tcPr>
          <w:p w:rsidR="00455DCF" w:rsidRPr="00940F72" w:rsidRDefault="00455DCF" w:rsidP="003A6544">
            <w:pPr>
              <w:pStyle w:val="In-tableHeading"/>
              <w:jc w:val="center"/>
              <w:rPr>
                <w:lang w:val="en-AU"/>
              </w:rPr>
            </w:pPr>
            <w:r w:rsidRPr="00940F72">
              <w:rPr>
                <w:lang w:val="en-AU"/>
              </w:rPr>
              <w:t>Year 5</w:t>
            </w:r>
          </w:p>
          <w:p w:rsidR="00455DCF" w:rsidRPr="00940F72" w:rsidRDefault="00455DCF" w:rsidP="003A6544">
            <w:pPr>
              <w:pStyle w:val="In-tableHeading"/>
              <w:jc w:val="center"/>
              <w:rPr>
                <w:lang w:val="en-AU"/>
              </w:rPr>
            </w:pPr>
            <w:r w:rsidRPr="00940F72">
              <w:rPr>
                <w:lang w:val="en-AU"/>
              </w:rPr>
              <w:t>2026</w:t>
            </w:r>
          </w:p>
        </w:tc>
        <w:tc>
          <w:tcPr>
            <w:tcW w:w="649" w:type="pct"/>
          </w:tcPr>
          <w:p w:rsidR="00455DCF" w:rsidRPr="00940F72" w:rsidRDefault="00455DCF" w:rsidP="003A6544">
            <w:pPr>
              <w:pStyle w:val="In-tableHeading"/>
              <w:jc w:val="center"/>
              <w:rPr>
                <w:lang w:val="en-AU"/>
              </w:rPr>
            </w:pPr>
            <w:r w:rsidRPr="00940F72">
              <w:rPr>
                <w:lang w:val="en-AU"/>
              </w:rPr>
              <w:t>Year 6</w:t>
            </w:r>
          </w:p>
          <w:p w:rsidR="00455DCF" w:rsidRPr="00940F72" w:rsidRDefault="00455DCF" w:rsidP="003A6544">
            <w:pPr>
              <w:pStyle w:val="In-tableHeading"/>
              <w:jc w:val="center"/>
              <w:rPr>
                <w:lang w:val="en-AU"/>
              </w:rPr>
            </w:pPr>
            <w:r w:rsidRPr="00940F72">
              <w:rPr>
                <w:lang w:val="en-AU"/>
              </w:rPr>
              <w:t>2027</w:t>
            </w:r>
          </w:p>
        </w:tc>
      </w:tr>
      <w:tr w:rsidR="00455DCF" w:rsidRPr="00940F72" w:rsidTr="003A6544">
        <w:tc>
          <w:tcPr>
            <w:tcW w:w="5000" w:type="pct"/>
            <w:gridSpan w:val="7"/>
            <w:shd w:val="clear" w:color="auto" w:fill="auto"/>
            <w:vAlign w:val="center"/>
          </w:tcPr>
          <w:p w:rsidR="00455DCF" w:rsidRPr="00940F72" w:rsidRDefault="00455DCF" w:rsidP="003A6544">
            <w:pPr>
              <w:pStyle w:val="In-tableHeading"/>
              <w:rPr>
                <w:bCs/>
                <w:color w:val="000000"/>
                <w:lang w:val="en-AU"/>
              </w:rPr>
            </w:pPr>
            <w:r w:rsidRPr="00940F72">
              <w:rPr>
                <w:bCs/>
                <w:color w:val="000000"/>
                <w:lang w:val="en-AU"/>
              </w:rPr>
              <w:t>Estimated extent of use</w:t>
            </w:r>
          </w:p>
        </w:tc>
      </w:tr>
      <w:tr w:rsidR="00455DCF" w:rsidRPr="00940F72" w:rsidTr="003A6544">
        <w:tc>
          <w:tcPr>
            <w:tcW w:w="1116" w:type="pct"/>
            <w:shd w:val="clear" w:color="auto" w:fill="auto"/>
            <w:vAlign w:val="center"/>
          </w:tcPr>
          <w:p w:rsidR="00455DCF" w:rsidRPr="000C762B" w:rsidRDefault="00455DCF" w:rsidP="000C762B">
            <w:pPr>
              <w:pStyle w:val="TableText0"/>
              <w:rPr>
                <w:rFonts w:ascii="Times" w:hAnsi="Times"/>
                <w:vertAlign w:val="superscript"/>
              </w:rPr>
            </w:pPr>
            <w:r w:rsidRPr="00940F72">
              <w:t>Number of zanubrutinib scripts dispensed</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55DCF" w:rsidRPr="00C13E60" w:rsidRDefault="00C13E60" w:rsidP="000C762B">
            <w:pPr>
              <w:pStyle w:val="TableText0"/>
              <w:jc w:val="center"/>
              <w:rPr>
                <w:color w:val="000000"/>
              </w:rPr>
            </w:pPr>
            <w:r>
              <w:rPr>
                <w:noProof/>
                <w:color w:val="000000"/>
                <w:szCs w:val="20"/>
                <w:highlight w:val="black"/>
              </w:rPr>
              <w:t>''''''''''</w:t>
            </w:r>
            <w:r w:rsidR="000C762B">
              <w:rPr>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rsidR="00455DCF" w:rsidRPr="00C13E60" w:rsidRDefault="00C13E60" w:rsidP="000C762B">
            <w:pPr>
              <w:pStyle w:val="TableText0"/>
              <w:jc w:val="center"/>
              <w:rPr>
                <w:color w:val="000000"/>
              </w:rPr>
            </w:pPr>
            <w:r>
              <w:rPr>
                <w:noProof/>
                <w:color w:val="000000"/>
                <w:szCs w:val="20"/>
                <w:highlight w:val="black"/>
              </w:rPr>
              <w:t>'''''''''</w:t>
            </w:r>
            <w:r w:rsidR="000C762B">
              <w:rPr>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rsidR="00455DCF" w:rsidRPr="00C13E60" w:rsidRDefault="00C13E60" w:rsidP="000C762B">
            <w:pPr>
              <w:pStyle w:val="TableText0"/>
              <w:jc w:val="center"/>
              <w:rPr>
                <w:color w:val="000000"/>
              </w:rPr>
            </w:pPr>
            <w:r>
              <w:rPr>
                <w:noProof/>
                <w:color w:val="000000"/>
                <w:szCs w:val="20"/>
                <w:highlight w:val="black"/>
              </w:rPr>
              <w:t>''''''''''</w:t>
            </w:r>
            <w:r w:rsidR="000C762B">
              <w:rPr>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rsidR="00455DCF" w:rsidRPr="00C13E60" w:rsidRDefault="00C13E60" w:rsidP="000C762B">
            <w:pPr>
              <w:pStyle w:val="TableText0"/>
              <w:jc w:val="center"/>
              <w:rPr>
                <w:color w:val="000000"/>
              </w:rPr>
            </w:pPr>
            <w:r>
              <w:rPr>
                <w:noProof/>
                <w:color w:val="000000"/>
                <w:szCs w:val="20"/>
                <w:highlight w:val="black"/>
              </w:rPr>
              <w:t>''''''''''''''</w:t>
            </w:r>
            <w:r w:rsidR="000C762B">
              <w:rPr>
                <w:vertAlign w:val="superscript"/>
              </w:rPr>
              <w:t>2</w:t>
            </w:r>
          </w:p>
        </w:tc>
        <w:tc>
          <w:tcPr>
            <w:tcW w:w="647" w:type="pct"/>
            <w:tcBorders>
              <w:top w:val="single" w:sz="4" w:space="0" w:color="auto"/>
              <w:left w:val="nil"/>
              <w:bottom w:val="single" w:sz="4" w:space="0" w:color="auto"/>
              <w:right w:val="single" w:sz="4" w:space="0" w:color="auto"/>
            </w:tcBorders>
            <w:shd w:val="clear" w:color="auto" w:fill="auto"/>
            <w:vAlign w:val="center"/>
          </w:tcPr>
          <w:p w:rsidR="00455DCF" w:rsidRPr="00C13E60" w:rsidRDefault="00C13E60" w:rsidP="000C762B">
            <w:pPr>
              <w:pStyle w:val="TableText0"/>
              <w:jc w:val="center"/>
              <w:rPr>
                <w:color w:val="000000"/>
              </w:rPr>
            </w:pPr>
            <w:r>
              <w:rPr>
                <w:noProof/>
                <w:color w:val="000000"/>
                <w:szCs w:val="20"/>
                <w:highlight w:val="black"/>
              </w:rPr>
              <w:t>''''''''''''''</w:t>
            </w:r>
            <w:r w:rsidR="000C762B">
              <w:rPr>
                <w:vertAlign w:val="superscript"/>
              </w:rPr>
              <w:t>2</w:t>
            </w:r>
          </w:p>
        </w:tc>
        <w:tc>
          <w:tcPr>
            <w:tcW w:w="649" w:type="pct"/>
            <w:tcBorders>
              <w:top w:val="single" w:sz="4" w:space="0" w:color="auto"/>
              <w:left w:val="nil"/>
              <w:bottom w:val="single" w:sz="4" w:space="0" w:color="auto"/>
              <w:right w:val="single" w:sz="4" w:space="0" w:color="auto"/>
            </w:tcBorders>
            <w:shd w:val="clear" w:color="auto" w:fill="auto"/>
            <w:vAlign w:val="center"/>
          </w:tcPr>
          <w:p w:rsidR="00455DCF" w:rsidRPr="00C13E60" w:rsidRDefault="00C13E60" w:rsidP="000C762B">
            <w:pPr>
              <w:pStyle w:val="TableText0"/>
              <w:jc w:val="center"/>
              <w:rPr>
                <w:color w:val="000000"/>
              </w:rPr>
            </w:pPr>
            <w:r>
              <w:rPr>
                <w:noProof/>
                <w:color w:val="000000"/>
                <w:szCs w:val="20"/>
                <w:highlight w:val="black"/>
              </w:rPr>
              <w:t>'''''''''''''</w:t>
            </w:r>
            <w:r w:rsidR="000C762B">
              <w:rPr>
                <w:vertAlign w:val="superscript"/>
              </w:rPr>
              <w:t>2</w:t>
            </w:r>
          </w:p>
        </w:tc>
      </w:tr>
      <w:tr w:rsidR="00455DCF" w:rsidRPr="00940F72" w:rsidTr="003A6544">
        <w:tc>
          <w:tcPr>
            <w:tcW w:w="1116" w:type="pct"/>
            <w:shd w:val="clear" w:color="auto" w:fill="auto"/>
            <w:vAlign w:val="center"/>
          </w:tcPr>
          <w:p w:rsidR="00455DCF" w:rsidRPr="00940F72" w:rsidRDefault="00455DCF" w:rsidP="003A6544">
            <w:pPr>
              <w:pStyle w:val="TableText0"/>
              <w:rPr>
                <w:rFonts w:ascii="Times" w:hAnsi="Times"/>
              </w:rPr>
            </w:pPr>
            <w:r w:rsidRPr="00940F72">
              <w:t>Number of ibrutinib scripts offset</w:t>
            </w:r>
          </w:p>
        </w:tc>
        <w:tc>
          <w:tcPr>
            <w:tcW w:w="647" w:type="pct"/>
            <w:tcBorders>
              <w:top w:val="single" w:sz="4" w:space="0" w:color="auto"/>
              <w:bottom w:val="single" w:sz="4" w:space="0" w:color="auto"/>
            </w:tcBorders>
            <w:vAlign w:val="center"/>
          </w:tcPr>
          <w:p w:rsidR="00455DCF" w:rsidRPr="00940F72" w:rsidRDefault="00455DCF" w:rsidP="000C762B">
            <w:pPr>
              <w:pStyle w:val="TableText0"/>
              <w:jc w:val="center"/>
              <w:rPr>
                <w:color w:val="000000"/>
              </w:rPr>
            </w:pPr>
            <w:r w:rsidRPr="00940F72">
              <w:rPr>
                <w:rFonts w:cstheme="minorHAnsi"/>
                <w:szCs w:val="20"/>
              </w:rPr>
              <w:t>-</w:t>
            </w:r>
            <w:r w:rsidR="00C13E60">
              <w:rPr>
                <w:rFonts w:cstheme="minorHAnsi"/>
                <w:noProof/>
                <w:color w:val="000000"/>
                <w:szCs w:val="20"/>
                <w:highlight w:val="black"/>
              </w:rPr>
              <w:t>'''''''''</w:t>
            </w:r>
            <w:r w:rsidR="000C762B">
              <w:rPr>
                <w:vertAlign w:val="superscript"/>
              </w:rPr>
              <w:t>1</w:t>
            </w:r>
          </w:p>
        </w:tc>
        <w:tc>
          <w:tcPr>
            <w:tcW w:w="647" w:type="pct"/>
            <w:tcBorders>
              <w:top w:val="single" w:sz="4" w:space="0" w:color="auto"/>
              <w:bottom w:val="single" w:sz="4" w:space="0" w:color="auto"/>
            </w:tcBorders>
            <w:vAlign w:val="center"/>
          </w:tcPr>
          <w:p w:rsidR="00455DCF" w:rsidRPr="00940F72" w:rsidRDefault="00455DCF" w:rsidP="000C762B">
            <w:pPr>
              <w:pStyle w:val="TableText0"/>
              <w:jc w:val="center"/>
              <w:rPr>
                <w:color w:val="000000"/>
              </w:rPr>
            </w:pPr>
            <w:r w:rsidRPr="00940F72">
              <w:rPr>
                <w:rFonts w:cstheme="minorHAnsi"/>
                <w:szCs w:val="20"/>
              </w:rPr>
              <w:t>-</w:t>
            </w:r>
            <w:r w:rsidR="00C13E60">
              <w:rPr>
                <w:rFonts w:cstheme="minorHAnsi"/>
                <w:noProof/>
                <w:color w:val="000000"/>
                <w:szCs w:val="20"/>
                <w:highlight w:val="black"/>
              </w:rPr>
              <w:t>'''''''''</w:t>
            </w:r>
            <w:r w:rsidR="000C762B">
              <w:rPr>
                <w:vertAlign w:val="superscript"/>
              </w:rPr>
              <w:t>2</w:t>
            </w:r>
          </w:p>
        </w:tc>
        <w:tc>
          <w:tcPr>
            <w:tcW w:w="647" w:type="pct"/>
            <w:tcBorders>
              <w:top w:val="single" w:sz="4" w:space="0" w:color="auto"/>
              <w:bottom w:val="single" w:sz="4" w:space="0" w:color="auto"/>
            </w:tcBorders>
            <w:vAlign w:val="center"/>
          </w:tcPr>
          <w:p w:rsidR="00455DCF" w:rsidRPr="00940F72" w:rsidRDefault="00455DCF" w:rsidP="000C762B">
            <w:pPr>
              <w:pStyle w:val="TableText0"/>
              <w:jc w:val="center"/>
              <w:rPr>
                <w:color w:val="000000"/>
              </w:rPr>
            </w:pPr>
            <w:r w:rsidRPr="00940F72">
              <w:rPr>
                <w:rFonts w:cstheme="minorHAnsi"/>
                <w:szCs w:val="20"/>
              </w:rPr>
              <w:t>-</w:t>
            </w:r>
            <w:r w:rsidR="00C13E60">
              <w:rPr>
                <w:rFonts w:cstheme="minorHAnsi"/>
                <w:noProof/>
                <w:color w:val="000000"/>
                <w:szCs w:val="20"/>
                <w:highlight w:val="black"/>
              </w:rPr>
              <w:t>'''''''''</w:t>
            </w:r>
            <w:r w:rsidR="000C762B">
              <w:rPr>
                <w:vertAlign w:val="superscript"/>
              </w:rPr>
              <w:t>2</w:t>
            </w:r>
          </w:p>
        </w:tc>
        <w:tc>
          <w:tcPr>
            <w:tcW w:w="647" w:type="pct"/>
            <w:tcBorders>
              <w:top w:val="single" w:sz="4" w:space="0" w:color="auto"/>
              <w:bottom w:val="single" w:sz="4" w:space="0" w:color="auto"/>
            </w:tcBorders>
            <w:vAlign w:val="center"/>
          </w:tcPr>
          <w:p w:rsidR="00455DCF" w:rsidRPr="00940F72" w:rsidRDefault="00455DCF" w:rsidP="000C762B">
            <w:pPr>
              <w:pStyle w:val="TableText0"/>
              <w:jc w:val="center"/>
              <w:rPr>
                <w:color w:val="000000"/>
              </w:rPr>
            </w:pPr>
            <w:r w:rsidRPr="00940F72">
              <w:rPr>
                <w:rFonts w:cstheme="minorHAnsi"/>
                <w:szCs w:val="20"/>
              </w:rPr>
              <w:t>-</w:t>
            </w:r>
            <w:r w:rsidR="00C13E60">
              <w:rPr>
                <w:rFonts w:cstheme="minorHAnsi"/>
                <w:noProof/>
                <w:color w:val="000000"/>
                <w:szCs w:val="20"/>
                <w:highlight w:val="black"/>
              </w:rPr>
              <w:t>''''''''''</w:t>
            </w:r>
            <w:r w:rsidR="000C762B">
              <w:rPr>
                <w:vertAlign w:val="superscript"/>
              </w:rPr>
              <w:t>2</w:t>
            </w:r>
          </w:p>
        </w:tc>
        <w:tc>
          <w:tcPr>
            <w:tcW w:w="647" w:type="pct"/>
            <w:tcBorders>
              <w:top w:val="single" w:sz="4" w:space="0" w:color="auto"/>
              <w:bottom w:val="single" w:sz="4" w:space="0" w:color="auto"/>
            </w:tcBorders>
            <w:vAlign w:val="center"/>
          </w:tcPr>
          <w:p w:rsidR="00455DCF" w:rsidRPr="00940F72" w:rsidRDefault="00455DCF" w:rsidP="000C762B">
            <w:pPr>
              <w:pStyle w:val="TableText0"/>
              <w:jc w:val="center"/>
              <w:rPr>
                <w:color w:val="000000"/>
              </w:rPr>
            </w:pPr>
            <w:r w:rsidRPr="00940F72">
              <w:rPr>
                <w:rFonts w:cstheme="minorHAnsi"/>
                <w:szCs w:val="20"/>
              </w:rPr>
              <w:t>-</w:t>
            </w:r>
            <w:r w:rsidR="00C13E60">
              <w:rPr>
                <w:rFonts w:cstheme="minorHAnsi"/>
                <w:noProof/>
                <w:color w:val="000000"/>
                <w:szCs w:val="20"/>
                <w:highlight w:val="black"/>
              </w:rPr>
              <w:t>'''''''''''</w:t>
            </w:r>
            <w:r w:rsidR="000C762B">
              <w:rPr>
                <w:vertAlign w:val="superscript"/>
              </w:rPr>
              <w:t>2</w:t>
            </w:r>
          </w:p>
        </w:tc>
        <w:tc>
          <w:tcPr>
            <w:tcW w:w="649" w:type="pct"/>
            <w:tcBorders>
              <w:top w:val="single" w:sz="4" w:space="0" w:color="auto"/>
              <w:bottom w:val="single" w:sz="4" w:space="0" w:color="auto"/>
            </w:tcBorders>
            <w:vAlign w:val="center"/>
          </w:tcPr>
          <w:p w:rsidR="00455DCF" w:rsidRPr="00940F72" w:rsidRDefault="00455DCF" w:rsidP="000C762B">
            <w:pPr>
              <w:pStyle w:val="TableText0"/>
              <w:jc w:val="center"/>
              <w:rPr>
                <w:color w:val="000000"/>
              </w:rPr>
            </w:pPr>
            <w:r w:rsidRPr="00940F72">
              <w:rPr>
                <w:rFonts w:cstheme="minorHAnsi"/>
                <w:szCs w:val="20"/>
              </w:rPr>
              <w:t>-</w:t>
            </w:r>
            <w:r w:rsidR="00C13E60">
              <w:rPr>
                <w:rFonts w:cstheme="minorHAnsi"/>
                <w:noProof/>
                <w:color w:val="000000"/>
                <w:szCs w:val="20"/>
                <w:highlight w:val="black"/>
              </w:rPr>
              <w:t>'''''''''''</w:t>
            </w:r>
            <w:r w:rsidR="000C762B">
              <w:rPr>
                <w:vertAlign w:val="superscript"/>
              </w:rPr>
              <w:t>2</w:t>
            </w:r>
          </w:p>
        </w:tc>
      </w:tr>
      <w:tr w:rsidR="00455DCF" w:rsidRPr="00940F72" w:rsidTr="003A6544">
        <w:tc>
          <w:tcPr>
            <w:tcW w:w="5000" w:type="pct"/>
            <w:gridSpan w:val="7"/>
            <w:shd w:val="clear" w:color="auto" w:fill="auto"/>
            <w:vAlign w:val="center"/>
          </w:tcPr>
          <w:p w:rsidR="00455DCF" w:rsidRPr="00940F72" w:rsidRDefault="00455DCF" w:rsidP="003A6544">
            <w:pPr>
              <w:pStyle w:val="In-tableHeading"/>
              <w:rPr>
                <w:lang w:val="en-AU"/>
              </w:rPr>
            </w:pPr>
            <w:r w:rsidRPr="00940F72">
              <w:rPr>
                <w:lang w:val="en-AU"/>
              </w:rPr>
              <w:t>Estimated financial implications of zanubrutinib</w:t>
            </w:r>
          </w:p>
        </w:tc>
      </w:tr>
      <w:tr w:rsidR="00455DCF" w:rsidRPr="00940F72" w:rsidTr="003A6544">
        <w:tc>
          <w:tcPr>
            <w:tcW w:w="1116" w:type="pct"/>
            <w:shd w:val="clear" w:color="auto" w:fill="auto"/>
            <w:vAlign w:val="center"/>
          </w:tcPr>
          <w:p w:rsidR="00455DCF" w:rsidRPr="00940F72" w:rsidRDefault="00455DCF" w:rsidP="003A6544">
            <w:pPr>
              <w:pStyle w:val="TableText0"/>
              <w:rPr>
                <w:sz w:val="19"/>
                <w:szCs w:val="19"/>
              </w:rPr>
            </w:pPr>
            <w:r w:rsidRPr="00940F72">
              <w:rPr>
                <w:sz w:val="19"/>
                <w:szCs w:val="19"/>
              </w:rPr>
              <w:t xml:space="preserve">Cost to PBS/RPBS less </w:t>
            </w:r>
            <w:r w:rsidR="00656BF7" w:rsidRPr="00940F72">
              <w:rPr>
                <w:sz w:val="19"/>
                <w:szCs w:val="19"/>
              </w:rPr>
              <w:t>co-payments</w:t>
            </w:r>
          </w:p>
        </w:tc>
        <w:tc>
          <w:tcPr>
            <w:tcW w:w="647" w:type="pct"/>
            <w:shd w:val="clear" w:color="auto" w:fill="auto"/>
            <w:vAlign w:val="center"/>
          </w:tcPr>
          <w:p w:rsidR="00455DCF" w:rsidRPr="00940F72" w:rsidRDefault="00455DCF" w:rsidP="000C762B">
            <w:pPr>
              <w:pStyle w:val="TableText0"/>
              <w:jc w:val="center"/>
            </w:pPr>
            <w:r w:rsidRPr="00940F72">
              <w:rPr>
                <w:rFonts w:cstheme="minorHAnsi"/>
                <w:szCs w:val="20"/>
              </w:rPr>
              <w:t>$</w:t>
            </w:r>
            <w:r w:rsidR="00C13E60">
              <w:rPr>
                <w:rFonts w:cstheme="minorHAnsi"/>
                <w:noProof/>
                <w:color w:val="000000"/>
                <w:szCs w:val="20"/>
                <w:highlight w:val="black"/>
              </w:rPr>
              <w:t>'''''''''''''''''''''''''</w:t>
            </w:r>
            <w:r w:rsidR="000C762B">
              <w:rPr>
                <w:vertAlign w:val="superscript"/>
              </w:rPr>
              <w:t>3</w:t>
            </w:r>
          </w:p>
        </w:tc>
        <w:tc>
          <w:tcPr>
            <w:tcW w:w="647" w:type="pct"/>
            <w:shd w:val="clear" w:color="auto" w:fill="auto"/>
            <w:vAlign w:val="center"/>
          </w:tcPr>
          <w:p w:rsidR="00455DCF" w:rsidRPr="00940F72" w:rsidRDefault="00455DCF" w:rsidP="000C762B">
            <w:pPr>
              <w:pStyle w:val="TableText0"/>
              <w:jc w:val="center"/>
            </w:pPr>
            <w:r w:rsidRPr="00940F72">
              <w:rPr>
                <w:rFonts w:cstheme="minorHAnsi"/>
                <w:szCs w:val="20"/>
              </w:rPr>
              <w:t>$</w:t>
            </w:r>
            <w:r w:rsidR="00C13E60">
              <w:rPr>
                <w:rFonts w:cstheme="minorHAnsi"/>
                <w:noProof/>
                <w:color w:val="000000"/>
                <w:szCs w:val="20"/>
                <w:highlight w:val="black"/>
              </w:rPr>
              <w:t>'''''''''''''''''''''''''</w:t>
            </w:r>
            <w:r w:rsidR="000C762B">
              <w:rPr>
                <w:vertAlign w:val="superscript"/>
              </w:rPr>
              <w:t>3</w:t>
            </w:r>
          </w:p>
        </w:tc>
        <w:tc>
          <w:tcPr>
            <w:tcW w:w="647" w:type="pct"/>
            <w:shd w:val="clear" w:color="auto" w:fill="auto"/>
            <w:vAlign w:val="center"/>
          </w:tcPr>
          <w:p w:rsidR="00455DCF" w:rsidRPr="00940F72" w:rsidRDefault="00455DCF" w:rsidP="000C762B">
            <w:pPr>
              <w:pStyle w:val="TableText0"/>
              <w:jc w:val="center"/>
            </w:pPr>
            <w:r w:rsidRPr="00940F72">
              <w:rPr>
                <w:rFonts w:cstheme="minorHAnsi"/>
                <w:szCs w:val="20"/>
              </w:rPr>
              <w:t>$</w:t>
            </w:r>
            <w:r w:rsidR="00C13E60">
              <w:rPr>
                <w:rFonts w:cstheme="minorHAnsi"/>
                <w:noProof/>
                <w:color w:val="000000"/>
                <w:szCs w:val="20"/>
                <w:highlight w:val="black"/>
              </w:rPr>
              <w:t>''''''''''''''''''''''''''</w:t>
            </w:r>
            <w:r w:rsidR="000C762B">
              <w:rPr>
                <w:vertAlign w:val="superscript"/>
              </w:rPr>
              <w:t>4</w:t>
            </w:r>
          </w:p>
        </w:tc>
        <w:tc>
          <w:tcPr>
            <w:tcW w:w="647" w:type="pct"/>
            <w:shd w:val="clear" w:color="auto" w:fill="auto"/>
            <w:vAlign w:val="center"/>
          </w:tcPr>
          <w:p w:rsidR="00455DCF" w:rsidRPr="00940F72" w:rsidRDefault="00455DCF" w:rsidP="000C762B">
            <w:pPr>
              <w:pStyle w:val="TableText0"/>
              <w:jc w:val="center"/>
            </w:pPr>
            <w:r w:rsidRPr="00940F72">
              <w:rPr>
                <w:rFonts w:cstheme="minorHAnsi"/>
                <w:szCs w:val="20"/>
              </w:rPr>
              <w:t>$</w:t>
            </w:r>
            <w:r w:rsidR="00C13E60">
              <w:rPr>
                <w:rFonts w:cstheme="minorHAnsi"/>
                <w:noProof/>
                <w:color w:val="000000"/>
                <w:szCs w:val="20"/>
                <w:highlight w:val="black"/>
              </w:rPr>
              <w:t>''''''''''''''''''''''''''</w:t>
            </w:r>
            <w:r w:rsidR="000C762B">
              <w:rPr>
                <w:vertAlign w:val="superscript"/>
              </w:rPr>
              <w:t>4</w:t>
            </w:r>
          </w:p>
        </w:tc>
        <w:tc>
          <w:tcPr>
            <w:tcW w:w="647" w:type="pct"/>
            <w:shd w:val="clear" w:color="auto" w:fill="auto"/>
            <w:vAlign w:val="center"/>
          </w:tcPr>
          <w:p w:rsidR="00455DCF" w:rsidRPr="00940F72" w:rsidRDefault="00455DCF" w:rsidP="000C762B">
            <w:pPr>
              <w:pStyle w:val="TableText0"/>
              <w:jc w:val="center"/>
            </w:pPr>
            <w:r w:rsidRPr="00940F72">
              <w:rPr>
                <w:rFonts w:cstheme="minorHAnsi"/>
                <w:szCs w:val="20"/>
              </w:rPr>
              <w:t>$</w:t>
            </w:r>
            <w:r w:rsidR="00C13E60">
              <w:rPr>
                <w:rFonts w:cstheme="minorHAnsi"/>
                <w:noProof/>
                <w:color w:val="000000"/>
                <w:szCs w:val="20"/>
                <w:highlight w:val="black"/>
              </w:rPr>
              <w:t>'''''''''''''''''''''''</w:t>
            </w:r>
            <w:r w:rsidR="000C762B">
              <w:rPr>
                <w:vertAlign w:val="superscript"/>
              </w:rPr>
              <w:t>4</w:t>
            </w:r>
          </w:p>
        </w:tc>
        <w:tc>
          <w:tcPr>
            <w:tcW w:w="649" w:type="pct"/>
            <w:vAlign w:val="center"/>
          </w:tcPr>
          <w:p w:rsidR="00455DCF" w:rsidRPr="00940F72" w:rsidRDefault="00455DCF" w:rsidP="000C762B">
            <w:pPr>
              <w:pStyle w:val="TableText0"/>
              <w:jc w:val="center"/>
            </w:pPr>
            <w:r w:rsidRPr="00940F72">
              <w:rPr>
                <w:rFonts w:cstheme="minorHAnsi"/>
                <w:szCs w:val="20"/>
              </w:rPr>
              <w:t>$</w:t>
            </w:r>
            <w:r w:rsidR="00C13E60">
              <w:rPr>
                <w:rFonts w:cstheme="minorHAnsi"/>
                <w:noProof/>
                <w:color w:val="000000"/>
                <w:szCs w:val="20"/>
                <w:highlight w:val="black"/>
              </w:rPr>
              <w:t>''''''''''''''''''''''''''''</w:t>
            </w:r>
            <w:r w:rsidR="000C762B">
              <w:rPr>
                <w:vertAlign w:val="superscript"/>
              </w:rPr>
              <w:t>4</w:t>
            </w:r>
          </w:p>
        </w:tc>
      </w:tr>
      <w:tr w:rsidR="00455DCF" w:rsidRPr="00940F72" w:rsidTr="003A6544">
        <w:tc>
          <w:tcPr>
            <w:tcW w:w="5000" w:type="pct"/>
            <w:gridSpan w:val="7"/>
            <w:shd w:val="clear" w:color="auto" w:fill="auto"/>
            <w:vAlign w:val="center"/>
          </w:tcPr>
          <w:p w:rsidR="00455DCF" w:rsidRPr="00940F72" w:rsidRDefault="00455DCF" w:rsidP="003A6544">
            <w:pPr>
              <w:pStyle w:val="TableText0"/>
              <w:rPr>
                <w:b/>
                <w:bCs w:val="0"/>
              </w:rPr>
            </w:pPr>
            <w:r w:rsidRPr="00940F72">
              <w:rPr>
                <w:b/>
                <w:bCs w:val="0"/>
              </w:rPr>
              <w:t>Estimated financial implications for ibrutinib</w:t>
            </w:r>
          </w:p>
        </w:tc>
      </w:tr>
      <w:tr w:rsidR="00455DCF" w:rsidRPr="00940F72" w:rsidTr="003A6544">
        <w:tc>
          <w:tcPr>
            <w:tcW w:w="1116" w:type="pct"/>
            <w:shd w:val="clear" w:color="auto" w:fill="auto"/>
            <w:vAlign w:val="center"/>
          </w:tcPr>
          <w:p w:rsidR="00455DCF" w:rsidRPr="00940F72" w:rsidRDefault="00455DCF" w:rsidP="003A6544">
            <w:pPr>
              <w:pStyle w:val="TableText0"/>
              <w:rPr>
                <w:sz w:val="19"/>
                <w:szCs w:val="19"/>
              </w:rPr>
            </w:pPr>
            <w:r w:rsidRPr="00940F72">
              <w:rPr>
                <w:sz w:val="19"/>
                <w:szCs w:val="19"/>
              </w:rPr>
              <w:t xml:space="preserve">Cost to PBS/RPBS less </w:t>
            </w:r>
            <w:r w:rsidR="00656BF7" w:rsidRPr="00940F72">
              <w:rPr>
                <w:sz w:val="19"/>
                <w:szCs w:val="19"/>
              </w:rPr>
              <w:t>co-payments</w:t>
            </w:r>
          </w:p>
        </w:tc>
        <w:tc>
          <w:tcPr>
            <w:tcW w:w="647" w:type="pct"/>
            <w:tcBorders>
              <w:top w:val="single" w:sz="4" w:space="0" w:color="auto"/>
              <w:left w:val="nil"/>
              <w:bottom w:val="single" w:sz="4" w:space="0" w:color="auto"/>
              <w:right w:val="single" w:sz="4" w:space="0" w:color="auto"/>
            </w:tcBorders>
            <w:shd w:val="clear" w:color="000000" w:fill="FFFFFF"/>
            <w:vAlign w:val="center"/>
          </w:tcPr>
          <w:p w:rsidR="00455DCF" w:rsidRPr="00940F72" w:rsidRDefault="00455DCF" w:rsidP="000C762B">
            <w:pPr>
              <w:pStyle w:val="TableText0"/>
              <w:jc w:val="center"/>
            </w:pPr>
            <w:r w:rsidRPr="00940F72">
              <w:t>-$</w:t>
            </w:r>
            <w:r w:rsidR="00C13E60">
              <w:rPr>
                <w:rFonts w:cstheme="minorHAnsi"/>
                <w:noProof/>
                <w:color w:val="000000"/>
                <w:szCs w:val="20"/>
                <w:highlight w:val="black"/>
              </w:rPr>
              <w:t>'''''''''''''''''''''''</w:t>
            </w:r>
            <w:r w:rsidR="000C762B">
              <w:rPr>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455DCF" w:rsidRPr="00940F72" w:rsidRDefault="00455DCF" w:rsidP="000C762B">
            <w:pPr>
              <w:pStyle w:val="TableText0"/>
              <w:jc w:val="center"/>
            </w:pPr>
            <w:r w:rsidRPr="00940F72">
              <w:t>-$</w:t>
            </w:r>
            <w:r w:rsidR="00C13E60">
              <w:rPr>
                <w:rFonts w:cstheme="minorHAnsi"/>
                <w:noProof/>
                <w:color w:val="000000"/>
                <w:szCs w:val="20"/>
                <w:highlight w:val="black"/>
              </w:rPr>
              <w:t>''''''''''''''''''''''</w:t>
            </w:r>
            <w:r w:rsidR="000C762B">
              <w:rPr>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455DCF" w:rsidRPr="00940F72" w:rsidRDefault="00455DCF" w:rsidP="000C762B">
            <w:pPr>
              <w:pStyle w:val="TableText0"/>
              <w:jc w:val="center"/>
            </w:pPr>
            <w:r w:rsidRPr="00940F72">
              <w:t>-$</w:t>
            </w:r>
            <w:r w:rsidR="00C13E60">
              <w:rPr>
                <w:rFonts w:cstheme="minorHAnsi"/>
                <w:noProof/>
                <w:color w:val="000000"/>
                <w:szCs w:val="20"/>
                <w:highlight w:val="black"/>
              </w:rPr>
              <w:t>''''''''''''''''''''''''</w:t>
            </w:r>
            <w:r w:rsidR="000C762B">
              <w:rPr>
                <w:vertAlign w:val="superscript"/>
              </w:rPr>
              <w:t>4</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455DCF" w:rsidRPr="00940F72" w:rsidRDefault="00455DCF" w:rsidP="000C762B">
            <w:pPr>
              <w:pStyle w:val="TableText0"/>
              <w:jc w:val="center"/>
            </w:pPr>
            <w:r w:rsidRPr="00940F72">
              <w:t>-$</w:t>
            </w:r>
            <w:r w:rsidR="00C13E60">
              <w:rPr>
                <w:rFonts w:cstheme="minorHAnsi"/>
                <w:noProof/>
                <w:color w:val="000000"/>
                <w:szCs w:val="20"/>
                <w:highlight w:val="black"/>
              </w:rPr>
              <w:t>''''''''''''''''''''''''''</w:t>
            </w:r>
            <w:r w:rsidR="000C762B">
              <w:rPr>
                <w:vertAlign w:val="superscript"/>
              </w:rPr>
              <w:t>4</w:t>
            </w:r>
          </w:p>
        </w:tc>
        <w:tc>
          <w:tcPr>
            <w:tcW w:w="647" w:type="pct"/>
            <w:tcBorders>
              <w:top w:val="single" w:sz="4" w:space="0" w:color="auto"/>
              <w:left w:val="single" w:sz="4" w:space="0" w:color="auto"/>
              <w:bottom w:val="single" w:sz="4" w:space="0" w:color="auto"/>
              <w:right w:val="single" w:sz="4" w:space="0" w:color="auto"/>
            </w:tcBorders>
            <w:shd w:val="clear" w:color="000000" w:fill="FFFFFF"/>
            <w:vAlign w:val="center"/>
          </w:tcPr>
          <w:p w:rsidR="00455DCF" w:rsidRPr="00940F72" w:rsidRDefault="00455DCF" w:rsidP="000C762B">
            <w:pPr>
              <w:pStyle w:val="TableText0"/>
              <w:jc w:val="center"/>
            </w:pPr>
            <w:r w:rsidRPr="00940F72">
              <w:t>-$</w:t>
            </w:r>
            <w:r w:rsidR="00C13E60">
              <w:rPr>
                <w:rFonts w:cstheme="minorHAnsi"/>
                <w:noProof/>
                <w:color w:val="000000"/>
                <w:szCs w:val="20"/>
                <w:highlight w:val="black"/>
              </w:rPr>
              <w:t>'''''''''''''''''''''''''''</w:t>
            </w:r>
            <w:r w:rsidR="000C762B">
              <w:rPr>
                <w:vertAlign w:val="superscript"/>
              </w:rPr>
              <w:t>4</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455DCF" w:rsidRPr="00940F72" w:rsidRDefault="00455DCF" w:rsidP="000C762B">
            <w:pPr>
              <w:pStyle w:val="TableText0"/>
              <w:jc w:val="center"/>
            </w:pPr>
            <w:r w:rsidRPr="00940F72">
              <w:t>-$</w:t>
            </w:r>
            <w:r w:rsidR="00C13E60">
              <w:rPr>
                <w:rFonts w:cstheme="minorHAnsi"/>
                <w:noProof/>
                <w:color w:val="000000"/>
                <w:szCs w:val="20"/>
                <w:highlight w:val="black"/>
              </w:rPr>
              <w:t>''''''''''''''''''''''''''</w:t>
            </w:r>
            <w:r w:rsidR="000C762B">
              <w:rPr>
                <w:vertAlign w:val="superscript"/>
              </w:rPr>
              <w:t>4</w:t>
            </w:r>
          </w:p>
        </w:tc>
      </w:tr>
      <w:tr w:rsidR="00455DCF" w:rsidRPr="00940F72" w:rsidTr="003A6544">
        <w:tc>
          <w:tcPr>
            <w:tcW w:w="5000" w:type="pct"/>
            <w:gridSpan w:val="7"/>
            <w:shd w:val="clear" w:color="auto" w:fill="auto"/>
            <w:vAlign w:val="center"/>
          </w:tcPr>
          <w:p w:rsidR="00455DCF" w:rsidRPr="00940F72" w:rsidRDefault="00455DCF" w:rsidP="003A6544">
            <w:pPr>
              <w:pStyle w:val="In-tableHeading"/>
              <w:rPr>
                <w:lang w:val="en-AU"/>
              </w:rPr>
            </w:pPr>
            <w:bookmarkStart w:id="68" w:name="_Hlk71568878"/>
            <w:r w:rsidRPr="00940F72">
              <w:rPr>
                <w:lang w:val="en-AU"/>
              </w:rPr>
              <w:t>Net financial implications</w:t>
            </w:r>
            <w:r w:rsidRPr="00940F72">
              <w:rPr>
                <w:color w:val="4BACC6" w:themeColor="accent5"/>
                <w:lang w:val="en-AU"/>
              </w:rPr>
              <w:t xml:space="preserve"> </w:t>
            </w:r>
          </w:p>
        </w:tc>
      </w:tr>
      <w:tr w:rsidR="00455DCF" w:rsidRPr="00940F72" w:rsidTr="003A6544">
        <w:tc>
          <w:tcPr>
            <w:tcW w:w="1116" w:type="pct"/>
            <w:shd w:val="clear" w:color="auto" w:fill="auto"/>
            <w:vAlign w:val="center"/>
          </w:tcPr>
          <w:p w:rsidR="00455DCF" w:rsidRPr="00940F72" w:rsidRDefault="00455DCF" w:rsidP="00FE35AD">
            <w:pPr>
              <w:pStyle w:val="TableText0"/>
              <w:rPr>
                <w:sz w:val="19"/>
                <w:szCs w:val="19"/>
              </w:rPr>
            </w:pPr>
            <w:r w:rsidRPr="00940F72">
              <w:rPr>
                <w:sz w:val="19"/>
                <w:szCs w:val="19"/>
              </w:rPr>
              <w:t>Net cost to PBS</w:t>
            </w:r>
            <w:r w:rsidR="00FE35AD" w:rsidRPr="00940F72">
              <w:rPr>
                <w:sz w:val="19"/>
                <w:szCs w:val="19"/>
              </w:rPr>
              <w:t>/RPBS</w:t>
            </w:r>
            <w:r w:rsidRPr="00940F72">
              <w:rPr>
                <w:sz w:val="19"/>
                <w:szCs w:val="19"/>
              </w:rPr>
              <w:t xml:space="preserve"> (as stated in the submission)</w:t>
            </w:r>
          </w:p>
        </w:tc>
        <w:tc>
          <w:tcPr>
            <w:tcW w:w="647" w:type="pct"/>
            <w:tcBorders>
              <w:bottom w:val="single" w:sz="4" w:space="0" w:color="auto"/>
            </w:tcBorders>
            <w:shd w:val="clear" w:color="auto" w:fill="FFFFFF" w:themeFill="background1"/>
            <w:vAlign w:val="center"/>
          </w:tcPr>
          <w:p w:rsidR="00455DCF" w:rsidRPr="00940F72" w:rsidRDefault="00455DCF" w:rsidP="000C762B">
            <w:pPr>
              <w:pStyle w:val="TableText0"/>
              <w:jc w:val="center"/>
              <w:rPr>
                <w:bCs w:val="0"/>
                <w:szCs w:val="20"/>
              </w:rPr>
            </w:pPr>
            <w:r w:rsidRPr="00940F72">
              <w:rPr>
                <w:rFonts w:cstheme="minorHAnsi"/>
                <w:bCs w:val="0"/>
                <w:szCs w:val="20"/>
              </w:rPr>
              <w:t>$</w:t>
            </w:r>
            <w:r w:rsidR="00C13E60">
              <w:rPr>
                <w:rFonts w:cstheme="minorHAnsi"/>
                <w:noProof/>
                <w:color w:val="000000"/>
                <w:szCs w:val="20"/>
                <w:highlight w:val="black"/>
              </w:rPr>
              <w:t>'''''''''''''''''''''</w:t>
            </w:r>
            <w:r w:rsidR="000C762B">
              <w:rPr>
                <w:vertAlign w:val="superscript"/>
              </w:rPr>
              <w:t>3</w:t>
            </w:r>
          </w:p>
        </w:tc>
        <w:tc>
          <w:tcPr>
            <w:tcW w:w="647" w:type="pct"/>
            <w:tcBorders>
              <w:bottom w:val="single" w:sz="4" w:space="0" w:color="auto"/>
            </w:tcBorders>
            <w:shd w:val="clear" w:color="auto" w:fill="FFFFFF" w:themeFill="background1"/>
            <w:vAlign w:val="center"/>
          </w:tcPr>
          <w:p w:rsidR="00455DCF" w:rsidRPr="00940F72" w:rsidRDefault="00455DCF" w:rsidP="000C762B">
            <w:pPr>
              <w:pStyle w:val="TableText0"/>
              <w:jc w:val="center"/>
              <w:rPr>
                <w:bCs w:val="0"/>
                <w:szCs w:val="20"/>
              </w:rPr>
            </w:pPr>
            <w:r w:rsidRPr="00940F72">
              <w:rPr>
                <w:rFonts w:cstheme="minorHAnsi"/>
                <w:bCs w:val="0"/>
                <w:szCs w:val="20"/>
              </w:rPr>
              <w:t>$</w:t>
            </w:r>
            <w:r w:rsidR="00C13E60">
              <w:rPr>
                <w:rFonts w:cstheme="minorHAnsi"/>
                <w:noProof/>
                <w:color w:val="000000"/>
                <w:szCs w:val="20"/>
                <w:highlight w:val="black"/>
              </w:rPr>
              <w:t>'''''''''''''''''''</w:t>
            </w:r>
            <w:r w:rsidR="000C762B">
              <w:rPr>
                <w:vertAlign w:val="superscript"/>
              </w:rPr>
              <w:t>3</w:t>
            </w:r>
          </w:p>
        </w:tc>
        <w:tc>
          <w:tcPr>
            <w:tcW w:w="647" w:type="pct"/>
            <w:tcBorders>
              <w:bottom w:val="single" w:sz="4" w:space="0" w:color="auto"/>
            </w:tcBorders>
            <w:shd w:val="clear" w:color="auto" w:fill="FFFFFF" w:themeFill="background1"/>
            <w:vAlign w:val="center"/>
          </w:tcPr>
          <w:p w:rsidR="00455DCF" w:rsidRPr="00940F72" w:rsidRDefault="00455DCF" w:rsidP="000C762B">
            <w:pPr>
              <w:pStyle w:val="TableText0"/>
              <w:jc w:val="center"/>
              <w:rPr>
                <w:bCs w:val="0"/>
                <w:szCs w:val="20"/>
              </w:rPr>
            </w:pPr>
            <w:r w:rsidRPr="00940F72">
              <w:rPr>
                <w:rFonts w:cstheme="minorHAnsi"/>
                <w:bCs w:val="0"/>
                <w:szCs w:val="20"/>
              </w:rPr>
              <w:t>$</w:t>
            </w:r>
            <w:r w:rsidR="00C13E60">
              <w:rPr>
                <w:rFonts w:cstheme="minorHAnsi"/>
                <w:noProof/>
                <w:color w:val="000000"/>
                <w:szCs w:val="20"/>
                <w:highlight w:val="black"/>
              </w:rPr>
              <w:t>'''''''''''''''''''''</w:t>
            </w:r>
            <w:r w:rsidR="000C762B">
              <w:rPr>
                <w:vertAlign w:val="superscript"/>
              </w:rPr>
              <w:t>3</w:t>
            </w:r>
          </w:p>
        </w:tc>
        <w:tc>
          <w:tcPr>
            <w:tcW w:w="647" w:type="pct"/>
            <w:tcBorders>
              <w:bottom w:val="single" w:sz="4" w:space="0" w:color="auto"/>
            </w:tcBorders>
            <w:shd w:val="clear" w:color="auto" w:fill="FFFFFF" w:themeFill="background1"/>
            <w:vAlign w:val="center"/>
          </w:tcPr>
          <w:p w:rsidR="00455DCF" w:rsidRPr="00940F72" w:rsidRDefault="00455DCF" w:rsidP="000C762B">
            <w:pPr>
              <w:pStyle w:val="TableText0"/>
              <w:jc w:val="center"/>
              <w:rPr>
                <w:bCs w:val="0"/>
                <w:szCs w:val="20"/>
              </w:rPr>
            </w:pPr>
            <w:r w:rsidRPr="00940F72">
              <w:rPr>
                <w:rFonts w:cstheme="minorHAnsi"/>
                <w:bCs w:val="0"/>
                <w:szCs w:val="20"/>
              </w:rPr>
              <w:t>$</w:t>
            </w:r>
            <w:r w:rsidR="00C13E60">
              <w:rPr>
                <w:rFonts w:cstheme="minorHAnsi"/>
                <w:noProof/>
                <w:color w:val="000000"/>
                <w:szCs w:val="20"/>
                <w:highlight w:val="black"/>
              </w:rPr>
              <w:t>'''''''''''''''''''</w:t>
            </w:r>
            <w:r w:rsidR="000C762B">
              <w:rPr>
                <w:vertAlign w:val="superscript"/>
              </w:rPr>
              <w:t>3</w:t>
            </w:r>
          </w:p>
        </w:tc>
        <w:tc>
          <w:tcPr>
            <w:tcW w:w="647" w:type="pct"/>
            <w:tcBorders>
              <w:bottom w:val="single" w:sz="4" w:space="0" w:color="auto"/>
            </w:tcBorders>
            <w:shd w:val="clear" w:color="auto" w:fill="FFFFFF" w:themeFill="background1"/>
            <w:vAlign w:val="center"/>
          </w:tcPr>
          <w:p w:rsidR="00455DCF" w:rsidRPr="00940F72" w:rsidRDefault="00455DCF" w:rsidP="000C762B">
            <w:pPr>
              <w:pStyle w:val="TableText0"/>
              <w:jc w:val="center"/>
              <w:rPr>
                <w:bCs w:val="0"/>
                <w:szCs w:val="20"/>
              </w:rPr>
            </w:pPr>
            <w:r w:rsidRPr="00940F72">
              <w:rPr>
                <w:rFonts w:cstheme="minorHAnsi"/>
                <w:bCs w:val="0"/>
                <w:szCs w:val="20"/>
              </w:rPr>
              <w:t>$</w:t>
            </w:r>
            <w:r w:rsidR="00C13E60">
              <w:rPr>
                <w:rFonts w:cstheme="minorHAnsi"/>
                <w:noProof/>
                <w:color w:val="000000"/>
                <w:szCs w:val="20"/>
                <w:highlight w:val="black"/>
              </w:rPr>
              <w:t>''''''''''''''''''</w:t>
            </w:r>
            <w:r w:rsidR="000C762B">
              <w:rPr>
                <w:vertAlign w:val="superscript"/>
              </w:rPr>
              <w:t>3</w:t>
            </w:r>
          </w:p>
        </w:tc>
        <w:tc>
          <w:tcPr>
            <w:tcW w:w="649" w:type="pct"/>
            <w:tcBorders>
              <w:bottom w:val="single" w:sz="4" w:space="0" w:color="auto"/>
            </w:tcBorders>
            <w:shd w:val="clear" w:color="auto" w:fill="FFFFFF" w:themeFill="background1"/>
            <w:vAlign w:val="center"/>
          </w:tcPr>
          <w:p w:rsidR="00455DCF" w:rsidRPr="00940F72" w:rsidRDefault="00455DCF" w:rsidP="000C762B">
            <w:pPr>
              <w:pStyle w:val="TableText0"/>
              <w:jc w:val="center"/>
              <w:rPr>
                <w:bCs w:val="0"/>
                <w:szCs w:val="20"/>
              </w:rPr>
            </w:pPr>
            <w:r w:rsidRPr="00940F72">
              <w:rPr>
                <w:rFonts w:cstheme="minorHAnsi"/>
                <w:bCs w:val="0"/>
                <w:szCs w:val="20"/>
              </w:rPr>
              <w:t>$</w:t>
            </w:r>
            <w:r w:rsidR="00C13E60">
              <w:rPr>
                <w:rFonts w:cstheme="minorHAnsi"/>
                <w:bCs w:val="0"/>
                <w:noProof/>
                <w:color w:val="000000"/>
                <w:szCs w:val="20"/>
                <w:highlight w:val="black"/>
              </w:rPr>
              <w:t>'''''''''''''''''''</w:t>
            </w:r>
            <w:r w:rsidR="000C762B">
              <w:rPr>
                <w:vertAlign w:val="superscript"/>
              </w:rPr>
              <w:t>3</w:t>
            </w:r>
          </w:p>
        </w:tc>
      </w:tr>
      <w:tr w:rsidR="00455DCF" w:rsidRPr="00940F72" w:rsidTr="003A6544">
        <w:tc>
          <w:tcPr>
            <w:tcW w:w="1116" w:type="pct"/>
            <w:shd w:val="clear" w:color="auto" w:fill="auto"/>
            <w:vAlign w:val="center"/>
          </w:tcPr>
          <w:p w:rsidR="00455DCF" w:rsidRPr="00940F72" w:rsidRDefault="00455DCF" w:rsidP="003A6544">
            <w:pPr>
              <w:pStyle w:val="TableText0"/>
              <w:rPr>
                <w:iCs/>
                <w:sz w:val="19"/>
                <w:szCs w:val="19"/>
              </w:rPr>
            </w:pPr>
            <w:r w:rsidRPr="00940F72">
              <w:rPr>
                <w:iCs/>
                <w:sz w:val="19"/>
                <w:szCs w:val="19"/>
              </w:rPr>
              <w:t>Net cost to PBS/RPBS (latest DPMQ)</w:t>
            </w:r>
            <w:r w:rsidRPr="00940F72">
              <w:rPr>
                <w:iCs/>
                <w:sz w:val="19"/>
                <w:szCs w:val="19"/>
                <w:vertAlign w:val="superscript"/>
              </w:rPr>
              <w:t>a</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DCF" w:rsidRPr="00940F72" w:rsidRDefault="00455DCF" w:rsidP="000C762B">
            <w:pPr>
              <w:pStyle w:val="TableText0"/>
              <w:jc w:val="center"/>
              <w:rPr>
                <w:iCs/>
              </w:rPr>
            </w:pPr>
            <w:r w:rsidRPr="00940F72">
              <w:rPr>
                <w:iCs/>
              </w:rPr>
              <w:t>$</w:t>
            </w:r>
            <w:r w:rsidR="00C13E60">
              <w:rPr>
                <w:rFonts w:cstheme="minorHAnsi"/>
                <w:noProof/>
                <w:color w:val="000000"/>
                <w:szCs w:val="20"/>
                <w:highlight w:val="black"/>
              </w:rPr>
              <w:t>'''''''''''''''''''</w:t>
            </w:r>
            <w:r w:rsidR="000C762B">
              <w:rPr>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DCF" w:rsidRPr="00940F72" w:rsidRDefault="00455DCF" w:rsidP="000C762B">
            <w:pPr>
              <w:pStyle w:val="TableText0"/>
              <w:jc w:val="center"/>
              <w:rPr>
                <w:iCs/>
              </w:rPr>
            </w:pPr>
            <w:r w:rsidRPr="00940F72">
              <w:rPr>
                <w:iCs/>
              </w:rPr>
              <w:t>$</w:t>
            </w:r>
            <w:r w:rsidR="00C13E60">
              <w:rPr>
                <w:rFonts w:cstheme="minorHAnsi"/>
                <w:noProof/>
                <w:color w:val="000000"/>
                <w:szCs w:val="20"/>
                <w:highlight w:val="black"/>
              </w:rPr>
              <w:t>''''''''''''''''''''</w:t>
            </w:r>
            <w:r w:rsidR="000C762B">
              <w:rPr>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DCF" w:rsidRPr="00940F72" w:rsidRDefault="00455DCF" w:rsidP="000C762B">
            <w:pPr>
              <w:pStyle w:val="TableText0"/>
              <w:jc w:val="center"/>
              <w:rPr>
                <w:iCs/>
              </w:rPr>
            </w:pPr>
            <w:r w:rsidRPr="00940F72">
              <w:rPr>
                <w:iCs/>
              </w:rPr>
              <w:t>$</w:t>
            </w:r>
            <w:r w:rsidR="00C13E60">
              <w:rPr>
                <w:rFonts w:cstheme="minorHAnsi"/>
                <w:noProof/>
                <w:color w:val="000000"/>
                <w:szCs w:val="20"/>
                <w:highlight w:val="black"/>
              </w:rPr>
              <w:t>'''''''''''''''''''''</w:t>
            </w:r>
            <w:r w:rsidR="000C762B">
              <w:rPr>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DCF" w:rsidRPr="00940F72" w:rsidRDefault="00455DCF" w:rsidP="000C762B">
            <w:pPr>
              <w:pStyle w:val="TableText0"/>
              <w:jc w:val="center"/>
              <w:rPr>
                <w:iCs/>
              </w:rPr>
            </w:pPr>
            <w:r w:rsidRPr="00940F72">
              <w:rPr>
                <w:iCs/>
              </w:rPr>
              <w:t>$</w:t>
            </w:r>
            <w:r w:rsidR="00C13E60">
              <w:rPr>
                <w:rFonts w:cstheme="minorHAnsi"/>
                <w:noProof/>
                <w:color w:val="000000"/>
                <w:szCs w:val="20"/>
                <w:highlight w:val="black"/>
              </w:rPr>
              <w:t>''''''''''''''''''</w:t>
            </w:r>
            <w:r w:rsidR="000C762B">
              <w:rPr>
                <w:vertAlign w:val="superscript"/>
              </w:rPr>
              <w:t>3</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DCF" w:rsidRPr="00940F72" w:rsidRDefault="00455DCF" w:rsidP="000C762B">
            <w:pPr>
              <w:pStyle w:val="TableText0"/>
              <w:jc w:val="center"/>
              <w:rPr>
                <w:iCs/>
              </w:rPr>
            </w:pPr>
            <w:r w:rsidRPr="00940F72">
              <w:rPr>
                <w:iCs/>
              </w:rPr>
              <w:t>$</w:t>
            </w:r>
            <w:r w:rsidR="00C13E60">
              <w:rPr>
                <w:rFonts w:cstheme="minorHAnsi"/>
                <w:noProof/>
                <w:color w:val="000000"/>
                <w:szCs w:val="20"/>
                <w:highlight w:val="black"/>
              </w:rPr>
              <w:t>'''''''''''''''''''''</w:t>
            </w:r>
            <w:r w:rsidR="000C762B">
              <w:rPr>
                <w:vertAlign w:val="superscript"/>
              </w:rPr>
              <w:t>3</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5DCF" w:rsidRPr="00940F72" w:rsidRDefault="00455DCF" w:rsidP="000C762B">
            <w:pPr>
              <w:pStyle w:val="TableText0"/>
              <w:jc w:val="center"/>
              <w:rPr>
                <w:iCs/>
              </w:rPr>
            </w:pPr>
            <w:r w:rsidRPr="00940F72">
              <w:rPr>
                <w:iCs/>
              </w:rPr>
              <w:t>$</w:t>
            </w:r>
            <w:r w:rsidR="00C13E60">
              <w:rPr>
                <w:iCs/>
                <w:noProof/>
                <w:color w:val="000000"/>
                <w:highlight w:val="black"/>
              </w:rPr>
              <w:t>''''''''''''''''''</w:t>
            </w:r>
            <w:r w:rsidR="000C762B">
              <w:rPr>
                <w:vertAlign w:val="superscript"/>
              </w:rPr>
              <w:t>3</w:t>
            </w:r>
          </w:p>
        </w:tc>
      </w:tr>
      <w:tr w:rsidR="00455DCF" w:rsidRPr="00940F72" w:rsidTr="003A6544">
        <w:tc>
          <w:tcPr>
            <w:tcW w:w="1116" w:type="pct"/>
            <w:shd w:val="clear" w:color="auto" w:fill="auto"/>
            <w:vAlign w:val="center"/>
          </w:tcPr>
          <w:p w:rsidR="00455DCF" w:rsidRPr="00940F72" w:rsidRDefault="00455DCF" w:rsidP="003A6544">
            <w:pPr>
              <w:pStyle w:val="TableText0"/>
              <w:rPr>
                <w:rFonts w:ascii="Times" w:hAnsi="Times"/>
              </w:rPr>
            </w:pPr>
            <w:r w:rsidRPr="00940F72">
              <w:rPr>
                <w:sz w:val="19"/>
                <w:szCs w:val="19"/>
              </w:rPr>
              <w:t>Net cost to MBS</w:t>
            </w:r>
          </w:p>
        </w:tc>
        <w:tc>
          <w:tcPr>
            <w:tcW w:w="647" w:type="pct"/>
            <w:tcBorders>
              <w:bottom w:val="single" w:sz="4" w:space="0" w:color="auto"/>
            </w:tcBorders>
            <w:vAlign w:val="center"/>
          </w:tcPr>
          <w:p w:rsidR="00455DCF" w:rsidRPr="00940F72" w:rsidRDefault="00455DCF" w:rsidP="000C762B">
            <w:pPr>
              <w:pStyle w:val="TableText0"/>
              <w:jc w:val="center"/>
            </w:pPr>
            <w:r w:rsidRPr="00940F72">
              <w:rPr>
                <w:rFonts w:cs="Arial"/>
                <w:szCs w:val="20"/>
              </w:rPr>
              <w:t>$0</w:t>
            </w:r>
          </w:p>
        </w:tc>
        <w:tc>
          <w:tcPr>
            <w:tcW w:w="647" w:type="pct"/>
            <w:tcBorders>
              <w:bottom w:val="single" w:sz="4" w:space="0" w:color="auto"/>
            </w:tcBorders>
            <w:vAlign w:val="center"/>
          </w:tcPr>
          <w:p w:rsidR="00455DCF" w:rsidRPr="00940F72" w:rsidRDefault="00455DCF" w:rsidP="000C762B">
            <w:pPr>
              <w:pStyle w:val="TableText0"/>
              <w:jc w:val="center"/>
            </w:pPr>
            <w:r w:rsidRPr="00940F72">
              <w:rPr>
                <w:rFonts w:cs="Arial"/>
                <w:szCs w:val="20"/>
              </w:rPr>
              <w:t>$0</w:t>
            </w:r>
          </w:p>
        </w:tc>
        <w:tc>
          <w:tcPr>
            <w:tcW w:w="647" w:type="pct"/>
            <w:tcBorders>
              <w:bottom w:val="single" w:sz="4" w:space="0" w:color="auto"/>
            </w:tcBorders>
            <w:vAlign w:val="center"/>
          </w:tcPr>
          <w:p w:rsidR="00455DCF" w:rsidRPr="00940F72" w:rsidRDefault="00455DCF" w:rsidP="000C762B">
            <w:pPr>
              <w:pStyle w:val="TableText0"/>
              <w:jc w:val="center"/>
            </w:pPr>
            <w:r w:rsidRPr="00940F72">
              <w:rPr>
                <w:rFonts w:cs="Arial"/>
                <w:szCs w:val="20"/>
              </w:rPr>
              <w:t>$0</w:t>
            </w:r>
          </w:p>
        </w:tc>
        <w:tc>
          <w:tcPr>
            <w:tcW w:w="647" w:type="pct"/>
            <w:tcBorders>
              <w:bottom w:val="single" w:sz="4" w:space="0" w:color="auto"/>
            </w:tcBorders>
            <w:vAlign w:val="center"/>
          </w:tcPr>
          <w:p w:rsidR="00455DCF" w:rsidRPr="00940F72" w:rsidRDefault="00455DCF" w:rsidP="000C762B">
            <w:pPr>
              <w:pStyle w:val="TableText0"/>
              <w:jc w:val="center"/>
            </w:pPr>
            <w:r w:rsidRPr="00940F72">
              <w:rPr>
                <w:rFonts w:cs="Arial"/>
                <w:szCs w:val="20"/>
              </w:rPr>
              <w:t>$0</w:t>
            </w:r>
          </w:p>
        </w:tc>
        <w:tc>
          <w:tcPr>
            <w:tcW w:w="647" w:type="pct"/>
            <w:tcBorders>
              <w:bottom w:val="single" w:sz="4" w:space="0" w:color="auto"/>
            </w:tcBorders>
            <w:vAlign w:val="center"/>
          </w:tcPr>
          <w:p w:rsidR="00455DCF" w:rsidRPr="00940F72" w:rsidRDefault="00455DCF" w:rsidP="000C762B">
            <w:pPr>
              <w:pStyle w:val="TableText0"/>
              <w:jc w:val="center"/>
            </w:pPr>
            <w:r w:rsidRPr="00940F72">
              <w:rPr>
                <w:rFonts w:cs="Arial"/>
                <w:szCs w:val="20"/>
              </w:rPr>
              <w:t>$0</w:t>
            </w:r>
          </w:p>
        </w:tc>
        <w:tc>
          <w:tcPr>
            <w:tcW w:w="649" w:type="pct"/>
            <w:tcBorders>
              <w:bottom w:val="single" w:sz="4" w:space="0" w:color="auto"/>
            </w:tcBorders>
            <w:vAlign w:val="center"/>
          </w:tcPr>
          <w:p w:rsidR="00455DCF" w:rsidRPr="00940F72" w:rsidRDefault="00455DCF" w:rsidP="000C762B">
            <w:pPr>
              <w:pStyle w:val="TableText0"/>
              <w:jc w:val="center"/>
            </w:pPr>
            <w:r w:rsidRPr="00940F72">
              <w:rPr>
                <w:rFonts w:cs="Arial"/>
                <w:szCs w:val="20"/>
              </w:rPr>
              <w:t>$0</w:t>
            </w:r>
          </w:p>
        </w:tc>
      </w:tr>
    </w:tbl>
    <w:bookmarkEnd w:id="68"/>
    <w:p w:rsidR="00455DCF" w:rsidRPr="00940F72" w:rsidRDefault="00455DCF" w:rsidP="00455DCF">
      <w:pPr>
        <w:pStyle w:val="TableFigureFooter"/>
      </w:pPr>
      <w:r w:rsidRPr="00940F72">
        <w:t>PBS = Pharmaceutical Benefits Scheme; RPBS = Repatriation Pharmaceutical Benefits Scheme; DPMQ= Dispensed Price for Maximum Quantity; MBS=Medicare Benefits Scheme.</w:t>
      </w:r>
    </w:p>
    <w:bookmarkEnd w:id="67"/>
    <w:p w:rsidR="00455DCF" w:rsidRPr="00940F72" w:rsidRDefault="00455DCF" w:rsidP="00455DCF">
      <w:pPr>
        <w:pStyle w:val="TableFigureFooter"/>
        <w:rPr>
          <w:iCs/>
        </w:rPr>
      </w:pPr>
      <w:r w:rsidRPr="00940F72">
        <w:rPr>
          <w:iCs/>
          <w:vertAlign w:val="superscript"/>
        </w:rPr>
        <w:t>a</w:t>
      </w:r>
      <w:r w:rsidRPr="00940F72">
        <w:rPr>
          <w:iCs/>
        </w:rPr>
        <w:t xml:space="preserve"> Net cost to R/PBS calculated as per the latest DPMQ for ibrutinib (PBS item number 11419B) of $11,672.21. Any inconsistency may be due to rounding errors. </w:t>
      </w:r>
    </w:p>
    <w:p w:rsidR="00455DCF" w:rsidRDefault="00455DCF" w:rsidP="00455DCF">
      <w:pPr>
        <w:pStyle w:val="TableFigureFooter"/>
      </w:pPr>
      <w:r w:rsidRPr="00940F72">
        <w:t>Source: Tables 4.5, 4.15, 4.17, pp 117, 118, 130 of the submission; Financial Worksheet ‘5. Impact – net’.</w:t>
      </w:r>
    </w:p>
    <w:p w:rsidR="000C762B" w:rsidRDefault="000C762B" w:rsidP="000C762B">
      <w:pPr>
        <w:pStyle w:val="TableFigureFooter"/>
        <w:spacing w:after="0"/>
        <w:contextualSpacing w:val="0"/>
        <w:rPr>
          <w:i/>
        </w:rPr>
      </w:pPr>
      <w:r w:rsidRPr="009868C4">
        <w:rPr>
          <w:i/>
        </w:rPr>
        <w:t>The redacted values correspond to the following ranges</w:t>
      </w:r>
      <w:r>
        <w:rPr>
          <w:i/>
        </w:rPr>
        <w:t xml:space="preserve">: </w:t>
      </w:r>
    </w:p>
    <w:p w:rsidR="000C762B" w:rsidRPr="00870C5D" w:rsidRDefault="000C762B" w:rsidP="000C762B">
      <w:pPr>
        <w:pStyle w:val="TableFigureFooter"/>
        <w:spacing w:after="0"/>
        <w:contextualSpacing w:val="0"/>
      </w:pPr>
      <w:r>
        <w:rPr>
          <w:i/>
          <w:vertAlign w:val="superscript"/>
        </w:rPr>
        <w:t>1</w:t>
      </w:r>
      <w:r>
        <w:rPr>
          <w:i/>
        </w:rPr>
        <w:t xml:space="preserve"> </w:t>
      </w:r>
      <w:r w:rsidRPr="000C762B">
        <w:rPr>
          <w:i/>
        </w:rPr>
        <w:t>&lt; 500</w:t>
      </w:r>
    </w:p>
    <w:p w:rsidR="000C762B" w:rsidRPr="00870C5D" w:rsidRDefault="000C762B" w:rsidP="000C762B">
      <w:pPr>
        <w:pStyle w:val="TableFigureFooter"/>
        <w:spacing w:after="0"/>
        <w:contextualSpacing w:val="0"/>
      </w:pPr>
      <w:r>
        <w:rPr>
          <w:i/>
          <w:vertAlign w:val="superscript"/>
        </w:rPr>
        <w:t>2</w:t>
      </w:r>
      <w:r>
        <w:rPr>
          <w:i/>
        </w:rPr>
        <w:t xml:space="preserve"> </w:t>
      </w:r>
      <w:r w:rsidRPr="000C762B">
        <w:rPr>
          <w:i/>
        </w:rPr>
        <w:t>500 to &lt; 5,000</w:t>
      </w:r>
    </w:p>
    <w:p w:rsidR="000C762B" w:rsidRPr="00870C5D" w:rsidRDefault="000C762B" w:rsidP="000C762B">
      <w:pPr>
        <w:pStyle w:val="TableFigureFooter"/>
        <w:spacing w:after="0"/>
        <w:contextualSpacing w:val="0"/>
      </w:pPr>
      <w:r>
        <w:rPr>
          <w:i/>
          <w:vertAlign w:val="superscript"/>
        </w:rPr>
        <w:t>3</w:t>
      </w:r>
      <w:r>
        <w:rPr>
          <w:i/>
        </w:rPr>
        <w:t xml:space="preserve"> $</w:t>
      </w:r>
      <w:r w:rsidRPr="000C762B">
        <w:rPr>
          <w:i/>
        </w:rPr>
        <w:t>0 to &lt; $10 million</w:t>
      </w:r>
    </w:p>
    <w:p w:rsidR="000C762B" w:rsidRPr="00870C5D" w:rsidRDefault="000C762B" w:rsidP="000C762B">
      <w:pPr>
        <w:pStyle w:val="TableFigureFooter"/>
        <w:spacing w:after="0"/>
        <w:contextualSpacing w:val="0"/>
      </w:pPr>
      <w:r>
        <w:rPr>
          <w:i/>
          <w:vertAlign w:val="superscript"/>
        </w:rPr>
        <w:t>4</w:t>
      </w:r>
      <w:r>
        <w:rPr>
          <w:i/>
        </w:rPr>
        <w:t xml:space="preserve"> $</w:t>
      </w:r>
      <w:r w:rsidRPr="000C762B">
        <w:rPr>
          <w:i/>
        </w:rPr>
        <w:t>10 million to &lt; $20 million</w:t>
      </w:r>
    </w:p>
    <w:p w:rsidR="000C762B" w:rsidRPr="00940F72" w:rsidRDefault="000C762B" w:rsidP="00455DCF">
      <w:pPr>
        <w:pStyle w:val="TableFigureFooter"/>
      </w:pPr>
    </w:p>
    <w:p w:rsidR="00455DCF" w:rsidRPr="00940F72" w:rsidRDefault="00455DCF" w:rsidP="000C762B">
      <w:pPr>
        <w:pStyle w:val="3-BodyText"/>
      </w:pPr>
      <w:r w:rsidRPr="00940F72">
        <w:t xml:space="preserve">The total net cost to the PBS/RPBS of listing zanubrutinib was estimated to be </w:t>
      </w:r>
      <w:r w:rsidR="000C762B" w:rsidRPr="000C762B">
        <w:t>$0 to &lt; $10 million</w:t>
      </w:r>
      <w:r w:rsidR="000C762B" w:rsidRPr="000C762B" w:rsidDel="000C762B">
        <w:t xml:space="preserve"> </w:t>
      </w:r>
      <w:r w:rsidRPr="00940F72">
        <w:t xml:space="preserve">in Year 1, increasing to </w:t>
      </w:r>
      <w:r w:rsidR="000C762B" w:rsidRPr="000C762B">
        <w:t>$0 to &lt; $10 million</w:t>
      </w:r>
      <w:r w:rsidR="000C762B" w:rsidRPr="000C762B" w:rsidDel="000C762B">
        <w:t xml:space="preserve"> </w:t>
      </w:r>
      <w:r w:rsidRPr="00940F72">
        <w:t xml:space="preserve">in Year 6, and a total of </w:t>
      </w:r>
      <w:r w:rsidR="000C762B" w:rsidRPr="000C762B">
        <w:t>$0 to &lt; $10 million</w:t>
      </w:r>
      <w:r w:rsidR="000C762B">
        <w:t xml:space="preserve"> </w:t>
      </w:r>
      <w:r w:rsidRPr="00940F72">
        <w:t xml:space="preserve">over six years (as per the latest DPMQ). This increase was due to the additional </w:t>
      </w:r>
      <w:r w:rsidR="00FE35AD" w:rsidRPr="00940F72">
        <w:t>seven</w:t>
      </w:r>
      <w:r w:rsidRPr="00940F72">
        <w:t xml:space="preserve"> patients with previous atrial fibrillation (4.39%) and contraindication for ibrutinib, and approximately 50% of these patients (roughly 3 patients) were estimated to receive zanubrutinib every year. </w:t>
      </w:r>
    </w:p>
    <w:p w:rsidR="00C62744" w:rsidRPr="00940F72" w:rsidRDefault="000042AE" w:rsidP="00FF23E6">
      <w:pPr>
        <w:pStyle w:val="3-BodyText"/>
      </w:pPr>
      <w:r w:rsidRPr="00940F72">
        <w:t xml:space="preserve">The PBAC considered it is reasonable to include newly eligible patients at risk of atrial fibrillation in the estimated PBS usage of zanubrutinib. </w:t>
      </w:r>
      <w:r w:rsidR="002D3B72" w:rsidRPr="00940F72">
        <w:t>The</w:t>
      </w:r>
      <w:r w:rsidR="00006874" w:rsidRPr="00940F72">
        <w:t xml:space="preserve"> PBAC agreed with the</w:t>
      </w:r>
      <w:r w:rsidR="002D3B72" w:rsidRPr="00940F72">
        <w:t xml:space="preserve"> DUSC </w:t>
      </w:r>
      <w:r w:rsidR="00006874" w:rsidRPr="00940F72">
        <w:t>that</w:t>
      </w:r>
      <w:r w:rsidR="00FE1514" w:rsidRPr="00940F72">
        <w:t xml:space="preserve"> </w:t>
      </w:r>
      <w:r w:rsidR="00006874" w:rsidRPr="00940F72">
        <w:t>minor changes</w:t>
      </w:r>
      <w:r w:rsidRPr="00940F72">
        <w:t xml:space="preserve"> should be made</w:t>
      </w:r>
      <w:r w:rsidR="00006874" w:rsidRPr="00940F72">
        <w:t xml:space="preserve"> to the methods used to derive the utilisation and financial estimates</w:t>
      </w:r>
      <w:r w:rsidR="00FE1514" w:rsidRPr="00940F72">
        <w:t>,</w:t>
      </w:r>
      <w:r w:rsidR="00006874" w:rsidRPr="00940F72">
        <w:t xml:space="preserve"> and </w:t>
      </w:r>
      <w:r w:rsidR="00FE1514" w:rsidRPr="00940F72">
        <w:t xml:space="preserve">the </w:t>
      </w:r>
      <w:r w:rsidR="00006874" w:rsidRPr="00940F72">
        <w:t>structure of the estimates model</w:t>
      </w:r>
      <w:r w:rsidR="0066499B" w:rsidRPr="00940F72">
        <w:t xml:space="preserve">. </w:t>
      </w:r>
      <w:r w:rsidR="00006874" w:rsidRPr="00940F72">
        <w:t>Specifically, the PBAC advised:</w:t>
      </w:r>
    </w:p>
    <w:p w:rsidR="00006874" w:rsidRPr="00940F72" w:rsidRDefault="00FE1514" w:rsidP="00455B75">
      <w:pPr>
        <w:pStyle w:val="3-BodyText"/>
        <w:numPr>
          <w:ilvl w:val="0"/>
          <w:numId w:val="26"/>
        </w:numPr>
      </w:pPr>
      <w:r w:rsidRPr="00940F72">
        <w:t>The duration of zanubrutinib treatment should be adjusted to match Study 206 (17.8 months)</w:t>
      </w:r>
      <w:r w:rsidR="00AB6884" w:rsidRPr="00940F72">
        <w:t xml:space="preserve"> or be </w:t>
      </w:r>
      <w:r w:rsidR="00AB6884" w:rsidRPr="00940F72">
        <w:rPr>
          <w:iCs/>
        </w:rPr>
        <w:t>at a cost per day that is no higher than the cost per day of other BTK inhibitors recommended for listing by the PBAC for the treatment of MCL</w:t>
      </w:r>
      <w:r w:rsidRPr="00940F72">
        <w:t>;</w:t>
      </w:r>
    </w:p>
    <w:p w:rsidR="00FE1514" w:rsidRPr="00940F72" w:rsidRDefault="00FE1514" w:rsidP="000042AE">
      <w:pPr>
        <w:pStyle w:val="3-BodyText"/>
        <w:numPr>
          <w:ilvl w:val="0"/>
          <w:numId w:val="26"/>
        </w:numPr>
      </w:pPr>
      <w:r w:rsidRPr="00940F72">
        <w:t>Cost offsets due to AEs should not be included</w:t>
      </w:r>
      <w:r w:rsidR="000042AE" w:rsidRPr="00940F72">
        <w:t>;</w:t>
      </w:r>
    </w:p>
    <w:p w:rsidR="000042AE" w:rsidRPr="00940F72" w:rsidRDefault="000042AE" w:rsidP="000042AE">
      <w:pPr>
        <w:pStyle w:val="3-BodyText"/>
        <w:numPr>
          <w:ilvl w:val="0"/>
          <w:numId w:val="26"/>
        </w:numPr>
      </w:pPr>
      <w:r w:rsidRPr="00940F72">
        <w:t xml:space="preserve">Utilisation of ibrutinib should be based on </w:t>
      </w:r>
      <w:r w:rsidR="00AB6884" w:rsidRPr="00940F72">
        <w:t xml:space="preserve">an average growth over </w:t>
      </w:r>
      <w:r w:rsidRPr="00940F72">
        <w:t>2019 and 2020;</w:t>
      </w:r>
    </w:p>
    <w:p w:rsidR="000042AE" w:rsidRPr="00940F72" w:rsidRDefault="000042AE" w:rsidP="000042AE">
      <w:pPr>
        <w:pStyle w:val="3-BodyText"/>
        <w:numPr>
          <w:ilvl w:val="0"/>
          <w:numId w:val="26"/>
        </w:numPr>
      </w:pPr>
      <w:r w:rsidRPr="00940F72">
        <w:t>Grandfathered patients should be included;</w:t>
      </w:r>
    </w:p>
    <w:p w:rsidR="00455DCF" w:rsidRPr="00940F72" w:rsidRDefault="000042AE" w:rsidP="00BC0C09">
      <w:pPr>
        <w:pStyle w:val="3-BodyText"/>
        <w:numPr>
          <w:ilvl w:val="0"/>
          <w:numId w:val="26"/>
        </w:numPr>
      </w:pPr>
      <w:r w:rsidRPr="00940F72">
        <w:t>The</w:t>
      </w:r>
      <w:r w:rsidR="0066499B" w:rsidRPr="00940F72">
        <w:t xml:space="preserve"> zanubrutinib</w:t>
      </w:r>
      <w:r w:rsidRPr="00940F72">
        <w:t xml:space="preserve"> </w:t>
      </w:r>
      <w:r w:rsidR="00896B30" w:rsidRPr="00940F72">
        <w:t>market size</w:t>
      </w:r>
      <w:r w:rsidRPr="00940F72">
        <w:t xml:space="preserve"> should be increased</w:t>
      </w:r>
      <w:r w:rsidR="00203071" w:rsidRPr="00940F72">
        <w:t xml:space="preserve">, by applying the </w:t>
      </w:r>
      <w:r w:rsidR="0066499B" w:rsidRPr="00940F72">
        <w:t>age-adjusted prevalence of atrial fibrillation</w:t>
      </w:r>
      <w:r w:rsidR="00203071" w:rsidRPr="00940F72">
        <w:t xml:space="preserve"> to estimate the increase in patient numbers corresponding to patients contra-indicated for ibrutinib but otherwise eligible for zanubrutinib</w:t>
      </w:r>
      <w:r w:rsidR="0066499B" w:rsidRPr="00940F72">
        <w:t>.</w:t>
      </w:r>
    </w:p>
    <w:p w:rsidR="00955300" w:rsidRPr="00940F72" w:rsidRDefault="00955300" w:rsidP="00955300">
      <w:pPr>
        <w:pStyle w:val="4-SubsectionHeading"/>
      </w:pPr>
      <w:bookmarkStart w:id="69" w:name="_Toc22897649"/>
      <w:bookmarkStart w:id="70" w:name="_Toc22898861"/>
      <w:bookmarkStart w:id="71" w:name="_Toc72318713"/>
      <w:r w:rsidRPr="00940F72">
        <w:t>Financial Management – Risk Sharing Arrangements</w:t>
      </w:r>
      <w:bookmarkEnd w:id="69"/>
      <w:bookmarkEnd w:id="70"/>
      <w:bookmarkEnd w:id="71"/>
    </w:p>
    <w:p w:rsidR="007B00C8" w:rsidRPr="00940F72" w:rsidRDefault="00955300" w:rsidP="009C5D19">
      <w:pPr>
        <w:pStyle w:val="3-BodyText"/>
      </w:pPr>
      <w:r w:rsidRPr="00940F72">
        <w:t>The submission proposed that uncertainties regarding market growth as well as other uncertainties associated with utilisation</w:t>
      </w:r>
      <w:r w:rsidR="006E58FA" w:rsidRPr="00940F72">
        <w:t xml:space="preserve"> (Table 12)</w:t>
      </w:r>
      <w:r w:rsidRPr="00940F72">
        <w:t xml:space="preserve"> be addressed through the implementation of </w:t>
      </w:r>
      <w:r w:rsidR="001B2CA0" w:rsidRPr="00940F72">
        <w:t xml:space="preserve">an </w:t>
      </w:r>
      <w:r w:rsidRPr="00940F72">
        <w:t xml:space="preserve">appropriate </w:t>
      </w:r>
      <w:r w:rsidR="00FE35AD" w:rsidRPr="00940F72">
        <w:t xml:space="preserve">Risk Sharing Arrangement </w:t>
      </w:r>
      <w:r w:rsidR="004A514C" w:rsidRPr="00940F72">
        <w:t>(RSA)</w:t>
      </w:r>
      <w:r w:rsidRPr="00940F72">
        <w:t xml:space="preserve">. </w:t>
      </w:r>
      <w:r w:rsidR="00FE35AD" w:rsidRPr="00940F72">
        <w:t xml:space="preserve">The submission did not provide </w:t>
      </w:r>
      <w:r w:rsidR="00FE35AD" w:rsidRPr="00940F72">
        <w:rPr>
          <w:iCs/>
        </w:rPr>
        <w:t xml:space="preserve">details </w:t>
      </w:r>
      <w:r w:rsidRPr="00940F72">
        <w:rPr>
          <w:iCs/>
        </w:rPr>
        <w:t xml:space="preserve">of </w:t>
      </w:r>
      <w:r w:rsidR="004A514C" w:rsidRPr="00940F72">
        <w:rPr>
          <w:iCs/>
        </w:rPr>
        <w:t xml:space="preserve">a </w:t>
      </w:r>
      <w:r w:rsidRPr="00940F72">
        <w:rPr>
          <w:iCs/>
        </w:rPr>
        <w:t xml:space="preserve">potential </w:t>
      </w:r>
      <w:r w:rsidR="004A514C" w:rsidRPr="00940F72">
        <w:rPr>
          <w:iCs/>
        </w:rPr>
        <w:t>RSA</w:t>
      </w:r>
      <w:r w:rsidRPr="00940F72">
        <w:rPr>
          <w:iCs/>
        </w:rPr>
        <w:t>.</w:t>
      </w:r>
      <w:r w:rsidR="004A419A" w:rsidRPr="00940F72">
        <w:rPr>
          <w:iCs/>
        </w:rPr>
        <w:t xml:space="preserve"> The PSCR requested </w:t>
      </w:r>
      <w:r w:rsidR="009C5D19" w:rsidRPr="00940F72">
        <w:rPr>
          <w:iCs/>
        </w:rPr>
        <w:t>that</w:t>
      </w:r>
      <w:r w:rsidR="004A419A" w:rsidRPr="00940F72">
        <w:rPr>
          <w:iCs/>
        </w:rPr>
        <w:t xml:space="preserve"> the ibrutinib</w:t>
      </w:r>
      <w:r w:rsidR="004A514C" w:rsidRPr="00940F72">
        <w:rPr>
          <w:iCs/>
        </w:rPr>
        <w:t xml:space="preserve"> RSA</w:t>
      </w:r>
      <w:r w:rsidR="004A419A" w:rsidRPr="00940F72">
        <w:rPr>
          <w:iCs/>
        </w:rPr>
        <w:t xml:space="preserve"> </w:t>
      </w:r>
      <w:r w:rsidR="00FE35AD" w:rsidRPr="00940F72">
        <w:rPr>
          <w:iCs/>
        </w:rPr>
        <w:t xml:space="preserve">caps </w:t>
      </w:r>
      <w:r w:rsidR="009C5D19" w:rsidRPr="00940F72">
        <w:rPr>
          <w:iCs/>
        </w:rPr>
        <w:t>be</w:t>
      </w:r>
      <w:r w:rsidR="001B2CA0" w:rsidRPr="00940F72">
        <w:rPr>
          <w:iCs/>
        </w:rPr>
        <w:t xml:space="preserve"> increase</w:t>
      </w:r>
      <w:r w:rsidR="009C5D19" w:rsidRPr="00940F72">
        <w:rPr>
          <w:iCs/>
        </w:rPr>
        <w:t xml:space="preserve">d </w:t>
      </w:r>
      <w:r w:rsidR="004D4791" w:rsidRPr="00940F72">
        <w:rPr>
          <w:iCs/>
        </w:rPr>
        <w:t xml:space="preserve">to account for the small number of additional patients who would not receive ibrutinib due to the risk of atrial fibrillation but may elect </w:t>
      </w:r>
      <w:r w:rsidR="001B2CA0" w:rsidRPr="00940F72">
        <w:rPr>
          <w:iCs/>
        </w:rPr>
        <w:t xml:space="preserve">treatment </w:t>
      </w:r>
      <w:r w:rsidR="004D4791" w:rsidRPr="00940F72">
        <w:rPr>
          <w:iCs/>
        </w:rPr>
        <w:t xml:space="preserve">with zanubrutinib due to the difference in </w:t>
      </w:r>
      <w:r w:rsidR="00AA1D0A" w:rsidRPr="00940F72">
        <w:rPr>
          <w:iCs/>
        </w:rPr>
        <w:t>AE</w:t>
      </w:r>
      <w:r w:rsidR="004D4791" w:rsidRPr="00940F72">
        <w:rPr>
          <w:iCs/>
        </w:rPr>
        <w:t xml:space="preserve"> profiles</w:t>
      </w:r>
      <w:r w:rsidR="00DB1AA9" w:rsidRPr="00940F72">
        <w:rPr>
          <w:iCs/>
        </w:rPr>
        <w:t>.</w:t>
      </w:r>
      <w:r w:rsidR="00BE09A1" w:rsidRPr="00940F72">
        <w:rPr>
          <w:iCs/>
        </w:rPr>
        <w:t xml:space="preserve"> The PBAC considered it would be appropriate for zanubrutinib to join the existing RSA without any r</w:t>
      </w:r>
      <w:r w:rsidR="00BC1465" w:rsidRPr="00940F72">
        <w:rPr>
          <w:iCs/>
        </w:rPr>
        <w:t>evision to the expenditure caps. The PBAC noted</w:t>
      </w:r>
      <w:r w:rsidR="00BE09A1" w:rsidRPr="00940F72">
        <w:rPr>
          <w:iCs/>
        </w:rPr>
        <w:t xml:space="preserve"> its previous concern that the prevalent patient population informing the ibrutinib estimates were potentially overestimated (paragraph 12.4, ibrutinib PSD, March 2018), </w:t>
      </w:r>
      <w:r w:rsidR="00BC1465" w:rsidRPr="00940F72">
        <w:rPr>
          <w:iCs/>
        </w:rPr>
        <w:t>and</w:t>
      </w:r>
      <w:r w:rsidR="00BE09A1" w:rsidRPr="00940F72">
        <w:rPr>
          <w:iCs/>
        </w:rPr>
        <w:t xml:space="preserve"> considered it would not be appropriate to revise the RSA caps without review of the actual utilisation for ibrutinib versus that expected.</w:t>
      </w:r>
    </w:p>
    <w:p w:rsidR="007B00C8" w:rsidRPr="00940F72" w:rsidRDefault="007B00C8" w:rsidP="007B00C8">
      <w:pPr>
        <w:pStyle w:val="4-SubsectionHeading"/>
      </w:pPr>
      <w:r w:rsidRPr="00940F72">
        <w:t>Quality Use of Medicines</w:t>
      </w:r>
    </w:p>
    <w:p w:rsidR="007B00C8" w:rsidRPr="00940F72" w:rsidRDefault="007B00C8" w:rsidP="002D3492">
      <w:pPr>
        <w:pStyle w:val="3-BodyText"/>
        <w:rPr>
          <w:color w:val="0066FF"/>
        </w:rPr>
      </w:pPr>
      <w:r w:rsidRPr="00940F72">
        <w:t>The PSCR</w:t>
      </w:r>
      <w:r w:rsidR="004A419A" w:rsidRPr="00940F72">
        <w:t xml:space="preserve"> stated that a</w:t>
      </w:r>
      <w:r w:rsidRPr="00940F72">
        <w:t xml:space="preserve"> </w:t>
      </w:r>
      <w:r w:rsidR="000C3D0B" w:rsidRPr="00940F72">
        <w:t>R</w:t>
      </w:r>
      <w:r w:rsidR="004A419A" w:rsidRPr="00940F72">
        <w:t xml:space="preserve">isk </w:t>
      </w:r>
      <w:r w:rsidR="000C3D0B" w:rsidRPr="00940F72">
        <w:t>M</w:t>
      </w:r>
      <w:r w:rsidR="004A419A" w:rsidRPr="00940F72">
        <w:t xml:space="preserve">anagement </w:t>
      </w:r>
      <w:r w:rsidR="000C3D0B" w:rsidRPr="00940F72">
        <w:t>P</w:t>
      </w:r>
      <w:r w:rsidR="004A419A" w:rsidRPr="00940F72">
        <w:t xml:space="preserve">lan (RMP) </w:t>
      </w:r>
      <w:r w:rsidRPr="00940F72">
        <w:t>will be in place covering both WM and MCL indications for zanubrutinib</w:t>
      </w:r>
      <w:r w:rsidR="004A419A" w:rsidRPr="00940F72">
        <w:t>, as a requirement of the TGA registration. This will include r</w:t>
      </w:r>
      <w:r w:rsidRPr="00940F72">
        <w:t xml:space="preserve">outine pharmacovigilance activities (adverse reactions reporting and signal detection) and risk minimisation activities (use of PI, CMI, packaging and medicine scheduling). </w:t>
      </w:r>
      <w:r w:rsidR="004A419A" w:rsidRPr="00940F72">
        <w:t>The PSCR also stated that health care professionals</w:t>
      </w:r>
      <w:r w:rsidRPr="00940F72">
        <w:t xml:space="preserve"> will be supported with educational materials that address the disease, </w:t>
      </w:r>
      <w:r w:rsidR="00656BF7" w:rsidRPr="00940F72">
        <w:t>diagnosis,</w:t>
      </w:r>
      <w:r w:rsidRPr="00940F72">
        <w:t xml:space="preserve"> and treatment options</w:t>
      </w:r>
      <w:r w:rsidR="004A419A" w:rsidRPr="00940F72">
        <w:t xml:space="preserve">, </w:t>
      </w:r>
      <w:r w:rsidRPr="00940F72">
        <w:t xml:space="preserve">to ensure correct prescribing and appropriate patient management. </w:t>
      </w:r>
    </w:p>
    <w:p w:rsidR="007B00C8" w:rsidRPr="00940F72" w:rsidRDefault="006B5E79" w:rsidP="00C62744">
      <w:pPr>
        <w:ind w:left="720"/>
        <w:rPr>
          <w:i/>
        </w:rPr>
      </w:pPr>
      <w:r w:rsidRPr="00940F72">
        <w:rPr>
          <w:i/>
        </w:rPr>
        <w:t>For more detail on PBAC’s view, see section 7 PBAC outcome.</w:t>
      </w:r>
    </w:p>
    <w:p w:rsidR="00277B0D" w:rsidRPr="00940F72" w:rsidRDefault="00277B0D" w:rsidP="00277B0D">
      <w:pPr>
        <w:pStyle w:val="2-SectionHeading"/>
        <w:numPr>
          <w:ilvl w:val="0"/>
          <w:numId w:val="1"/>
        </w:numPr>
      </w:pPr>
      <w:r w:rsidRPr="00940F72">
        <w:t>PBAC Outcome</w:t>
      </w:r>
    </w:p>
    <w:p w:rsidR="000B1537" w:rsidRPr="00940F72" w:rsidRDefault="00F60AA3" w:rsidP="00277B0D">
      <w:pPr>
        <w:widowControl w:val="0"/>
        <w:numPr>
          <w:ilvl w:val="1"/>
          <w:numId w:val="1"/>
        </w:numPr>
        <w:spacing w:after="120"/>
        <w:rPr>
          <w:rFonts w:asciiTheme="minorHAnsi" w:hAnsiTheme="minorHAnsi"/>
          <w:bCs/>
          <w:snapToGrid w:val="0"/>
        </w:rPr>
      </w:pPr>
      <w:r w:rsidRPr="00940F72">
        <w:rPr>
          <w:rFonts w:cs="Calibri"/>
        </w:rPr>
        <w:t xml:space="preserve">The PBAC recommended the </w:t>
      </w:r>
      <w:r w:rsidR="000B1537" w:rsidRPr="00940F72">
        <w:rPr>
          <w:rFonts w:cs="Calibri"/>
        </w:rPr>
        <w:t xml:space="preserve">Authority Required (immediate assessment) listing </w:t>
      </w:r>
      <w:r w:rsidRPr="00940F72">
        <w:rPr>
          <w:rFonts w:cs="Calibri"/>
        </w:rPr>
        <w:t>of</w:t>
      </w:r>
      <w:r w:rsidR="000B1537" w:rsidRPr="00940F72">
        <w:rPr>
          <w:rFonts w:cs="Calibri"/>
        </w:rPr>
        <w:t xml:space="preserve"> zanubrutinib for</w:t>
      </w:r>
      <w:r w:rsidRPr="00940F72">
        <w:rPr>
          <w:rFonts w:cs="Calibri"/>
        </w:rPr>
        <w:t xml:space="preserve"> the treatment of patients with</w:t>
      </w:r>
      <w:r w:rsidR="000B1537" w:rsidRPr="00940F72">
        <w:rPr>
          <w:rFonts w:cs="Calibri"/>
        </w:rPr>
        <w:t xml:space="preserve"> relapsed or refractory (R/R) mantle cell lymphoma (MCL) who have received at least one prior therapy</w:t>
      </w:r>
      <w:r w:rsidR="00FF23E6" w:rsidRPr="00940F72">
        <w:rPr>
          <w:rFonts w:cs="Calibri"/>
        </w:rPr>
        <w:t xml:space="preserve"> and have</w:t>
      </w:r>
      <w:r w:rsidR="000B1537" w:rsidRPr="00940F72">
        <w:rPr>
          <w:rFonts w:cs="Calibri"/>
        </w:rPr>
        <w:t xml:space="preserve"> a WHO performance status of 0 or 1.</w:t>
      </w:r>
      <w:r w:rsidRPr="00940F72">
        <w:rPr>
          <w:rFonts w:cs="Calibri"/>
        </w:rPr>
        <w:t xml:space="preserve"> </w:t>
      </w:r>
      <w:r w:rsidR="00313EF0" w:rsidRPr="00940F72">
        <w:t>Listing was recommended on a cost-minimisation basis against ibrutinib.</w:t>
      </w:r>
    </w:p>
    <w:p w:rsidR="00264566" w:rsidRPr="00940F72" w:rsidRDefault="00264566" w:rsidP="00CF79F2">
      <w:pPr>
        <w:pStyle w:val="3-BodyText"/>
        <w:rPr>
          <w:bCs/>
        </w:rPr>
      </w:pPr>
      <w:r w:rsidRPr="00940F72">
        <w:rPr>
          <w:rFonts w:cs="Calibri"/>
        </w:rPr>
        <w:t>The</w:t>
      </w:r>
      <w:r w:rsidRPr="00940F72">
        <w:rPr>
          <w:bCs/>
        </w:rPr>
        <w:t xml:space="preserve"> PBAC considered that the equi-effective doses are zanubrutinib </w:t>
      </w:r>
      <w:r w:rsidRPr="00940F72">
        <w:t>320 mg (four 80 mg capsules) taken orally once daily or 160 mg (two 80 mg capsules) twice daily being equivalent to ibrutinib 560 mg once daily</w:t>
      </w:r>
      <w:r w:rsidR="00CF79F2" w:rsidRPr="00940F72">
        <w:t>, and advised that after adjustment for equi</w:t>
      </w:r>
      <w:r w:rsidR="00CF79F2" w:rsidRPr="00940F72">
        <w:noBreakHyphen/>
        <w:t>effective doses, zanubrutinib should be listed on the PBS at a cost per day that is no higher than the cost per day of other BTK inhibitors recommended for listing by the PBAC for the treatment of MCL.</w:t>
      </w:r>
    </w:p>
    <w:p w:rsidR="0057607E" w:rsidRPr="00940F72" w:rsidRDefault="0057607E" w:rsidP="0057607E">
      <w:pPr>
        <w:pStyle w:val="3-BodyText"/>
      </w:pPr>
      <w:r w:rsidRPr="00940F72">
        <w:t xml:space="preserve">The PBAC considered that a clinical need exists for alternative treatments in the proposed patient population because the existing option (ibrutinib) is associated with side effects. </w:t>
      </w:r>
      <w:r w:rsidRPr="00940F72">
        <w:rPr>
          <w:bCs/>
        </w:rPr>
        <w:t xml:space="preserve">The PBAC noted the consumer comments received for this submission from health care professionals, which emphasised that </w:t>
      </w:r>
      <w:r w:rsidR="00196CEC" w:rsidRPr="00940F72">
        <w:rPr>
          <w:bCs/>
        </w:rPr>
        <w:t>zanu</w:t>
      </w:r>
      <w:r w:rsidRPr="00940F72">
        <w:rPr>
          <w:bCs/>
        </w:rPr>
        <w:t xml:space="preserve">brutinib provides a meaningful response in patients, combined with better tolerability compared to the alternative BTK inhibitor, ibrutinib. </w:t>
      </w:r>
      <w:r w:rsidRPr="00940F72">
        <w:t>The PBAC also noted the advice received from Lymphoma Australia, the Leukaemia Foundation, and Rare Cancers Australia which supported the proposed listing for zanubrutinib and was consistent with the evidence presented in the submission.</w:t>
      </w:r>
      <w:r w:rsidR="000018F6" w:rsidRPr="00940F72">
        <w:t xml:space="preserve"> The consumer comments from these organisations were not differentiated from those provided for acalabrutinib in R/R MCL.</w:t>
      </w:r>
    </w:p>
    <w:p w:rsidR="007E7F71" w:rsidRPr="00940F72" w:rsidRDefault="0066029E" w:rsidP="00277B0D">
      <w:pPr>
        <w:widowControl w:val="0"/>
        <w:numPr>
          <w:ilvl w:val="1"/>
          <w:numId w:val="1"/>
        </w:numPr>
        <w:spacing w:after="120"/>
        <w:rPr>
          <w:rFonts w:asciiTheme="minorHAnsi" w:hAnsiTheme="minorHAnsi"/>
          <w:bCs/>
          <w:snapToGrid w:val="0"/>
        </w:rPr>
      </w:pPr>
      <w:r w:rsidRPr="00940F72">
        <w:t>The PBAC considered that the primary intent of the restriction should be to list zanubrutinib</w:t>
      </w:r>
      <w:r w:rsidR="00506BAE" w:rsidRPr="00940F72">
        <w:t xml:space="preserve"> (i)</w:t>
      </w:r>
      <w:r w:rsidRPr="00940F72">
        <w:t xml:space="preserve"> for BTK inhibitor-naïve patients, or</w:t>
      </w:r>
      <w:r w:rsidR="00506BAE" w:rsidRPr="00940F72">
        <w:t xml:space="preserve"> (ii)</w:t>
      </w:r>
      <w:r w:rsidRPr="00940F72">
        <w:t xml:space="preserve"> in patients who have developed an intolerance to another BTK inhibitor necessitating permanent treatment withdrawal. The PBAC </w:t>
      </w:r>
      <w:r w:rsidR="007E7F71" w:rsidRPr="00940F72">
        <w:t>advised</w:t>
      </w:r>
      <w:r w:rsidRPr="00940F72">
        <w:t xml:space="preserve"> that</w:t>
      </w:r>
      <w:r w:rsidR="00D74763" w:rsidRPr="00940F72">
        <w:rPr>
          <w:iCs/>
        </w:rPr>
        <w:t xml:space="preserve"> an</w:t>
      </w:r>
      <w:r w:rsidR="00506BAE" w:rsidRPr="00940F72">
        <w:rPr>
          <w:iCs/>
        </w:rPr>
        <w:t>alogous criteria</w:t>
      </w:r>
      <w:r w:rsidR="00D74763" w:rsidRPr="00940F72">
        <w:rPr>
          <w:iCs/>
        </w:rPr>
        <w:t xml:space="preserve"> should flow on to the restriction for ibrutinib in MCL</w:t>
      </w:r>
      <w:r w:rsidR="008172C9" w:rsidRPr="00940F72">
        <w:rPr>
          <w:iCs/>
        </w:rPr>
        <w:t xml:space="preserve"> (item number</w:t>
      </w:r>
      <w:r w:rsidR="00A533A3" w:rsidRPr="00940F72">
        <w:rPr>
          <w:iCs/>
        </w:rPr>
        <w:t xml:space="preserve"> 11419B)</w:t>
      </w:r>
      <w:r w:rsidR="00D74763" w:rsidRPr="00940F72">
        <w:rPr>
          <w:iCs/>
        </w:rPr>
        <w:t>.</w:t>
      </w:r>
      <w:r w:rsidR="007E7F71" w:rsidRPr="00940F72">
        <w:rPr>
          <w:iCs/>
        </w:rPr>
        <w:t xml:space="preserve"> The PBAC </w:t>
      </w:r>
      <w:r w:rsidR="007E7F71" w:rsidRPr="00940F72">
        <w:t xml:space="preserve">advised </w:t>
      </w:r>
      <w:r w:rsidR="007E7F71" w:rsidRPr="00940F72">
        <w:rPr>
          <w:iCs/>
        </w:rPr>
        <w:t xml:space="preserve">that grandfathering would be required for </w:t>
      </w:r>
      <w:r w:rsidR="000C762B">
        <w:rPr>
          <w:iCs/>
        </w:rPr>
        <w:t>&lt; 500</w:t>
      </w:r>
      <w:r w:rsidR="007E7F71" w:rsidRPr="00940F72">
        <w:rPr>
          <w:iCs/>
        </w:rPr>
        <w:t xml:space="preserve"> patients receiving zanubrutinib under a patient access program.</w:t>
      </w:r>
      <w:r w:rsidR="00E55652" w:rsidRPr="00940F72">
        <w:rPr>
          <w:iCs/>
        </w:rPr>
        <w:t xml:space="preserve"> </w:t>
      </w:r>
    </w:p>
    <w:p w:rsidR="0057607E" w:rsidRPr="00940F72" w:rsidRDefault="0057607E" w:rsidP="0057607E">
      <w:pPr>
        <w:widowControl w:val="0"/>
        <w:numPr>
          <w:ilvl w:val="1"/>
          <w:numId w:val="1"/>
        </w:numPr>
        <w:spacing w:after="120"/>
        <w:rPr>
          <w:rFonts w:asciiTheme="minorHAnsi" w:hAnsiTheme="minorHAnsi"/>
          <w:bCs/>
        </w:rPr>
      </w:pPr>
      <w:r w:rsidRPr="00940F72">
        <w:rPr>
          <w:rFonts w:asciiTheme="minorHAnsi" w:hAnsiTheme="minorHAnsi"/>
          <w:bCs/>
        </w:rPr>
        <w:t xml:space="preserve">In terms of the clinical place for </w:t>
      </w:r>
      <w:r w:rsidR="00E603BA" w:rsidRPr="00940F72">
        <w:rPr>
          <w:rFonts w:asciiTheme="minorHAnsi" w:hAnsiTheme="minorHAnsi"/>
          <w:bCs/>
        </w:rPr>
        <w:t>zanubrutinib</w:t>
      </w:r>
      <w:r w:rsidRPr="00940F72">
        <w:rPr>
          <w:rFonts w:asciiTheme="minorHAnsi" w:hAnsiTheme="minorHAnsi"/>
          <w:bCs/>
        </w:rPr>
        <w:t xml:space="preserve">, the PBAC agreed with the submission that </w:t>
      </w:r>
      <w:r w:rsidR="00E603BA" w:rsidRPr="00940F72">
        <w:rPr>
          <w:rFonts w:asciiTheme="minorHAnsi" w:hAnsiTheme="minorHAnsi"/>
          <w:bCs/>
        </w:rPr>
        <w:t>zanubrutinib</w:t>
      </w:r>
      <w:r w:rsidRPr="00940F72">
        <w:rPr>
          <w:rFonts w:asciiTheme="minorHAnsi" w:hAnsiTheme="minorHAnsi"/>
          <w:bCs/>
        </w:rPr>
        <w:t xml:space="preserve"> will be used as an alternative to ibrutinib and will be an option for patients contra-indicated or intolerant to ibrutinib.</w:t>
      </w:r>
    </w:p>
    <w:p w:rsidR="00277B0D" w:rsidRPr="00940F72" w:rsidRDefault="00583E99" w:rsidP="00E55652">
      <w:pPr>
        <w:widowControl w:val="0"/>
        <w:numPr>
          <w:ilvl w:val="1"/>
          <w:numId w:val="1"/>
        </w:numPr>
        <w:spacing w:after="120"/>
        <w:rPr>
          <w:rFonts w:asciiTheme="minorHAnsi" w:hAnsiTheme="minorHAnsi"/>
          <w:bCs/>
          <w:snapToGrid w:val="0"/>
        </w:rPr>
      </w:pPr>
      <w:r w:rsidRPr="00940F72">
        <w:rPr>
          <w:rFonts w:asciiTheme="minorHAnsi" w:hAnsiTheme="minorHAnsi"/>
          <w:bCs/>
          <w:snapToGrid w:val="0"/>
        </w:rPr>
        <w:t xml:space="preserve">The PBAC considered that the nomination of ibrutinib as the comparator was appropriate. </w:t>
      </w:r>
      <w:r w:rsidR="009A3728" w:rsidRPr="00940F72">
        <w:rPr>
          <w:rFonts w:asciiTheme="minorHAnsi" w:hAnsiTheme="minorHAnsi"/>
          <w:bCs/>
          <w:snapToGrid w:val="0"/>
        </w:rPr>
        <w:t>The PBAC noted that while</w:t>
      </w:r>
      <w:r w:rsidR="001655E3" w:rsidRPr="00940F72">
        <w:rPr>
          <w:rFonts w:asciiTheme="minorHAnsi" w:hAnsiTheme="minorHAnsi"/>
          <w:bCs/>
          <w:snapToGrid w:val="0"/>
        </w:rPr>
        <w:t xml:space="preserve"> immunochemotherapy may also be considered a comparator, </w:t>
      </w:r>
      <w:r w:rsidR="001655E3" w:rsidRPr="00940F72">
        <w:t xml:space="preserve">Section 101(3B) of the </w:t>
      </w:r>
      <w:r w:rsidR="001655E3" w:rsidRPr="00940F72">
        <w:rPr>
          <w:iCs/>
        </w:rPr>
        <w:t xml:space="preserve">National Health Act 1953 is satisfied because the PBAC has previously accepted that ibrutinib is superior to </w:t>
      </w:r>
      <w:r w:rsidR="001655E3" w:rsidRPr="00940F72">
        <w:rPr>
          <w:rFonts w:asciiTheme="minorHAnsi" w:hAnsiTheme="minorHAnsi"/>
          <w:bCs/>
          <w:snapToGrid w:val="0"/>
        </w:rPr>
        <w:t>immunochemotherapy, and therefore it is also likely that zanubrutinib is superior to immunochemotherapy.</w:t>
      </w:r>
      <w:r w:rsidR="00A71B97" w:rsidRPr="00940F72">
        <w:rPr>
          <w:rFonts w:asciiTheme="minorHAnsi" w:hAnsiTheme="minorHAnsi"/>
          <w:bCs/>
          <w:snapToGrid w:val="0"/>
        </w:rPr>
        <w:t xml:space="preserve"> The PBAC considered </w:t>
      </w:r>
      <w:r w:rsidR="00A71B97" w:rsidRPr="00940F72">
        <w:rPr>
          <w:iCs/>
        </w:rPr>
        <w:t>acalabrutinib</w:t>
      </w:r>
      <w:r w:rsidR="00A71B97" w:rsidRPr="00940F72" w:rsidDel="003C6F75">
        <w:rPr>
          <w:iCs/>
        </w:rPr>
        <w:t xml:space="preserve"> a </w:t>
      </w:r>
      <w:r w:rsidR="00A71B97" w:rsidRPr="00940F72">
        <w:rPr>
          <w:iCs/>
        </w:rPr>
        <w:t xml:space="preserve">relevant </w:t>
      </w:r>
      <w:r w:rsidR="00A71B97" w:rsidRPr="00940F72" w:rsidDel="003C6F75">
        <w:rPr>
          <w:iCs/>
        </w:rPr>
        <w:t>near-market comparator</w:t>
      </w:r>
      <w:r w:rsidR="00A71B97" w:rsidRPr="00940F72">
        <w:rPr>
          <w:iCs/>
        </w:rPr>
        <w:t>.</w:t>
      </w:r>
    </w:p>
    <w:p w:rsidR="00290B83" w:rsidRPr="00940F72" w:rsidRDefault="007863BA" w:rsidP="007863BA">
      <w:pPr>
        <w:widowControl w:val="0"/>
        <w:numPr>
          <w:ilvl w:val="1"/>
          <w:numId w:val="1"/>
        </w:numPr>
        <w:spacing w:after="120"/>
        <w:rPr>
          <w:rFonts w:asciiTheme="minorHAnsi" w:hAnsiTheme="minorHAnsi"/>
          <w:bCs/>
          <w:snapToGrid w:val="0"/>
        </w:rPr>
      </w:pPr>
      <w:r w:rsidRPr="00940F72">
        <w:t xml:space="preserve">The submission was based on two phase II, single-arm, open-label studies of zanubrutinib (Study 206 [N=86] and Study AU-003 [N=37]); one randomised, open-label, phase III trial comparing ibrutinib versus temsirolimus (MCL-3001/RAY [N= 139, ibrutinib arm]); and three phase II, </w:t>
      </w:r>
      <w:r w:rsidR="00AE7AE2" w:rsidRPr="00940F72">
        <w:t xml:space="preserve">single-arm, open-label </w:t>
      </w:r>
      <w:r w:rsidRPr="00940F72">
        <w:t>studies of ibrutinib (PCYC-1104 [N=111], MCL-2001/SPARK [N=120] and MCL-2002 [N=16]).</w:t>
      </w:r>
      <w:r w:rsidR="005C7E0A" w:rsidRPr="00940F72">
        <w:t xml:space="preserve"> An additional</w:t>
      </w:r>
      <w:r w:rsidR="00AE7AE2" w:rsidRPr="00940F72">
        <w:t xml:space="preserve"> head-to-head phase III trial of zanubrutinib versus ibrutinib (ASPEN) in another indication (WM)</w:t>
      </w:r>
      <w:r w:rsidR="005C7E0A" w:rsidRPr="00940F72">
        <w:t xml:space="preserve"> </w:t>
      </w:r>
      <w:r w:rsidR="00AE7AE2" w:rsidRPr="00940F72">
        <w:t xml:space="preserve">was used to inform the safety claim. </w:t>
      </w:r>
      <w:r w:rsidR="008918C7" w:rsidRPr="00940F72">
        <w:t xml:space="preserve">The submission reported an analysis of the whole zanubrutinib trial populations, as well as a matching adjusted indirect comparison (MAIC) of pooled zanubrutinib and ibrutinib studies. </w:t>
      </w:r>
      <w:r w:rsidR="00CB152D" w:rsidRPr="00940F72">
        <w:t>The submission presented</w:t>
      </w:r>
      <w:r w:rsidR="008918C7" w:rsidRPr="00940F72">
        <w:t xml:space="preserve"> whole trial</w:t>
      </w:r>
      <w:r w:rsidR="00CB152D" w:rsidRPr="00940F72">
        <w:t xml:space="preserve"> (naïve)</w:t>
      </w:r>
      <w:r w:rsidR="008918C7" w:rsidRPr="00940F72">
        <w:t xml:space="preserve"> and MAIC analyses </w:t>
      </w:r>
      <w:r w:rsidR="00CB152D" w:rsidRPr="00940F72">
        <w:t>for ORR, CR, PFS and OS.</w:t>
      </w:r>
    </w:p>
    <w:p w:rsidR="00277B0D" w:rsidRPr="00940F72" w:rsidRDefault="00290B83" w:rsidP="00277B0D">
      <w:pPr>
        <w:widowControl w:val="0"/>
        <w:numPr>
          <w:ilvl w:val="1"/>
          <w:numId w:val="1"/>
        </w:numPr>
        <w:spacing w:after="120"/>
        <w:rPr>
          <w:rFonts w:asciiTheme="minorHAnsi" w:hAnsiTheme="minorHAnsi"/>
          <w:bCs/>
          <w:snapToGrid w:val="0"/>
        </w:rPr>
      </w:pPr>
      <w:r w:rsidRPr="00940F72">
        <w:rPr>
          <w:rFonts w:eastAsia="Calibri"/>
          <w:iCs/>
        </w:rPr>
        <w:t>The PBAC acknowledged that the</w:t>
      </w:r>
      <w:r w:rsidR="00CB152D" w:rsidRPr="00940F72">
        <w:rPr>
          <w:rFonts w:eastAsia="Calibri"/>
          <w:iCs/>
        </w:rPr>
        <w:t xml:space="preserve"> naïve</w:t>
      </w:r>
      <w:r w:rsidRPr="00940F72">
        <w:rPr>
          <w:rFonts w:eastAsia="Calibri"/>
          <w:iCs/>
        </w:rPr>
        <w:t xml:space="preserve"> comparison between zanubrutinib and ibrutinib was uncertain, due to single arm data for both agents </w:t>
      </w:r>
      <w:r w:rsidR="009A1868" w:rsidRPr="00940F72">
        <w:rPr>
          <w:rFonts w:eastAsia="Calibri"/>
          <w:iCs/>
        </w:rPr>
        <w:t>having</w:t>
      </w:r>
      <w:r w:rsidRPr="00940F72">
        <w:rPr>
          <w:rFonts w:eastAsia="Calibri"/>
          <w:iCs/>
        </w:rPr>
        <w:t xml:space="preserve"> differences in study populations and duration</w:t>
      </w:r>
      <w:r w:rsidR="009A1868" w:rsidRPr="00940F72">
        <w:rPr>
          <w:rFonts w:eastAsia="Calibri"/>
          <w:iCs/>
        </w:rPr>
        <w:t>s</w:t>
      </w:r>
      <w:r w:rsidRPr="00940F72">
        <w:rPr>
          <w:rFonts w:eastAsia="Calibri"/>
          <w:iCs/>
        </w:rPr>
        <w:t xml:space="preserve"> of </w:t>
      </w:r>
      <w:r w:rsidR="00A71B97" w:rsidRPr="00940F72">
        <w:rPr>
          <w:rFonts w:eastAsia="Calibri"/>
          <w:iCs/>
        </w:rPr>
        <w:t>follow-up</w:t>
      </w:r>
      <w:r w:rsidRPr="00940F72">
        <w:rPr>
          <w:rFonts w:eastAsia="Calibri"/>
          <w:iCs/>
        </w:rPr>
        <w:t>. The PBAC also acknowledged the uncertainty associated with the unanchored MAIC that generated a small sample size. Notwithstanding, the PBAC considered that</w:t>
      </w:r>
      <w:r w:rsidR="009A1868" w:rsidRPr="00940F72">
        <w:rPr>
          <w:rFonts w:eastAsia="Calibri"/>
          <w:iCs/>
        </w:rPr>
        <w:t xml:space="preserve"> both</w:t>
      </w:r>
      <w:r w:rsidRPr="00940F72">
        <w:rPr>
          <w:rFonts w:eastAsia="Calibri"/>
          <w:iCs/>
        </w:rPr>
        <w:t xml:space="preserve"> the naïve comparison and the MAIC analysis were consistent with non-inferiority and that on balance, zanubrutinib is likely to have similar effectiveness to ibrutinib in R/R MCL.</w:t>
      </w:r>
      <w:r w:rsidR="00277B0D" w:rsidRPr="00940F72">
        <w:rPr>
          <w:rFonts w:asciiTheme="minorHAnsi" w:hAnsiTheme="minorHAnsi"/>
          <w:bCs/>
          <w:snapToGrid w:val="0"/>
        </w:rPr>
        <w:t xml:space="preserve"> </w:t>
      </w:r>
    </w:p>
    <w:p w:rsidR="0014001D" w:rsidRPr="00940F72" w:rsidRDefault="00A71B97" w:rsidP="0040623D">
      <w:pPr>
        <w:pStyle w:val="3-BodyText"/>
        <w:rPr>
          <w:rFonts w:eastAsia="Calibri"/>
          <w:iCs/>
        </w:rPr>
      </w:pPr>
      <w:r w:rsidRPr="00940F72">
        <w:rPr>
          <w:rFonts w:eastAsia="Calibri"/>
          <w:iCs/>
        </w:rPr>
        <w:t>The PBAC considered the claim that zanubrutinib is superior in terms of comparative safety compared with ibrutinib was not adequately supported. The PBAC acknowledged the data in indications other than MCL suggested that treatment with zan</w:t>
      </w:r>
      <w:r w:rsidR="00AD567D" w:rsidRPr="00940F72">
        <w:rPr>
          <w:rFonts w:eastAsia="Calibri"/>
          <w:iCs/>
        </w:rPr>
        <w:t>u</w:t>
      </w:r>
      <w:r w:rsidRPr="00940F72">
        <w:rPr>
          <w:rFonts w:eastAsia="Calibri"/>
          <w:iCs/>
        </w:rPr>
        <w:t>brutinib may be associated with a lower rate of AEs compared with ibrutinib, including lower rates of atrial fibrillation and hypertension, however based on the limited single arm data currently available for zan</w:t>
      </w:r>
      <w:r w:rsidR="00AD567D" w:rsidRPr="00940F72">
        <w:rPr>
          <w:rFonts w:eastAsia="Calibri"/>
          <w:iCs/>
        </w:rPr>
        <w:t>u</w:t>
      </w:r>
      <w:r w:rsidRPr="00940F72">
        <w:rPr>
          <w:rFonts w:eastAsia="Calibri"/>
          <w:iCs/>
        </w:rPr>
        <w:t>brutinib in MCL, the PBAC did not accept the superiority claim.</w:t>
      </w:r>
    </w:p>
    <w:p w:rsidR="00CF79F2" w:rsidRPr="00940F72" w:rsidRDefault="00CF79F2" w:rsidP="00CF79F2">
      <w:pPr>
        <w:pStyle w:val="3-BodyText"/>
        <w:rPr>
          <w:iCs/>
        </w:rPr>
      </w:pPr>
      <w:r w:rsidRPr="00940F72">
        <w:rPr>
          <w:rFonts w:eastAsia="Calibri"/>
          <w:iCs/>
        </w:rPr>
        <w:t xml:space="preserve">The PBAC considered that the CMA should be based on the equi-effective doses of zanubrutinib and ibrutinib without including cost offsets for a reduction in AEs (proposed in a secondary economic analysis). </w:t>
      </w:r>
      <w:r w:rsidRPr="00940F72">
        <w:rPr>
          <w:iCs/>
        </w:rPr>
        <w:t>While the PBAC agreed with the ESC that equal duration of treatment for zanubrutinib and ibrutinib was not adequately supported, the PBAC considered that the follow-up in the zanubrutinib trial was too short (median of approximately 19 months versus 39 months for ibrutinib) to provide a reliable and comparable estimate of the likely treatment duration for zanubrutinib. The PBAC therefore recommended that, after adjustment for equi-effective doses, zanubrutinib should be listed on the PBS at a cost per day that is no higher than the cost per day of other BTK inhibitors recommended for listing by the PBAC for the treatment of MCL.</w:t>
      </w:r>
    </w:p>
    <w:p w:rsidR="00886B8A" w:rsidRPr="00940F72" w:rsidRDefault="00B81F81" w:rsidP="00886B8A">
      <w:pPr>
        <w:widowControl w:val="0"/>
        <w:numPr>
          <w:ilvl w:val="1"/>
          <w:numId w:val="1"/>
        </w:numPr>
        <w:spacing w:after="120"/>
      </w:pPr>
      <w:r w:rsidRPr="00940F72">
        <w:rPr>
          <w:bCs/>
        </w:rPr>
        <w:t xml:space="preserve">The PBAC considered the projected utilisation to be underestimated overall, however the financial impact to the Commonwealth will be limited because the effective price for zanubrutinib derived from the CMA reflects a price that will be cost neutral when ibrutinib is substituted. </w:t>
      </w:r>
      <w:r w:rsidR="007E6711" w:rsidRPr="00940F72">
        <w:rPr>
          <w:rFonts w:asciiTheme="minorHAnsi" w:hAnsiTheme="minorHAnsi"/>
          <w:bCs/>
          <w:snapToGrid w:val="0"/>
        </w:rPr>
        <w:t>The PBAC noted the listing of zanubrutinib is likely to increase the R/R MCL market size, as MCL patients with atrial fibrillation</w:t>
      </w:r>
      <w:r w:rsidR="00863BBB" w:rsidRPr="00940F72">
        <w:rPr>
          <w:rFonts w:asciiTheme="minorHAnsi" w:hAnsiTheme="minorHAnsi"/>
          <w:bCs/>
          <w:snapToGrid w:val="0"/>
        </w:rPr>
        <w:t xml:space="preserve"> contraindicated to ibrutinib</w:t>
      </w:r>
      <w:r w:rsidR="007E6711" w:rsidRPr="00940F72">
        <w:rPr>
          <w:rFonts w:asciiTheme="minorHAnsi" w:hAnsiTheme="minorHAnsi"/>
          <w:bCs/>
          <w:snapToGrid w:val="0"/>
        </w:rPr>
        <w:t xml:space="preserve"> may be prescribed zanubrutinib. </w:t>
      </w:r>
      <w:r w:rsidR="00DC4E42" w:rsidRPr="00940F72">
        <w:rPr>
          <w:rFonts w:asciiTheme="minorHAnsi" w:hAnsiTheme="minorHAnsi"/>
          <w:bCs/>
          <w:snapToGrid w:val="0"/>
        </w:rPr>
        <w:t xml:space="preserve">The PBAC advised that minor changes to the financial estimates calculation should include a duration of treatment to match Study 206 and grandfathered patients. </w:t>
      </w:r>
      <w:r w:rsidR="0057607E" w:rsidRPr="00940F72">
        <w:rPr>
          <w:bCs/>
        </w:rPr>
        <w:t xml:space="preserve">The PBAC noted that cost offsets due to AEs should not be included, and growth in the market should be estimated </w:t>
      </w:r>
      <w:r w:rsidR="00104D84" w:rsidRPr="00940F72">
        <w:rPr>
          <w:bCs/>
        </w:rPr>
        <w:t xml:space="preserve">from </w:t>
      </w:r>
      <w:r w:rsidR="0057607E" w:rsidRPr="00940F72">
        <w:rPr>
          <w:bCs/>
        </w:rPr>
        <w:t>ibrutinib utilisation data</w:t>
      </w:r>
      <w:r w:rsidR="00104D84" w:rsidRPr="00940F72">
        <w:rPr>
          <w:bCs/>
        </w:rPr>
        <w:t xml:space="preserve"> using an average over 2019 and 2020</w:t>
      </w:r>
      <w:r w:rsidR="00BC1465" w:rsidRPr="00940F72">
        <w:rPr>
          <w:iCs/>
        </w:rPr>
        <w:t>.</w:t>
      </w:r>
      <w:r w:rsidR="00104D84" w:rsidRPr="00940F72">
        <w:rPr>
          <w:bCs/>
        </w:rPr>
        <w:t xml:space="preserve"> </w:t>
      </w:r>
      <w:r w:rsidR="00104D84" w:rsidRPr="00940F72">
        <w:rPr>
          <w:iCs/>
        </w:rPr>
        <w:t>The PBAC considered i</w:t>
      </w:r>
      <w:r w:rsidR="00BC1465" w:rsidRPr="00940F72">
        <w:rPr>
          <w:iCs/>
        </w:rPr>
        <w:t>t would be appropriate for zanu</w:t>
      </w:r>
      <w:r w:rsidR="00104D84" w:rsidRPr="00940F72">
        <w:rPr>
          <w:iCs/>
        </w:rPr>
        <w:t>brutinib to join the existing RSA for ibrutinib in MCL without any revision to the expenditure caps.</w:t>
      </w:r>
    </w:p>
    <w:p w:rsidR="008A2B85" w:rsidRPr="00940F72" w:rsidRDefault="008A2B85" w:rsidP="00886B8A">
      <w:pPr>
        <w:widowControl w:val="0"/>
        <w:numPr>
          <w:ilvl w:val="1"/>
          <w:numId w:val="1"/>
        </w:numPr>
        <w:spacing w:after="120"/>
      </w:pPr>
      <w:r w:rsidRPr="00940F72">
        <w:rPr>
          <w:bCs/>
        </w:rPr>
        <w:t>The PBAC considered the projected utilisation to be underestimated overall, however the financial impact to the Commonwealth will be limited because the effective price for zan</w:t>
      </w:r>
      <w:r w:rsidR="00886B8A" w:rsidRPr="00940F72">
        <w:rPr>
          <w:bCs/>
        </w:rPr>
        <w:t>ubrutinib derived from the CMA</w:t>
      </w:r>
      <w:r w:rsidRPr="00940F72">
        <w:rPr>
          <w:bCs/>
        </w:rPr>
        <w:t xml:space="preserve"> reflects a price that will be cost neutral</w:t>
      </w:r>
      <w:r w:rsidR="00886B8A" w:rsidRPr="00940F72">
        <w:rPr>
          <w:bCs/>
        </w:rPr>
        <w:t xml:space="preserve"> when ibrutinib is substituted.</w:t>
      </w:r>
    </w:p>
    <w:p w:rsidR="00A533A3" w:rsidRPr="00940F72" w:rsidRDefault="00A533A3" w:rsidP="00A533A3">
      <w:pPr>
        <w:widowControl w:val="0"/>
        <w:numPr>
          <w:ilvl w:val="1"/>
          <w:numId w:val="1"/>
        </w:numPr>
        <w:spacing w:after="120"/>
        <w:rPr>
          <w:rFonts w:asciiTheme="minorHAnsi" w:hAnsiTheme="minorHAnsi"/>
          <w:bCs/>
          <w:snapToGrid w:val="0"/>
        </w:rPr>
      </w:pPr>
      <w:r w:rsidRPr="00940F72">
        <w:t>The PBAC noted that its recommendation was on a cost-minimisation basis and advised that, because zanubrutinib is not expected to provide a substantial</w:t>
      </w:r>
      <w:r w:rsidRPr="00940F72">
        <w:rPr>
          <w:bCs/>
        </w:rPr>
        <w:t xml:space="preserve"> and clinically relevant improvement in efficacy, or reduction of toxicity, over ibrutinib, or not expected to address a high and urgent unmet clinical need given the presence of an alternative therapy, the criteria prescribed by the </w:t>
      </w:r>
      <w:r w:rsidRPr="00940F72">
        <w:rPr>
          <w:bCs/>
          <w:i/>
        </w:rPr>
        <w:t>National Health (Pharmaceuticals and Vaccines – Cost Recovery) Regulations 2009</w:t>
      </w:r>
      <w:r w:rsidRPr="00940F72">
        <w:rPr>
          <w:bCs/>
        </w:rPr>
        <w:t xml:space="preserve"> for Pricing Pathway</w:t>
      </w:r>
      <w:r w:rsidR="00DF21C2" w:rsidRPr="00940F72">
        <w:rPr>
          <w:bCs/>
        </w:rPr>
        <w:t> </w:t>
      </w:r>
      <w:r w:rsidRPr="00940F72">
        <w:rPr>
          <w:bCs/>
        </w:rPr>
        <w:t>A were not met.</w:t>
      </w:r>
    </w:p>
    <w:p w:rsidR="0060016F" w:rsidRPr="00940F72" w:rsidRDefault="0060016F" w:rsidP="002D2FB0">
      <w:pPr>
        <w:keepNext/>
        <w:keepLines/>
        <w:widowControl w:val="0"/>
        <w:numPr>
          <w:ilvl w:val="1"/>
          <w:numId w:val="1"/>
        </w:numPr>
        <w:spacing w:after="120"/>
        <w:rPr>
          <w:rFonts w:asciiTheme="minorHAnsi" w:hAnsiTheme="minorHAnsi"/>
          <w:bCs/>
          <w:snapToGrid w:val="0"/>
        </w:rPr>
      </w:pPr>
      <w:bookmarkStart w:id="72" w:name="_Hlk78030167"/>
      <w:r w:rsidRPr="00940F72">
        <w:rPr>
          <w:rFonts w:asciiTheme="minorHAnsi" w:hAnsiTheme="minorHAnsi"/>
          <w:bCs/>
          <w:snapToGrid w:val="0"/>
        </w:rPr>
        <w:t>The PBAC advised that zanubrutinib is not suitable for prescribing by nurse practitioners. The PBAC noted that ibrutinib is not available for nurse prescribing.</w:t>
      </w:r>
    </w:p>
    <w:p w:rsidR="002D2FB0" w:rsidRPr="00940F72" w:rsidRDefault="0060016F" w:rsidP="001B4226">
      <w:pPr>
        <w:pStyle w:val="3-BodyText"/>
      </w:pPr>
      <w:r w:rsidRPr="00940F72">
        <w:t xml:space="preserve">The PBAC recommended that the Early Supply Rule should apply to zanubrutinib. The PBAC noted that the </w:t>
      </w:r>
      <w:r w:rsidRPr="00940F72">
        <w:rPr>
          <w:bCs/>
        </w:rPr>
        <w:t>Early Supply Rule applies to ibrutinib.</w:t>
      </w:r>
    </w:p>
    <w:p w:rsidR="002D2FB0" w:rsidRPr="00940F72" w:rsidRDefault="00113803" w:rsidP="0060016F">
      <w:pPr>
        <w:widowControl w:val="0"/>
        <w:numPr>
          <w:ilvl w:val="1"/>
          <w:numId w:val="1"/>
        </w:numPr>
        <w:spacing w:after="120"/>
        <w:rPr>
          <w:rFonts w:asciiTheme="minorHAnsi" w:hAnsiTheme="minorHAnsi"/>
          <w:bCs/>
          <w:snapToGrid w:val="0"/>
        </w:rPr>
      </w:pPr>
      <w:r w:rsidRPr="00940F72">
        <w:rPr>
          <w:rFonts w:asciiTheme="minorHAnsi" w:hAnsiTheme="minorHAnsi"/>
          <w:bCs/>
          <w:snapToGrid w:val="0"/>
        </w:rPr>
        <w:t>The PBAC recommended that zanubrutinib should not be treated as interchangeable with any other drugs.</w:t>
      </w:r>
    </w:p>
    <w:bookmarkEnd w:id="72"/>
    <w:p w:rsidR="00277B0D" w:rsidRPr="00940F72" w:rsidRDefault="00A533A3" w:rsidP="0060016F">
      <w:pPr>
        <w:widowControl w:val="0"/>
        <w:numPr>
          <w:ilvl w:val="1"/>
          <w:numId w:val="1"/>
        </w:numPr>
        <w:spacing w:after="120"/>
        <w:rPr>
          <w:rFonts w:asciiTheme="minorHAnsi" w:hAnsiTheme="minorHAnsi"/>
          <w:bCs/>
          <w:snapToGrid w:val="0"/>
        </w:rPr>
      </w:pPr>
      <w:r w:rsidRPr="00940F72">
        <w:rPr>
          <w:rFonts w:asciiTheme="minorHAnsi" w:hAnsiTheme="minorHAnsi"/>
          <w:bCs/>
          <w:snapToGrid w:val="0"/>
        </w:rPr>
        <w:t>The PBAC noted that this submission is not eligible for an Independent Review as it received a positive recommendation.</w:t>
      </w:r>
    </w:p>
    <w:p w:rsidR="00277B0D" w:rsidRPr="00940F72" w:rsidRDefault="00277B0D" w:rsidP="00277B0D">
      <w:pPr>
        <w:spacing w:before="240"/>
        <w:rPr>
          <w:rFonts w:asciiTheme="minorHAnsi" w:hAnsiTheme="minorHAnsi"/>
          <w:b/>
          <w:bCs/>
          <w:snapToGrid w:val="0"/>
        </w:rPr>
      </w:pPr>
      <w:r w:rsidRPr="00940F72">
        <w:rPr>
          <w:rFonts w:asciiTheme="minorHAnsi" w:hAnsiTheme="minorHAnsi"/>
          <w:b/>
          <w:bCs/>
          <w:snapToGrid w:val="0"/>
        </w:rPr>
        <w:t>Outcome:</w:t>
      </w:r>
    </w:p>
    <w:p w:rsidR="00277B0D" w:rsidRPr="00940F72" w:rsidRDefault="00506BAE" w:rsidP="00277B0D">
      <w:pPr>
        <w:rPr>
          <w:rFonts w:asciiTheme="minorHAnsi" w:hAnsiTheme="minorHAnsi"/>
          <w:bCs/>
          <w:snapToGrid w:val="0"/>
        </w:rPr>
      </w:pPr>
      <w:r w:rsidRPr="00940F72">
        <w:rPr>
          <w:rFonts w:asciiTheme="minorHAnsi" w:hAnsiTheme="minorHAnsi"/>
          <w:bCs/>
          <w:snapToGrid w:val="0"/>
        </w:rPr>
        <w:t>Recommended</w:t>
      </w:r>
    </w:p>
    <w:p w:rsidR="00277B0D" w:rsidRPr="00940F72" w:rsidRDefault="00277B0D" w:rsidP="00277B0D">
      <w:pPr>
        <w:pStyle w:val="2-SectionHeading"/>
        <w:numPr>
          <w:ilvl w:val="0"/>
          <w:numId w:val="1"/>
        </w:numPr>
      </w:pPr>
      <w:r w:rsidRPr="00940F72">
        <w:t>Recommended listing</w:t>
      </w:r>
    </w:p>
    <w:p w:rsidR="00277B0D" w:rsidRPr="00940F72" w:rsidRDefault="00277B0D" w:rsidP="00506BAE">
      <w:pPr>
        <w:widowControl w:val="0"/>
        <w:numPr>
          <w:ilvl w:val="1"/>
          <w:numId w:val="1"/>
        </w:numPr>
        <w:spacing w:after="120"/>
        <w:contextualSpacing/>
        <w:rPr>
          <w:rFonts w:asciiTheme="minorHAnsi" w:hAnsiTheme="minorHAnsi"/>
          <w:b/>
          <w:bCs/>
          <w:snapToGrid w:val="0"/>
        </w:rPr>
      </w:pPr>
      <w:r w:rsidRPr="00940F72">
        <w:rPr>
          <w:rFonts w:asciiTheme="minorHAnsi" w:hAnsiTheme="minorHAnsi"/>
          <w:bCs/>
          <w:snapToGrid w:val="0"/>
        </w:rPr>
        <w:t>Add new item:</w:t>
      </w:r>
    </w:p>
    <w:p w:rsidR="00955300" w:rsidRPr="00940F72" w:rsidRDefault="00955300" w:rsidP="008F3D95">
      <w:pPr>
        <w:jc w:val="left"/>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
        <w:gridCol w:w="1268"/>
        <w:gridCol w:w="1408"/>
        <w:gridCol w:w="1410"/>
        <w:gridCol w:w="1270"/>
        <w:gridCol w:w="986"/>
        <w:gridCol w:w="1405"/>
      </w:tblGrid>
      <w:tr w:rsidR="009E20E9" w:rsidRPr="00940F72" w:rsidTr="00F34DB6">
        <w:trPr>
          <w:cantSplit/>
          <w:trHeight w:val="471"/>
        </w:trPr>
        <w:tc>
          <w:tcPr>
            <w:tcW w:w="1407" w:type="pct"/>
            <w:gridSpan w:val="3"/>
          </w:tcPr>
          <w:p w:rsidR="009E20E9" w:rsidRPr="00940F72" w:rsidRDefault="009E20E9" w:rsidP="00F34DB6">
            <w:pPr>
              <w:keepNext/>
              <w:ind w:left="-57"/>
              <w:rPr>
                <w:rFonts w:ascii="Arial Narrow" w:hAnsi="Arial Narrow"/>
                <w:b/>
                <w:bCs/>
                <w:sz w:val="18"/>
                <w:szCs w:val="18"/>
              </w:rPr>
            </w:pPr>
            <w:bookmarkStart w:id="73" w:name="_Hlk77175735"/>
            <w:r w:rsidRPr="00940F72">
              <w:rPr>
                <w:rFonts w:ascii="Arial Narrow" w:hAnsi="Arial Narrow"/>
                <w:b/>
                <w:bCs/>
                <w:sz w:val="18"/>
                <w:szCs w:val="18"/>
              </w:rPr>
              <w:t>MEDICINAL PRODUCT</w:t>
            </w:r>
          </w:p>
          <w:p w:rsidR="009E20E9" w:rsidRPr="00940F72" w:rsidRDefault="009E20E9" w:rsidP="00F34DB6">
            <w:pPr>
              <w:keepNext/>
              <w:ind w:left="-57"/>
              <w:rPr>
                <w:rFonts w:ascii="Arial Narrow" w:hAnsi="Arial Narrow"/>
                <w:b/>
                <w:sz w:val="18"/>
                <w:szCs w:val="18"/>
              </w:rPr>
            </w:pPr>
            <w:r w:rsidRPr="00940F72">
              <w:rPr>
                <w:rFonts w:ascii="Arial Narrow" w:hAnsi="Arial Narrow"/>
                <w:b/>
                <w:bCs/>
                <w:sz w:val="18"/>
                <w:szCs w:val="18"/>
              </w:rPr>
              <w:t>medicinal product pack</w:t>
            </w:r>
          </w:p>
        </w:tc>
        <w:tc>
          <w:tcPr>
            <w:tcW w:w="781" w:type="pct"/>
          </w:tcPr>
          <w:p w:rsidR="009E20E9" w:rsidRPr="00940F72" w:rsidRDefault="009E20E9" w:rsidP="00F34DB6">
            <w:pPr>
              <w:keepNext/>
              <w:ind w:left="-108"/>
              <w:jc w:val="center"/>
              <w:rPr>
                <w:rFonts w:ascii="Arial Narrow" w:hAnsi="Arial Narrow"/>
                <w:b/>
                <w:sz w:val="18"/>
                <w:szCs w:val="18"/>
              </w:rPr>
            </w:pPr>
            <w:r w:rsidRPr="00940F72">
              <w:rPr>
                <w:rFonts w:ascii="Arial Narrow" w:hAnsi="Arial Narrow"/>
                <w:b/>
                <w:sz w:val="18"/>
                <w:szCs w:val="18"/>
              </w:rPr>
              <w:t>PBS item code</w:t>
            </w:r>
          </w:p>
        </w:tc>
        <w:tc>
          <w:tcPr>
            <w:tcW w:w="782" w:type="pct"/>
          </w:tcPr>
          <w:p w:rsidR="009E20E9" w:rsidRPr="00940F72" w:rsidRDefault="009E20E9" w:rsidP="00F34DB6">
            <w:pPr>
              <w:keepNext/>
              <w:ind w:left="-108"/>
              <w:jc w:val="center"/>
              <w:rPr>
                <w:rFonts w:ascii="Arial Narrow" w:hAnsi="Arial Narrow"/>
                <w:b/>
                <w:sz w:val="18"/>
                <w:szCs w:val="18"/>
              </w:rPr>
            </w:pPr>
            <w:r w:rsidRPr="00940F72">
              <w:rPr>
                <w:rFonts w:ascii="Arial Narrow" w:hAnsi="Arial Narrow"/>
                <w:b/>
                <w:sz w:val="18"/>
                <w:szCs w:val="18"/>
              </w:rPr>
              <w:t>Max. qty packs</w:t>
            </w:r>
          </w:p>
        </w:tc>
        <w:tc>
          <w:tcPr>
            <w:tcW w:w="704" w:type="pct"/>
          </w:tcPr>
          <w:p w:rsidR="009E20E9" w:rsidRPr="00940F72" w:rsidRDefault="009E20E9" w:rsidP="00F34DB6">
            <w:pPr>
              <w:keepNext/>
              <w:jc w:val="center"/>
              <w:rPr>
                <w:rFonts w:ascii="Arial Narrow" w:hAnsi="Arial Narrow"/>
                <w:b/>
                <w:sz w:val="18"/>
                <w:szCs w:val="18"/>
              </w:rPr>
            </w:pPr>
            <w:r w:rsidRPr="00940F72">
              <w:rPr>
                <w:rFonts w:ascii="Arial Narrow" w:hAnsi="Arial Narrow"/>
                <w:b/>
                <w:sz w:val="18"/>
                <w:szCs w:val="18"/>
              </w:rPr>
              <w:t>Max. qty units</w:t>
            </w:r>
          </w:p>
        </w:tc>
        <w:tc>
          <w:tcPr>
            <w:tcW w:w="547" w:type="pct"/>
          </w:tcPr>
          <w:p w:rsidR="009E20E9" w:rsidRPr="00940F72" w:rsidRDefault="009E20E9" w:rsidP="00F34DB6">
            <w:pPr>
              <w:keepNext/>
              <w:ind w:left="-108"/>
              <w:jc w:val="center"/>
              <w:rPr>
                <w:rFonts w:ascii="Arial Narrow" w:hAnsi="Arial Narrow"/>
                <w:b/>
                <w:sz w:val="18"/>
                <w:szCs w:val="18"/>
              </w:rPr>
            </w:pPr>
            <w:r w:rsidRPr="00940F72">
              <w:rPr>
                <w:rFonts w:ascii="Arial Narrow" w:hAnsi="Arial Narrow"/>
                <w:b/>
                <w:sz w:val="18"/>
                <w:szCs w:val="18"/>
              </w:rPr>
              <w:t>№.of</w:t>
            </w:r>
          </w:p>
          <w:p w:rsidR="009E20E9" w:rsidRPr="00940F72" w:rsidRDefault="009E20E9" w:rsidP="00F34DB6">
            <w:pPr>
              <w:keepNext/>
              <w:ind w:left="-108"/>
              <w:jc w:val="center"/>
              <w:rPr>
                <w:rFonts w:ascii="Arial Narrow" w:hAnsi="Arial Narrow"/>
                <w:b/>
                <w:sz w:val="18"/>
                <w:szCs w:val="18"/>
              </w:rPr>
            </w:pPr>
            <w:r w:rsidRPr="00940F72">
              <w:rPr>
                <w:rFonts w:ascii="Arial Narrow" w:hAnsi="Arial Narrow"/>
                <w:b/>
                <w:sz w:val="18"/>
                <w:szCs w:val="18"/>
              </w:rPr>
              <w:t>Rpts</w:t>
            </w:r>
          </w:p>
        </w:tc>
        <w:tc>
          <w:tcPr>
            <w:tcW w:w="779" w:type="pct"/>
          </w:tcPr>
          <w:p w:rsidR="009E20E9" w:rsidRPr="00940F72" w:rsidRDefault="009E20E9" w:rsidP="00F34DB6">
            <w:pPr>
              <w:keepNext/>
              <w:rPr>
                <w:rFonts w:ascii="Arial Narrow" w:hAnsi="Arial Narrow"/>
                <w:b/>
                <w:sz w:val="18"/>
                <w:szCs w:val="18"/>
              </w:rPr>
            </w:pPr>
            <w:r w:rsidRPr="00940F72">
              <w:rPr>
                <w:rFonts w:ascii="Arial Narrow" w:hAnsi="Arial Narrow"/>
                <w:b/>
                <w:sz w:val="18"/>
                <w:szCs w:val="18"/>
              </w:rPr>
              <w:t>Available brands</w:t>
            </w:r>
          </w:p>
        </w:tc>
      </w:tr>
      <w:tr w:rsidR="009E20E9" w:rsidRPr="00940F72" w:rsidTr="00F34DB6">
        <w:trPr>
          <w:cantSplit/>
          <w:trHeight w:val="224"/>
        </w:trPr>
        <w:tc>
          <w:tcPr>
            <w:tcW w:w="5000" w:type="pct"/>
            <w:gridSpan w:val="8"/>
          </w:tcPr>
          <w:p w:rsidR="009E20E9" w:rsidRPr="00940F72" w:rsidRDefault="009E20E9" w:rsidP="00F34DB6">
            <w:pPr>
              <w:keepNext/>
              <w:ind w:left="-57"/>
              <w:rPr>
                <w:rFonts w:ascii="Arial Narrow" w:hAnsi="Arial Narrow"/>
                <w:sz w:val="18"/>
                <w:szCs w:val="18"/>
              </w:rPr>
            </w:pPr>
            <w:r w:rsidRPr="00940F72">
              <w:rPr>
                <w:rFonts w:ascii="Arial Narrow" w:hAnsi="Arial Narrow"/>
                <w:sz w:val="18"/>
                <w:szCs w:val="18"/>
              </w:rPr>
              <w:t>ZANUBRUTINIB</w:t>
            </w:r>
          </w:p>
        </w:tc>
      </w:tr>
      <w:tr w:rsidR="009E20E9" w:rsidRPr="00940F72" w:rsidTr="00F34DB6">
        <w:trPr>
          <w:cantSplit/>
          <w:trHeight w:val="218"/>
        </w:trPr>
        <w:tc>
          <w:tcPr>
            <w:tcW w:w="1407" w:type="pct"/>
            <w:gridSpan w:val="3"/>
          </w:tcPr>
          <w:p w:rsidR="009E20E9" w:rsidRPr="00940F72" w:rsidRDefault="009E20E9" w:rsidP="009E20E9">
            <w:pPr>
              <w:keepNext/>
              <w:ind w:left="-57"/>
              <w:rPr>
                <w:rFonts w:ascii="Arial Narrow" w:hAnsi="Arial Narrow"/>
                <w:sz w:val="18"/>
                <w:szCs w:val="18"/>
              </w:rPr>
            </w:pPr>
            <w:r w:rsidRPr="00940F72">
              <w:rPr>
                <w:rFonts w:ascii="Arial Narrow" w:hAnsi="Arial Narrow"/>
                <w:sz w:val="18"/>
                <w:szCs w:val="18"/>
              </w:rPr>
              <w:t xml:space="preserve">zanubrutinib 80 mg capsule, 120 </w:t>
            </w:r>
          </w:p>
        </w:tc>
        <w:tc>
          <w:tcPr>
            <w:tcW w:w="781" w:type="pct"/>
          </w:tcPr>
          <w:p w:rsidR="009E20E9" w:rsidRPr="00940F72" w:rsidRDefault="009E20E9" w:rsidP="009E20E9">
            <w:pPr>
              <w:keepNext/>
              <w:jc w:val="center"/>
              <w:rPr>
                <w:rFonts w:ascii="Arial Narrow" w:hAnsi="Arial Narrow"/>
                <w:sz w:val="18"/>
                <w:szCs w:val="18"/>
              </w:rPr>
            </w:pPr>
            <w:r w:rsidRPr="00940F72">
              <w:rPr>
                <w:rFonts w:ascii="Arial Narrow" w:hAnsi="Arial Narrow"/>
                <w:sz w:val="18"/>
                <w:szCs w:val="18"/>
              </w:rPr>
              <w:t>NEW</w:t>
            </w:r>
          </w:p>
        </w:tc>
        <w:tc>
          <w:tcPr>
            <w:tcW w:w="782" w:type="pct"/>
          </w:tcPr>
          <w:p w:rsidR="009E20E9" w:rsidRPr="00940F72" w:rsidRDefault="009E20E9" w:rsidP="009E20E9">
            <w:pPr>
              <w:keepNext/>
              <w:jc w:val="center"/>
              <w:rPr>
                <w:rFonts w:ascii="Arial Narrow" w:hAnsi="Arial Narrow"/>
                <w:sz w:val="18"/>
                <w:szCs w:val="18"/>
              </w:rPr>
            </w:pPr>
            <w:r w:rsidRPr="00940F72">
              <w:rPr>
                <w:rFonts w:ascii="Arial Narrow" w:hAnsi="Arial Narrow"/>
                <w:sz w:val="18"/>
                <w:szCs w:val="18"/>
              </w:rPr>
              <w:t>1</w:t>
            </w:r>
          </w:p>
        </w:tc>
        <w:tc>
          <w:tcPr>
            <w:tcW w:w="704" w:type="pct"/>
          </w:tcPr>
          <w:p w:rsidR="009E20E9" w:rsidRPr="00940F72" w:rsidRDefault="009E20E9" w:rsidP="009E20E9">
            <w:pPr>
              <w:keepNext/>
              <w:jc w:val="center"/>
              <w:rPr>
                <w:rFonts w:ascii="Arial Narrow" w:hAnsi="Arial Narrow"/>
                <w:sz w:val="18"/>
                <w:szCs w:val="18"/>
              </w:rPr>
            </w:pPr>
            <w:r w:rsidRPr="00940F72">
              <w:rPr>
                <w:rFonts w:ascii="Arial Narrow" w:hAnsi="Arial Narrow"/>
                <w:sz w:val="18"/>
                <w:szCs w:val="18"/>
              </w:rPr>
              <w:t>120</w:t>
            </w:r>
          </w:p>
        </w:tc>
        <w:tc>
          <w:tcPr>
            <w:tcW w:w="547" w:type="pct"/>
          </w:tcPr>
          <w:p w:rsidR="009E20E9" w:rsidRPr="00940F72" w:rsidRDefault="009E20E9" w:rsidP="009E20E9">
            <w:pPr>
              <w:keepNext/>
              <w:jc w:val="center"/>
              <w:rPr>
                <w:rFonts w:ascii="Arial Narrow" w:hAnsi="Arial Narrow"/>
                <w:sz w:val="18"/>
                <w:szCs w:val="18"/>
              </w:rPr>
            </w:pPr>
            <w:r w:rsidRPr="00940F72">
              <w:rPr>
                <w:rFonts w:ascii="Arial Narrow" w:hAnsi="Arial Narrow"/>
                <w:sz w:val="18"/>
                <w:szCs w:val="18"/>
              </w:rPr>
              <w:t>5</w:t>
            </w:r>
          </w:p>
        </w:tc>
        <w:tc>
          <w:tcPr>
            <w:tcW w:w="779" w:type="pct"/>
          </w:tcPr>
          <w:p w:rsidR="009E20E9" w:rsidRPr="00940F72" w:rsidRDefault="009E20E9" w:rsidP="009E20E9">
            <w:pPr>
              <w:keepNext/>
              <w:rPr>
                <w:rFonts w:ascii="Arial Narrow" w:hAnsi="Arial Narrow"/>
                <w:sz w:val="18"/>
                <w:szCs w:val="18"/>
              </w:rPr>
            </w:pPr>
            <w:r w:rsidRPr="00940F72">
              <w:rPr>
                <w:rFonts w:ascii="Arial Narrow" w:hAnsi="Arial Narrow"/>
                <w:sz w:val="18"/>
                <w:szCs w:val="18"/>
              </w:rPr>
              <w:t>Brukinsa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9E20E9" w:rsidRPr="00940F72" w:rsidRDefault="009E20E9" w:rsidP="00F34DB6">
            <w:pPr>
              <w:rPr>
                <w:rFonts w:ascii="Arial Narrow" w:hAnsi="Arial Narrow"/>
                <w:b/>
                <w:sz w:val="18"/>
                <w:szCs w:val="18"/>
              </w:rPr>
            </w:pP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9E20E9" w:rsidRPr="00940F72" w:rsidRDefault="009E20E9" w:rsidP="00F34DB6">
            <w:pPr>
              <w:ind w:left="57"/>
              <w:rPr>
                <w:rFonts w:ascii="Arial Narrow" w:hAnsi="Arial Narrow"/>
                <w:b/>
                <w:sz w:val="18"/>
                <w:szCs w:val="18"/>
              </w:rPr>
            </w:pPr>
            <w:r w:rsidRPr="00940F72">
              <w:rPr>
                <w:rFonts w:ascii="Arial Narrow" w:hAnsi="Arial Narrow"/>
                <w:b/>
                <w:sz w:val="18"/>
                <w:szCs w:val="18"/>
              </w:rPr>
              <w:t xml:space="preserve">Restriction Summary [New 1] / Treatment of Concept [New 2]: </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Merge w:val="restart"/>
            <w:tcBorders>
              <w:top w:val="single" w:sz="4" w:space="0" w:color="auto"/>
              <w:left w:val="single" w:sz="4" w:space="0" w:color="auto"/>
              <w:right w:val="single" w:sz="4" w:space="0" w:color="auto"/>
            </w:tcBorders>
          </w:tcPr>
          <w:p w:rsidR="009E20E9" w:rsidRPr="00940F72" w:rsidRDefault="009E20E9" w:rsidP="00F34DB6">
            <w:pPr>
              <w:jc w:val="center"/>
              <w:rPr>
                <w:rFonts w:ascii="Arial Narrow" w:hAnsi="Arial Narrow"/>
                <w:sz w:val="18"/>
                <w:szCs w:val="18"/>
              </w:rPr>
            </w:pPr>
          </w:p>
        </w:tc>
        <w:tc>
          <w:tcPr>
            <w:tcW w:w="4296" w:type="pct"/>
            <w:gridSpan w:val="6"/>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hAnsi="Arial Narrow"/>
                <w:sz w:val="18"/>
                <w:szCs w:val="18"/>
              </w:rPr>
            </w:pPr>
            <w:r w:rsidRPr="00940F72">
              <w:rPr>
                <w:rFonts w:ascii="Arial Narrow" w:hAnsi="Arial Narrow"/>
                <w:b/>
                <w:sz w:val="18"/>
                <w:szCs w:val="18"/>
              </w:rPr>
              <w:t xml:space="preserve">Category / Program:   </w:t>
            </w:r>
            <w:r w:rsidRPr="00940F72">
              <w:rPr>
                <w:rFonts w:ascii="Arial Narrow" w:hAnsi="Arial Narrow"/>
                <w:sz w:val="18"/>
                <w:szCs w:val="18"/>
              </w:rPr>
              <w:t xml:space="preserve">GENERAL – General Schedule (Code GE) </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rPr>
          <w:trHeight w:val="240"/>
        </w:trPr>
        <w:tc>
          <w:tcPr>
            <w:tcW w:w="704" w:type="pct"/>
            <w:gridSpan w:val="2"/>
            <w:vMerge/>
            <w:tcBorders>
              <w:left w:val="single" w:sz="4" w:space="0" w:color="auto"/>
              <w:right w:val="single" w:sz="4" w:space="0" w:color="auto"/>
            </w:tcBorders>
          </w:tcPr>
          <w:p w:rsidR="009E20E9" w:rsidRPr="00940F72" w:rsidRDefault="009E20E9" w:rsidP="00F34DB6">
            <w:pPr>
              <w:rPr>
                <w:rFonts w:ascii="Arial Narrow" w:hAnsi="Arial Narrow"/>
                <w:sz w:val="18"/>
                <w:szCs w:val="18"/>
              </w:rPr>
            </w:pPr>
          </w:p>
        </w:tc>
        <w:tc>
          <w:tcPr>
            <w:tcW w:w="4296" w:type="pct"/>
            <w:gridSpan w:val="6"/>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hAnsi="Arial Narrow"/>
                <w:b/>
                <w:sz w:val="18"/>
                <w:szCs w:val="18"/>
              </w:rPr>
            </w:pPr>
            <w:r w:rsidRPr="00940F72">
              <w:rPr>
                <w:rFonts w:ascii="Arial Narrow" w:hAnsi="Arial Narrow"/>
                <w:b/>
                <w:sz w:val="18"/>
                <w:szCs w:val="18"/>
              </w:rPr>
              <w:t xml:space="preserve">Prescriber type:   </w:t>
            </w:r>
            <w:r w:rsidRPr="00940F72">
              <w:rPr>
                <w:rFonts w:ascii="Arial Narrow" w:hAnsi="Arial Narrow"/>
                <w:sz w:val="18"/>
                <w:szCs w:val="18"/>
              </w:rPr>
              <w:fldChar w:fldCharType="begin">
                <w:ffData>
                  <w:name w:val=""/>
                  <w:enabled/>
                  <w:calcOnExit w:val="0"/>
                  <w:checkBox>
                    <w:sizeAuto/>
                    <w:default w:val="1"/>
                  </w:checkBox>
                </w:ffData>
              </w:fldChar>
            </w:r>
            <w:r w:rsidRPr="00940F72">
              <w:rPr>
                <w:rFonts w:ascii="Arial Narrow" w:hAnsi="Arial Narrow"/>
                <w:sz w:val="18"/>
                <w:szCs w:val="18"/>
              </w:rPr>
              <w:instrText xml:space="preserve"> FORMCHECKBOX </w:instrText>
            </w:r>
            <w:r w:rsidR="00D45843">
              <w:rPr>
                <w:rFonts w:ascii="Arial Narrow" w:hAnsi="Arial Narrow"/>
                <w:sz w:val="18"/>
                <w:szCs w:val="18"/>
              </w:rPr>
            </w:r>
            <w:r w:rsidR="00D45843">
              <w:rPr>
                <w:rFonts w:ascii="Arial Narrow" w:hAnsi="Arial Narrow"/>
                <w:sz w:val="18"/>
                <w:szCs w:val="18"/>
              </w:rPr>
              <w:fldChar w:fldCharType="separate"/>
            </w:r>
            <w:r w:rsidRPr="00940F72">
              <w:rPr>
                <w:rFonts w:ascii="Arial Narrow" w:hAnsi="Arial Narrow"/>
                <w:sz w:val="18"/>
                <w:szCs w:val="18"/>
              </w:rPr>
              <w:fldChar w:fldCharType="end"/>
            </w:r>
            <w:r w:rsidRPr="00940F72">
              <w:rPr>
                <w:rFonts w:ascii="Arial Narrow" w:hAnsi="Arial Narrow"/>
                <w:sz w:val="18"/>
                <w:szCs w:val="18"/>
              </w:rPr>
              <w:t xml:space="preserve"> Medical Practitioners</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Merge/>
            <w:tcBorders>
              <w:left w:val="single" w:sz="4" w:space="0" w:color="auto"/>
              <w:bottom w:val="single" w:sz="4" w:space="0" w:color="auto"/>
              <w:right w:val="single" w:sz="4" w:space="0" w:color="auto"/>
            </w:tcBorders>
          </w:tcPr>
          <w:p w:rsidR="009E20E9" w:rsidRPr="00940F72" w:rsidRDefault="009E20E9" w:rsidP="00F34DB6">
            <w:pPr>
              <w:rPr>
                <w:rFonts w:ascii="Arial Narrow" w:hAnsi="Arial Narrow"/>
                <w:sz w:val="18"/>
                <w:szCs w:val="18"/>
              </w:rPr>
            </w:pPr>
          </w:p>
        </w:tc>
        <w:tc>
          <w:tcPr>
            <w:tcW w:w="4296" w:type="pct"/>
            <w:gridSpan w:val="6"/>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eastAsia="Calibri" w:hAnsi="Arial Narrow"/>
                <w:sz w:val="18"/>
                <w:szCs w:val="18"/>
              </w:rPr>
            </w:pPr>
            <w:r w:rsidRPr="00940F72">
              <w:rPr>
                <w:rFonts w:ascii="Arial Narrow" w:hAnsi="Arial Narrow"/>
                <w:b/>
                <w:sz w:val="18"/>
                <w:szCs w:val="18"/>
              </w:rPr>
              <w:t>Restriction type:</w:t>
            </w:r>
            <w:r w:rsidRPr="00940F72">
              <w:rPr>
                <w:rFonts w:ascii="Arial Narrow" w:eastAsia="Calibri" w:hAnsi="Arial Narrow"/>
                <w:sz w:val="18"/>
                <w:szCs w:val="18"/>
              </w:rPr>
              <w:t xml:space="preserve"> </w:t>
            </w:r>
            <w:r w:rsidRPr="00940F72">
              <w:rPr>
                <w:rFonts w:ascii="Arial Narrow" w:eastAsia="Calibri" w:hAnsi="Arial Narrow"/>
                <w:sz w:val="18"/>
                <w:szCs w:val="18"/>
              </w:rPr>
              <w:fldChar w:fldCharType="begin">
                <w:ffData>
                  <w:name w:val="Check3"/>
                  <w:enabled/>
                  <w:calcOnExit w:val="0"/>
                  <w:checkBox>
                    <w:sizeAuto/>
                    <w:default w:val="1"/>
                  </w:checkBox>
                </w:ffData>
              </w:fldChar>
            </w:r>
            <w:r w:rsidRPr="00940F72">
              <w:rPr>
                <w:rFonts w:ascii="Arial Narrow" w:eastAsia="Calibri" w:hAnsi="Arial Narrow"/>
                <w:sz w:val="18"/>
                <w:szCs w:val="18"/>
              </w:rPr>
              <w:instrText xml:space="preserve"> FORMCHECKBOX </w:instrText>
            </w:r>
            <w:r w:rsidR="00D45843">
              <w:rPr>
                <w:rFonts w:ascii="Arial Narrow" w:eastAsia="Calibri" w:hAnsi="Arial Narrow"/>
                <w:sz w:val="18"/>
                <w:szCs w:val="18"/>
              </w:rPr>
            </w:r>
            <w:r w:rsidR="00D45843">
              <w:rPr>
                <w:rFonts w:ascii="Arial Narrow" w:eastAsia="Calibri" w:hAnsi="Arial Narrow"/>
                <w:sz w:val="18"/>
                <w:szCs w:val="18"/>
              </w:rPr>
              <w:fldChar w:fldCharType="separate"/>
            </w:r>
            <w:r w:rsidRPr="00940F72">
              <w:rPr>
                <w:rFonts w:ascii="Arial Narrow" w:eastAsia="Calibri" w:hAnsi="Arial Narrow"/>
                <w:sz w:val="18"/>
                <w:szCs w:val="18"/>
              </w:rPr>
              <w:fldChar w:fldCharType="end"/>
            </w:r>
            <w:r w:rsidRPr="00940F72">
              <w:rPr>
                <w:rFonts w:ascii="Arial Narrow" w:eastAsia="Calibri" w:hAnsi="Arial Narrow"/>
                <w:sz w:val="18"/>
                <w:szCs w:val="18"/>
              </w:rPr>
              <w:t xml:space="preserve"> Authority Required – immediate/real-time assessment (online/telephone) </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tcBorders>
              <w:left w:val="single" w:sz="4" w:space="0" w:color="auto"/>
              <w:bottom w:val="single" w:sz="4" w:space="0" w:color="auto"/>
              <w:right w:val="single" w:sz="4" w:space="0" w:color="auto"/>
            </w:tcBorders>
          </w:tcPr>
          <w:p w:rsidR="009E20E9" w:rsidRPr="00940F72" w:rsidRDefault="009E20E9" w:rsidP="00F34DB6">
            <w:pPr>
              <w:rPr>
                <w:rFonts w:ascii="Arial Narrow" w:hAnsi="Arial Narrow"/>
                <w:b/>
                <w:sz w:val="18"/>
                <w:szCs w:val="18"/>
              </w:rPr>
            </w:pPr>
          </w:p>
        </w:tc>
      </w:tr>
      <w:tr w:rsidR="009E20E9" w:rsidRPr="00940F72" w:rsidTr="00433EE7">
        <w:tblPrEx>
          <w:tblCellMar>
            <w:top w:w="15" w:type="dxa"/>
            <w:left w:w="15" w:type="dxa"/>
            <w:bottom w:w="15" w:type="dxa"/>
            <w:right w:w="15" w:type="dxa"/>
          </w:tblCellMar>
        </w:tblPrEx>
        <w:trPr>
          <w:trHeight w:val="330"/>
        </w:trPr>
        <w:tc>
          <w:tcPr>
            <w:tcW w:w="272" w:type="pct"/>
            <w:vMerge w:val="restart"/>
            <w:textDirection w:val="btLr"/>
            <w:vAlign w:val="center"/>
          </w:tcPr>
          <w:p w:rsidR="009E20E9" w:rsidRPr="00940F72" w:rsidRDefault="009E20E9" w:rsidP="00433EE7">
            <w:pPr>
              <w:ind w:left="113" w:right="113"/>
              <w:rPr>
                <w:rFonts w:ascii="Arial Narrow" w:hAnsi="Arial Narrow"/>
                <w:sz w:val="18"/>
                <w:szCs w:val="18"/>
              </w:rPr>
            </w:pPr>
          </w:p>
        </w:tc>
        <w:tc>
          <w:tcPr>
            <w:tcW w:w="432" w:type="pct"/>
            <w:vAlign w:val="center"/>
          </w:tcPr>
          <w:p w:rsidR="009E20E9" w:rsidRPr="00940F72" w:rsidRDefault="009E20E9" w:rsidP="009E20E9">
            <w:pPr>
              <w:jc w:val="center"/>
              <w:rPr>
                <w:rFonts w:ascii="Arial Narrow" w:hAnsi="Arial Narrow"/>
                <w:strike/>
                <w:sz w:val="18"/>
                <w:szCs w:val="18"/>
              </w:rPr>
            </w:pPr>
          </w:p>
        </w:tc>
        <w:tc>
          <w:tcPr>
            <w:tcW w:w="4296" w:type="pct"/>
            <w:gridSpan w:val="6"/>
            <w:vAlign w:val="center"/>
          </w:tcPr>
          <w:p w:rsidR="009E20E9" w:rsidRPr="00940F72" w:rsidRDefault="009E20E9" w:rsidP="009E20E9">
            <w:pPr>
              <w:rPr>
                <w:rFonts w:ascii="Arial Narrow" w:hAnsi="Arial Narrow"/>
                <w:strike/>
                <w:sz w:val="18"/>
                <w:szCs w:val="18"/>
              </w:rPr>
            </w:pPr>
            <w:r w:rsidRPr="00940F72">
              <w:rPr>
                <w:rFonts w:ascii="Arial Narrow" w:hAnsi="Arial Narrow"/>
                <w:b/>
                <w:bCs/>
                <w:sz w:val="18"/>
                <w:szCs w:val="18"/>
              </w:rPr>
              <w:t>Administrative Advice:</w:t>
            </w:r>
            <w:r w:rsidRPr="00940F72">
              <w:rPr>
                <w:rFonts w:ascii="Arial Narrow" w:hAnsi="Arial Narrow"/>
                <w:sz w:val="18"/>
                <w:szCs w:val="18"/>
              </w:rPr>
              <w:t xml:space="preserve"> No increase in the maximum quantity or number of units may be authorised.</w:t>
            </w:r>
          </w:p>
        </w:tc>
      </w:tr>
      <w:tr w:rsidR="009E20E9" w:rsidRPr="00940F72" w:rsidTr="00F34DB6">
        <w:tblPrEx>
          <w:tblCellMar>
            <w:top w:w="15" w:type="dxa"/>
            <w:left w:w="15" w:type="dxa"/>
            <w:bottom w:w="15" w:type="dxa"/>
            <w:right w:w="15" w:type="dxa"/>
          </w:tblCellMar>
        </w:tblPrEx>
        <w:trPr>
          <w:trHeight w:val="330"/>
        </w:trPr>
        <w:tc>
          <w:tcPr>
            <w:tcW w:w="272" w:type="pct"/>
            <w:vMerge/>
            <w:textDirection w:val="btLr"/>
            <w:vAlign w:val="center"/>
          </w:tcPr>
          <w:p w:rsidR="009E20E9" w:rsidRPr="00940F72" w:rsidRDefault="009E20E9" w:rsidP="009E20E9">
            <w:pPr>
              <w:ind w:left="113" w:right="113"/>
              <w:jc w:val="center"/>
              <w:rPr>
                <w:rFonts w:ascii="Arial Narrow" w:hAnsi="Arial Narrow"/>
                <w:sz w:val="18"/>
                <w:szCs w:val="18"/>
              </w:rPr>
            </w:pPr>
          </w:p>
        </w:tc>
        <w:tc>
          <w:tcPr>
            <w:tcW w:w="432" w:type="pct"/>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b/>
                <w:bCs/>
                <w:sz w:val="18"/>
                <w:szCs w:val="18"/>
              </w:rPr>
            </w:pPr>
            <w:r w:rsidRPr="00940F72">
              <w:rPr>
                <w:rFonts w:ascii="Arial Narrow" w:hAnsi="Arial Narrow"/>
                <w:b/>
                <w:bCs/>
                <w:sz w:val="18"/>
                <w:szCs w:val="18"/>
              </w:rPr>
              <w:t>Administrative Advice:</w:t>
            </w:r>
            <w:r w:rsidRPr="00940F72">
              <w:rPr>
                <w:rFonts w:ascii="Arial Narrow" w:hAnsi="Arial Narrow"/>
                <w:sz w:val="18"/>
                <w:szCs w:val="18"/>
              </w:rPr>
              <w:t xml:space="preserve"> No increase in the maximum number of repeats may be authorised.</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272" w:type="pct"/>
            <w:vMerge/>
            <w:vAlign w:val="center"/>
            <w:hideMark/>
          </w:tcPr>
          <w:p w:rsidR="009E20E9" w:rsidRPr="00940F72" w:rsidRDefault="009E20E9" w:rsidP="009E20E9">
            <w:pPr>
              <w:jc w:val="center"/>
              <w:rPr>
                <w:rFonts w:ascii="Arial Narrow" w:hAnsi="Arial Narrow"/>
                <w:sz w:val="18"/>
                <w:szCs w:val="18"/>
              </w:rPr>
            </w:pPr>
          </w:p>
        </w:tc>
        <w:tc>
          <w:tcPr>
            <w:tcW w:w="432" w:type="pct"/>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Administrative Advice:</w:t>
            </w:r>
            <w:r w:rsidRPr="00940F72">
              <w:rPr>
                <w:rFonts w:ascii="Arial Narrow" w:hAnsi="Arial Narrow"/>
                <w:sz w:val="18"/>
                <w:szCs w:val="18"/>
              </w:rPr>
              <w:t xml:space="preserve"> Special Pricing Arrangements apply.</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272" w:type="pct"/>
            <w:vMerge/>
            <w:vAlign w:val="center"/>
          </w:tcPr>
          <w:p w:rsidR="009E20E9" w:rsidRPr="00940F72" w:rsidRDefault="009E20E9" w:rsidP="009E20E9">
            <w:pPr>
              <w:jc w:val="center"/>
              <w:rPr>
                <w:rFonts w:ascii="Arial Narrow" w:hAnsi="Arial Narrow"/>
                <w:sz w:val="18"/>
                <w:szCs w:val="18"/>
              </w:rPr>
            </w:pPr>
          </w:p>
        </w:tc>
        <w:tc>
          <w:tcPr>
            <w:tcW w:w="432" w:type="pct"/>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433EE7" w:rsidRPr="00940F72" w:rsidRDefault="009E20E9" w:rsidP="009E20E9">
            <w:pPr>
              <w:rPr>
                <w:rFonts w:ascii="Arial Narrow" w:hAnsi="Arial Narrow"/>
                <w:b/>
                <w:bCs/>
                <w:iCs/>
                <w:sz w:val="18"/>
                <w:szCs w:val="18"/>
              </w:rPr>
            </w:pPr>
            <w:r w:rsidRPr="00940F72">
              <w:rPr>
                <w:rFonts w:ascii="Arial Narrow" w:hAnsi="Arial Narrow"/>
                <w:b/>
                <w:bCs/>
                <w:iCs/>
                <w:sz w:val="18"/>
                <w:szCs w:val="18"/>
              </w:rPr>
              <w:t xml:space="preserve">Administrative Advice: </w:t>
            </w:r>
          </w:p>
          <w:p w:rsidR="009E20E9" w:rsidRPr="00940F72" w:rsidRDefault="009E20E9" w:rsidP="009E20E9">
            <w:pPr>
              <w:rPr>
                <w:rFonts w:ascii="Arial Narrow" w:hAnsi="Arial Narrow"/>
                <w:bCs/>
                <w:iCs/>
                <w:sz w:val="18"/>
                <w:szCs w:val="18"/>
              </w:rPr>
            </w:pPr>
            <w:r w:rsidRPr="00940F72">
              <w:rPr>
                <w:rFonts w:ascii="Arial Narrow" w:hAnsi="Arial Narrow"/>
                <w:bCs/>
                <w:iCs/>
                <w:sz w:val="18"/>
                <w:szCs w:val="18"/>
              </w:rPr>
              <w:t>For the purposes of administering this restriction, current Bruton tyrosine kinase inhibitors are: acalabrutinib [pending July 2021 PBAC outcome], ibrutinib, zanubrutinib.</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rPr>
          <w:trHeight w:val="663"/>
        </w:trPr>
        <w:tc>
          <w:tcPr>
            <w:tcW w:w="272" w:type="pct"/>
            <w:vMerge/>
            <w:vAlign w:val="center"/>
            <w:hideMark/>
          </w:tcPr>
          <w:p w:rsidR="009E20E9" w:rsidRPr="00940F72" w:rsidRDefault="009E20E9" w:rsidP="009E20E9">
            <w:pPr>
              <w:jc w:val="center"/>
              <w:rPr>
                <w:rFonts w:ascii="Arial Narrow" w:hAnsi="Arial Narrow"/>
                <w:sz w:val="18"/>
                <w:szCs w:val="18"/>
              </w:rPr>
            </w:pPr>
          </w:p>
        </w:tc>
        <w:tc>
          <w:tcPr>
            <w:tcW w:w="432" w:type="pct"/>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Administrative Advice:</w:t>
            </w:r>
          </w:p>
          <w:p w:rsidR="009E20E9" w:rsidRPr="00940F72" w:rsidRDefault="009E20E9" w:rsidP="009E20E9">
            <w:pPr>
              <w:rPr>
                <w:rFonts w:ascii="Arial Narrow" w:hAnsi="Arial Narrow"/>
                <w:sz w:val="18"/>
                <w:szCs w:val="18"/>
              </w:rPr>
            </w:pPr>
            <w:r w:rsidRPr="00940F72">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Indication:</w:t>
            </w:r>
            <w:r w:rsidRPr="00940F72">
              <w:rPr>
                <w:rFonts w:ascii="Arial Narrow" w:hAnsi="Arial Narrow"/>
                <w:sz w:val="18"/>
                <w:szCs w:val="18"/>
              </w:rPr>
              <w:t xml:space="preserve"> Mantle cell lymphoma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Initial treatment</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The condition must have relapsed or be refractory to at least one prior therapy.</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Patient must have a WHO performance status of 0 or 1.</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The treatment must be the sole PBS-subsidised therapy for this condition.</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highlight w:val="yellow"/>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iCs/>
                <w:sz w:val="18"/>
                <w:szCs w:val="18"/>
              </w:rPr>
              <w:t>Patient must be untreated with Bruton tyrosine kinase inhibitor therapy; or</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iCs/>
                <w:sz w:val="18"/>
                <w:szCs w:val="18"/>
              </w:rPr>
              <w:t>Patient must have developed intolerance to another Bruton tyrosine kinase inhibitor of a severity necessitating permanent treatment withdrawal, when treated for this PBS indication.</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9E20E9" w:rsidRPr="00940F72" w:rsidRDefault="009E20E9" w:rsidP="009E20E9">
            <w:pPr>
              <w:rPr>
                <w:rFonts w:ascii="Arial Narrow" w:hAnsi="Arial Narrow"/>
                <w:b/>
                <w:bCs/>
                <w:sz w:val="18"/>
                <w:szCs w:val="18"/>
              </w:rPr>
            </w:pP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9E20E9" w:rsidRPr="00940F72" w:rsidRDefault="009E20E9" w:rsidP="009E20E9">
            <w:pPr>
              <w:rPr>
                <w:rFonts w:ascii="Arial Narrow" w:hAnsi="Arial Narrow"/>
                <w:b/>
                <w:bCs/>
                <w:sz w:val="18"/>
                <w:szCs w:val="18"/>
              </w:rPr>
            </w:pPr>
            <w:r w:rsidRPr="00940F72">
              <w:rPr>
                <w:rFonts w:ascii="Arial Narrow" w:hAnsi="Arial Narrow"/>
                <w:b/>
                <w:bCs/>
                <w:sz w:val="18"/>
                <w:szCs w:val="18"/>
              </w:rPr>
              <w:t xml:space="preserve">Restriction Summary [New 3] / ToC [New 4]: </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Indication:</w:t>
            </w:r>
            <w:r w:rsidRPr="00940F72">
              <w:rPr>
                <w:rFonts w:ascii="Arial Narrow" w:hAnsi="Arial Narrow"/>
                <w:sz w:val="18"/>
                <w:szCs w:val="18"/>
              </w:rPr>
              <w:t xml:space="preserve"> Mantle cell lymphoma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Continuing treatment</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The treatment must be the sole PBS-subsidised therapy for this condition.</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Patient must have previously received PBS-subsidised treatment with this drug for this condition.</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iCs/>
                <w:sz w:val="18"/>
                <w:szCs w:val="18"/>
              </w:rPr>
              <w:t>Patient must not have developed disease progression while being treated with this drug for this condition.</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9E20E9" w:rsidRPr="00940F72" w:rsidRDefault="009E20E9" w:rsidP="009E20E9">
            <w:pPr>
              <w:rPr>
                <w:rFonts w:ascii="Arial Narrow" w:hAnsi="Arial Narrow"/>
                <w:b/>
                <w:bCs/>
                <w:sz w:val="18"/>
                <w:szCs w:val="18"/>
              </w:rPr>
            </w:pPr>
          </w:p>
          <w:p w:rsidR="009E20E9" w:rsidRPr="00940F72" w:rsidRDefault="009E20E9" w:rsidP="009E20E9">
            <w:pPr>
              <w:rPr>
                <w:rFonts w:ascii="Arial Narrow" w:hAnsi="Arial Narrow"/>
                <w:b/>
                <w:bCs/>
                <w:sz w:val="18"/>
                <w:szCs w:val="18"/>
              </w:rPr>
            </w:pP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5000" w:type="pct"/>
            <w:gridSpan w:val="8"/>
            <w:vAlign w:val="center"/>
          </w:tcPr>
          <w:p w:rsidR="009E20E9" w:rsidRPr="00940F72" w:rsidRDefault="009E20E9" w:rsidP="009E20E9">
            <w:pPr>
              <w:rPr>
                <w:rFonts w:ascii="Arial Narrow" w:hAnsi="Arial Narrow"/>
                <w:b/>
                <w:bCs/>
                <w:sz w:val="18"/>
                <w:szCs w:val="18"/>
              </w:rPr>
            </w:pPr>
            <w:r w:rsidRPr="00940F72">
              <w:rPr>
                <w:rFonts w:ascii="Arial Narrow" w:hAnsi="Arial Narrow"/>
                <w:b/>
                <w:bCs/>
                <w:sz w:val="18"/>
                <w:szCs w:val="18"/>
              </w:rPr>
              <w:t>Restriction Summary [New 5] / ToC [New 6]:</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Indication:</w:t>
            </w:r>
            <w:r w:rsidRPr="00940F72">
              <w:rPr>
                <w:rFonts w:ascii="Arial Narrow" w:hAnsi="Arial Narrow"/>
                <w:sz w:val="18"/>
                <w:szCs w:val="18"/>
              </w:rPr>
              <w:t xml:space="preserve"> Mantle cell lymphoma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Transitioning from non-PBS to PBS-subsidised supply – ‘Grandfather’ arrangements</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b/>
                <w:bCs/>
                <w:sz w:val="18"/>
                <w:szCs w:val="18"/>
              </w:rPr>
            </w:pPr>
            <w:r w:rsidRPr="00940F72">
              <w:rPr>
                <w:rFonts w:ascii="Arial Narrow" w:hAnsi="Arial Narrow"/>
                <w:b/>
                <w:bCs/>
                <w:sz w:val="18"/>
                <w:szCs w:val="18"/>
              </w:rPr>
              <w:t>Clinical criteria: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b/>
                <w:bCs/>
                <w:sz w:val="18"/>
                <w:szCs w:val="18"/>
              </w:rPr>
            </w:pPr>
            <w:r w:rsidRPr="00940F72">
              <w:rPr>
                <w:rFonts w:ascii="Arial Narrow" w:hAnsi="Arial Narrow"/>
                <w:sz w:val="18"/>
                <w:szCs w:val="18"/>
              </w:rPr>
              <w:t>Patient must have received treatment with this drug prior to [insert listing date here].</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b/>
                <w:bCs/>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The condition must have relapsed or be refractory to at least one prior therapy prior to initiating non-PBS-subsidised treatment with this drug for this condition.</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 xml:space="preserve">Patient must have had a WHO performance status of 0 or 1 </w:t>
            </w:r>
            <w:r w:rsidRPr="00940F72">
              <w:rPr>
                <w:rFonts w:ascii="Arial Narrow" w:hAnsi="Arial Narrow"/>
                <w:iCs/>
                <w:sz w:val="18"/>
                <w:szCs w:val="18"/>
              </w:rPr>
              <w:t>at the time non-PBS-subsidised treatment with this drug for this condition was initiated.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AND</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sz w:val="18"/>
                <w:szCs w:val="18"/>
              </w:rPr>
            </w:pPr>
            <w:r w:rsidRPr="00940F72">
              <w:rPr>
                <w:rFonts w:ascii="Arial Narrow" w:hAnsi="Arial Narrow"/>
                <w:sz w:val="18"/>
                <w:szCs w:val="18"/>
              </w:rPr>
              <w:t>The treatment must be the sole PBS-subsidised therapy for this condition.</w:t>
            </w:r>
          </w:p>
        </w:tc>
      </w:tr>
      <w:tr w:rsidR="009E20E9" w:rsidRPr="00940F72" w:rsidTr="006E0E80">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hideMark/>
          </w:tcPr>
          <w:p w:rsidR="009E20E9" w:rsidRPr="00940F72" w:rsidRDefault="009E20E9" w:rsidP="009E20E9">
            <w:pPr>
              <w:rPr>
                <w:rFonts w:ascii="Arial Narrow" w:hAnsi="Arial Narrow"/>
                <w:iCs/>
                <w:sz w:val="18"/>
                <w:szCs w:val="18"/>
              </w:rPr>
            </w:pPr>
            <w:r w:rsidRPr="00940F72">
              <w:rPr>
                <w:rFonts w:ascii="Arial Narrow" w:hAnsi="Arial Narrow"/>
                <w:b/>
                <w:bCs/>
                <w:iCs/>
                <w:sz w:val="18"/>
                <w:szCs w:val="18"/>
              </w:rPr>
              <w:t>AND</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
                <w:sz w:val="18"/>
                <w:szCs w:val="18"/>
              </w:rPr>
            </w:pPr>
            <w:r w:rsidRPr="00940F72">
              <w:rPr>
                <w:rFonts w:ascii="Arial Narrow" w:hAnsi="Arial Narrow"/>
                <w:b/>
                <w:bCs/>
                <w:i/>
                <w:sz w:val="18"/>
                <w:szCs w:val="18"/>
              </w:rPr>
              <w:t>Clinical criteria: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iCs/>
                <w:sz w:val="18"/>
                <w:szCs w:val="18"/>
              </w:rPr>
              <w:t>Patient must have been untreated with Bruton tyrosine kinase inhibitor therapy at treatment initiation with this drug; or</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highlight w:val="yellow"/>
              </w:rPr>
            </w:pPr>
          </w:p>
        </w:tc>
        <w:tc>
          <w:tcPr>
            <w:tcW w:w="4296" w:type="pct"/>
            <w:gridSpan w:val="6"/>
            <w:vAlign w:val="center"/>
          </w:tcPr>
          <w:p w:rsidR="009E20E9" w:rsidRPr="00940F72" w:rsidRDefault="009E20E9" w:rsidP="009E20E9">
            <w:pPr>
              <w:rPr>
                <w:rFonts w:ascii="Arial Narrow" w:hAnsi="Arial Narrow"/>
                <w:iCs/>
                <w:sz w:val="18"/>
                <w:szCs w:val="18"/>
                <w:highlight w:val="yellow"/>
              </w:rPr>
            </w:pPr>
            <w:r w:rsidRPr="00940F72">
              <w:rPr>
                <w:rFonts w:ascii="Arial Narrow" w:hAnsi="Arial Narrow"/>
                <w:iCs/>
                <w:sz w:val="18"/>
                <w:szCs w:val="18"/>
              </w:rPr>
              <w:t>Patient must have developed intolerance to another Bruton tyrosine kinase inhibitor of a severity necessitating permanent treatment withdrawal, when treated for this PBS indication.</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b/>
                <w:bCs/>
                <w:iCs/>
                <w:sz w:val="18"/>
                <w:szCs w:val="18"/>
              </w:rPr>
              <w:t>AND</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b/>
                <w:bCs/>
                <w:iCs/>
                <w:sz w:val="18"/>
                <w:szCs w:val="18"/>
              </w:rPr>
              <w:t>Clinical criteria: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iCs/>
                <w:sz w:val="18"/>
                <w:szCs w:val="18"/>
              </w:rPr>
            </w:pPr>
            <w:r w:rsidRPr="00940F72">
              <w:rPr>
                <w:rFonts w:ascii="Arial Narrow" w:hAnsi="Arial Narrow"/>
                <w:iCs/>
                <w:sz w:val="18"/>
                <w:szCs w:val="18"/>
              </w:rPr>
              <w:t>Patient must not have developed disease progression while being treated with this drug for this condition.</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b/>
                <w:iCs/>
                <w:sz w:val="18"/>
                <w:szCs w:val="18"/>
              </w:rPr>
            </w:pPr>
            <w:r w:rsidRPr="00940F72">
              <w:rPr>
                <w:rFonts w:ascii="Arial Narrow" w:hAnsi="Arial Narrow"/>
                <w:b/>
                <w:iCs/>
                <w:sz w:val="18"/>
                <w:szCs w:val="18"/>
              </w:rPr>
              <w:t>Administrative advice:</w:t>
            </w:r>
          </w:p>
          <w:p w:rsidR="009E20E9" w:rsidRPr="00940F72" w:rsidRDefault="009E20E9" w:rsidP="009E20E9">
            <w:pPr>
              <w:rPr>
                <w:rFonts w:ascii="Arial Narrow" w:hAnsi="Arial Narrow"/>
                <w:iCs/>
                <w:sz w:val="18"/>
                <w:szCs w:val="18"/>
              </w:rPr>
            </w:pPr>
            <w:r w:rsidRPr="00940F72">
              <w:rPr>
                <w:rFonts w:ascii="Arial Narrow" w:hAnsi="Arial Narrow"/>
                <w:iCs/>
                <w:sz w:val="18"/>
                <w:szCs w:val="18"/>
              </w:rPr>
              <w:t>Patients may qualify for PBS-subsidised treatment under this restriction once only. For continuing PBS-subsidised treatment, a 'Grandfathered' patient must qualify under the 'Continuing treatment' criteria.</w:t>
            </w:r>
          </w:p>
        </w:tc>
      </w:tr>
      <w:tr w:rsidR="009E20E9" w:rsidRPr="00940F72" w:rsidTr="00F34DB6">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rsidR="009E20E9" w:rsidRPr="00940F72" w:rsidRDefault="009E20E9" w:rsidP="009E20E9">
            <w:pPr>
              <w:jc w:val="center"/>
              <w:rPr>
                <w:rFonts w:ascii="Arial Narrow" w:hAnsi="Arial Narrow"/>
                <w:sz w:val="18"/>
                <w:szCs w:val="18"/>
              </w:rPr>
            </w:pPr>
          </w:p>
        </w:tc>
        <w:tc>
          <w:tcPr>
            <w:tcW w:w="4296" w:type="pct"/>
            <w:gridSpan w:val="6"/>
            <w:vAlign w:val="center"/>
          </w:tcPr>
          <w:p w:rsidR="009E20E9" w:rsidRPr="00940F72" w:rsidRDefault="009E20E9" w:rsidP="009E20E9">
            <w:pPr>
              <w:rPr>
                <w:rFonts w:ascii="Arial Narrow" w:hAnsi="Arial Narrow"/>
                <w:b/>
                <w:iCs/>
                <w:sz w:val="18"/>
                <w:szCs w:val="18"/>
              </w:rPr>
            </w:pPr>
            <w:r w:rsidRPr="00940F72">
              <w:rPr>
                <w:rFonts w:ascii="Arial Narrow" w:hAnsi="Arial Narrow"/>
                <w:b/>
                <w:iCs/>
                <w:sz w:val="18"/>
                <w:szCs w:val="18"/>
              </w:rPr>
              <w:t>Administrative advice:</w:t>
            </w:r>
          </w:p>
          <w:p w:rsidR="009E20E9" w:rsidRPr="00940F72" w:rsidRDefault="009E20E9" w:rsidP="009E20E9">
            <w:pPr>
              <w:rPr>
                <w:rFonts w:ascii="Arial Narrow" w:hAnsi="Arial Narrow"/>
                <w:iCs/>
                <w:sz w:val="18"/>
                <w:szCs w:val="18"/>
              </w:rPr>
            </w:pPr>
            <w:r w:rsidRPr="00940F72">
              <w:rPr>
                <w:rFonts w:ascii="Arial Narrow" w:hAnsi="Arial Narrow"/>
                <w:iCs/>
                <w:sz w:val="18"/>
                <w:szCs w:val="18"/>
              </w:rPr>
              <w:t>This grandfather restriction will cease to operate from 12 months after the date specified in the clinical criteria.</w:t>
            </w:r>
          </w:p>
        </w:tc>
      </w:tr>
      <w:bookmarkEnd w:id="73"/>
    </w:tbl>
    <w:p w:rsidR="00865288" w:rsidRPr="00940F72" w:rsidRDefault="00865288" w:rsidP="009E20E9">
      <w:pPr>
        <w:rPr>
          <w:iCs/>
          <w:sz w:val="22"/>
          <w:szCs w:val="22"/>
        </w:rPr>
      </w:pPr>
    </w:p>
    <w:p w:rsidR="009E20E9" w:rsidRPr="00940F72" w:rsidRDefault="009E20E9" w:rsidP="009E20E9">
      <w:pPr>
        <w:pStyle w:val="3-BodyText"/>
      </w:pPr>
      <w:r w:rsidRPr="00940F72">
        <w:t xml:space="preserve">Flow on changes to ibrutinib’s current Mantle cell lymphoma restrictions to permit ibrutinib use following zanubrutinib intolerance, are summarised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7747"/>
      </w:tblGrid>
      <w:tr w:rsidR="009E20E9" w:rsidRPr="00940F72" w:rsidTr="00F34DB6">
        <w:tc>
          <w:tcPr>
            <w:tcW w:w="704" w:type="pct"/>
            <w:vMerge w:val="restart"/>
            <w:tcBorders>
              <w:top w:val="single" w:sz="4" w:space="0" w:color="auto"/>
              <w:left w:val="single" w:sz="4" w:space="0" w:color="auto"/>
              <w:right w:val="single" w:sz="4" w:space="0" w:color="auto"/>
            </w:tcBorders>
          </w:tcPr>
          <w:p w:rsidR="009E20E9" w:rsidRPr="00940F72" w:rsidRDefault="009E20E9" w:rsidP="00F34DB6">
            <w:pPr>
              <w:jc w:val="cente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hAnsi="Arial Narrow"/>
                <w:sz w:val="18"/>
                <w:szCs w:val="18"/>
              </w:rPr>
            </w:pPr>
            <w:r w:rsidRPr="00940F72">
              <w:rPr>
                <w:rFonts w:ascii="Arial Narrow" w:hAnsi="Arial Narrow"/>
                <w:b/>
                <w:sz w:val="18"/>
                <w:szCs w:val="18"/>
              </w:rPr>
              <w:t xml:space="preserve">MEDICINAL PRODUCT / medicinal product pack: </w:t>
            </w:r>
            <w:r w:rsidRPr="00940F72">
              <w:rPr>
                <w:rFonts w:ascii="Arial Narrow" w:hAnsi="Arial Narrow"/>
                <w:sz w:val="18"/>
                <w:szCs w:val="18"/>
              </w:rPr>
              <w:t xml:space="preserve"> IBRUTINIB /   ibrutinib 140 mg capsule, 120</w:t>
            </w:r>
          </w:p>
        </w:tc>
      </w:tr>
      <w:tr w:rsidR="009E20E9" w:rsidRPr="00940F72" w:rsidTr="00F34DB6">
        <w:tc>
          <w:tcPr>
            <w:tcW w:w="704" w:type="pct"/>
            <w:vMerge/>
            <w:tcBorders>
              <w:top w:val="single" w:sz="4" w:space="0" w:color="auto"/>
              <w:left w:val="single" w:sz="4" w:space="0" w:color="auto"/>
              <w:right w:val="single" w:sz="4" w:space="0" w:color="auto"/>
            </w:tcBorders>
          </w:tcPr>
          <w:p w:rsidR="009E20E9" w:rsidRPr="00940F72" w:rsidRDefault="009E20E9" w:rsidP="00F34DB6">
            <w:pPr>
              <w:jc w:val="center"/>
              <w:rPr>
                <w:rFonts w:ascii="Arial Narrow" w:hAnsi="Arial Narrow"/>
                <w:b/>
                <w:sz w:val="18"/>
                <w:szCs w:val="18"/>
              </w:rPr>
            </w:pPr>
          </w:p>
        </w:tc>
        <w:tc>
          <w:tcPr>
            <w:tcW w:w="4296" w:type="pct"/>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hAnsi="Arial Narrow"/>
                <w:b/>
                <w:sz w:val="18"/>
                <w:szCs w:val="18"/>
              </w:rPr>
            </w:pPr>
            <w:r w:rsidRPr="00940F72">
              <w:rPr>
                <w:rFonts w:ascii="Arial Narrow" w:hAnsi="Arial Narrow"/>
                <w:b/>
                <w:sz w:val="18"/>
                <w:szCs w:val="18"/>
              </w:rPr>
              <w:t xml:space="preserve">PBS item code: </w:t>
            </w:r>
            <w:r w:rsidRPr="00940F72">
              <w:rPr>
                <w:rFonts w:ascii="Arial Narrow" w:hAnsi="Arial Narrow"/>
                <w:bCs/>
                <w:sz w:val="18"/>
                <w:szCs w:val="18"/>
              </w:rPr>
              <w:t>11419B</w:t>
            </w:r>
          </w:p>
        </w:tc>
      </w:tr>
      <w:tr w:rsidR="009E20E9" w:rsidRPr="00940F72" w:rsidTr="00F34DB6">
        <w:trPr>
          <w:trHeight w:val="240"/>
        </w:trPr>
        <w:tc>
          <w:tcPr>
            <w:tcW w:w="704" w:type="pct"/>
            <w:vMerge/>
            <w:tcBorders>
              <w:left w:val="single" w:sz="4" w:space="0" w:color="auto"/>
              <w:right w:val="single" w:sz="4" w:space="0" w:color="auto"/>
            </w:tcBorders>
          </w:tcPr>
          <w:p w:rsidR="009E20E9" w:rsidRPr="00940F72" w:rsidRDefault="009E20E9" w:rsidP="00F34DB6">
            <w:pP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hAnsi="Arial Narrow"/>
                <w:b/>
                <w:sz w:val="18"/>
                <w:szCs w:val="18"/>
              </w:rPr>
            </w:pPr>
            <w:r w:rsidRPr="00940F72">
              <w:rPr>
                <w:rFonts w:ascii="Arial Narrow" w:hAnsi="Arial Narrow"/>
                <w:b/>
                <w:sz w:val="18"/>
                <w:szCs w:val="18"/>
              </w:rPr>
              <w:t xml:space="preserve">Restriction summary: </w:t>
            </w:r>
            <w:r w:rsidRPr="00940F72">
              <w:rPr>
                <w:rFonts w:ascii="Arial Narrow" w:hAnsi="Arial Narrow"/>
                <w:bCs/>
                <w:sz w:val="18"/>
                <w:szCs w:val="18"/>
              </w:rPr>
              <w:t xml:space="preserve">10834 </w:t>
            </w:r>
            <w:r w:rsidRPr="00940F72">
              <w:rPr>
                <w:rFonts w:ascii="Arial Narrow" w:hAnsi="Arial Narrow"/>
                <w:bCs/>
                <w:i/>
                <w:iCs/>
                <w:sz w:val="18"/>
                <w:szCs w:val="18"/>
              </w:rPr>
              <w:t>(</w:t>
            </w:r>
            <w:r w:rsidR="003C47CE" w:rsidRPr="00940F72">
              <w:rPr>
                <w:rFonts w:ascii="Arial Narrow" w:hAnsi="Arial Narrow"/>
                <w:bCs/>
                <w:i/>
                <w:iCs/>
                <w:sz w:val="18"/>
                <w:szCs w:val="18"/>
              </w:rPr>
              <w:t xml:space="preserve">current </w:t>
            </w:r>
            <w:r w:rsidRPr="00940F72">
              <w:rPr>
                <w:rFonts w:ascii="Arial Narrow" w:hAnsi="Arial Narrow"/>
                <w:bCs/>
                <w:i/>
                <w:iCs/>
                <w:sz w:val="18"/>
                <w:szCs w:val="18"/>
              </w:rPr>
              <w:t>as at 1 July 2021</w:t>
            </w:r>
            <w:r w:rsidR="003C47CE" w:rsidRPr="00940F72">
              <w:rPr>
                <w:rFonts w:ascii="Arial Narrow" w:hAnsi="Arial Narrow"/>
                <w:bCs/>
                <w:i/>
                <w:iCs/>
                <w:sz w:val="18"/>
                <w:szCs w:val="18"/>
              </w:rPr>
              <w:t>; only relevant edits shown below</w:t>
            </w:r>
            <w:r w:rsidRPr="00940F72">
              <w:rPr>
                <w:rFonts w:ascii="Arial Narrow" w:hAnsi="Arial Narrow"/>
                <w:bCs/>
                <w:i/>
                <w:iCs/>
                <w:sz w:val="18"/>
                <w:szCs w:val="18"/>
              </w:rPr>
              <w:t>)</w:t>
            </w:r>
            <w:r w:rsidRPr="00940F72">
              <w:rPr>
                <w:rFonts w:ascii="Arial Narrow" w:hAnsi="Arial Narrow"/>
                <w:bCs/>
                <w:sz w:val="18"/>
                <w:szCs w:val="18"/>
              </w:rPr>
              <w:t xml:space="preserve"> - update to form New 1 </w:t>
            </w:r>
          </w:p>
        </w:tc>
      </w:tr>
      <w:tr w:rsidR="009E20E9" w:rsidRPr="00940F72" w:rsidTr="00F34DB6">
        <w:trPr>
          <w:trHeight w:val="240"/>
        </w:trPr>
        <w:tc>
          <w:tcPr>
            <w:tcW w:w="704" w:type="pct"/>
            <w:vMerge/>
            <w:tcBorders>
              <w:left w:val="single" w:sz="4" w:space="0" w:color="auto"/>
              <w:right w:val="single" w:sz="4" w:space="0" w:color="auto"/>
            </w:tcBorders>
          </w:tcPr>
          <w:p w:rsidR="009E20E9" w:rsidRPr="00940F72" w:rsidRDefault="009E20E9" w:rsidP="00F34DB6">
            <w:pP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hAnsi="Arial Narrow"/>
                <w:b/>
                <w:sz w:val="18"/>
                <w:szCs w:val="18"/>
              </w:rPr>
            </w:pPr>
            <w:r w:rsidRPr="00940F72">
              <w:rPr>
                <w:rFonts w:ascii="Arial Narrow" w:hAnsi="Arial Narrow"/>
                <w:b/>
                <w:sz w:val="18"/>
                <w:szCs w:val="18"/>
              </w:rPr>
              <w:t xml:space="preserve">Indication: </w:t>
            </w:r>
            <w:r w:rsidRPr="00940F72">
              <w:rPr>
                <w:rFonts w:ascii="Arial Narrow" w:hAnsi="Arial Narrow"/>
                <w:bCs/>
                <w:sz w:val="18"/>
                <w:szCs w:val="18"/>
              </w:rPr>
              <w:t>21449 – Mantle cell lymphoma</w:t>
            </w:r>
          </w:p>
        </w:tc>
      </w:tr>
      <w:tr w:rsidR="009E20E9" w:rsidRPr="00940F72" w:rsidTr="00F34DB6">
        <w:tc>
          <w:tcPr>
            <w:tcW w:w="704" w:type="pct"/>
            <w:vMerge/>
            <w:tcBorders>
              <w:left w:val="single" w:sz="4" w:space="0" w:color="auto"/>
              <w:bottom w:val="single" w:sz="4" w:space="0" w:color="auto"/>
              <w:right w:val="single" w:sz="4" w:space="0" w:color="auto"/>
            </w:tcBorders>
          </w:tcPr>
          <w:p w:rsidR="009E20E9" w:rsidRPr="00940F72" w:rsidRDefault="009E20E9" w:rsidP="00F34DB6">
            <w:pPr>
              <w:rPr>
                <w:rFonts w:ascii="Arial Narrow" w:hAnsi="Arial Narrow"/>
                <w:sz w:val="18"/>
                <w:szCs w:val="18"/>
              </w:rPr>
            </w:pPr>
          </w:p>
        </w:tc>
        <w:tc>
          <w:tcPr>
            <w:tcW w:w="4296" w:type="pct"/>
            <w:tcBorders>
              <w:top w:val="single" w:sz="4" w:space="0" w:color="auto"/>
              <w:left w:val="single" w:sz="4" w:space="0" w:color="auto"/>
              <w:bottom w:val="single" w:sz="4" w:space="0" w:color="auto"/>
              <w:right w:val="single" w:sz="4" w:space="0" w:color="auto"/>
            </w:tcBorders>
          </w:tcPr>
          <w:p w:rsidR="009E20E9" w:rsidRPr="00940F72" w:rsidRDefault="009E20E9" w:rsidP="00F34DB6">
            <w:pPr>
              <w:rPr>
                <w:rFonts w:ascii="Arial Narrow" w:eastAsia="Calibri" w:hAnsi="Arial Narrow"/>
                <w:sz w:val="18"/>
                <w:szCs w:val="18"/>
              </w:rPr>
            </w:pPr>
            <w:r w:rsidRPr="00940F72">
              <w:rPr>
                <w:rFonts w:ascii="Arial Narrow" w:hAnsi="Arial Narrow"/>
                <w:b/>
                <w:sz w:val="18"/>
                <w:szCs w:val="18"/>
              </w:rPr>
              <w:t>Treatment phase:</w:t>
            </w:r>
            <w:r w:rsidRPr="00940F72">
              <w:rPr>
                <w:rFonts w:ascii="Arial Narrow" w:eastAsia="Calibri" w:hAnsi="Arial Narrow"/>
                <w:sz w:val="18"/>
                <w:szCs w:val="18"/>
              </w:rPr>
              <w:t xml:space="preserve"> Initial treatment </w:t>
            </w:r>
          </w:p>
        </w:tc>
      </w:tr>
      <w:tr w:rsidR="009E20E9" w:rsidRPr="00940F72" w:rsidTr="006E0E80">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hideMark/>
          </w:tcPr>
          <w:p w:rsidR="009E20E9" w:rsidRPr="00940F72" w:rsidRDefault="009E20E9" w:rsidP="00F34DB6">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6E0E80">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hideMark/>
          </w:tcPr>
          <w:p w:rsidR="009E20E9" w:rsidRPr="00940F72" w:rsidRDefault="009E20E9" w:rsidP="00F34DB6">
            <w:pPr>
              <w:rPr>
                <w:rFonts w:ascii="Arial Narrow" w:hAnsi="Arial Narrow"/>
                <w:strike/>
                <w:sz w:val="18"/>
                <w:szCs w:val="18"/>
              </w:rPr>
            </w:pPr>
            <w:r w:rsidRPr="00940F72">
              <w:rPr>
                <w:rFonts w:ascii="Arial Narrow" w:hAnsi="Arial Narrow"/>
                <w:strike/>
                <w:sz w:val="18"/>
                <w:szCs w:val="18"/>
              </w:rPr>
              <w:t>Patient must not have previously received PBS-subsidised treatment with this drug for this condition</w:t>
            </w:r>
          </w:p>
        </w:tc>
      </w:tr>
      <w:tr w:rsidR="009E20E9" w:rsidRPr="00940F72" w:rsidTr="00F34DB6">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tcPr>
          <w:p w:rsidR="009E20E9" w:rsidRPr="00940F72" w:rsidRDefault="009E20E9" w:rsidP="00F34DB6">
            <w:pPr>
              <w:rPr>
                <w:rFonts w:ascii="Arial Narrow" w:hAnsi="Arial Narrow"/>
                <w:i/>
                <w:sz w:val="18"/>
                <w:szCs w:val="18"/>
              </w:rPr>
            </w:pPr>
            <w:r w:rsidRPr="00940F72">
              <w:rPr>
                <w:rFonts w:ascii="Arial Narrow" w:hAnsi="Arial Narrow"/>
                <w:i/>
                <w:sz w:val="18"/>
                <w:szCs w:val="18"/>
              </w:rPr>
              <w:t>Patient must be untreated with Bruton tyrosine kinase inhibitor therapy; or</w:t>
            </w:r>
          </w:p>
        </w:tc>
      </w:tr>
      <w:tr w:rsidR="009E20E9" w:rsidRPr="00940F72" w:rsidTr="00F34DB6">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tcPr>
          <w:p w:rsidR="009E20E9" w:rsidRPr="00940F72" w:rsidRDefault="009E20E9" w:rsidP="00F34DB6">
            <w:pPr>
              <w:rPr>
                <w:rFonts w:ascii="Arial Narrow" w:hAnsi="Arial Narrow"/>
                <w:i/>
                <w:iCs/>
                <w:sz w:val="18"/>
                <w:szCs w:val="18"/>
              </w:rPr>
            </w:pPr>
            <w:r w:rsidRPr="00940F72">
              <w:rPr>
                <w:rFonts w:ascii="Arial Narrow" w:hAnsi="Arial Narrow"/>
                <w:i/>
                <w:iCs/>
                <w:sz w:val="18"/>
                <w:szCs w:val="18"/>
              </w:rPr>
              <w:t>Patient must have developed intolerance to another Bruton tyrosine kinase inhibitor of a severity necessitating permanent treatment withdrawal, when treated for this PBS indication.</w:t>
            </w:r>
          </w:p>
        </w:tc>
      </w:tr>
      <w:tr w:rsidR="009E20E9" w:rsidRPr="00940F72" w:rsidTr="00F34DB6">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tcPr>
          <w:p w:rsidR="009E20E9" w:rsidRPr="00940F72" w:rsidRDefault="009E20E9" w:rsidP="00F34DB6">
            <w:pPr>
              <w:rPr>
                <w:rFonts w:ascii="Arial Narrow" w:hAnsi="Arial Narrow"/>
                <w:b/>
                <w:bCs/>
                <w:i/>
                <w:sz w:val="18"/>
                <w:szCs w:val="18"/>
              </w:rPr>
            </w:pPr>
            <w:r w:rsidRPr="00940F72">
              <w:rPr>
                <w:rFonts w:ascii="Arial Narrow" w:hAnsi="Arial Narrow"/>
                <w:b/>
                <w:bCs/>
                <w:i/>
                <w:sz w:val="18"/>
                <w:szCs w:val="18"/>
              </w:rPr>
              <w:t xml:space="preserve">Administrative Advice: </w:t>
            </w:r>
          </w:p>
          <w:p w:rsidR="009E20E9" w:rsidRPr="00940F72" w:rsidRDefault="009E20E9" w:rsidP="00517ACD">
            <w:pPr>
              <w:rPr>
                <w:rFonts w:ascii="Arial Narrow" w:hAnsi="Arial Narrow"/>
                <w:i/>
                <w:iCs/>
                <w:sz w:val="18"/>
                <w:szCs w:val="18"/>
              </w:rPr>
            </w:pPr>
            <w:r w:rsidRPr="00940F72">
              <w:rPr>
                <w:rFonts w:ascii="Arial Narrow" w:hAnsi="Arial Narrow"/>
                <w:bCs/>
                <w:i/>
                <w:sz w:val="18"/>
                <w:szCs w:val="18"/>
              </w:rPr>
              <w:t>For the purposes of administering this restriction, current Bruton tyrosine kinase inhibitors are: acalabrutinib</w:t>
            </w:r>
            <w:r w:rsidR="00517ACD" w:rsidRPr="00940F72">
              <w:rPr>
                <w:rFonts w:ascii="Arial Narrow" w:hAnsi="Arial Narrow"/>
                <w:bCs/>
                <w:i/>
                <w:sz w:val="18"/>
                <w:szCs w:val="18"/>
              </w:rPr>
              <w:t xml:space="preserve"> [pending July 2021 PBAC outcome]</w:t>
            </w:r>
            <w:r w:rsidRPr="00940F72">
              <w:rPr>
                <w:rFonts w:ascii="Arial Narrow" w:hAnsi="Arial Narrow"/>
                <w:bCs/>
                <w:i/>
                <w:sz w:val="18"/>
                <w:szCs w:val="18"/>
              </w:rPr>
              <w:t>, ibrutinib, zanubrutinib.</w:t>
            </w:r>
          </w:p>
        </w:tc>
      </w:tr>
      <w:tr w:rsidR="009E20E9" w:rsidRPr="00940F72" w:rsidTr="00F34DB6">
        <w:tc>
          <w:tcPr>
            <w:tcW w:w="5000" w:type="pct"/>
            <w:gridSpan w:val="2"/>
            <w:vAlign w:val="center"/>
          </w:tcPr>
          <w:p w:rsidR="009E20E9" w:rsidRPr="00940F72" w:rsidRDefault="009E20E9" w:rsidP="00F34DB6">
            <w:pPr>
              <w:rPr>
                <w:rFonts w:ascii="Arial Narrow" w:hAnsi="Arial Narrow"/>
                <w:b/>
                <w:bCs/>
                <w:sz w:val="18"/>
                <w:szCs w:val="18"/>
              </w:rPr>
            </w:pPr>
          </w:p>
        </w:tc>
      </w:tr>
      <w:tr w:rsidR="009E20E9" w:rsidRPr="00940F72" w:rsidTr="00F34DB6">
        <w:tc>
          <w:tcPr>
            <w:tcW w:w="704" w:type="pct"/>
            <w:vMerge w:val="restart"/>
            <w:vAlign w:val="center"/>
          </w:tcPr>
          <w:p w:rsidR="009E20E9" w:rsidRPr="00940F72" w:rsidRDefault="009E20E9" w:rsidP="00F34DB6">
            <w:pPr>
              <w:jc w:val="center"/>
              <w:rPr>
                <w:rFonts w:ascii="Arial Narrow" w:hAnsi="Arial Narrow"/>
                <w:sz w:val="18"/>
                <w:szCs w:val="18"/>
              </w:rPr>
            </w:pPr>
          </w:p>
        </w:tc>
        <w:tc>
          <w:tcPr>
            <w:tcW w:w="4296" w:type="pct"/>
            <w:vAlign w:val="center"/>
            <w:hideMark/>
          </w:tcPr>
          <w:p w:rsidR="009E20E9" w:rsidRPr="00940F72" w:rsidRDefault="009E20E9" w:rsidP="00F34DB6">
            <w:pPr>
              <w:rPr>
                <w:rFonts w:ascii="Arial Narrow" w:hAnsi="Arial Narrow"/>
                <w:sz w:val="18"/>
                <w:szCs w:val="18"/>
              </w:rPr>
            </w:pPr>
            <w:r w:rsidRPr="00940F72">
              <w:rPr>
                <w:rFonts w:ascii="Arial Narrow" w:hAnsi="Arial Narrow"/>
                <w:b/>
                <w:bCs/>
                <w:sz w:val="18"/>
                <w:szCs w:val="18"/>
              </w:rPr>
              <w:t>Restriction summary:</w:t>
            </w:r>
            <w:r w:rsidRPr="00940F72">
              <w:rPr>
                <w:rFonts w:ascii="Arial Narrow" w:hAnsi="Arial Narrow"/>
                <w:sz w:val="18"/>
                <w:szCs w:val="18"/>
              </w:rPr>
              <w:t xml:space="preserve"> 10898 </w:t>
            </w:r>
            <w:r w:rsidRPr="00940F72">
              <w:rPr>
                <w:rFonts w:ascii="Arial Narrow" w:hAnsi="Arial Narrow"/>
                <w:i/>
                <w:iCs/>
                <w:sz w:val="18"/>
                <w:szCs w:val="18"/>
              </w:rPr>
              <w:t>(</w:t>
            </w:r>
            <w:r w:rsidR="003C47CE" w:rsidRPr="00940F72">
              <w:rPr>
                <w:rFonts w:ascii="Arial Narrow" w:hAnsi="Arial Narrow"/>
                <w:i/>
                <w:iCs/>
                <w:sz w:val="18"/>
                <w:szCs w:val="18"/>
              </w:rPr>
              <w:t xml:space="preserve">current </w:t>
            </w:r>
            <w:r w:rsidRPr="00940F72">
              <w:rPr>
                <w:rFonts w:ascii="Arial Narrow" w:hAnsi="Arial Narrow"/>
                <w:i/>
                <w:iCs/>
                <w:sz w:val="18"/>
                <w:szCs w:val="18"/>
              </w:rPr>
              <w:t>as at 1 July 2021</w:t>
            </w:r>
            <w:r w:rsidR="003C47CE" w:rsidRPr="00940F72">
              <w:rPr>
                <w:rFonts w:ascii="Arial Narrow" w:hAnsi="Arial Narrow"/>
                <w:i/>
                <w:iCs/>
                <w:sz w:val="18"/>
                <w:szCs w:val="18"/>
              </w:rPr>
              <w:t>; only relevant edits shown below</w:t>
            </w:r>
            <w:r w:rsidRPr="00940F72">
              <w:rPr>
                <w:rFonts w:ascii="Arial Narrow" w:hAnsi="Arial Narrow"/>
                <w:i/>
                <w:iCs/>
                <w:sz w:val="18"/>
                <w:szCs w:val="18"/>
              </w:rPr>
              <w:t>)</w:t>
            </w:r>
            <w:r w:rsidRPr="00940F72">
              <w:rPr>
                <w:rFonts w:ascii="Arial Narrow" w:hAnsi="Arial Narrow"/>
                <w:sz w:val="18"/>
                <w:szCs w:val="18"/>
              </w:rPr>
              <w:t xml:space="preserve"> – update to form New 3</w:t>
            </w:r>
          </w:p>
        </w:tc>
      </w:tr>
      <w:tr w:rsidR="009E20E9" w:rsidRPr="00940F72" w:rsidTr="00F34DB6">
        <w:tc>
          <w:tcPr>
            <w:tcW w:w="704" w:type="pct"/>
            <w:vMerge/>
            <w:vAlign w:val="center"/>
          </w:tcPr>
          <w:p w:rsidR="009E20E9" w:rsidRPr="00940F72" w:rsidRDefault="009E20E9" w:rsidP="00F34DB6">
            <w:pPr>
              <w:jc w:val="center"/>
              <w:rPr>
                <w:rFonts w:ascii="Arial Narrow" w:hAnsi="Arial Narrow"/>
                <w:sz w:val="18"/>
                <w:szCs w:val="18"/>
              </w:rPr>
            </w:pPr>
          </w:p>
        </w:tc>
        <w:tc>
          <w:tcPr>
            <w:tcW w:w="4296" w:type="pct"/>
            <w:vAlign w:val="center"/>
            <w:hideMark/>
          </w:tcPr>
          <w:p w:rsidR="009E20E9" w:rsidRPr="00940F72" w:rsidRDefault="009E20E9" w:rsidP="00F34DB6">
            <w:pPr>
              <w:rPr>
                <w:rFonts w:ascii="Arial Narrow" w:hAnsi="Arial Narrow"/>
                <w:sz w:val="18"/>
                <w:szCs w:val="18"/>
              </w:rPr>
            </w:pPr>
            <w:r w:rsidRPr="00940F72">
              <w:rPr>
                <w:rFonts w:ascii="Arial Narrow" w:hAnsi="Arial Narrow"/>
                <w:b/>
                <w:bCs/>
                <w:sz w:val="18"/>
                <w:szCs w:val="18"/>
              </w:rPr>
              <w:t>Treatment Phase:</w:t>
            </w:r>
            <w:r w:rsidRPr="00940F72">
              <w:rPr>
                <w:rFonts w:ascii="Arial Narrow" w:hAnsi="Arial Narrow"/>
                <w:sz w:val="18"/>
                <w:szCs w:val="18"/>
              </w:rPr>
              <w:t xml:space="preserve"> Continuing treatment</w:t>
            </w:r>
          </w:p>
        </w:tc>
      </w:tr>
      <w:tr w:rsidR="009E20E9" w:rsidRPr="00940F72" w:rsidTr="006E0E80">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hideMark/>
          </w:tcPr>
          <w:p w:rsidR="009E20E9" w:rsidRPr="00940F72" w:rsidRDefault="009E20E9" w:rsidP="00F34DB6">
            <w:pPr>
              <w:rPr>
                <w:rFonts w:ascii="Arial Narrow" w:hAnsi="Arial Narrow"/>
                <w:sz w:val="18"/>
                <w:szCs w:val="18"/>
              </w:rPr>
            </w:pPr>
            <w:r w:rsidRPr="00940F72">
              <w:rPr>
                <w:rFonts w:ascii="Arial Narrow" w:hAnsi="Arial Narrow"/>
                <w:b/>
                <w:bCs/>
                <w:sz w:val="18"/>
                <w:szCs w:val="18"/>
              </w:rPr>
              <w:t>Clinical criteria:</w:t>
            </w:r>
          </w:p>
        </w:tc>
      </w:tr>
      <w:tr w:rsidR="009E20E9" w:rsidRPr="00940F72" w:rsidTr="00F34DB6">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tcPr>
          <w:p w:rsidR="009E20E9" w:rsidRPr="00940F72" w:rsidRDefault="009E20E9" w:rsidP="00F34DB6">
            <w:pPr>
              <w:rPr>
                <w:rFonts w:ascii="Arial Narrow" w:hAnsi="Arial Narrow"/>
                <w:strike/>
                <w:sz w:val="18"/>
                <w:szCs w:val="18"/>
              </w:rPr>
            </w:pPr>
            <w:r w:rsidRPr="00940F72">
              <w:rPr>
                <w:rFonts w:ascii="Arial Narrow" w:hAnsi="Arial Narrow"/>
                <w:strike/>
                <w:sz w:val="18"/>
                <w:szCs w:val="18"/>
              </w:rPr>
              <w:t>Patient must not develop disease progression while receiving PBS-subsidised treatment with this drug for this condition</w:t>
            </w:r>
          </w:p>
        </w:tc>
      </w:tr>
      <w:tr w:rsidR="009E20E9" w:rsidRPr="00940F72" w:rsidTr="00F34DB6">
        <w:tc>
          <w:tcPr>
            <w:tcW w:w="704" w:type="pct"/>
            <w:vAlign w:val="center"/>
          </w:tcPr>
          <w:p w:rsidR="009E20E9" w:rsidRPr="00940F72" w:rsidRDefault="009E20E9" w:rsidP="00F34DB6">
            <w:pPr>
              <w:jc w:val="center"/>
              <w:rPr>
                <w:rFonts w:ascii="Arial Narrow" w:hAnsi="Arial Narrow"/>
                <w:sz w:val="18"/>
                <w:szCs w:val="18"/>
              </w:rPr>
            </w:pPr>
          </w:p>
        </w:tc>
        <w:tc>
          <w:tcPr>
            <w:tcW w:w="4296" w:type="pct"/>
            <w:vAlign w:val="center"/>
          </w:tcPr>
          <w:p w:rsidR="009E20E9" w:rsidRPr="00940F72" w:rsidRDefault="009E20E9" w:rsidP="00F34DB6">
            <w:pPr>
              <w:rPr>
                <w:rFonts w:ascii="Arial Narrow" w:hAnsi="Arial Narrow"/>
                <w:iCs/>
                <w:sz w:val="18"/>
                <w:szCs w:val="18"/>
              </w:rPr>
            </w:pPr>
            <w:r w:rsidRPr="00940F72">
              <w:rPr>
                <w:rFonts w:ascii="Arial Narrow" w:hAnsi="Arial Narrow"/>
                <w:iCs/>
                <w:sz w:val="18"/>
                <w:szCs w:val="18"/>
              </w:rPr>
              <w:t>Patient must not have developed disease progression while being treated with this drug for this condition.</w:t>
            </w:r>
          </w:p>
        </w:tc>
      </w:tr>
    </w:tbl>
    <w:p w:rsidR="009E20E9" w:rsidRPr="00C56135" w:rsidRDefault="009E20E9" w:rsidP="009E20E9">
      <w:pPr>
        <w:rPr>
          <w:b/>
        </w:rPr>
      </w:pPr>
    </w:p>
    <w:p w:rsidR="008F3D95" w:rsidRDefault="00DB4BE0" w:rsidP="00053418">
      <w:pPr>
        <w:jc w:val="left"/>
        <w:rPr>
          <w:rFonts w:asciiTheme="minorHAnsi" w:hAnsiTheme="minorHAnsi"/>
          <w:b/>
          <w:szCs w:val="22"/>
        </w:rPr>
      </w:pPr>
      <w:r w:rsidRPr="00C56135">
        <w:rPr>
          <w:rFonts w:asciiTheme="minorHAnsi" w:hAnsiTheme="minorHAnsi"/>
          <w:b/>
          <w:i/>
          <w:szCs w:val="22"/>
        </w:rPr>
        <w:t>This restriction may be subject to further review. Should there be any changes made to the restriction the sponsor will be informed</w:t>
      </w:r>
      <w:r w:rsidRPr="00C56135">
        <w:rPr>
          <w:rFonts w:asciiTheme="minorHAnsi" w:hAnsiTheme="minorHAnsi"/>
          <w:b/>
          <w:szCs w:val="22"/>
        </w:rPr>
        <w:t>.</w:t>
      </w:r>
    </w:p>
    <w:p w:rsidR="006E0E80" w:rsidRDefault="006E0E80" w:rsidP="00053418">
      <w:pPr>
        <w:jc w:val="left"/>
        <w:rPr>
          <w:rFonts w:asciiTheme="minorHAnsi" w:hAnsiTheme="minorHAnsi"/>
          <w:b/>
          <w:szCs w:val="22"/>
        </w:rPr>
      </w:pPr>
    </w:p>
    <w:p w:rsidR="006E0E80" w:rsidRPr="006E0E80" w:rsidRDefault="006E0E80" w:rsidP="006E0E80">
      <w:pPr>
        <w:pStyle w:val="2-SectionHeading"/>
        <w:numPr>
          <w:ilvl w:val="0"/>
          <w:numId w:val="1"/>
        </w:numPr>
      </w:pPr>
      <w:r w:rsidRPr="00C07617">
        <w:t>Context for Decision</w:t>
      </w:r>
    </w:p>
    <w:p w:rsidR="006E0E80" w:rsidRPr="007129F2" w:rsidRDefault="006E0E80" w:rsidP="006E0E80">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E0E80" w:rsidRPr="006E0E80" w:rsidRDefault="006E0E80" w:rsidP="006E0E80">
      <w:pPr>
        <w:pStyle w:val="2-SectionHeading"/>
        <w:numPr>
          <w:ilvl w:val="0"/>
          <w:numId w:val="1"/>
        </w:numPr>
      </w:pPr>
      <w:r>
        <w:t>Sponsor’s Comment</w:t>
      </w:r>
    </w:p>
    <w:p w:rsidR="006E0E80" w:rsidRPr="001179AC" w:rsidRDefault="006E0E80" w:rsidP="006E0E80">
      <w:pPr>
        <w:spacing w:after="120"/>
        <w:ind w:left="426" w:firstLine="294"/>
        <w:rPr>
          <w:bCs/>
        </w:rPr>
      </w:pPr>
      <w:r w:rsidRPr="00C07617">
        <w:rPr>
          <w:bCs/>
        </w:rPr>
        <w:t>The sponsor had no comment.</w:t>
      </w:r>
    </w:p>
    <w:p w:rsidR="006E0E80" w:rsidRPr="00C56135" w:rsidRDefault="006E0E80" w:rsidP="00053418">
      <w:pPr>
        <w:jc w:val="left"/>
        <w:rPr>
          <w:rFonts w:cs="Calibri"/>
          <w:b/>
          <w:snapToGrid w:val="0"/>
        </w:rPr>
      </w:pPr>
    </w:p>
    <w:sectPr w:rsidR="006E0E80" w:rsidRPr="00C56135" w:rsidSect="00D51717">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60" w:rsidRDefault="00C13E60" w:rsidP="00124A51">
      <w:r>
        <w:separator/>
      </w:r>
    </w:p>
    <w:p w:rsidR="00C13E60" w:rsidRDefault="00C13E60"/>
  </w:endnote>
  <w:endnote w:type="continuationSeparator" w:id="0">
    <w:p w:rsidR="00C13E60" w:rsidRDefault="00C13E60" w:rsidP="00124A51">
      <w:r>
        <w:continuationSeparator/>
      </w:r>
    </w:p>
    <w:p w:rsidR="00C13E60" w:rsidRDefault="00C1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60" w:rsidRDefault="00C1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80" w:rsidRDefault="006E0E80">
    <w:pPr>
      <w:pStyle w:val="Footer"/>
    </w:pPr>
  </w:p>
  <w:p w:rsidR="006E0E80" w:rsidRPr="00766DB4" w:rsidRDefault="006E0E80" w:rsidP="00766DB4">
    <w:pPr>
      <w:pStyle w:val="Footer"/>
      <w:jc w:val="center"/>
      <w:rPr>
        <w:b/>
      </w:rPr>
    </w:pPr>
    <w:r w:rsidRPr="00766DB4">
      <w:rPr>
        <w:b/>
      </w:rPr>
      <w:fldChar w:fldCharType="begin"/>
    </w:r>
    <w:r w:rsidRPr="00766DB4">
      <w:rPr>
        <w:b/>
      </w:rPr>
      <w:instrText xml:space="preserve"> PAGE   \* MERGEFORMAT </w:instrText>
    </w:r>
    <w:r w:rsidRPr="00766DB4">
      <w:rPr>
        <w:b/>
      </w:rPr>
      <w:fldChar w:fldCharType="separate"/>
    </w:r>
    <w:r w:rsidR="00D45843">
      <w:rPr>
        <w:b/>
        <w:noProof/>
      </w:rPr>
      <w:t>37</w:t>
    </w:r>
    <w:r w:rsidRPr="00766DB4">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60" w:rsidRDefault="00C1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60" w:rsidRDefault="00C13E60" w:rsidP="00124A51">
      <w:r>
        <w:separator/>
      </w:r>
    </w:p>
    <w:p w:rsidR="00C13E60" w:rsidRDefault="00C13E60"/>
  </w:footnote>
  <w:footnote w:type="continuationSeparator" w:id="0">
    <w:p w:rsidR="00C13E60" w:rsidRDefault="00C13E60" w:rsidP="00124A51">
      <w:r>
        <w:continuationSeparator/>
      </w:r>
    </w:p>
    <w:p w:rsidR="00C13E60" w:rsidRDefault="00C13E60"/>
  </w:footnote>
  <w:footnote w:id="1">
    <w:p w:rsidR="006E0E80" w:rsidRPr="00463E68" w:rsidRDefault="006E0E80" w:rsidP="00955300">
      <w:pPr>
        <w:pStyle w:val="FootnoteText"/>
        <w:rPr>
          <w:iCs/>
        </w:rPr>
      </w:pPr>
      <w:r w:rsidRPr="009A5A08">
        <w:rPr>
          <w:rStyle w:val="FootnoteReference"/>
          <w:iCs/>
        </w:rPr>
        <w:footnoteRef/>
      </w:r>
      <w:r w:rsidRPr="009A5A08">
        <w:rPr>
          <w:iCs/>
        </w:rPr>
        <w:t xml:space="preserve"> </w:t>
      </w:r>
      <w:r w:rsidRPr="00463E68">
        <w:rPr>
          <w:iCs/>
        </w:rPr>
        <w:t>Rule S, Jurczak W, Jerkeman M, Rusconi C, Trneny M, Offner F, Caballero D, Joao C, Witzens-Harig M, Hess G, Bence-Bruckler I. Ibrutinib versus temsirolimus: 3-year follow-up of patients with previously treated mantle cell lymphoma from the phase 3, international, randomized, open-label RAY study. Leukemia. 2018 Aug;32(8):1799-803.</w:t>
      </w:r>
    </w:p>
    <w:p w:rsidR="006E0E80" w:rsidRPr="00463E68" w:rsidRDefault="006E0E80" w:rsidP="00955300">
      <w:pPr>
        <w:pStyle w:val="FootnoteText"/>
        <w:rPr>
          <w:lang w:val="en-US"/>
        </w:rPr>
      </w:pPr>
      <w:r w:rsidRPr="00463E68">
        <w:rPr>
          <w:iCs/>
          <w:lang w:val="en-US"/>
        </w:rPr>
        <w:t>Wang ML, Blum KA, Martin P, Goy A, Auer R, Kahl BS, Jurczak W, Advani RH, Romaguera JE, Williams ME, Barrientos JC. Long-term follow-up of MCL patients treated with single-agent ibrutinib: updated safety and efficacy results. Blood. 2015 Aug 6;126(6):739-45</w:t>
      </w:r>
      <w:r w:rsidRPr="00463E68">
        <w:rPr>
          <w:lang w:val="en-US"/>
        </w:rPr>
        <w:t>.</w:t>
      </w:r>
    </w:p>
  </w:footnote>
  <w:footnote w:id="2">
    <w:p w:rsidR="006E0E80" w:rsidRPr="00F41963" w:rsidRDefault="006E0E80" w:rsidP="00955300">
      <w:pPr>
        <w:pStyle w:val="FootnoteText"/>
        <w:rPr>
          <w:lang w:val="en-US"/>
        </w:rPr>
      </w:pPr>
      <w:r>
        <w:rPr>
          <w:rStyle w:val="FootnoteReference"/>
        </w:rPr>
        <w:footnoteRef/>
      </w:r>
      <w:r>
        <w:t xml:space="preserve"> </w:t>
      </w:r>
      <w:r w:rsidRPr="00466927">
        <w:t>Rule S, Dreyling M, Goy A, Hess G, Auer R, Kahl B, Cavazos N, Liu B, Yang S, Clow F, Goldberg JD. Outcomes in 370 patients with mantle cell lymphoma treated with ibrutinib: a pooled analysis from three open‐label studies. British journal of haematology. 2017 Nov;179(3):430-8</w:t>
      </w:r>
      <w:r>
        <w:t>.</w:t>
      </w:r>
    </w:p>
  </w:footnote>
  <w:footnote w:id="3">
    <w:p w:rsidR="006E0E80" w:rsidRPr="00463E68" w:rsidRDefault="006E0E80" w:rsidP="00955300">
      <w:pPr>
        <w:pStyle w:val="FootnoteText"/>
        <w:rPr>
          <w:iCs/>
          <w:lang w:val="en-US"/>
        </w:rPr>
      </w:pPr>
      <w:r w:rsidRPr="00867EF0">
        <w:rPr>
          <w:rStyle w:val="FootnoteReference"/>
          <w:i/>
          <w:iCs/>
        </w:rPr>
        <w:footnoteRef/>
      </w:r>
      <w:r w:rsidRPr="00867EF0">
        <w:rPr>
          <w:i/>
          <w:iCs/>
        </w:rPr>
        <w:t xml:space="preserve"> </w:t>
      </w:r>
      <w:r w:rsidRPr="00463E68">
        <w:rPr>
          <w:iCs/>
        </w:rPr>
        <w:t>PHILLIPPO, D. M., ADES, A. E., DIAS, S., PALMER, S., ABRAMS, K. R. &amp; WELTON, N. J. 2018. Methods for Population-Adjusted Indirect Comparisons in Health Technology Appraisal. Med Decis Making, 38, 200-211.</w:t>
      </w:r>
    </w:p>
  </w:footnote>
  <w:footnote w:id="4">
    <w:p w:rsidR="006E0E80" w:rsidRDefault="006E0E80" w:rsidP="002511BE">
      <w:pPr>
        <w:pStyle w:val="PlainText"/>
      </w:pPr>
      <w:r>
        <w:rPr>
          <w:rStyle w:val="FootnoteReference"/>
        </w:rPr>
        <w:footnoteRef/>
      </w:r>
      <w:r>
        <w:t xml:space="preserve"> </w:t>
      </w:r>
      <w:r w:rsidRPr="00616FEB">
        <w:rPr>
          <w:sz w:val="20"/>
        </w:rPr>
        <w:t xml:space="preserve">First interim analysis of ALPINE study: results of a phase 3 randomized study of zanubrutinib vs ibrutinib in patients with relapsed/refractory chronic lymphocytic leukemia/small lymphocytic lymphoma by Peter Hillmen. EHA Library; Jun 11 2021; </w:t>
      </w:r>
      <w:hyperlink r:id="rId1" w:history="1">
        <w:r w:rsidRPr="00616FEB">
          <w:rPr>
            <w:rStyle w:val="Hyperlink"/>
            <w:sz w:val="20"/>
          </w:rPr>
          <w:t>https://library.ehaweb.org/eha/2021/eha2021-virtual-congress/330170/peter.hillmen.first.interim.analysis.of.alpine.study.results.of.a.phase.3.html?f=menu=6*browseby=8*sortby=2*media=3*ce_id=2035*marker=1284*featured=17286</w:t>
        </w:r>
      </w:hyperlink>
    </w:p>
  </w:footnote>
  <w:footnote w:id="5">
    <w:p w:rsidR="006E0E80" w:rsidRDefault="006E0E80" w:rsidP="00FC6F7E">
      <w:pPr>
        <w:pStyle w:val="FootnoteText"/>
      </w:pPr>
    </w:p>
    <w:p w:rsidR="006E0E80" w:rsidRDefault="006E0E80" w:rsidP="00FC6F7E">
      <w:pPr>
        <w:pStyle w:val="FootnoteText"/>
      </w:pPr>
      <w:r>
        <w:rPr>
          <w:rStyle w:val="FootnoteReference"/>
        </w:rPr>
        <w:footnoteRef/>
      </w:r>
      <w:r>
        <w:t xml:space="preserve"> Multiple approaches refers to 1) Side-by-side comparison between single-arm zanubrutinib studies (Study 206 and Study AU-003) and the ibrutinib studies (PCYC-1104, MCL-2001/SPARK, MCL-3001/RAY and MCL-2002); 2) A naïve indirect comparison of zanubrutinib and pooled ibrutinib studies; and 3) An unanchored matching adjusted indirect comparison, which was used as a base case to support the clinical claim of non-inferior efficacy.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60" w:rsidRDefault="00C13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80" w:rsidRPr="00766DB4" w:rsidRDefault="006E0E80" w:rsidP="00766DB4">
    <w:pPr>
      <w:jc w:val="center"/>
      <w:rPr>
        <w:i/>
      </w:rPr>
    </w:pPr>
    <w:r w:rsidRPr="006E0E80">
      <w:rPr>
        <w:i/>
      </w:rPr>
      <w:t xml:space="preserve">Public Summary Document </w:t>
    </w:r>
    <w:r w:rsidRPr="00766DB4">
      <w:rPr>
        <w:i/>
      </w:rPr>
      <w:t xml:space="preserve">– </w:t>
    </w:r>
    <w:r>
      <w:rPr>
        <w:i/>
      </w:rPr>
      <w:t>July</w:t>
    </w:r>
    <w:r w:rsidRPr="00766DB4">
      <w:rPr>
        <w:i/>
      </w:rPr>
      <w:t xml:space="preserve"> 2021 PBAC Meeting</w:t>
    </w:r>
  </w:p>
  <w:p w:rsidR="006E0E80" w:rsidRDefault="006E0E80" w:rsidP="00766D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60" w:rsidRDefault="00C1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CAB9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5704B"/>
    <w:multiLevelType w:val="hybridMultilevel"/>
    <w:tmpl w:val="76B0C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B4A5B"/>
    <w:multiLevelType w:val="multilevel"/>
    <w:tmpl w:val="8DF42D32"/>
    <w:lvl w:ilvl="0">
      <w:start w:val="7"/>
      <w:numFmt w:val="decimal"/>
      <w:lvlText w:val="%1"/>
      <w:lvlJc w:val="left"/>
      <w:pPr>
        <w:ind w:left="360" w:hanging="360"/>
      </w:pPr>
      <w:rPr>
        <w:rFonts w:ascii="Times New Roman" w:hAnsi="Times New Roman" w:cs="Times New Roman" w:hint="default"/>
        <w:sz w:val="20"/>
      </w:rPr>
    </w:lvl>
    <w:lvl w:ilvl="1">
      <w:start w:val="5"/>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7" w15:restartNumberingAfterBreak="0">
    <w:nsid w:val="1E0E2608"/>
    <w:multiLevelType w:val="hybridMultilevel"/>
    <w:tmpl w:val="C916F2CE"/>
    <w:lvl w:ilvl="0" w:tplc="0D306A7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C91730"/>
    <w:multiLevelType w:val="hybridMultilevel"/>
    <w:tmpl w:val="FBA69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967211"/>
    <w:multiLevelType w:val="hybridMultilevel"/>
    <w:tmpl w:val="77E88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60211"/>
    <w:multiLevelType w:val="hybridMultilevel"/>
    <w:tmpl w:val="FDC40F0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5" w15:restartNumberingAfterBreak="0">
    <w:nsid w:val="3BBA204C"/>
    <w:multiLevelType w:val="hybridMultilevel"/>
    <w:tmpl w:val="89A2A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71F12"/>
    <w:multiLevelType w:val="hybridMultilevel"/>
    <w:tmpl w:val="502C1E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C49D2"/>
    <w:multiLevelType w:val="hybridMultilevel"/>
    <w:tmpl w:val="7C4A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487030"/>
    <w:multiLevelType w:val="hybridMultilevel"/>
    <w:tmpl w:val="4658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197C68"/>
    <w:multiLevelType w:val="hybridMultilevel"/>
    <w:tmpl w:val="8378FA5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3A2637B"/>
    <w:multiLevelType w:val="hybridMultilevel"/>
    <w:tmpl w:val="411A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C1163"/>
    <w:multiLevelType w:val="hybridMultilevel"/>
    <w:tmpl w:val="6992A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C1FBC"/>
    <w:multiLevelType w:val="hybridMultilevel"/>
    <w:tmpl w:val="19285AF8"/>
    <w:lvl w:ilvl="0" w:tplc="6140541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F46203"/>
    <w:multiLevelType w:val="hybridMultilevel"/>
    <w:tmpl w:val="D422A736"/>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0C1CA1"/>
    <w:multiLevelType w:val="hybridMultilevel"/>
    <w:tmpl w:val="5E100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2F6FAB"/>
    <w:multiLevelType w:val="hybridMultilevel"/>
    <w:tmpl w:val="D85822C8"/>
    <w:lvl w:ilvl="0" w:tplc="A8122C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8EF5B4F"/>
    <w:multiLevelType w:val="hybridMultilevel"/>
    <w:tmpl w:val="74126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F0169"/>
    <w:multiLevelType w:val="hybridMultilevel"/>
    <w:tmpl w:val="51CC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7E05AB"/>
    <w:multiLevelType w:val="hybridMultilevel"/>
    <w:tmpl w:val="49C80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3"/>
  </w:num>
  <w:num w:numId="4">
    <w:abstractNumId w:val="0"/>
  </w:num>
  <w:num w:numId="5">
    <w:abstractNumId w:val="35"/>
  </w:num>
  <w:num w:numId="6">
    <w:abstractNumId w:val="8"/>
  </w:num>
  <w:num w:numId="7">
    <w:abstractNumId w:val="36"/>
  </w:num>
  <w:num w:numId="8">
    <w:abstractNumId w:val="20"/>
  </w:num>
  <w:num w:numId="9">
    <w:abstractNumId w:val="15"/>
  </w:num>
  <w:num w:numId="10">
    <w:abstractNumId w:val="24"/>
  </w:num>
  <w:num w:numId="11">
    <w:abstractNumId w:val="37"/>
  </w:num>
  <w:num w:numId="12">
    <w:abstractNumId w:val="22"/>
  </w:num>
  <w:num w:numId="13">
    <w:abstractNumId w:val="5"/>
  </w:num>
  <w:num w:numId="14">
    <w:abstractNumId w:val="14"/>
  </w:num>
  <w:num w:numId="15">
    <w:abstractNumId w:val="19"/>
  </w:num>
  <w:num w:numId="16">
    <w:abstractNumId w:val="4"/>
  </w:num>
  <w:num w:numId="17">
    <w:abstractNumId w:val="29"/>
  </w:num>
  <w:num w:numId="18">
    <w:abstractNumId w:val="31"/>
  </w:num>
  <w:num w:numId="19">
    <w:abstractNumId w:val="32"/>
  </w:num>
  <w:num w:numId="20">
    <w:abstractNumId w:val="27"/>
  </w:num>
  <w:num w:numId="21">
    <w:abstractNumId w:val="10"/>
  </w:num>
  <w:num w:numId="22">
    <w:abstractNumId w:val="7"/>
  </w:num>
  <w:num w:numId="23">
    <w:abstractNumId w:val="17"/>
  </w:num>
  <w:num w:numId="24">
    <w:abstractNumId w:val="25"/>
  </w:num>
  <w:num w:numId="25">
    <w:abstractNumId w:val="23"/>
  </w:num>
  <w:num w:numId="26">
    <w:abstractNumId w:val="34"/>
  </w:num>
  <w:num w:numId="27">
    <w:abstractNumId w:val="18"/>
  </w:num>
  <w:num w:numId="28">
    <w:abstractNumId w:val="16"/>
  </w:num>
  <w:num w:numId="29">
    <w:abstractNumId w:val="2"/>
  </w:num>
  <w:num w:numId="30">
    <w:abstractNumId w:val="28"/>
  </w:num>
  <w:num w:numId="31">
    <w:abstractNumId w:val="33"/>
  </w:num>
  <w:num w:numId="32">
    <w:abstractNumId w:val="26"/>
  </w:num>
  <w:num w:numId="33">
    <w:abstractNumId w:val="3"/>
  </w:num>
  <w:num w:numId="34">
    <w:abstractNumId w:val="1"/>
  </w:num>
  <w:num w:numId="35">
    <w:abstractNumId w:val="11"/>
  </w:num>
  <w:num w:numId="36">
    <w:abstractNumId w:val="13"/>
  </w:num>
  <w:num w:numId="37">
    <w:abstractNumId w:val="9"/>
  </w:num>
  <w:num w:numId="3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6"/>
  </w:num>
  <w:num w:numId="41">
    <w:abstractNumId w:val="12"/>
  </w:num>
  <w:num w:numId="42">
    <w:abstractNumId w:val="35"/>
  </w:num>
  <w:num w:numId="43">
    <w:abstractNumId w:val="35"/>
  </w:num>
  <w:num w:numId="4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64FAOXFsfQtAAAA"/>
  </w:docVars>
  <w:rsids>
    <w:rsidRoot w:val="00E65E79"/>
    <w:rsid w:val="00000790"/>
    <w:rsid w:val="0000110B"/>
    <w:rsid w:val="000018F6"/>
    <w:rsid w:val="00002521"/>
    <w:rsid w:val="00003499"/>
    <w:rsid w:val="000039B7"/>
    <w:rsid w:val="000042AE"/>
    <w:rsid w:val="0000639A"/>
    <w:rsid w:val="00006874"/>
    <w:rsid w:val="00010953"/>
    <w:rsid w:val="00012DA1"/>
    <w:rsid w:val="00013247"/>
    <w:rsid w:val="00013F98"/>
    <w:rsid w:val="00014537"/>
    <w:rsid w:val="00015886"/>
    <w:rsid w:val="000162EF"/>
    <w:rsid w:val="000167A5"/>
    <w:rsid w:val="000207C9"/>
    <w:rsid w:val="000211F4"/>
    <w:rsid w:val="0002225F"/>
    <w:rsid w:val="00022511"/>
    <w:rsid w:val="00022974"/>
    <w:rsid w:val="00022BA5"/>
    <w:rsid w:val="00023763"/>
    <w:rsid w:val="0002678B"/>
    <w:rsid w:val="000274B8"/>
    <w:rsid w:val="000329F1"/>
    <w:rsid w:val="00033863"/>
    <w:rsid w:val="00035DC0"/>
    <w:rsid w:val="00035F52"/>
    <w:rsid w:val="00036829"/>
    <w:rsid w:val="000376EA"/>
    <w:rsid w:val="00040338"/>
    <w:rsid w:val="00040895"/>
    <w:rsid w:val="000435EE"/>
    <w:rsid w:val="00043C37"/>
    <w:rsid w:val="000444D7"/>
    <w:rsid w:val="0004495C"/>
    <w:rsid w:val="00045017"/>
    <w:rsid w:val="00045A2B"/>
    <w:rsid w:val="0004698F"/>
    <w:rsid w:val="00046A88"/>
    <w:rsid w:val="00051AC9"/>
    <w:rsid w:val="00053418"/>
    <w:rsid w:val="000539D0"/>
    <w:rsid w:val="00053FD3"/>
    <w:rsid w:val="00054621"/>
    <w:rsid w:val="000546D7"/>
    <w:rsid w:val="000565F3"/>
    <w:rsid w:val="00056E8C"/>
    <w:rsid w:val="00056ECF"/>
    <w:rsid w:val="000604DF"/>
    <w:rsid w:val="00060A1F"/>
    <w:rsid w:val="0006103A"/>
    <w:rsid w:val="00063EC7"/>
    <w:rsid w:val="00064948"/>
    <w:rsid w:val="000653B5"/>
    <w:rsid w:val="00066360"/>
    <w:rsid w:val="00066AF8"/>
    <w:rsid w:val="00066F32"/>
    <w:rsid w:val="00071248"/>
    <w:rsid w:val="000715DA"/>
    <w:rsid w:val="000720B9"/>
    <w:rsid w:val="000731DE"/>
    <w:rsid w:val="00073735"/>
    <w:rsid w:val="000737F7"/>
    <w:rsid w:val="00075E64"/>
    <w:rsid w:val="0007672F"/>
    <w:rsid w:val="00076B54"/>
    <w:rsid w:val="000774F0"/>
    <w:rsid w:val="0008068E"/>
    <w:rsid w:val="00080909"/>
    <w:rsid w:val="00081050"/>
    <w:rsid w:val="000812CA"/>
    <w:rsid w:val="00081B29"/>
    <w:rsid w:val="00081E63"/>
    <w:rsid w:val="0008258D"/>
    <w:rsid w:val="00083E99"/>
    <w:rsid w:val="00084FA8"/>
    <w:rsid w:val="000856C5"/>
    <w:rsid w:val="00085C31"/>
    <w:rsid w:val="00087310"/>
    <w:rsid w:val="000902D9"/>
    <w:rsid w:val="00090C7E"/>
    <w:rsid w:val="0009253B"/>
    <w:rsid w:val="00092600"/>
    <w:rsid w:val="0009262B"/>
    <w:rsid w:val="00093310"/>
    <w:rsid w:val="0009445C"/>
    <w:rsid w:val="00095200"/>
    <w:rsid w:val="0009553F"/>
    <w:rsid w:val="00095FE5"/>
    <w:rsid w:val="00096284"/>
    <w:rsid w:val="00096DE4"/>
    <w:rsid w:val="00097234"/>
    <w:rsid w:val="000A1BC0"/>
    <w:rsid w:val="000A6039"/>
    <w:rsid w:val="000A7453"/>
    <w:rsid w:val="000A7D08"/>
    <w:rsid w:val="000B0121"/>
    <w:rsid w:val="000B0670"/>
    <w:rsid w:val="000B0E75"/>
    <w:rsid w:val="000B1537"/>
    <w:rsid w:val="000B2DCB"/>
    <w:rsid w:val="000B44E1"/>
    <w:rsid w:val="000B5A3F"/>
    <w:rsid w:val="000B5CE0"/>
    <w:rsid w:val="000B68E1"/>
    <w:rsid w:val="000B6CAC"/>
    <w:rsid w:val="000B7612"/>
    <w:rsid w:val="000B78AE"/>
    <w:rsid w:val="000C0679"/>
    <w:rsid w:val="000C0799"/>
    <w:rsid w:val="000C24B5"/>
    <w:rsid w:val="000C3C05"/>
    <w:rsid w:val="000C3D0B"/>
    <w:rsid w:val="000C3DD4"/>
    <w:rsid w:val="000C3DF9"/>
    <w:rsid w:val="000C6713"/>
    <w:rsid w:val="000C762B"/>
    <w:rsid w:val="000D1BFC"/>
    <w:rsid w:val="000D1D5D"/>
    <w:rsid w:val="000D281A"/>
    <w:rsid w:val="000D2848"/>
    <w:rsid w:val="000D326A"/>
    <w:rsid w:val="000D35B1"/>
    <w:rsid w:val="000D50FC"/>
    <w:rsid w:val="000D51FB"/>
    <w:rsid w:val="000D5C45"/>
    <w:rsid w:val="000D6EED"/>
    <w:rsid w:val="000D7915"/>
    <w:rsid w:val="000D7B95"/>
    <w:rsid w:val="000E0640"/>
    <w:rsid w:val="000E0D44"/>
    <w:rsid w:val="000E135D"/>
    <w:rsid w:val="000E1456"/>
    <w:rsid w:val="000E1D9A"/>
    <w:rsid w:val="000E4756"/>
    <w:rsid w:val="000E5780"/>
    <w:rsid w:val="000F00BA"/>
    <w:rsid w:val="000F092D"/>
    <w:rsid w:val="000F316A"/>
    <w:rsid w:val="000F381A"/>
    <w:rsid w:val="000F3C74"/>
    <w:rsid w:val="000F3E34"/>
    <w:rsid w:val="000F4BB8"/>
    <w:rsid w:val="000F4F4D"/>
    <w:rsid w:val="000F4FA9"/>
    <w:rsid w:val="000F53FB"/>
    <w:rsid w:val="000F7127"/>
    <w:rsid w:val="000F770E"/>
    <w:rsid w:val="000F7B54"/>
    <w:rsid w:val="0010034B"/>
    <w:rsid w:val="001007D0"/>
    <w:rsid w:val="00100F8A"/>
    <w:rsid w:val="00103654"/>
    <w:rsid w:val="0010452E"/>
    <w:rsid w:val="00104D84"/>
    <w:rsid w:val="0010565D"/>
    <w:rsid w:val="00105AE2"/>
    <w:rsid w:val="00105BA4"/>
    <w:rsid w:val="001060C6"/>
    <w:rsid w:val="00106B80"/>
    <w:rsid w:val="00106FA4"/>
    <w:rsid w:val="001101AD"/>
    <w:rsid w:val="0011032E"/>
    <w:rsid w:val="001110A2"/>
    <w:rsid w:val="00111E31"/>
    <w:rsid w:val="0011348B"/>
    <w:rsid w:val="00113803"/>
    <w:rsid w:val="00115982"/>
    <w:rsid w:val="00116C53"/>
    <w:rsid w:val="00116DEB"/>
    <w:rsid w:val="00121799"/>
    <w:rsid w:val="001222FC"/>
    <w:rsid w:val="00122812"/>
    <w:rsid w:val="001230D4"/>
    <w:rsid w:val="00123902"/>
    <w:rsid w:val="00123DE0"/>
    <w:rsid w:val="00123FBB"/>
    <w:rsid w:val="00124A51"/>
    <w:rsid w:val="0012516C"/>
    <w:rsid w:val="001257B6"/>
    <w:rsid w:val="00126621"/>
    <w:rsid w:val="00126971"/>
    <w:rsid w:val="00126B1D"/>
    <w:rsid w:val="00130131"/>
    <w:rsid w:val="001301E9"/>
    <w:rsid w:val="00131D82"/>
    <w:rsid w:val="00132B22"/>
    <w:rsid w:val="00133D36"/>
    <w:rsid w:val="0013436A"/>
    <w:rsid w:val="00135B41"/>
    <w:rsid w:val="00136979"/>
    <w:rsid w:val="00137645"/>
    <w:rsid w:val="0014001D"/>
    <w:rsid w:val="0014015A"/>
    <w:rsid w:val="00140E99"/>
    <w:rsid w:val="00141952"/>
    <w:rsid w:val="0014242E"/>
    <w:rsid w:val="00143F67"/>
    <w:rsid w:val="00145540"/>
    <w:rsid w:val="0014563C"/>
    <w:rsid w:val="001456B0"/>
    <w:rsid w:val="00152F01"/>
    <w:rsid w:val="00154D21"/>
    <w:rsid w:val="00156F8F"/>
    <w:rsid w:val="00157130"/>
    <w:rsid w:val="001576B1"/>
    <w:rsid w:val="00157B27"/>
    <w:rsid w:val="0016047B"/>
    <w:rsid w:val="001606F0"/>
    <w:rsid w:val="00160A4C"/>
    <w:rsid w:val="00160C6E"/>
    <w:rsid w:val="00162913"/>
    <w:rsid w:val="00162C76"/>
    <w:rsid w:val="00163EFF"/>
    <w:rsid w:val="00163F66"/>
    <w:rsid w:val="001655E3"/>
    <w:rsid w:val="00165C7C"/>
    <w:rsid w:val="00165E62"/>
    <w:rsid w:val="00166121"/>
    <w:rsid w:val="001661FB"/>
    <w:rsid w:val="001671A0"/>
    <w:rsid w:val="0016767F"/>
    <w:rsid w:val="00167A38"/>
    <w:rsid w:val="00172662"/>
    <w:rsid w:val="00173565"/>
    <w:rsid w:val="00173B07"/>
    <w:rsid w:val="00173CE3"/>
    <w:rsid w:val="001751FA"/>
    <w:rsid w:val="001775F4"/>
    <w:rsid w:val="00181D9C"/>
    <w:rsid w:val="00183A4E"/>
    <w:rsid w:val="0018428C"/>
    <w:rsid w:val="00184B0E"/>
    <w:rsid w:val="0018752F"/>
    <w:rsid w:val="00191AC2"/>
    <w:rsid w:val="00191B84"/>
    <w:rsid w:val="00191FAD"/>
    <w:rsid w:val="001936E2"/>
    <w:rsid w:val="00193838"/>
    <w:rsid w:val="00193FD4"/>
    <w:rsid w:val="00194AD8"/>
    <w:rsid w:val="00195222"/>
    <w:rsid w:val="001967B5"/>
    <w:rsid w:val="00196CEC"/>
    <w:rsid w:val="00196D9D"/>
    <w:rsid w:val="001975D8"/>
    <w:rsid w:val="001A0E50"/>
    <w:rsid w:val="001A12AE"/>
    <w:rsid w:val="001A178E"/>
    <w:rsid w:val="001A1A70"/>
    <w:rsid w:val="001A354C"/>
    <w:rsid w:val="001A4252"/>
    <w:rsid w:val="001A43FA"/>
    <w:rsid w:val="001A47C5"/>
    <w:rsid w:val="001A530C"/>
    <w:rsid w:val="001A59FB"/>
    <w:rsid w:val="001A5E9E"/>
    <w:rsid w:val="001A6354"/>
    <w:rsid w:val="001A6366"/>
    <w:rsid w:val="001A6715"/>
    <w:rsid w:val="001A6A27"/>
    <w:rsid w:val="001A7AE8"/>
    <w:rsid w:val="001B1058"/>
    <w:rsid w:val="001B204E"/>
    <w:rsid w:val="001B2372"/>
    <w:rsid w:val="001B2CA0"/>
    <w:rsid w:val="001B3443"/>
    <w:rsid w:val="001B4226"/>
    <w:rsid w:val="001B4D20"/>
    <w:rsid w:val="001B59D2"/>
    <w:rsid w:val="001B62F0"/>
    <w:rsid w:val="001C2A9B"/>
    <w:rsid w:val="001C2E01"/>
    <w:rsid w:val="001C33C7"/>
    <w:rsid w:val="001C4299"/>
    <w:rsid w:val="001C4874"/>
    <w:rsid w:val="001C5F94"/>
    <w:rsid w:val="001C6E66"/>
    <w:rsid w:val="001C7BFC"/>
    <w:rsid w:val="001D051B"/>
    <w:rsid w:val="001D0A0E"/>
    <w:rsid w:val="001D1100"/>
    <w:rsid w:val="001D1391"/>
    <w:rsid w:val="001D25D7"/>
    <w:rsid w:val="001D318D"/>
    <w:rsid w:val="001D50B2"/>
    <w:rsid w:val="001D6CDE"/>
    <w:rsid w:val="001D7645"/>
    <w:rsid w:val="001D7FB7"/>
    <w:rsid w:val="001E0490"/>
    <w:rsid w:val="001E1E86"/>
    <w:rsid w:val="001E238E"/>
    <w:rsid w:val="001E2483"/>
    <w:rsid w:val="001E2B1E"/>
    <w:rsid w:val="001E2CFF"/>
    <w:rsid w:val="001E2F24"/>
    <w:rsid w:val="001E30D4"/>
    <w:rsid w:val="001E34DF"/>
    <w:rsid w:val="001E34EF"/>
    <w:rsid w:val="001E49BB"/>
    <w:rsid w:val="001E4FD8"/>
    <w:rsid w:val="001E52EB"/>
    <w:rsid w:val="001E61D2"/>
    <w:rsid w:val="001E740C"/>
    <w:rsid w:val="001F040C"/>
    <w:rsid w:val="001F1235"/>
    <w:rsid w:val="001F157F"/>
    <w:rsid w:val="001F1CB3"/>
    <w:rsid w:val="001F1D47"/>
    <w:rsid w:val="001F28CB"/>
    <w:rsid w:val="001F38B5"/>
    <w:rsid w:val="001F4081"/>
    <w:rsid w:val="001F4743"/>
    <w:rsid w:val="001F4CBC"/>
    <w:rsid w:val="001F7361"/>
    <w:rsid w:val="001F7FAB"/>
    <w:rsid w:val="00200C01"/>
    <w:rsid w:val="00201045"/>
    <w:rsid w:val="002011B0"/>
    <w:rsid w:val="00203071"/>
    <w:rsid w:val="00203181"/>
    <w:rsid w:val="002035DE"/>
    <w:rsid w:val="00203783"/>
    <w:rsid w:val="0020385F"/>
    <w:rsid w:val="002068A0"/>
    <w:rsid w:val="00207021"/>
    <w:rsid w:val="0020732F"/>
    <w:rsid w:val="002073E8"/>
    <w:rsid w:val="002076F6"/>
    <w:rsid w:val="00207D00"/>
    <w:rsid w:val="002105C1"/>
    <w:rsid w:val="00212F9C"/>
    <w:rsid w:val="00213240"/>
    <w:rsid w:val="00213EF5"/>
    <w:rsid w:val="00215057"/>
    <w:rsid w:val="00216BF5"/>
    <w:rsid w:val="002205FF"/>
    <w:rsid w:val="00220E0B"/>
    <w:rsid w:val="00221546"/>
    <w:rsid w:val="00222F23"/>
    <w:rsid w:val="002234B0"/>
    <w:rsid w:val="00223B49"/>
    <w:rsid w:val="00223D5A"/>
    <w:rsid w:val="00224DD4"/>
    <w:rsid w:val="00225B90"/>
    <w:rsid w:val="00226E2E"/>
    <w:rsid w:val="0022747B"/>
    <w:rsid w:val="002278A0"/>
    <w:rsid w:val="00227A11"/>
    <w:rsid w:val="002309CC"/>
    <w:rsid w:val="00230F0D"/>
    <w:rsid w:val="0023209F"/>
    <w:rsid w:val="002325D6"/>
    <w:rsid w:val="00233C01"/>
    <w:rsid w:val="00233D7A"/>
    <w:rsid w:val="0023413C"/>
    <w:rsid w:val="002344B9"/>
    <w:rsid w:val="002346F0"/>
    <w:rsid w:val="00235A10"/>
    <w:rsid w:val="002361AD"/>
    <w:rsid w:val="0023629D"/>
    <w:rsid w:val="00237255"/>
    <w:rsid w:val="002374D6"/>
    <w:rsid w:val="00240813"/>
    <w:rsid w:val="00240A63"/>
    <w:rsid w:val="002410B0"/>
    <w:rsid w:val="00241BEE"/>
    <w:rsid w:val="002424AF"/>
    <w:rsid w:val="00242503"/>
    <w:rsid w:val="002439DC"/>
    <w:rsid w:val="002441D2"/>
    <w:rsid w:val="00244DC8"/>
    <w:rsid w:val="002458BA"/>
    <w:rsid w:val="00245CE9"/>
    <w:rsid w:val="0024627D"/>
    <w:rsid w:val="0024636C"/>
    <w:rsid w:val="00247925"/>
    <w:rsid w:val="00247C59"/>
    <w:rsid w:val="00251006"/>
    <w:rsid w:val="002511BE"/>
    <w:rsid w:val="002524D5"/>
    <w:rsid w:val="00252EA5"/>
    <w:rsid w:val="00252FE4"/>
    <w:rsid w:val="002537AF"/>
    <w:rsid w:val="00253B1D"/>
    <w:rsid w:val="00254DCF"/>
    <w:rsid w:val="0025534B"/>
    <w:rsid w:val="00255ABE"/>
    <w:rsid w:val="00255BB7"/>
    <w:rsid w:val="00257541"/>
    <w:rsid w:val="00257A39"/>
    <w:rsid w:val="00257AC4"/>
    <w:rsid w:val="00260416"/>
    <w:rsid w:val="00261B39"/>
    <w:rsid w:val="00261EEF"/>
    <w:rsid w:val="00262A1A"/>
    <w:rsid w:val="00262A87"/>
    <w:rsid w:val="00264566"/>
    <w:rsid w:val="00264D26"/>
    <w:rsid w:val="00266D78"/>
    <w:rsid w:val="00267642"/>
    <w:rsid w:val="00267AEA"/>
    <w:rsid w:val="002700E6"/>
    <w:rsid w:val="00270D96"/>
    <w:rsid w:val="0027294B"/>
    <w:rsid w:val="00273EB4"/>
    <w:rsid w:val="00274682"/>
    <w:rsid w:val="00275C5A"/>
    <w:rsid w:val="00277B0D"/>
    <w:rsid w:val="00277E03"/>
    <w:rsid w:val="00281014"/>
    <w:rsid w:val="0028107D"/>
    <w:rsid w:val="00282F51"/>
    <w:rsid w:val="00283A0B"/>
    <w:rsid w:val="00283AE1"/>
    <w:rsid w:val="00285A3D"/>
    <w:rsid w:val="0028665D"/>
    <w:rsid w:val="0029077E"/>
    <w:rsid w:val="00290B83"/>
    <w:rsid w:val="0029512F"/>
    <w:rsid w:val="002A0854"/>
    <w:rsid w:val="002A14AB"/>
    <w:rsid w:val="002A1501"/>
    <w:rsid w:val="002A2ADE"/>
    <w:rsid w:val="002A2F50"/>
    <w:rsid w:val="002A38B5"/>
    <w:rsid w:val="002A4318"/>
    <w:rsid w:val="002A44D2"/>
    <w:rsid w:val="002A74EB"/>
    <w:rsid w:val="002B05A1"/>
    <w:rsid w:val="002B09A4"/>
    <w:rsid w:val="002B1C1F"/>
    <w:rsid w:val="002B2B8E"/>
    <w:rsid w:val="002B2DB7"/>
    <w:rsid w:val="002B432F"/>
    <w:rsid w:val="002B5276"/>
    <w:rsid w:val="002B62B3"/>
    <w:rsid w:val="002B64B7"/>
    <w:rsid w:val="002B6754"/>
    <w:rsid w:val="002B6CCE"/>
    <w:rsid w:val="002B7C25"/>
    <w:rsid w:val="002C0742"/>
    <w:rsid w:val="002C138C"/>
    <w:rsid w:val="002C1E8A"/>
    <w:rsid w:val="002C2510"/>
    <w:rsid w:val="002C2775"/>
    <w:rsid w:val="002C27C1"/>
    <w:rsid w:val="002C5099"/>
    <w:rsid w:val="002C5889"/>
    <w:rsid w:val="002C62BB"/>
    <w:rsid w:val="002C6785"/>
    <w:rsid w:val="002C71CE"/>
    <w:rsid w:val="002C77BC"/>
    <w:rsid w:val="002C7D5E"/>
    <w:rsid w:val="002D08F8"/>
    <w:rsid w:val="002D0A4A"/>
    <w:rsid w:val="002D2FB0"/>
    <w:rsid w:val="002D3492"/>
    <w:rsid w:val="002D3607"/>
    <w:rsid w:val="002D3A1B"/>
    <w:rsid w:val="002D3B72"/>
    <w:rsid w:val="002D4F47"/>
    <w:rsid w:val="002D577C"/>
    <w:rsid w:val="002D7744"/>
    <w:rsid w:val="002E1071"/>
    <w:rsid w:val="002E15B9"/>
    <w:rsid w:val="002E2158"/>
    <w:rsid w:val="002E3BE2"/>
    <w:rsid w:val="002E3DFC"/>
    <w:rsid w:val="002E467E"/>
    <w:rsid w:val="002E4F02"/>
    <w:rsid w:val="002E7722"/>
    <w:rsid w:val="002F02D0"/>
    <w:rsid w:val="002F0454"/>
    <w:rsid w:val="002F07BA"/>
    <w:rsid w:val="002F0DA9"/>
    <w:rsid w:val="002F1014"/>
    <w:rsid w:val="002F17F5"/>
    <w:rsid w:val="002F25EC"/>
    <w:rsid w:val="002F478C"/>
    <w:rsid w:val="002F4D5A"/>
    <w:rsid w:val="002F643C"/>
    <w:rsid w:val="002F6A80"/>
    <w:rsid w:val="002F6F74"/>
    <w:rsid w:val="002F71C0"/>
    <w:rsid w:val="002F74F1"/>
    <w:rsid w:val="002F7722"/>
    <w:rsid w:val="00301017"/>
    <w:rsid w:val="0030155F"/>
    <w:rsid w:val="0030587B"/>
    <w:rsid w:val="00306580"/>
    <w:rsid w:val="00306D98"/>
    <w:rsid w:val="0030786C"/>
    <w:rsid w:val="0031031A"/>
    <w:rsid w:val="003103CD"/>
    <w:rsid w:val="00310981"/>
    <w:rsid w:val="003118C5"/>
    <w:rsid w:val="003124D9"/>
    <w:rsid w:val="00312594"/>
    <w:rsid w:val="00312A58"/>
    <w:rsid w:val="00313EF0"/>
    <w:rsid w:val="00314F80"/>
    <w:rsid w:val="00315498"/>
    <w:rsid w:val="00315C8D"/>
    <w:rsid w:val="00316474"/>
    <w:rsid w:val="00320E07"/>
    <w:rsid w:val="00321C89"/>
    <w:rsid w:val="00322107"/>
    <w:rsid w:val="00322355"/>
    <w:rsid w:val="00322846"/>
    <w:rsid w:val="00326DA7"/>
    <w:rsid w:val="003270E4"/>
    <w:rsid w:val="00330DAA"/>
    <w:rsid w:val="00330F5C"/>
    <w:rsid w:val="00331756"/>
    <w:rsid w:val="00332849"/>
    <w:rsid w:val="00333302"/>
    <w:rsid w:val="003366C9"/>
    <w:rsid w:val="003371B0"/>
    <w:rsid w:val="00340DF1"/>
    <w:rsid w:val="003453AE"/>
    <w:rsid w:val="00346B68"/>
    <w:rsid w:val="003515B4"/>
    <w:rsid w:val="003517F9"/>
    <w:rsid w:val="00351BA9"/>
    <w:rsid w:val="003533A9"/>
    <w:rsid w:val="003541F4"/>
    <w:rsid w:val="00354F64"/>
    <w:rsid w:val="0035620E"/>
    <w:rsid w:val="00356406"/>
    <w:rsid w:val="00356C55"/>
    <w:rsid w:val="00357966"/>
    <w:rsid w:val="00357BAB"/>
    <w:rsid w:val="00360345"/>
    <w:rsid w:val="003608F8"/>
    <w:rsid w:val="00361356"/>
    <w:rsid w:val="00361A05"/>
    <w:rsid w:val="003624C4"/>
    <w:rsid w:val="00362A5B"/>
    <w:rsid w:val="00363B00"/>
    <w:rsid w:val="00364046"/>
    <w:rsid w:val="003654AC"/>
    <w:rsid w:val="00370C0D"/>
    <w:rsid w:val="0037107F"/>
    <w:rsid w:val="003710CF"/>
    <w:rsid w:val="003728B9"/>
    <w:rsid w:val="0037358A"/>
    <w:rsid w:val="003739CA"/>
    <w:rsid w:val="00373B37"/>
    <w:rsid w:val="003750F6"/>
    <w:rsid w:val="003760FC"/>
    <w:rsid w:val="00376DB0"/>
    <w:rsid w:val="0038365C"/>
    <w:rsid w:val="0038369B"/>
    <w:rsid w:val="00383B0D"/>
    <w:rsid w:val="00383B78"/>
    <w:rsid w:val="0038447C"/>
    <w:rsid w:val="00385A9D"/>
    <w:rsid w:val="003902B1"/>
    <w:rsid w:val="0039179C"/>
    <w:rsid w:val="003949F8"/>
    <w:rsid w:val="00396896"/>
    <w:rsid w:val="00396B61"/>
    <w:rsid w:val="00396CE7"/>
    <w:rsid w:val="00396FD0"/>
    <w:rsid w:val="003A1A7A"/>
    <w:rsid w:val="003A2392"/>
    <w:rsid w:val="003A2457"/>
    <w:rsid w:val="003A2831"/>
    <w:rsid w:val="003A3CB6"/>
    <w:rsid w:val="003A3ED1"/>
    <w:rsid w:val="003A44DB"/>
    <w:rsid w:val="003A5C45"/>
    <w:rsid w:val="003A6544"/>
    <w:rsid w:val="003B3971"/>
    <w:rsid w:val="003B3A14"/>
    <w:rsid w:val="003B55D1"/>
    <w:rsid w:val="003B5B61"/>
    <w:rsid w:val="003B6E4B"/>
    <w:rsid w:val="003B773B"/>
    <w:rsid w:val="003C00E6"/>
    <w:rsid w:val="003C1108"/>
    <w:rsid w:val="003C1654"/>
    <w:rsid w:val="003C4578"/>
    <w:rsid w:val="003C47CE"/>
    <w:rsid w:val="003C49C9"/>
    <w:rsid w:val="003C5542"/>
    <w:rsid w:val="003C7D19"/>
    <w:rsid w:val="003C7D2F"/>
    <w:rsid w:val="003D1828"/>
    <w:rsid w:val="003D1DE4"/>
    <w:rsid w:val="003D1E9A"/>
    <w:rsid w:val="003D2202"/>
    <w:rsid w:val="003D2422"/>
    <w:rsid w:val="003D39A1"/>
    <w:rsid w:val="003D3AAA"/>
    <w:rsid w:val="003D3FBF"/>
    <w:rsid w:val="003D4266"/>
    <w:rsid w:val="003D4A30"/>
    <w:rsid w:val="003D544A"/>
    <w:rsid w:val="003D5F9D"/>
    <w:rsid w:val="003D7452"/>
    <w:rsid w:val="003D79BB"/>
    <w:rsid w:val="003D7C98"/>
    <w:rsid w:val="003D7D9D"/>
    <w:rsid w:val="003E0543"/>
    <w:rsid w:val="003E33EC"/>
    <w:rsid w:val="003E5617"/>
    <w:rsid w:val="003E63CB"/>
    <w:rsid w:val="003E6420"/>
    <w:rsid w:val="003E749E"/>
    <w:rsid w:val="003F272A"/>
    <w:rsid w:val="003F4156"/>
    <w:rsid w:val="003F5AB2"/>
    <w:rsid w:val="003F5ADF"/>
    <w:rsid w:val="003F5BF9"/>
    <w:rsid w:val="003F7D85"/>
    <w:rsid w:val="00400B29"/>
    <w:rsid w:val="004011DB"/>
    <w:rsid w:val="00401E03"/>
    <w:rsid w:val="0040316C"/>
    <w:rsid w:val="004040D0"/>
    <w:rsid w:val="0040504B"/>
    <w:rsid w:val="004059F4"/>
    <w:rsid w:val="0040623D"/>
    <w:rsid w:val="00406A95"/>
    <w:rsid w:val="00406D92"/>
    <w:rsid w:val="00407FE5"/>
    <w:rsid w:val="004101B0"/>
    <w:rsid w:val="00410326"/>
    <w:rsid w:val="004104B1"/>
    <w:rsid w:val="00410708"/>
    <w:rsid w:val="00410EC7"/>
    <w:rsid w:val="00411B39"/>
    <w:rsid w:val="004127A7"/>
    <w:rsid w:val="00412E30"/>
    <w:rsid w:val="00413A1E"/>
    <w:rsid w:val="00413AE9"/>
    <w:rsid w:val="00414476"/>
    <w:rsid w:val="00414C2E"/>
    <w:rsid w:val="004151CF"/>
    <w:rsid w:val="0041529B"/>
    <w:rsid w:val="00416364"/>
    <w:rsid w:val="00417F96"/>
    <w:rsid w:val="0042047F"/>
    <w:rsid w:val="00420AA6"/>
    <w:rsid w:val="00420B9F"/>
    <w:rsid w:val="0042192C"/>
    <w:rsid w:val="00422260"/>
    <w:rsid w:val="00423863"/>
    <w:rsid w:val="0042413F"/>
    <w:rsid w:val="004242E1"/>
    <w:rsid w:val="00425416"/>
    <w:rsid w:val="004319F8"/>
    <w:rsid w:val="00431B32"/>
    <w:rsid w:val="00431E55"/>
    <w:rsid w:val="004321F6"/>
    <w:rsid w:val="00433044"/>
    <w:rsid w:val="0043322C"/>
    <w:rsid w:val="00433AE3"/>
    <w:rsid w:val="00433EE7"/>
    <w:rsid w:val="00434088"/>
    <w:rsid w:val="004348EB"/>
    <w:rsid w:val="00435E60"/>
    <w:rsid w:val="0043631D"/>
    <w:rsid w:val="004375B9"/>
    <w:rsid w:val="00437ACC"/>
    <w:rsid w:val="0044073F"/>
    <w:rsid w:val="004428D0"/>
    <w:rsid w:val="00444185"/>
    <w:rsid w:val="004443A7"/>
    <w:rsid w:val="0044442C"/>
    <w:rsid w:val="00444A6A"/>
    <w:rsid w:val="004454C9"/>
    <w:rsid w:val="00445941"/>
    <w:rsid w:val="004464EB"/>
    <w:rsid w:val="00447D26"/>
    <w:rsid w:val="00447DFC"/>
    <w:rsid w:val="00450D92"/>
    <w:rsid w:val="004518F4"/>
    <w:rsid w:val="00451D32"/>
    <w:rsid w:val="00453CEF"/>
    <w:rsid w:val="00455B75"/>
    <w:rsid w:val="00455D45"/>
    <w:rsid w:val="00455DCF"/>
    <w:rsid w:val="00456471"/>
    <w:rsid w:val="00460C1B"/>
    <w:rsid w:val="00461C15"/>
    <w:rsid w:val="00463712"/>
    <w:rsid w:val="00463E68"/>
    <w:rsid w:val="00464595"/>
    <w:rsid w:val="004658B5"/>
    <w:rsid w:val="00467DAE"/>
    <w:rsid w:val="0047179F"/>
    <w:rsid w:val="00471EA5"/>
    <w:rsid w:val="00472A79"/>
    <w:rsid w:val="00473B7D"/>
    <w:rsid w:val="00473F19"/>
    <w:rsid w:val="00474331"/>
    <w:rsid w:val="00475ACE"/>
    <w:rsid w:val="00475E22"/>
    <w:rsid w:val="00477B23"/>
    <w:rsid w:val="0048088E"/>
    <w:rsid w:val="00480F2B"/>
    <w:rsid w:val="00482720"/>
    <w:rsid w:val="004835E7"/>
    <w:rsid w:val="00483E66"/>
    <w:rsid w:val="00484F66"/>
    <w:rsid w:val="00486156"/>
    <w:rsid w:val="004867E2"/>
    <w:rsid w:val="00487A5E"/>
    <w:rsid w:val="00490B17"/>
    <w:rsid w:val="00491B3A"/>
    <w:rsid w:val="00491CE9"/>
    <w:rsid w:val="00492CFD"/>
    <w:rsid w:val="00494207"/>
    <w:rsid w:val="00494DD5"/>
    <w:rsid w:val="00495D4B"/>
    <w:rsid w:val="00496018"/>
    <w:rsid w:val="004962D2"/>
    <w:rsid w:val="004A0DA1"/>
    <w:rsid w:val="004A13D6"/>
    <w:rsid w:val="004A275A"/>
    <w:rsid w:val="004A419A"/>
    <w:rsid w:val="004A4574"/>
    <w:rsid w:val="004A514C"/>
    <w:rsid w:val="004A52E9"/>
    <w:rsid w:val="004A6040"/>
    <w:rsid w:val="004A6171"/>
    <w:rsid w:val="004A6597"/>
    <w:rsid w:val="004A7848"/>
    <w:rsid w:val="004B077B"/>
    <w:rsid w:val="004B169C"/>
    <w:rsid w:val="004B1CB4"/>
    <w:rsid w:val="004B2F18"/>
    <w:rsid w:val="004B3584"/>
    <w:rsid w:val="004B3DDB"/>
    <w:rsid w:val="004B44FD"/>
    <w:rsid w:val="004B5CFC"/>
    <w:rsid w:val="004B6F79"/>
    <w:rsid w:val="004B7127"/>
    <w:rsid w:val="004B774D"/>
    <w:rsid w:val="004C1686"/>
    <w:rsid w:val="004C2E7C"/>
    <w:rsid w:val="004C3EF7"/>
    <w:rsid w:val="004C4AED"/>
    <w:rsid w:val="004C4EE3"/>
    <w:rsid w:val="004C74FD"/>
    <w:rsid w:val="004D1E49"/>
    <w:rsid w:val="004D2C2D"/>
    <w:rsid w:val="004D31F5"/>
    <w:rsid w:val="004D38DE"/>
    <w:rsid w:val="004D3BF2"/>
    <w:rsid w:val="004D4791"/>
    <w:rsid w:val="004D48B7"/>
    <w:rsid w:val="004D69B5"/>
    <w:rsid w:val="004D7227"/>
    <w:rsid w:val="004E060D"/>
    <w:rsid w:val="004E0E7F"/>
    <w:rsid w:val="004E0EB8"/>
    <w:rsid w:val="004E1730"/>
    <w:rsid w:val="004E18E9"/>
    <w:rsid w:val="004E2ADC"/>
    <w:rsid w:val="004E3E3A"/>
    <w:rsid w:val="004E43B2"/>
    <w:rsid w:val="004E7682"/>
    <w:rsid w:val="004E7DAB"/>
    <w:rsid w:val="004F13E7"/>
    <w:rsid w:val="004F1D02"/>
    <w:rsid w:val="004F2679"/>
    <w:rsid w:val="004F2F21"/>
    <w:rsid w:val="004F3628"/>
    <w:rsid w:val="004F3DE5"/>
    <w:rsid w:val="004F43D3"/>
    <w:rsid w:val="004F62EB"/>
    <w:rsid w:val="004F6913"/>
    <w:rsid w:val="004F7865"/>
    <w:rsid w:val="004F796C"/>
    <w:rsid w:val="004F7AC2"/>
    <w:rsid w:val="004F7D8B"/>
    <w:rsid w:val="00500694"/>
    <w:rsid w:val="0050174E"/>
    <w:rsid w:val="00501854"/>
    <w:rsid w:val="0050219B"/>
    <w:rsid w:val="00503F17"/>
    <w:rsid w:val="005041CD"/>
    <w:rsid w:val="00506928"/>
    <w:rsid w:val="00506BAE"/>
    <w:rsid w:val="00507463"/>
    <w:rsid w:val="005077EF"/>
    <w:rsid w:val="005079CC"/>
    <w:rsid w:val="00507E45"/>
    <w:rsid w:val="00510622"/>
    <w:rsid w:val="00511AD5"/>
    <w:rsid w:val="00511DC7"/>
    <w:rsid w:val="005142C5"/>
    <w:rsid w:val="0051501B"/>
    <w:rsid w:val="005152B5"/>
    <w:rsid w:val="005178C0"/>
    <w:rsid w:val="00517ACD"/>
    <w:rsid w:val="0052123C"/>
    <w:rsid w:val="005212F7"/>
    <w:rsid w:val="00521319"/>
    <w:rsid w:val="00522BC8"/>
    <w:rsid w:val="0052337E"/>
    <w:rsid w:val="00523C28"/>
    <w:rsid w:val="00524940"/>
    <w:rsid w:val="00525487"/>
    <w:rsid w:val="00526B2C"/>
    <w:rsid w:val="0053176B"/>
    <w:rsid w:val="00533B2A"/>
    <w:rsid w:val="00533BDE"/>
    <w:rsid w:val="0053569C"/>
    <w:rsid w:val="00536B40"/>
    <w:rsid w:val="00536F42"/>
    <w:rsid w:val="00537113"/>
    <w:rsid w:val="00537182"/>
    <w:rsid w:val="005374AA"/>
    <w:rsid w:val="0054068D"/>
    <w:rsid w:val="00541EDD"/>
    <w:rsid w:val="00542743"/>
    <w:rsid w:val="00542C2D"/>
    <w:rsid w:val="00546A6B"/>
    <w:rsid w:val="005478BD"/>
    <w:rsid w:val="005479E3"/>
    <w:rsid w:val="00551985"/>
    <w:rsid w:val="00552BD3"/>
    <w:rsid w:val="005532A0"/>
    <w:rsid w:val="00553A59"/>
    <w:rsid w:val="00554B33"/>
    <w:rsid w:val="00555109"/>
    <w:rsid w:val="00555418"/>
    <w:rsid w:val="00556B35"/>
    <w:rsid w:val="00556D85"/>
    <w:rsid w:val="0055741A"/>
    <w:rsid w:val="00560063"/>
    <w:rsid w:val="005603D5"/>
    <w:rsid w:val="005611B7"/>
    <w:rsid w:val="005618A5"/>
    <w:rsid w:val="005618D4"/>
    <w:rsid w:val="00562ED9"/>
    <w:rsid w:val="00563160"/>
    <w:rsid w:val="005633E9"/>
    <w:rsid w:val="00565DF0"/>
    <w:rsid w:val="0056696F"/>
    <w:rsid w:val="00567289"/>
    <w:rsid w:val="00572269"/>
    <w:rsid w:val="0057244A"/>
    <w:rsid w:val="00572F26"/>
    <w:rsid w:val="005750C5"/>
    <w:rsid w:val="005752DE"/>
    <w:rsid w:val="00575D8D"/>
    <w:rsid w:val="0057607E"/>
    <w:rsid w:val="00576972"/>
    <w:rsid w:val="005804A4"/>
    <w:rsid w:val="00583317"/>
    <w:rsid w:val="00583699"/>
    <w:rsid w:val="00583E99"/>
    <w:rsid w:val="00585CDD"/>
    <w:rsid w:val="005860F2"/>
    <w:rsid w:val="00587058"/>
    <w:rsid w:val="005904A3"/>
    <w:rsid w:val="00591957"/>
    <w:rsid w:val="00591FF4"/>
    <w:rsid w:val="00592A89"/>
    <w:rsid w:val="00592B6A"/>
    <w:rsid w:val="00593A59"/>
    <w:rsid w:val="00595541"/>
    <w:rsid w:val="005963B3"/>
    <w:rsid w:val="00596FA7"/>
    <w:rsid w:val="00597BF9"/>
    <w:rsid w:val="005A12FF"/>
    <w:rsid w:val="005A309A"/>
    <w:rsid w:val="005A373D"/>
    <w:rsid w:val="005A3816"/>
    <w:rsid w:val="005A4E68"/>
    <w:rsid w:val="005A6324"/>
    <w:rsid w:val="005A7831"/>
    <w:rsid w:val="005B06F6"/>
    <w:rsid w:val="005B0B58"/>
    <w:rsid w:val="005B3B3E"/>
    <w:rsid w:val="005B4E53"/>
    <w:rsid w:val="005B5857"/>
    <w:rsid w:val="005B6232"/>
    <w:rsid w:val="005B7450"/>
    <w:rsid w:val="005C1467"/>
    <w:rsid w:val="005C1B83"/>
    <w:rsid w:val="005C25FF"/>
    <w:rsid w:val="005C2D55"/>
    <w:rsid w:val="005C346B"/>
    <w:rsid w:val="005C77DC"/>
    <w:rsid w:val="005C7E0A"/>
    <w:rsid w:val="005D044D"/>
    <w:rsid w:val="005D0ABD"/>
    <w:rsid w:val="005D0E6C"/>
    <w:rsid w:val="005D18AD"/>
    <w:rsid w:val="005D1D58"/>
    <w:rsid w:val="005D21C3"/>
    <w:rsid w:val="005D26B4"/>
    <w:rsid w:val="005D6D8B"/>
    <w:rsid w:val="005E6917"/>
    <w:rsid w:val="005E6CBC"/>
    <w:rsid w:val="005E72FF"/>
    <w:rsid w:val="005E73C0"/>
    <w:rsid w:val="005F2706"/>
    <w:rsid w:val="005F36BA"/>
    <w:rsid w:val="005F5ED1"/>
    <w:rsid w:val="005F6A8F"/>
    <w:rsid w:val="005F6AEA"/>
    <w:rsid w:val="005F6BB7"/>
    <w:rsid w:val="005F7588"/>
    <w:rsid w:val="0060016F"/>
    <w:rsid w:val="006003D2"/>
    <w:rsid w:val="0060091C"/>
    <w:rsid w:val="006011B4"/>
    <w:rsid w:val="00603DB9"/>
    <w:rsid w:val="006051D9"/>
    <w:rsid w:val="00606FBA"/>
    <w:rsid w:val="00607117"/>
    <w:rsid w:val="00607458"/>
    <w:rsid w:val="00607669"/>
    <w:rsid w:val="006076F4"/>
    <w:rsid w:val="00607AFD"/>
    <w:rsid w:val="00610499"/>
    <w:rsid w:val="00610742"/>
    <w:rsid w:val="00611048"/>
    <w:rsid w:val="00611959"/>
    <w:rsid w:val="00612F97"/>
    <w:rsid w:val="0061345D"/>
    <w:rsid w:val="00613E6B"/>
    <w:rsid w:val="00614AC4"/>
    <w:rsid w:val="0061549B"/>
    <w:rsid w:val="00615610"/>
    <w:rsid w:val="00616802"/>
    <w:rsid w:val="00616FEB"/>
    <w:rsid w:val="00617E12"/>
    <w:rsid w:val="00620AEF"/>
    <w:rsid w:val="00620C25"/>
    <w:rsid w:val="00621477"/>
    <w:rsid w:val="006214F5"/>
    <w:rsid w:val="00621ADA"/>
    <w:rsid w:val="00623C77"/>
    <w:rsid w:val="00623F7B"/>
    <w:rsid w:val="006250CB"/>
    <w:rsid w:val="006261E4"/>
    <w:rsid w:val="00627C3B"/>
    <w:rsid w:val="00630485"/>
    <w:rsid w:val="0063158F"/>
    <w:rsid w:val="00631B48"/>
    <w:rsid w:val="00631D6B"/>
    <w:rsid w:val="00632183"/>
    <w:rsid w:val="006330A1"/>
    <w:rsid w:val="0063479F"/>
    <w:rsid w:val="00634D1A"/>
    <w:rsid w:val="006353F0"/>
    <w:rsid w:val="006357B5"/>
    <w:rsid w:val="006364A1"/>
    <w:rsid w:val="0063678E"/>
    <w:rsid w:val="00636E3F"/>
    <w:rsid w:val="00637BFD"/>
    <w:rsid w:val="00641C4E"/>
    <w:rsid w:val="00641FB3"/>
    <w:rsid w:val="00642416"/>
    <w:rsid w:val="00642F23"/>
    <w:rsid w:val="00643896"/>
    <w:rsid w:val="0064434C"/>
    <w:rsid w:val="00645255"/>
    <w:rsid w:val="006471CC"/>
    <w:rsid w:val="00647A29"/>
    <w:rsid w:val="0065079F"/>
    <w:rsid w:val="0065089D"/>
    <w:rsid w:val="00652A28"/>
    <w:rsid w:val="0065379F"/>
    <w:rsid w:val="006555C9"/>
    <w:rsid w:val="00656188"/>
    <w:rsid w:val="00656BF7"/>
    <w:rsid w:val="0065715A"/>
    <w:rsid w:val="0066029E"/>
    <w:rsid w:val="006610F1"/>
    <w:rsid w:val="00661C6B"/>
    <w:rsid w:val="006631A7"/>
    <w:rsid w:val="00663474"/>
    <w:rsid w:val="0066499B"/>
    <w:rsid w:val="00667442"/>
    <w:rsid w:val="00671004"/>
    <w:rsid w:val="00672646"/>
    <w:rsid w:val="00672B24"/>
    <w:rsid w:val="00674E42"/>
    <w:rsid w:val="00675E00"/>
    <w:rsid w:val="00676ABB"/>
    <w:rsid w:val="00681089"/>
    <w:rsid w:val="006813F8"/>
    <w:rsid w:val="00681CC5"/>
    <w:rsid w:val="00682112"/>
    <w:rsid w:val="006828E6"/>
    <w:rsid w:val="00682BA6"/>
    <w:rsid w:val="00683BFF"/>
    <w:rsid w:val="00685E4B"/>
    <w:rsid w:val="00686572"/>
    <w:rsid w:val="00686957"/>
    <w:rsid w:val="006872BA"/>
    <w:rsid w:val="00687DA3"/>
    <w:rsid w:val="00690795"/>
    <w:rsid w:val="00691648"/>
    <w:rsid w:val="006917D7"/>
    <w:rsid w:val="0069434C"/>
    <w:rsid w:val="00694F44"/>
    <w:rsid w:val="00696692"/>
    <w:rsid w:val="00696F51"/>
    <w:rsid w:val="006979A5"/>
    <w:rsid w:val="006A27CD"/>
    <w:rsid w:val="006A27F2"/>
    <w:rsid w:val="006A32D8"/>
    <w:rsid w:val="006A68B9"/>
    <w:rsid w:val="006A68C9"/>
    <w:rsid w:val="006A6B99"/>
    <w:rsid w:val="006A7E5F"/>
    <w:rsid w:val="006B095C"/>
    <w:rsid w:val="006B1009"/>
    <w:rsid w:val="006B1686"/>
    <w:rsid w:val="006B261B"/>
    <w:rsid w:val="006B2C90"/>
    <w:rsid w:val="006B35E6"/>
    <w:rsid w:val="006B3AAE"/>
    <w:rsid w:val="006B465A"/>
    <w:rsid w:val="006B5E79"/>
    <w:rsid w:val="006B651F"/>
    <w:rsid w:val="006B6DD0"/>
    <w:rsid w:val="006C0399"/>
    <w:rsid w:val="006C0FE7"/>
    <w:rsid w:val="006C1C56"/>
    <w:rsid w:val="006C2A8E"/>
    <w:rsid w:val="006C2AAF"/>
    <w:rsid w:val="006C3255"/>
    <w:rsid w:val="006C3B8B"/>
    <w:rsid w:val="006C3F26"/>
    <w:rsid w:val="006C736A"/>
    <w:rsid w:val="006D03CD"/>
    <w:rsid w:val="006D0D17"/>
    <w:rsid w:val="006D2A51"/>
    <w:rsid w:val="006D3668"/>
    <w:rsid w:val="006D3C7D"/>
    <w:rsid w:val="006D4659"/>
    <w:rsid w:val="006D5D5F"/>
    <w:rsid w:val="006D68FB"/>
    <w:rsid w:val="006D7510"/>
    <w:rsid w:val="006E0E80"/>
    <w:rsid w:val="006E2868"/>
    <w:rsid w:val="006E3A7D"/>
    <w:rsid w:val="006E41CB"/>
    <w:rsid w:val="006E5401"/>
    <w:rsid w:val="006E55BE"/>
    <w:rsid w:val="006E5751"/>
    <w:rsid w:val="006E58FA"/>
    <w:rsid w:val="006E6D1D"/>
    <w:rsid w:val="006E7A34"/>
    <w:rsid w:val="006F1B67"/>
    <w:rsid w:val="006F2145"/>
    <w:rsid w:val="006F306C"/>
    <w:rsid w:val="006F3948"/>
    <w:rsid w:val="006F5C4A"/>
    <w:rsid w:val="006F63A5"/>
    <w:rsid w:val="00700219"/>
    <w:rsid w:val="0070142B"/>
    <w:rsid w:val="00702745"/>
    <w:rsid w:val="0070276E"/>
    <w:rsid w:val="00702F8F"/>
    <w:rsid w:val="007079FC"/>
    <w:rsid w:val="00710022"/>
    <w:rsid w:val="00710479"/>
    <w:rsid w:val="00711A36"/>
    <w:rsid w:val="00711DFC"/>
    <w:rsid w:val="007129D4"/>
    <w:rsid w:val="00714C26"/>
    <w:rsid w:val="0071529C"/>
    <w:rsid w:val="00715CF2"/>
    <w:rsid w:val="00715FBA"/>
    <w:rsid w:val="007170DA"/>
    <w:rsid w:val="007172AD"/>
    <w:rsid w:val="00717581"/>
    <w:rsid w:val="00720370"/>
    <w:rsid w:val="00720801"/>
    <w:rsid w:val="00721757"/>
    <w:rsid w:val="00722B1B"/>
    <w:rsid w:val="00723287"/>
    <w:rsid w:val="00723DD7"/>
    <w:rsid w:val="0072416F"/>
    <w:rsid w:val="00727C94"/>
    <w:rsid w:val="00731B0A"/>
    <w:rsid w:val="00731E68"/>
    <w:rsid w:val="00731EAE"/>
    <w:rsid w:val="00733073"/>
    <w:rsid w:val="00733E23"/>
    <w:rsid w:val="0073417A"/>
    <w:rsid w:val="00734560"/>
    <w:rsid w:val="00734E2A"/>
    <w:rsid w:val="00735033"/>
    <w:rsid w:val="00735328"/>
    <w:rsid w:val="0073685B"/>
    <w:rsid w:val="00737A12"/>
    <w:rsid w:val="00740475"/>
    <w:rsid w:val="00740BFC"/>
    <w:rsid w:val="00741467"/>
    <w:rsid w:val="007417A8"/>
    <w:rsid w:val="00741CA2"/>
    <w:rsid w:val="00743DB3"/>
    <w:rsid w:val="007449BF"/>
    <w:rsid w:val="00746BC0"/>
    <w:rsid w:val="007510B4"/>
    <w:rsid w:val="00751377"/>
    <w:rsid w:val="00752142"/>
    <w:rsid w:val="007523F9"/>
    <w:rsid w:val="0075357E"/>
    <w:rsid w:val="00753BBE"/>
    <w:rsid w:val="00756B1C"/>
    <w:rsid w:val="007573E8"/>
    <w:rsid w:val="00760C4E"/>
    <w:rsid w:val="00760F9E"/>
    <w:rsid w:val="007610E6"/>
    <w:rsid w:val="007627BE"/>
    <w:rsid w:val="00764F03"/>
    <w:rsid w:val="00765B1A"/>
    <w:rsid w:val="0076679C"/>
    <w:rsid w:val="00766DB4"/>
    <w:rsid w:val="00775C53"/>
    <w:rsid w:val="00777335"/>
    <w:rsid w:val="00780C06"/>
    <w:rsid w:val="0078200A"/>
    <w:rsid w:val="00782B5A"/>
    <w:rsid w:val="007843F2"/>
    <w:rsid w:val="007847F0"/>
    <w:rsid w:val="00785A9F"/>
    <w:rsid w:val="007863BA"/>
    <w:rsid w:val="007925DF"/>
    <w:rsid w:val="00792A9B"/>
    <w:rsid w:val="007947CC"/>
    <w:rsid w:val="0079558F"/>
    <w:rsid w:val="00796A33"/>
    <w:rsid w:val="00797857"/>
    <w:rsid w:val="007A0236"/>
    <w:rsid w:val="007A08AA"/>
    <w:rsid w:val="007A0A12"/>
    <w:rsid w:val="007A132D"/>
    <w:rsid w:val="007A1345"/>
    <w:rsid w:val="007A1650"/>
    <w:rsid w:val="007A269F"/>
    <w:rsid w:val="007A2DDB"/>
    <w:rsid w:val="007A2FC4"/>
    <w:rsid w:val="007A4AFC"/>
    <w:rsid w:val="007A51D2"/>
    <w:rsid w:val="007A6B65"/>
    <w:rsid w:val="007A70BA"/>
    <w:rsid w:val="007A772A"/>
    <w:rsid w:val="007B00C8"/>
    <w:rsid w:val="007B0D68"/>
    <w:rsid w:val="007B1566"/>
    <w:rsid w:val="007B1994"/>
    <w:rsid w:val="007B251D"/>
    <w:rsid w:val="007B36BB"/>
    <w:rsid w:val="007B4F58"/>
    <w:rsid w:val="007B50AE"/>
    <w:rsid w:val="007B528D"/>
    <w:rsid w:val="007B5BD1"/>
    <w:rsid w:val="007B63CA"/>
    <w:rsid w:val="007B77D1"/>
    <w:rsid w:val="007C0313"/>
    <w:rsid w:val="007C07C7"/>
    <w:rsid w:val="007C1CD9"/>
    <w:rsid w:val="007C32EF"/>
    <w:rsid w:val="007C361D"/>
    <w:rsid w:val="007C40F9"/>
    <w:rsid w:val="007C4B84"/>
    <w:rsid w:val="007C604A"/>
    <w:rsid w:val="007C70FF"/>
    <w:rsid w:val="007C7C25"/>
    <w:rsid w:val="007D004F"/>
    <w:rsid w:val="007D01D6"/>
    <w:rsid w:val="007D0B38"/>
    <w:rsid w:val="007D0CCA"/>
    <w:rsid w:val="007D33E5"/>
    <w:rsid w:val="007D490A"/>
    <w:rsid w:val="007D5440"/>
    <w:rsid w:val="007D69EB"/>
    <w:rsid w:val="007D70F4"/>
    <w:rsid w:val="007E128F"/>
    <w:rsid w:val="007E6711"/>
    <w:rsid w:val="007E7F71"/>
    <w:rsid w:val="007F0F9E"/>
    <w:rsid w:val="007F1017"/>
    <w:rsid w:val="007F17FC"/>
    <w:rsid w:val="007F2226"/>
    <w:rsid w:val="007F4A0C"/>
    <w:rsid w:val="007F4A3F"/>
    <w:rsid w:val="007F4A42"/>
    <w:rsid w:val="007F4A61"/>
    <w:rsid w:val="007F5255"/>
    <w:rsid w:val="007F55AE"/>
    <w:rsid w:val="007F56CC"/>
    <w:rsid w:val="007F5922"/>
    <w:rsid w:val="007F61C2"/>
    <w:rsid w:val="007F7A2F"/>
    <w:rsid w:val="008016C6"/>
    <w:rsid w:val="00803149"/>
    <w:rsid w:val="00803BEA"/>
    <w:rsid w:val="00805142"/>
    <w:rsid w:val="008053BD"/>
    <w:rsid w:val="00805FCE"/>
    <w:rsid w:val="00807A8B"/>
    <w:rsid w:val="00811383"/>
    <w:rsid w:val="00812149"/>
    <w:rsid w:val="008124AF"/>
    <w:rsid w:val="00812CAC"/>
    <w:rsid w:val="008153D6"/>
    <w:rsid w:val="00816361"/>
    <w:rsid w:val="008166EF"/>
    <w:rsid w:val="00816FEF"/>
    <w:rsid w:val="008172C9"/>
    <w:rsid w:val="008172D3"/>
    <w:rsid w:val="0081774E"/>
    <w:rsid w:val="00820086"/>
    <w:rsid w:val="008202F4"/>
    <w:rsid w:val="00820A8C"/>
    <w:rsid w:val="008215FB"/>
    <w:rsid w:val="00822F02"/>
    <w:rsid w:val="00823174"/>
    <w:rsid w:val="008237CF"/>
    <w:rsid w:val="00824289"/>
    <w:rsid w:val="00825751"/>
    <w:rsid w:val="0082630B"/>
    <w:rsid w:val="008264EB"/>
    <w:rsid w:val="008273D4"/>
    <w:rsid w:val="00830D16"/>
    <w:rsid w:val="00833B05"/>
    <w:rsid w:val="00834357"/>
    <w:rsid w:val="00834649"/>
    <w:rsid w:val="00834DB4"/>
    <w:rsid w:val="00835A3E"/>
    <w:rsid w:val="008362B4"/>
    <w:rsid w:val="00840CA2"/>
    <w:rsid w:val="00842F53"/>
    <w:rsid w:val="0084374F"/>
    <w:rsid w:val="00844A22"/>
    <w:rsid w:val="00844A2E"/>
    <w:rsid w:val="00845CC3"/>
    <w:rsid w:val="00845F50"/>
    <w:rsid w:val="00846471"/>
    <w:rsid w:val="00847703"/>
    <w:rsid w:val="00847884"/>
    <w:rsid w:val="00847DF5"/>
    <w:rsid w:val="00850546"/>
    <w:rsid w:val="00852333"/>
    <w:rsid w:val="0085309D"/>
    <w:rsid w:val="00854460"/>
    <w:rsid w:val="00856897"/>
    <w:rsid w:val="00856E9A"/>
    <w:rsid w:val="0086075D"/>
    <w:rsid w:val="00862502"/>
    <w:rsid w:val="0086273E"/>
    <w:rsid w:val="00862CC1"/>
    <w:rsid w:val="00863BBB"/>
    <w:rsid w:val="0086429A"/>
    <w:rsid w:val="00865288"/>
    <w:rsid w:val="00865B1E"/>
    <w:rsid w:val="008660D4"/>
    <w:rsid w:val="00866A27"/>
    <w:rsid w:val="00870106"/>
    <w:rsid w:val="008704B4"/>
    <w:rsid w:val="00871FA9"/>
    <w:rsid w:val="008728E9"/>
    <w:rsid w:val="00872D9A"/>
    <w:rsid w:val="00882874"/>
    <w:rsid w:val="00882E3C"/>
    <w:rsid w:val="008831E1"/>
    <w:rsid w:val="008832AE"/>
    <w:rsid w:val="00883787"/>
    <w:rsid w:val="008855E4"/>
    <w:rsid w:val="00886B8A"/>
    <w:rsid w:val="00886CD2"/>
    <w:rsid w:val="0088713E"/>
    <w:rsid w:val="008918C7"/>
    <w:rsid w:val="00891BDB"/>
    <w:rsid w:val="00891E6F"/>
    <w:rsid w:val="0089275D"/>
    <w:rsid w:val="00892A36"/>
    <w:rsid w:val="00893239"/>
    <w:rsid w:val="00893E8E"/>
    <w:rsid w:val="00894489"/>
    <w:rsid w:val="008945A1"/>
    <w:rsid w:val="008963A5"/>
    <w:rsid w:val="008963D3"/>
    <w:rsid w:val="00896B30"/>
    <w:rsid w:val="00896D5D"/>
    <w:rsid w:val="008970F1"/>
    <w:rsid w:val="00897FDD"/>
    <w:rsid w:val="008A017D"/>
    <w:rsid w:val="008A2B85"/>
    <w:rsid w:val="008A3363"/>
    <w:rsid w:val="008A3371"/>
    <w:rsid w:val="008A3C3E"/>
    <w:rsid w:val="008A4F68"/>
    <w:rsid w:val="008A79DE"/>
    <w:rsid w:val="008B0A56"/>
    <w:rsid w:val="008B0F85"/>
    <w:rsid w:val="008B1757"/>
    <w:rsid w:val="008B63EE"/>
    <w:rsid w:val="008B6D58"/>
    <w:rsid w:val="008B7992"/>
    <w:rsid w:val="008B7D7E"/>
    <w:rsid w:val="008C101F"/>
    <w:rsid w:val="008C18A7"/>
    <w:rsid w:val="008C2568"/>
    <w:rsid w:val="008C2E00"/>
    <w:rsid w:val="008C3EC0"/>
    <w:rsid w:val="008C4704"/>
    <w:rsid w:val="008C4A42"/>
    <w:rsid w:val="008C517E"/>
    <w:rsid w:val="008C5268"/>
    <w:rsid w:val="008C5307"/>
    <w:rsid w:val="008C5610"/>
    <w:rsid w:val="008C5739"/>
    <w:rsid w:val="008C700F"/>
    <w:rsid w:val="008C7A88"/>
    <w:rsid w:val="008C7ECB"/>
    <w:rsid w:val="008D02DC"/>
    <w:rsid w:val="008D03A1"/>
    <w:rsid w:val="008D0E42"/>
    <w:rsid w:val="008D2199"/>
    <w:rsid w:val="008D3B86"/>
    <w:rsid w:val="008D4755"/>
    <w:rsid w:val="008D4C0F"/>
    <w:rsid w:val="008D4C3D"/>
    <w:rsid w:val="008D5E1F"/>
    <w:rsid w:val="008D7437"/>
    <w:rsid w:val="008D743C"/>
    <w:rsid w:val="008E0644"/>
    <w:rsid w:val="008E0D3C"/>
    <w:rsid w:val="008E1B9E"/>
    <w:rsid w:val="008E2328"/>
    <w:rsid w:val="008E3CE9"/>
    <w:rsid w:val="008E55AB"/>
    <w:rsid w:val="008F120A"/>
    <w:rsid w:val="008F1C9A"/>
    <w:rsid w:val="008F27E0"/>
    <w:rsid w:val="008F2DE8"/>
    <w:rsid w:val="008F3D95"/>
    <w:rsid w:val="008F48EB"/>
    <w:rsid w:val="008F4F0B"/>
    <w:rsid w:val="008F54B8"/>
    <w:rsid w:val="008F713A"/>
    <w:rsid w:val="00901BD5"/>
    <w:rsid w:val="009025E0"/>
    <w:rsid w:val="0090292A"/>
    <w:rsid w:val="00902B3F"/>
    <w:rsid w:val="009046C4"/>
    <w:rsid w:val="009062A5"/>
    <w:rsid w:val="00910FA7"/>
    <w:rsid w:val="00911272"/>
    <w:rsid w:val="009135D6"/>
    <w:rsid w:val="009136BF"/>
    <w:rsid w:val="00914C77"/>
    <w:rsid w:val="00914EA0"/>
    <w:rsid w:val="00921ACB"/>
    <w:rsid w:val="0092369B"/>
    <w:rsid w:val="00924104"/>
    <w:rsid w:val="0092558F"/>
    <w:rsid w:val="009311AC"/>
    <w:rsid w:val="0093233A"/>
    <w:rsid w:val="00933398"/>
    <w:rsid w:val="00933720"/>
    <w:rsid w:val="00934988"/>
    <w:rsid w:val="00936A8E"/>
    <w:rsid w:val="00937089"/>
    <w:rsid w:val="00940F72"/>
    <w:rsid w:val="0094252F"/>
    <w:rsid w:val="00944E19"/>
    <w:rsid w:val="00944F8A"/>
    <w:rsid w:val="00945361"/>
    <w:rsid w:val="00945651"/>
    <w:rsid w:val="009503FC"/>
    <w:rsid w:val="00950A59"/>
    <w:rsid w:val="009510A2"/>
    <w:rsid w:val="00951889"/>
    <w:rsid w:val="00953257"/>
    <w:rsid w:val="0095474C"/>
    <w:rsid w:val="00955300"/>
    <w:rsid w:val="00957002"/>
    <w:rsid w:val="009617FB"/>
    <w:rsid w:val="0096188E"/>
    <w:rsid w:val="009622AC"/>
    <w:rsid w:val="009625D3"/>
    <w:rsid w:val="00962CB9"/>
    <w:rsid w:val="00964312"/>
    <w:rsid w:val="00965B8A"/>
    <w:rsid w:val="00966666"/>
    <w:rsid w:val="0097071F"/>
    <w:rsid w:val="00970D48"/>
    <w:rsid w:val="009717AC"/>
    <w:rsid w:val="00972299"/>
    <w:rsid w:val="00972E86"/>
    <w:rsid w:val="00972EF5"/>
    <w:rsid w:val="009744E4"/>
    <w:rsid w:val="009751C1"/>
    <w:rsid w:val="009811F1"/>
    <w:rsid w:val="00981BEA"/>
    <w:rsid w:val="00983E57"/>
    <w:rsid w:val="00984085"/>
    <w:rsid w:val="00984D66"/>
    <w:rsid w:val="00985DE2"/>
    <w:rsid w:val="0098675D"/>
    <w:rsid w:val="00990CCB"/>
    <w:rsid w:val="009926E0"/>
    <w:rsid w:val="0099451E"/>
    <w:rsid w:val="00994D03"/>
    <w:rsid w:val="00994FA9"/>
    <w:rsid w:val="00996AE6"/>
    <w:rsid w:val="00996B1A"/>
    <w:rsid w:val="009A1868"/>
    <w:rsid w:val="009A1D47"/>
    <w:rsid w:val="009A2DCC"/>
    <w:rsid w:val="009A31D4"/>
    <w:rsid w:val="009A3728"/>
    <w:rsid w:val="009A4367"/>
    <w:rsid w:val="009A5A08"/>
    <w:rsid w:val="009A5ABC"/>
    <w:rsid w:val="009A7F10"/>
    <w:rsid w:val="009B0267"/>
    <w:rsid w:val="009B1D52"/>
    <w:rsid w:val="009B209B"/>
    <w:rsid w:val="009B3271"/>
    <w:rsid w:val="009B3E26"/>
    <w:rsid w:val="009B57F5"/>
    <w:rsid w:val="009B5C4D"/>
    <w:rsid w:val="009C00B5"/>
    <w:rsid w:val="009C34C3"/>
    <w:rsid w:val="009C3706"/>
    <w:rsid w:val="009C3A3A"/>
    <w:rsid w:val="009C3CA5"/>
    <w:rsid w:val="009C59D6"/>
    <w:rsid w:val="009C5D19"/>
    <w:rsid w:val="009C6CEA"/>
    <w:rsid w:val="009C7B85"/>
    <w:rsid w:val="009D0254"/>
    <w:rsid w:val="009D059E"/>
    <w:rsid w:val="009D1053"/>
    <w:rsid w:val="009D11B3"/>
    <w:rsid w:val="009D19E2"/>
    <w:rsid w:val="009D1A64"/>
    <w:rsid w:val="009D44D8"/>
    <w:rsid w:val="009D5B91"/>
    <w:rsid w:val="009D792E"/>
    <w:rsid w:val="009D7DCA"/>
    <w:rsid w:val="009E0DFE"/>
    <w:rsid w:val="009E20E9"/>
    <w:rsid w:val="009E31F6"/>
    <w:rsid w:val="009E4C07"/>
    <w:rsid w:val="009E5854"/>
    <w:rsid w:val="009E7453"/>
    <w:rsid w:val="009F0C20"/>
    <w:rsid w:val="00A01184"/>
    <w:rsid w:val="00A0299F"/>
    <w:rsid w:val="00A037C2"/>
    <w:rsid w:val="00A03D43"/>
    <w:rsid w:val="00A042E3"/>
    <w:rsid w:val="00A04380"/>
    <w:rsid w:val="00A05472"/>
    <w:rsid w:val="00A05C32"/>
    <w:rsid w:val="00A0653F"/>
    <w:rsid w:val="00A06E75"/>
    <w:rsid w:val="00A0776D"/>
    <w:rsid w:val="00A07773"/>
    <w:rsid w:val="00A107A0"/>
    <w:rsid w:val="00A11CD0"/>
    <w:rsid w:val="00A12337"/>
    <w:rsid w:val="00A13948"/>
    <w:rsid w:val="00A139B7"/>
    <w:rsid w:val="00A1555B"/>
    <w:rsid w:val="00A155C5"/>
    <w:rsid w:val="00A166FD"/>
    <w:rsid w:val="00A16AD8"/>
    <w:rsid w:val="00A20526"/>
    <w:rsid w:val="00A21C95"/>
    <w:rsid w:val="00A21CF3"/>
    <w:rsid w:val="00A24813"/>
    <w:rsid w:val="00A27AEC"/>
    <w:rsid w:val="00A320DB"/>
    <w:rsid w:val="00A35D16"/>
    <w:rsid w:val="00A35E29"/>
    <w:rsid w:val="00A367A3"/>
    <w:rsid w:val="00A37BCD"/>
    <w:rsid w:val="00A41689"/>
    <w:rsid w:val="00A42592"/>
    <w:rsid w:val="00A42A3E"/>
    <w:rsid w:val="00A43C59"/>
    <w:rsid w:val="00A467A0"/>
    <w:rsid w:val="00A50ECD"/>
    <w:rsid w:val="00A518F3"/>
    <w:rsid w:val="00A51F04"/>
    <w:rsid w:val="00A51FBF"/>
    <w:rsid w:val="00A52729"/>
    <w:rsid w:val="00A533A3"/>
    <w:rsid w:val="00A53675"/>
    <w:rsid w:val="00A54C14"/>
    <w:rsid w:val="00A555F2"/>
    <w:rsid w:val="00A55915"/>
    <w:rsid w:val="00A564D7"/>
    <w:rsid w:val="00A56B6A"/>
    <w:rsid w:val="00A5766E"/>
    <w:rsid w:val="00A5788B"/>
    <w:rsid w:val="00A578DC"/>
    <w:rsid w:val="00A57D37"/>
    <w:rsid w:val="00A6055E"/>
    <w:rsid w:val="00A61948"/>
    <w:rsid w:val="00A6234C"/>
    <w:rsid w:val="00A62CCD"/>
    <w:rsid w:val="00A640E2"/>
    <w:rsid w:val="00A648E3"/>
    <w:rsid w:val="00A64D65"/>
    <w:rsid w:val="00A6725B"/>
    <w:rsid w:val="00A70605"/>
    <w:rsid w:val="00A7092F"/>
    <w:rsid w:val="00A716C0"/>
    <w:rsid w:val="00A71B97"/>
    <w:rsid w:val="00A73134"/>
    <w:rsid w:val="00A738C1"/>
    <w:rsid w:val="00A738D8"/>
    <w:rsid w:val="00A746E9"/>
    <w:rsid w:val="00A7515D"/>
    <w:rsid w:val="00A758CB"/>
    <w:rsid w:val="00A76001"/>
    <w:rsid w:val="00A777B2"/>
    <w:rsid w:val="00A77A6B"/>
    <w:rsid w:val="00A82137"/>
    <w:rsid w:val="00A825D4"/>
    <w:rsid w:val="00A82738"/>
    <w:rsid w:val="00A828F6"/>
    <w:rsid w:val="00A82B73"/>
    <w:rsid w:val="00A82BF5"/>
    <w:rsid w:val="00A83402"/>
    <w:rsid w:val="00A86E8B"/>
    <w:rsid w:val="00A86F90"/>
    <w:rsid w:val="00A87164"/>
    <w:rsid w:val="00A87723"/>
    <w:rsid w:val="00A87A3A"/>
    <w:rsid w:val="00A910A3"/>
    <w:rsid w:val="00A9158E"/>
    <w:rsid w:val="00A93072"/>
    <w:rsid w:val="00A938BD"/>
    <w:rsid w:val="00A93953"/>
    <w:rsid w:val="00A9417A"/>
    <w:rsid w:val="00A959D8"/>
    <w:rsid w:val="00AA0613"/>
    <w:rsid w:val="00AA113D"/>
    <w:rsid w:val="00AA146A"/>
    <w:rsid w:val="00AA1D0A"/>
    <w:rsid w:val="00AA3DE5"/>
    <w:rsid w:val="00AA56DD"/>
    <w:rsid w:val="00AA6BD5"/>
    <w:rsid w:val="00AA6BD8"/>
    <w:rsid w:val="00AA6C7D"/>
    <w:rsid w:val="00AA7FD6"/>
    <w:rsid w:val="00AB042A"/>
    <w:rsid w:val="00AB19EF"/>
    <w:rsid w:val="00AB2D34"/>
    <w:rsid w:val="00AB3127"/>
    <w:rsid w:val="00AB3430"/>
    <w:rsid w:val="00AB37B9"/>
    <w:rsid w:val="00AB49D4"/>
    <w:rsid w:val="00AB4AD1"/>
    <w:rsid w:val="00AB5E07"/>
    <w:rsid w:val="00AB6884"/>
    <w:rsid w:val="00AB7868"/>
    <w:rsid w:val="00AB79BB"/>
    <w:rsid w:val="00AB7CFA"/>
    <w:rsid w:val="00AB7DA5"/>
    <w:rsid w:val="00AC1433"/>
    <w:rsid w:val="00AC35AC"/>
    <w:rsid w:val="00AC5B48"/>
    <w:rsid w:val="00AC5B6D"/>
    <w:rsid w:val="00AD03A1"/>
    <w:rsid w:val="00AD1450"/>
    <w:rsid w:val="00AD30C8"/>
    <w:rsid w:val="00AD34E5"/>
    <w:rsid w:val="00AD3799"/>
    <w:rsid w:val="00AD567D"/>
    <w:rsid w:val="00AD6502"/>
    <w:rsid w:val="00AD65CB"/>
    <w:rsid w:val="00AD6EC1"/>
    <w:rsid w:val="00AD75FE"/>
    <w:rsid w:val="00AD77AC"/>
    <w:rsid w:val="00AD7C4D"/>
    <w:rsid w:val="00AE0695"/>
    <w:rsid w:val="00AE3E7E"/>
    <w:rsid w:val="00AE5E56"/>
    <w:rsid w:val="00AE7AE2"/>
    <w:rsid w:val="00AF1315"/>
    <w:rsid w:val="00AF19BF"/>
    <w:rsid w:val="00AF2DC3"/>
    <w:rsid w:val="00AF3656"/>
    <w:rsid w:val="00AF3835"/>
    <w:rsid w:val="00AF5A3F"/>
    <w:rsid w:val="00AF5F1A"/>
    <w:rsid w:val="00AF77A4"/>
    <w:rsid w:val="00AF7865"/>
    <w:rsid w:val="00B0230C"/>
    <w:rsid w:val="00B0272C"/>
    <w:rsid w:val="00B033E5"/>
    <w:rsid w:val="00B03A63"/>
    <w:rsid w:val="00B06CCB"/>
    <w:rsid w:val="00B1012C"/>
    <w:rsid w:val="00B12E10"/>
    <w:rsid w:val="00B1307E"/>
    <w:rsid w:val="00B147ED"/>
    <w:rsid w:val="00B14ECB"/>
    <w:rsid w:val="00B14F8C"/>
    <w:rsid w:val="00B15484"/>
    <w:rsid w:val="00B15533"/>
    <w:rsid w:val="00B17E4B"/>
    <w:rsid w:val="00B201A4"/>
    <w:rsid w:val="00B201D1"/>
    <w:rsid w:val="00B213A6"/>
    <w:rsid w:val="00B2306C"/>
    <w:rsid w:val="00B235B0"/>
    <w:rsid w:val="00B24DF6"/>
    <w:rsid w:val="00B25369"/>
    <w:rsid w:val="00B25729"/>
    <w:rsid w:val="00B26CCF"/>
    <w:rsid w:val="00B30B3B"/>
    <w:rsid w:val="00B31DDC"/>
    <w:rsid w:val="00B34FE2"/>
    <w:rsid w:val="00B35166"/>
    <w:rsid w:val="00B357D8"/>
    <w:rsid w:val="00B360F4"/>
    <w:rsid w:val="00B36A00"/>
    <w:rsid w:val="00B37BFC"/>
    <w:rsid w:val="00B400A1"/>
    <w:rsid w:val="00B40358"/>
    <w:rsid w:val="00B41614"/>
    <w:rsid w:val="00B42776"/>
    <w:rsid w:val="00B42851"/>
    <w:rsid w:val="00B42F80"/>
    <w:rsid w:val="00B435CB"/>
    <w:rsid w:val="00B43D95"/>
    <w:rsid w:val="00B45F90"/>
    <w:rsid w:val="00B505C8"/>
    <w:rsid w:val="00B50DB8"/>
    <w:rsid w:val="00B518AA"/>
    <w:rsid w:val="00B52B08"/>
    <w:rsid w:val="00B53654"/>
    <w:rsid w:val="00B53905"/>
    <w:rsid w:val="00B54B5B"/>
    <w:rsid w:val="00B5562E"/>
    <w:rsid w:val="00B55D65"/>
    <w:rsid w:val="00B57000"/>
    <w:rsid w:val="00B5701E"/>
    <w:rsid w:val="00B60939"/>
    <w:rsid w:val="00B60AFD"/>
    <w:rsid w:val="00B61266"/>
    <w:rsid w:val="00B62715"/>
    <w:rsid w:val="00B63D0E"/>
    <w:rsid w:val="00B640B5"/>
    <w:rsid w:val="00B64683"/>
    <w:rsid w:val="00B65611"/>
    <w:rsid w:val="00B6689D"/>
    <w:rsid w:val="00B66919"/>
    <w:rsid w:val="00B66EDD"/>
    <w:rsid w:val="00B67F20"/>
    <w:rsid w:val="00B70C88"/>
    <w:rsid w:val="00B70E8E"/>
    <w:rsid w:val="00B71A4C"/>
    <w:rsid w:val="00B71A61"/>
    <w:rsid w:val="00B71E05"/>
    <w:rsid w:val="00B75571"/>
    <w:rsid w:val="00B75E42"/>
    <w:rsid w:val="00B76558"/>
    <w:rsid w:val="00B76C92"/>
    <w:rsid w:val="00B77B0C"/>
    <w:rsid w:val="00B815A0"/>
    <w:rsid w:val="00B818A4"/>
    <w:rsid w:val="00B81F81"/>
    <w:rsid w:val="00B82B09"/>
    <w:rsid w:val="00B83BB7"/>
    <w:rsid w:val="00B84117"/>
    <w:rsid w:val="00B844EE"/>
    <w:rsid w:val="00B84D42"/>
    <w:rsid w:val="00B858F0"/>
    <w:rsid w:val="00B85AA2"/>
    <w:rsid w:val="00B8649C"/>
    <w:rsid w:val="00B8695D"/>
    <w:rsid w:val="00B87F0A"/>
    <w:rsid w:val="00B92D0B"/>
    <w:rsid w:val="00B93173"/>
    <w:rsid w:val="00B93858"/>
    <w:rsid w:val="00B94945"/>
    <w:rsid w:val="00B94C4C"/>
    <w:rsid w:val="00B94DD6"/>
    <w:rsid w:val="00B9703B"/>
    <w:rsid w:val="00B9749C"/>
    <w:rsid w:val="00B974FF"/>
    <w:rsid w:val="00BA0753"/>
    <w:rsid w:val="00BA322D"/>
    <w:rsid w:val="00BA4F14"/>
    <w:rsid w:val="00BA63FA"/>
    <w:rsid w:val="00BB00B3"/>
    <w:rsid w:val="00BB0BDD"/>
    <w:rsid w:val="00BB176C"/>
    <w:rsid w:val="00BB2A73"/>
    <w:rsid w:val="00BB3A45"/>
    <w:rsid w:val="00BB3B69"/>
    <w:rsid w:val="00BB3BD9"/>
    <w:rsid w:val="00BB4ACC"/>
    <w:rsid w:val="00BB703E"/>
    <w:rsid w:val="00BB732D"/>
    <w:rsid w:val="00BB7405"/>
    <w:rsid w:val="00BC0C09"/>
    <w:rsid w:val="00BC1465"/>
    <w:rsid w:val="00BC34D2"/>
    <w:rsid w:val="00BC3631"/>
    <w:rsid w:val="00BC3783"/>
    <w:rsid w:val="00BC3E6E"/>
    <w:rsid w:val="00BC434D"/>
    <w:rsid w:val="00BC4680"/>
    <w:rsid w:val="00BC591F"/>
    <w:rsid w:val="00BC615D"/>
    <w:rsid w:val="00BC6629"/>
    <w:rsid w:val="00BC6CDB"/>
    <w:rsid w:val="00BC7D6D"/>
    <w:rsid w:val="00BD2108"/>
    <w:rsid w:val="00BD68A3"/>
    <w:rsid w:val="00BD6938"/>
    <w:rsid w:val="00BD6CF3"/>
    <w:rsid w:val="00BD7E08"/>
    <w:rsid w:val="00BE09A1"/>
    <w:rsid w:val="00BE0ECA"/>
    <w:rsid w:val="00BE2180"/>
    <w:rsid w:val="00BE21F2"/>
    <w:rsid w:val="00BE3D50"/>
    <w:rsid w:val="00BE4275"/>
    <w:rsid w:val="00BE4816"/>
    <w:rsid w:val="00BE630F"/>
    <w:rsid w:val="00BE636A"/>
    <w:rsid w:val="00BF06AE"/>
    <w:rsid w:val="00BF0F95"/>
    <w:rsid w:val="00BF1809"/>
    <w:rsid w:val="00BF2433"/>
    <w:rsid w:val="00BF3935"/>
    <w:rsid w:val="00BF54BF"/>
    <w:rsid w:val="00BF61C9"/>
    <w:rsid w:val="00BF6C94"/>
    <w:rsid w:val="00BF713A"/>
    <w:rsid w:val="00C00424"/>
    <w:rsid w:val="00C00D0E"/>
    <w:rsid w:val="00C02368"/>
    <w:rsid w:val="00C03ECB"/>
    <w:rsid w:val="00C05ED5"/>
    <w:rsid w:val="00C069C2"/>
    <w:rsid w:val="00C06A6A"/>
    <w:rsid w:val="00C10B8D"/>
    <w:rsid w:val="00C1179F"/>
    <w:rsid w:val="00C11D4D"/>
    <w:rsid w:val="00C12C14"/>
    <w:rsid w:val="00C13E60"/>
    <w:rsid w:val="00C151D4"/>
    <w:rsid w:val="00C15F04"/>
    <w:rsid w:val="00C179B3"/>
    <w:rsid w:val="00C17E3F"/>
    <w:rsid w:val="00C200AA"/>
    <w:rsid w:val="00C20D7A"/>
    <w:rsid w:val="00C237ED"/>
    <w:rsid w:val="00C24632"/>
    <w:rsid w:val="00C25418"/>
    <w:rsid w:val="00C25D9C"/>
    <w:rsid w:val="00C2778B"/>
    <w:rsid w:val="00C31649"/>
    <w:rsid w:val="00C337B1"/>
    <w:rsid w:val="00C3434C"/>
    <w:rsid w:val="00C354EC"/>
    <w:rsid w:val="00C35D43"/>
    <w:rsid w:val="00C36726"/>
    <w:rsid w:val="00C40385"/>
    <w:rsid w:val="00C4058C"/>
    <w:rsid w:val="00C41768"/>
    <w:rsid w:val="00C4339E"/>
    <w:rsid w:val="00C4498F"/>
    <w:rsid w:val="00C451D9"/>
    <w:rsid w:val="00C466C4"/>
    <w:rsid w:val="00C47563"/>
    <w:rsid w:val="00C475AA"/>
    <w:rsid w:val="00C47852"/>
    <w:rsid w:val="00C50F68"/>
    <w:rsid w:val="00C53C98"/>
    <w:rsid w:val="00C56135"/>
    <w:rsid w:val="00C56FCF"/>
    <w:rsid w:val="00C57B6C"/>
    <w:rsid w:val="00C57D94"/>
    <w:rsid w:val="00C60F5D"/>
    <w:rsid w:val="00C61E57"/>
    <w:rsid w:val="00C625A4"/>
    <w:rsid w:val="00C62744"/>
    <w:rsid w:val="00C628A6"/>
    <w:rsid w:val="00C64245"/>
    <w:rsid w:val="00C64344"/>
    <w:rsid w:val="00C64DDB"/>
    <w:rsid w:val="00C65108"/>
    <w:rsid w:val="00C65576"/>
    <w:rsid w:val="00C66165"/>
    <w:rsid w:val="00C678F8"/>
    <w:rsid w:val="00C70446"/>
    <w:rsid w:val="00C7060A"/>
    <w:rsid w:val="00C7088E"/>
    <w:rsid w:val="00C7151A"/>
    <w:rsid w:val="00C7174E"/>
    <w:rsid w:val="00C717E3"/>
    <w:rsid w:val="00C71F60"/>
    <w:rsid w:val="00C72241"/>
    <w:rsid w:val="00C750C8"/>
    <w:rsid w:val="00C7560F"/>
    <w:rsid w:val="00C760BA"/>
    <w:rsid w:val="00C7626C"/>
    <w:rsid w:val="00C8049C"/>
    <w:rsid w:val="00C80A0E"/>
    <w:rsid w:val="00C8213F"/>
    <w:rsid w:val="00C83062"/>
    <w:rsid w:val="00C85154"/>
    <w:rsid w:val="00C85946"/>
    <w:rsid w:val="00C8797A"/>
    <w:rsid w:val="00C87AC8"/>
    <w:rsid w:val="00C87CC4"/>
    <w:rsid w:val="00C900B8"/>
    <w:rsid w:val="00C90C71"/>
    <w:rsid w:val="00C91211"/>
    <w:rsid w:val="00C91FD1"/>
    <w:rsid w:val="00C931CF"/>
    <w:rsid w:val="00C938CF"/>
    <w:rsid w:val="00C94053"/>
    <w:rsid w:val="00C95B9B"/>
    <w:rsid w:val="00C9624D"/>
    <w:rsid w:val="00C9684D"/>
    <w:rsid w:val="00C969DA"/>
    <w:rsid w:val="00CA008D"/>
    <w:rsid w:val="00CA20C2"/>
    <w:rsid w:val="00CA2C77"/>
    <w:rsid w:val="00CA3AFD"/>
    <w:rsid w:val="00CA444F"/>
    <w:rsid w:val="00CA5245"/>
    <w:rsid w:val="00CA5863"/>
    <w:rsid w:val="00CA5DCF"/>
    <w:rsid w:val="00CA71F4"/>
    <w:rsid w:val="00CA7B09"/>
    <w:rsid w:val="00CB12A5"/>
    <w:rsid w:val="00CB152D"/>
    <w:rsid w:val="00CB1CAC"/>
    <w:rsid w:val="00CB20E8"/>
    <w:rsid w:val="00CB2855"/>
    <w:rsid w:val="00CB2F2A"/>
    <w:rsid w:val="00CB418D"/>
    <w:rsid w:val="00CB5B1A"/>
    <w:rsid w:val="00CB6B22"/>
    <w:rsid w:val="00CB733D"/>
    <w:rsid w:val="00CB7F5F"/>
    <w:rsid w:val="00CC0632"/>
    <w:rsid w:val="00CC1B39"/>
    <w:rsid w:val="00CC1FB1"/>
    <w:rsid w:val="00CC35EA"/>
    <w:rsid w:val="00CC364D"/>
    <w:rsid w:val="00CC3848"/>
    <w:rsid w:val="00CC4150"/>
    <w:rsid w:val="00CD1AD0"/>
    <w:rsid w:val="00CD2AAA"/>
    <w:rsid w:val="00CD3F77"/>
    <w:rsid w:val="00CD5F85"/>
    <w:rsid w:val="00CD6ADC"/>
    <w:rsid w:val="00CD7193"/>
    <w:rsid w:val="00CE2AE4"/>
    <w:rsid w:val="00CE38C8"/>
    <w:rsid w:val="00CE6274"/>
    <w:rsid w:val="00CE77B6"/>
    <w:rsid w:val="00CE7FCB"/>
    <w:rsid w:val="00CF225D"/>
    <w:rsid w:val="00CF2812"/>
    <w:rsid w:val="00CF2B8D"/>
    <w:rsid w:val="00CF2DFD"/>
    <w:rsid w:val="00CF3A7A"/>
    <w:rsid w:val="00CF456B"/>
    <w:rsid w:val="00CF493F"/>
    <w:rsid w:val="00CF4BB7"/>
    <w:rsid w:val="00CF5A22"/>
    <w:rsid w:val="00CF79F2"/>
    <w:rsid w:val="00CF79FE"/>
    <w:rsid w:val="00D0183F"/>
    <w:rsid w:val="00D0262E"/>
    <w:rsid w:val="00D03E7F"/>
    <w:rsid w:val="00D05E3D"/>
    <w:rsid w:val="00D06139"/>
    <w:rsid w:val="00D0742A"/>
    <w:rsid w:val="00D104D2"/>
    <w:rsid w:val="00D110BD"/>
    <w:rsid w:val="00D11B3E"/>
    <w:rsid w:val="00D13675"/>
    <w:rsid w:val="00D141E1"/>
    <w:rsid w:val="00D15314"/>
    <w:rsid w:val="00D157F7"/>
    <w:rsid w:val="00D15F6D"/>
    <w:rsid w:val="00D17D6C"/>
    <w:rsid w:val="00D17E94"/>
    <w:rsid w:val="00D2155B"/>
    <w:rsid w:val="00D22978"/>
    <w:rsid w:val="00D23D11"/>
    <w:rsid w:val="00D2406E"/>
    <w:rsid w:val="00D244B6"/>
    <w:rsid w:val="00D2754D"/>
    <w:rsid w:val="00D27B27"/>
    <w:rsid w:val="00D33BE9"/>
    <w:rsid w:val="00D33F93"/>
    <w:rsid w:val="00D357FF"/>
    <w:rsid w:val="00D36EE0"/>
    <w:rsid w:val="00D420D0"/>
    <w:rsid w:val="00D424C7"/>
    <w:rsid w:val="00D42D3B"/>
    <w:rsid w:val="00D43B2A"/>
    <w:rsid w:val="00D43D83"/>
    <w:rsid w:val="00D44895"/>
    <w:rsid w:val="00D44B3B"/>
    <w:rsid w:val="00D45609"/>
    <w:rsid w:val="00D45843"/>
    <w:rsid w:val="00D47575"/>
    <w:rsid w:val="00D507C6"/>
    <w:rsid w:val="00D51717"/>
    <w:rsid w:val="00D5243B"/>
    <w:rsid w:val="00D528CC"/>
    <w:rsid w:val="00D533EC"/>
    <w:rsid w:val="00D543F9"/>
    <w:rsid w:val="00D56A95"/>
    <w:rsid w:val="00D5747E"/>
    <w:rsid w:val="00D602E1"/>
    <w:rsid w:val="00D704F9"/>
    <w:rsid w:val="00D7054C"/>
    <w:rsid w:val="00D70F16"/>
    <w:rsid w:val="00D71BEB"/>
    <w:rsid w:val="00D72F57"/>
    <w:rsid w:val="00D73408"/>
    <w:rsid w:val="00D73D35"/>
    <w:rsid w:val="00D74763"/>
    <w:rsid w:val="00D74993"/>
    <w:rsid w:val="00D75F72"/>
    <w:rsid w:val="00D76A44"/>
    <w:rsid w:val="00D80ACF"/>
    <w:rsid w:val="00D815EF"/>
    <w:rsid w:val="00D81F26"/>
    <w:rsid w:val="00D82939"/>
    <w:rsid w:val="00D83F5A"/>
    <w:rsid w:val="00D86231"/>
    <w:rsid w:val="00D86363"/>
    <w:rsid w:val="00D91923"/>
    <w:rsid w:val="00D93753"/>
    <w:rsid w:val="00D9462E"/>
    <w:rsid w:val="00D96D74"/>
    <w:rsid w:val="00D97645"/>
    <w:rsid w:val="00DA3167"/>
    <w:rsid w:val="00DA4A13"/>
    <w:rsid w:val="00DA4DC3"/>
    <w:rsid w:val="00DA52A0"/>
    <w:rsid w:val="00DA5E50"/>
    <w:rsid w:val="00DA77A5"/>
    <w:rsid w:val="00DA7DE5"/>
    <w:rsid w:val="00DB1AA9"/>
    <w:rsid w:val="00DB20DD"/>
    <w:rsid w:val="00DB27CB"/>
    <w:rsid w:val="00DB3CFF"/>
    <w:rsid w:val="00DB3DBF"/>
    <w:rsid w:val="00DB484F"/>
    <w:rsid w:val="00DB4BE0"/>
    <w:rsid w:val="00DB659C"/>
    <w:rsid w:val="00DB7C77"/>
    <w:rsid w:val="00DC04F6"/>
    <w:rsid w:val="00DC0690"/>
    <w:rsid w:val="00DC1D65"/>
    <w:rsid w:val="00DC3495"/>
    <w:rsid w:val="00DC3C57"/>
    <w:rsid w:val="00DC4E42"/>
    <w:rsid w:val="00DC5501"/>
    <w:rsid w:val="00DC7154"/>
    <w:rsid w:val="00DC7E8A"/>
    <w:rsid w:val="00DD0F78"/>
    <w:rsid w:val="00DD273C"/>
    <w:rsid w:val="00DD3D75"/>
    <w:rsid w:val="00DD3F1B"/>
    <w:rsid w:val="00DD3F28"/>
    <w:rsid w:val="00DD4537"/>
    <w:rsid w:val="00DD4E15"/>
    <w:rsid w:val="00DD57E6"/>
    <w:rsid w:val="00DD593A"/>
    <w:rsid w:val="00DD59D8"/>
    <w:rsid w:val="00DD6242"/>
    <w:rsid w:val="00DD7E03"/>
    <w:rsid w:val="00DE0521"/>
    <w:rsid w:val="00DE10F8"/>
    <w:rsid w:val="00DE2273"/>
    <w:rsid w:val="00DE2304"/>
    <w:rsid w:val="00DE3138"/>
    <w:rsid w:val="00DE37F8"/>
    <w:rsid w:val="00DE4FCB"/>
    <w:rsid w:val="00DE516B"/>
    <w:rsid w:val="00DE58CE"/>
    <w:rsid w:val="00DE58E7"/>
    <w:rsid w:val="00DE5D07"/>
    <w:rsid w:val="00DE6A97"/>
    <w:rsid w:val="00DE72A7"/>
    <w:rsid w:val="00DE7832"/>
    <w:rsid w:val="00DE7D51"/>
    <w:rsid w:val="00DF18FC"/>
    <w:rsid w:val="00DF1B9E"/>
    <w:rsid w:val="00DF21C2"/>
    <w:rsid w:val="00DF2C56"/>
    <w:rsid w:val="00DF3128"/>
    <w:rsid w:val="00DF4B29"/>
    <w:rsid w:val="00DF5D2B"/>
    <w:rsid w:val="00DF634D"/>
    <w:rsid w:val="00DF69D8"/>
    <w:rsid w:val="00E00E8E"/>
    <w:rsid w:val="00E010B8"/>
    <w:rsid w:val="00E0120B"/>
    <w:rsid w:val="00E05630"/>
    <w:rsid w:val="00E06DBB"/>
    <w:rsid w:val="00E06FD9"/>
    <w:rsid w:val="00E10149"/>
    <w:rsid w:val="00E11340"/>
    <w:rsid w:val="00E1142B"/>
    <w:rsid w:val="00E1150B"/>
    <w:rsid w:val="00E122A1"/>
    <w:rsid w:val="00E126B4"/>
    <w:rsid w:val="00E138AE"/>
    <w:rsid w:val="00E16372"/>
    <w:rsid w:val="00E17E7B"/>
    <w:rsid w:val="00E20CF6"/>
    <w:rsid w:val="00E20E4D"/>
    <w:rsid w:val="00E20ED6"/>
    <w:rsid w:val="00E21358"/>
    <w:rsid w:val="00E21F20"/>
    <w:rsid w:val="00E2249B"/>
    <w:rsid w:val="00E22A0D"/>
    <w:rsid w:val="00E22E76"/>
    <w:rsid w:val="00E231A8"/>
    <w:rsid w:val="00E24155"/>
    <w:rsid w:val="00E244F6"/>
    <w:rsid w:val="00E25511"/>
    <w:rsid w:val="00E268F4"/>
    <w:rsid w:val="00E269CC"/>
    <w:rsid w:val="00E2771E"/>
    <w:rsid w:val="00E27FFE"/>
    <w:rsid w:val="00E30255"/>
    <w:rsid w:val="00E30374"/>
    <w:rsid w:val="00E30779"/>
    <w:rsid w:val="00E31114"/>
    <w:rsid w:val="00E311EF"/>
    <w:rsid w:val="00E32180"/>
    <w:rsid w:val="00E34948"/>
    <w:rsid w:val="00E37569"/>
    <w:rsid w:val="00E37FF7"/>
    <w:rsid w:val="00E401B2"/>
    <w:rsid w:val="00E405A0"/>
    <w:rsid w:val="00E41E30"/>
    <w:rsid w:val="00E42F73"/>
    <w:rsid w:val="00E43D70"/>
    <w:rsid w:val="00E45814"/>
    <w:rsid w:val="00E464B4"/>
    <w:rsid w:val="00E466F3"/>
    <w:rsid w:val="00E46954"/>
    <w:rsid w:val="00E46FE5"/>
    <w:rsid w:val="00E4724E"/>
    <w:rsid w:val="00E479BA"/>
    <w:rsid w:val="00E47B2C"/>
    <w:rsid w:val="00E5074C"/>
    <w:rsid w:val="00E50CFB"/>
    <w:rsid w:val="00E5104B"/>
    <w:rsid w:val="00E51560"/>
    <w:rsid w:val="00E51EAC"/>
    <w:rsid w:val="00E53FC8"/>
    <w:rsid w:val="00E54347"/>
    <w:rsid w:val="00E5447B"/>
    <w:rsid w:val="00E546D7"/>
    <w:rsid w:val="00E54AED"/>
    <w:rsid w:val="00E55424"/>
    <w:rsid w:val="00E55652"/>
    <w:rsid w:val="00E55915"/>
    <w:rsid w:val="00E55BB5"/>
    <w:rsid w:val="00E56E67"/>
    <w:rsid w:val="00E56EA7"/>
    <w:rsid w:val="00E57AD3"/>
    <w:rsid w:val="00E603BA"/>
    <w:rsid w:val="00E604CE"/>
    <w:rsid w:val="00E614C6"/>
    <w:rsid w:val="00E628EA"/>
    <w:rsid w:val="00E6302C"/>
    <w:rsid w:val="00E63B80"/>
    <w:rsid w:val="00E655B5"/>
    <w:rsid w:val="00E65B1D"/>
    <w:rsid w:val="00E65E79"/>
    <w:rsid w:val="00E66BA2"/>
    <w:rsid w:val="00E67416"/>
    <w:rsid w:val="00E7001E"/>
    <w:rsid w:val="00E718B6"/>
    <w:rsid w:val="00E71D68"/>
    <w:rsid w:val="00E723BA"/>
    <w:rsid w:val="00E73581"/>
    <w:rsid w:val="00E80F5F"/>
    <w:rsid w:val="00E8189B"/>
    <w:rsid w:val="00E833F7"/>
    <w:rsid w:val="00E83BDF"/>
    <w:rsid w:val="00E83D45"/>
    <w:rsid w:val="00E8582E"/>
    <w:rsid w:val="00E86862"/>
    <w:rsid w:val="00E87A1D"/>
    <w:rsid w:val="00E9094A"/>
    <w:rsid w:val="00E91D35"/>
    <w:rsid w:val="00E926A5"/>
    <w:rsid w:val="00E93E08"/>
    <w:rsid w:val="00E951CF"/>
    <w:rsid w:val="00EA0329"/>
    <w:rsid w:val="00EA17C3"/>
    <w:rsid w:val="00EA23A3"/>
    <w:rsid w:val="00EA2CAA"/>
    <w:rsid w:val="00EA3864"/>
    <w:rsid w:val="00EA4472"/>
    <w:rsid w:val="00EA53B1"/>
    <w:rsid w:val="00EA7F1C"/>
    <w:rsid w:val="00EB0258"/>
    <w:rsid w:val="00EB0DCB"/>
    <w:rsid w:val="00EB15B6"/>
    <w:rsid w:val="00EB2217"/>
    <w:rsid w:val="00EB375F"/>
    <w:rsid w:val="00EB3D06"/>
    <w:rsid w:val="00EB4916"/>
    <w:rsid w:val="00EB5D5E"/>
    <w:rsid w:val="00EC00C9"/>
    <w:rsid w:val="00EC0DD9"/>
    <w:rsid w:val="00EC1071"/>
    <w:rsid w:val="00EC1669"/>
    <w:rsid w:val="00EC2200"/>
    <w:rsid w:val="00EC2649"/>
    <w:rsid w:val="00EC31ED"/>
    <w:rsid w:val="00EC5836"/>
    <w:rsid w:val="00EC688C"/>
    <w:rsid w:val="00EC7949"/>
    <w:rsid w:val="00ED1419"/>
    <w:rsid w:val="00ED2707"/>
    <w:rsid w:val="00ED2831"/>
    <w:rsid w:val="00ED42AB"/>
    <w:rsid w:val="00ED5319"/>
    <w:rsid w:val="00ED57EA"/>
    <w:rsid w:val="00ED5BD4"/>
    <w:rsid w:val="00ED655F"/>
    <w:rsid w:val="00EE07D3"/>
    <w:rsid w:val="00EE0C80"/>
    <w:rsid w:val="00EE0D54"/>
    <w:rsid w:val="00EE1996"/>
    <w:rsid w:val="00EE1C01"/>
    <w:rsid w:val="00EE22AF"/>
    <w:rsid w:val="00EE4097"/>
    <w:rsid w:val="00EE4249"/>
    <w:rsid w:val="00EE7F6A"/>
    <w:rsid w:val="00EF0171"/>
    <w:rsid w:val="00EF10F0"/>
    <w:rsid w:val="00EF1B25"/>
    <w:rsid w:val="00EF1DA0"/>
    <w:rsid w:val="00EF25DA"/>
    <w:rsid w:val="00EF3B67"/>
    <w:rsid w:val="00EF4747"/>
    <w:rsid w:val="00EF4BF8"/>
    <w:rsid w:val="00EF4C9B"/>
    <w:rsid w:val="00EF4FC2"/>
    <w:rsid w:val="00EF746D"/>
    <w:rsid w:val="00F01B13"/>
    <w:rsid w:val="00F02253"/>
    <w:rsid w:val="00F03C2E"/>
    <w:rsid w:val="00F04A66"/>
    <w:rsid w:val="00F04B4B"/>
    <w:rsid w:val="00F0516C"/>
    <w:rsid w:val="00F067A2"/>
    <w:rsid w:val="00F068D2"/>
    <w:rsid w:val="00F07B9E"/>
    <w:rsid w:val="00F1116F"/>
    <w:rsid w:val="00F112C4"/>
    <w:rsid w:val="00F116F7"/>
    <w:rsid w:val="00F1263A"/>
    <w:rsid w:val="00F15B77"/>
    <w:rsid w:val="00F23FBD"/>
    <w:rsid w:val="00F24072"/>
    <w:rsid w:val="00F24707"/>
    <w:rsid w:val="00F24837"/>
    <w:rsid w:val="00F24C9B"/>
    <w:rsid w:val="00F2575F"/>
    <w:rsid w:val="00F27565"/>
    <w:rsid w:val="00F310D4"/>
    <w:rsid w:val="00F31D5A"/>
    <w:rsid w:val="00F33975"/>
    <w:rsid w:val="00F33DE9"/>
    <w:rsid w:val="00F34707"/>
    <w:rsid w:val="00F34926"/>
    <w:rsid w:val="00F34DB6"/>
    <w:rsid w:val="00F35E6D"/>
    <w:rsid w:val="00F3619A"/>
    <w:rsid w:val="00F369AB"/>
    <w:rsid w:val="00F40AAA"/>
    <w:rsid w:val="00F40BA7"/>
    <w:rsid w:val="00F40F9D"/>
    <w:rsid w:val="00F414C0"/>
    <w:rsid w:val="00F41ACD"/>
    <w:rsid w:val="00F4575E"/>
    <w:rsid w:val="00F458C6"/>
    <w:rsid w:val="00F46CB6"/>
    <w:rsid w:val="00F46F56"/>
    <w:rsid w:val="00F46FFB"/>
    <w:rsid w:val="00F4756D"/>
    <w:rsid w:val="00F47DE8"/>
    <w:rsid w:val="00F52FE8"/>
    <w:rsid w:val="00F542C1"/>
    <w:rsid w:val="00F55E73"/>
    <w:rsid w:val="00F55EDA"/>
    <w:rsid w:val="00F56C80"/>
    <w:rsid w:val="00F57DC0"/>
    <w:rsid w:val="00F60092"/>
    <w:rsid w:val="00F60AA3"/>
    <w:rsid w:val="00F61C18"/>
    <w:rsid w:val="00F64B49"/>
    <w:rsid w:val="00F65F4B"/>
    <w:rsid w:val="00F67A69"/>
    <w:rsid w:val="00F70684"/>
    <w:rsid w:val="00F70BFF"/>
    <w:rsid w:val="00F70C9D"/>
    <w:rsid w:val="00F71AE3"/>
    <w:rsid w:val="00F7375D"/>
    <w:rsid w:val="00F74CD9"/>
    <w:rsid w:val="00F74F2C"/>
    <w:rsid w:val="00F77246"/>
    <w:rsid w:val="00F80A7B"/>
    <w:rsid w:val="00F80E5D"/>
    <w:rsid w:val="00F80EAB"/>
    <w:rsid w:val="00F81936"/>
    <w:rsid w:val="00F81E78"/>
    <w:rsid w:val="00F851CE"/>
    <w:rsid w:val="00F872BD"/>
    <w:rsid w:val="00F87832"/>
    <w:rsid w:val="00F91219"/>
    <w:rsid w:val="00F92444"/>
    <w:rsid w:val="00F932E7"/>
    <w:rsid w:val="00F9393E"/>
    <w:rsid w:val="00F961EB"/>
    <w:rsid w:val="00F966B5"/>
    <w:rsid w:val="00F96D67"/>
    <w:rsid w:val="00F96F8B"/>
    <w:rsid w:val="00F96FD0"/>
    <w:rsid w:val="00F979EC"/>
    <w:rsid w:val="00F97A78"/>
    <w:rsid w:val="00FA00FA"/>
    <w:rsid w:val="00FA0ABE"/>
    <w:rsid w:val="00FA0B20"/>
    <w:rsid w:val="00FA1752"/>
    <w:rsid w:val="00FA24E7"/>
    <w:rsid w:val="00FA3ED8"/>
    <w:rsid w:val="00FA5EE6"/>
    <w:rsid w:val="00FA714F"/>
    <w:rsid w:val="00FA7956"/>
    <w:rsid w:val="00FB18D7"/>
    <w:rsid w:val="00FB2FCB"/>
    <w:rsid w:val="00FB4C49"/>
    <w:rsid w:val="00FB6214"/>
    <w:rsid w:val="00FB6817"/>
    <w:rsid w:val="00FB78F4"/>
    <w:rsid w:val="00FB7C55"/>
    <w:rsid w:val="00FC1074"/>
    <w:rsid w:val="00FC1884"/>
    <w:rsid w:val="00FC1E75"/>
    <w:rsid w:val="00FC262A"/>
    <w:rsid w:val="00FC371D"/>
    <w:rsid w:val="00FC486C"/>
    <w:rsid w:val="00FC489B"/>
    <w:rsid w:val="00FC4D49"/>
    <w:rsid w:val="00FC4FE5"/>
    <w:rsid w:val="00FC5A23"/>
    <w:rsid w:val="00FC5F0B"/>
    <w:rsid w:val="00FC5FCE"/>
    <w:rsid w:val="00FC6F7E"/>
    <w:rsid w:val="00FC7386"/>
    <w:rsid w:val="00FD0D89"/>
    <w:rsid w:val="00FD2100"/>
    <w:rsid w:val="00FD24AB"/>
    <w:rsid w:val="00FD436C"/>
    <w:rsid w:val="00FD446D"/>
    <w:rsid w:val="00FD4F2C"/>
    <w:rsid w:val="00FD6394"/>
    <w:rsid w:val="00FD7046"/>
    <w:rsid w:val="00FE0E6C"/>
    <w:rsid w:val="00FE1214"/>
    <w:rsid w:val="00FE1514"/>
    <w:rsid w:val="00FE1CDC"/>
    <w:rsid w:val="00FE329B"/>
    <w:rsid w:val="00FE3332"/>
    <w:rsid w:val="00FE35AD"/>
    <w:rsid w:val="00FE367D"/>
    <w:rsid w:val="00FE6FFB"/>
    <w:rsid w:val="00FE70C3"/>
    <w:rsid w:val="00FF23E6"/>
    <w:rsid w:val="00FF2AD9"/>
    <w:rsid w:val="00FF359F"/>
    <w:rsid w:val="00FF3DCF"/>
    <w:rsid w:val="00FF4598"/>
    <w:rsid w:val="00FF492C"/>
    <w:rsid w:val="00FF4A21"/>
    <w:rsid w:val="00FF5AA3"/>
    <w:rsid w:val="00FF5AD8"/>
    <w:rsid w:val="00FF79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Bullet1,Section 5,Bullet 1,Table Legend,Styl moj,Akapit z listą11,L,Bullet Poin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Bullet1 Char,Section 5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Dossier table,Summary Table,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character" w:customStyle="1" w:styleId="Small">
    <w:name w:val="Small"/>
    <w:basedOn w:val="DefaultParagraphFont"/>
    <w:uiPriority w:val="4"/>
    <w:qFormat/>
    <w:rsid w:val="00D104D2"/>
    <w:rPr>
      <w:rFonts w:ascii="Calibri" w:hAnsi="Calibri"/>
      <w:sz w:val="20"/>
    </w:rPr>
  </w:style>
  <w:style w:type="paragraph" w:customStyle="1" w:styleId="TableLeft">
    <w:name w:val="Table Left"/>
    <w:basedOn w:val="Normal"/>
    <w:link w:val="TableLeftChar"/>
    <w:uiPriority w:val="99"/>
    <w:qFormat/>
    <w:rsid w:val="00D104D2"/>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D104D2"/>
    <w:rPr>
      <w:rFonts w:ascii="Calibri" w:eastAsiaTheme="majorEastAsia" w:hAnsi="Calibri" w:cstheme="majorBidi"/>
      <w:sz w:val="18"/>
      <w:szCs w:val="22"/>
      <w:lang w:eastAsia="en-US" w:bidi="en-US"/>
    </w:rPr>
  </w:style>
  <w:style w:type="character" w:customStyle="1" w:styleId="SmallBold">
    <w:name w:val="Small Bold"/>
    <w:basedOn w:val="Small"/>
    <w:uiPriority w:val="4"/>
    <w:qFormat/>
    <w:rsid w:val="00D104D2"/>
    <w:rPr>
      <w:rFonts w:ascii="Calibri" w:hAnsi="Calibri"/>
      <w:b/>
      <w:sz w:val="20"/>
      <w:lang w:val="en-AU"/>
    </w:rPr>
  </w:style>
  <w:style w:type="table" w:customStyle="1" w:styleId="TableGrid1">
    <w:name w:val="Table Grid1"/>
    <w:basedOn w:val="TableNormal"/>
    <w:next w:val="TableGrid"/>
    <w:uiPriority w:val="59"/>
    <w:rsid w:val="00D104D2"/>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journal">
    <w:name w:val="ref-journal"/>
    <w:basedOn w:val="DefaultParagraphFont"/>
    <w:rsid w:val="00D104D2"/>
  </w:style>
  <w:style w:type="character" w:customStyle="1" w:styleId="ref-vol">
    <w:name w:val="ref-vol"/>
    <w:basedOn w:val="DefaultParagraphFont"/>
    <w:rsid w:val="00D104D2"/>
  </w:style>
  <w:style w:type="character" w:customStyle="1" w:styleId="ref-iss">
    <w:name w:val="ref-iss"/>
    <w:basedOn w:val="DefaultParagraphFont"/>
    <w:rsid w:val="00D104D2"/>
  </w:style>
  <w:style w:type="paragraph" w:customStyle="1" w:styleId="TableHeading0">
    <w:name w:val="Table Heading"/>
    <w:basedOn w:val="TableText0"/>
    <w:link w:val="TableHeadingChar"/>
    <w:qFormat/>
    <w:rsid w:val="00D104D2"/>
    <w:pPr>
      <w:keepLines/>
      <w:spacing w:before="20" w:after="20" w:line="276" w:lineRule="auto"/>
    </w:pPr>
    <w:rPr>
      <w:rFonts w:cs="Arial"/>
      <w:b/>
      <w:bCs w:val="0"/>
      <w:szCs w:val="20"/>
      <w:lang w:bidi="en-US"/>
    </w:rPr>
  </w:style>
  <w:style w:type="character" w:customStyle="1" w:styleId="TableHeadingChar">
    <w:name w:val="Table Heading Char"/>
    <w:link w:val="TableHeading0"/>
    <w:locked/>
    <w:rsid w:val="00D104D2"/>
    <w:rPr>
      <w:rFonts w:ascii="Arial Narrow" w:eastAsiaTheme="majorEastAsia" w:hAnsi="Arial Narrow" w:cs="Arial"/>
      <w:b/>
      <w:lang w:bidi="en-US"/>
    </w:rPr>
  </w:style>
  <w:style w:type="paragraph" w:styleId="FootnoteText">
    <w:name w:val="footnote text"/>
    <w:basedOn w:val="Normal"/>
    <w:link w:val="FootnoteTextChar"/>
    <w:semiHidden/>
    <w:unhideWhenUsed/>
    <w:rsid w:val="00D104D2"/>
    <w:rPr>
      <w:sz w:val="20"/>
      <w:szCs w:val="20"/>
    </w:rPr>
  </w:style>
  <w:style w:type="character" w:customStyle="1" w:styleId="FootnoteTextChar">
    <w:name w:val="Footnote Text Char"/>
    <w:basedOn w:val="DefaultParagraphFont"/>
    <w:link w:val="FootnoteText"/>
    <w:semiHidden/>
    <w:rsid w:val="00D104D2"/>
    <w:rPr>
      <w:rFonts w:ascii="Calibri" w:hAnsi="Calibri" w:cs="Arial"/>
    </w:rPr>
  </w:style>
  <w:style w:type="character" w:styleId="FootnoteReference">
    <w:name w:val="footnote reference"/>
    <w:basedOn w:val="DefaultParagraphFont"/>
    <w:semiHidden/>
    <w:unhideWhenUsed/>
    <w:rsid w:val="00D104D2"/>
    <w:rPr>
      <w:vertAlign w:val="superscript"/>
    </w:rPr>
  </w:style>
  <w:style w:type="table" w:customStyle="1" w:styleId="Sourcetable1">
    <w:name w:val="Source table_1"/>
    <w:basedOn w:val="TableNormal"/>
    <w:next w:val="TableGrid"/>
    <w:uiPriority w:val="39"/>
    <w:rsid w:val="00D104D2"/>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missionstandard1">
    <w:name w:val="Submission standard1"/>
    <w:basedOn w:val="TableNormal"/>
    <w:uiPriority w:val="99"/>
    <w:qFormat/>
    <w:rsid w:val="00D104D2"/>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b/>
        <w:sz w:val="20"/>
      </w:rPr>
      <w:tblPr/>
      <w:tcPr>
        <w:shd w:val="clear" w:color="auto" w:fill="BFBFBF" w:themeFill="background1" w:themeFillShade="BF"/>
      </w:tcPr>
    </w:tblStylePr>
  </w:style>
  <w:style w:type="paragraph" w:customStyle="1" w:styleId="ExecSumBodyText">
    <w:name w:val="Exec Sum Body Text"/>
    <w:basedOn w:val="Normal"/>
    <w:link w:val="ExecSumBodyTextChar"/>
    <w:qFormat/>
    <w:rsid w:val="00D104D2"/>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104D2"/>
    <w:rPr>
      <w:rFonts w:asciiTheme="minorHAnsi" w:hAnsiTheme="minorHAnsi" w:cs="Arial"/>
      <w:snapToGrid w:val="0"/>
      <w:sz w:val="24"/>
      <w:szCs w:val="24"/>
    </w:rPr>
  </w:style>
  <w:style w:type="table" w:customStyle="1" w:styleId="TableGrid2">
    <w:name w:val="Table Grid2"/>
    <w:basedOn w:val="TableNormal"/>
    <w:next w:val="TableGrid"/>
    <w:uiPriority w:val="39"/>
    <w:rsid w:val="00D104D2"/>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entre">
    <w:name w:val="Table Centre"/>
    <w:basedOn w:val="Normal"/>
    <w:qFormat/>
    <w:rsid w:val="00F71AE3"/>
    <w:pPr>
      <w:jc w:val="center"/>
    </w:pPr>
    <w:rPr>
      <w:rFonts w:eastAsiaTheme="majorEastAsia" w:cstheme="majorBidi"/>
      <w:sz w:val="18"/>
      <w:szCs w:val="22"/>
      <w:lang w:eastAsia="en-US" w:bidi="en-US"/>
    </w:rPr>
  </w:style>
  <w:style w:type="paragraph" w:customStyle="1" w:styleId="TableBullets">
    <w:name w:val="Table Bullets"/>
    <w:basedOn w:val="TableLeft"/>
    <w:uiPriority w:val="5"/>
    <w:qFormat/>
    <w:rsid w:val="00F71AE3"/>
    <w:pPr>
      <w:numPr>
        <w:numId w:val="16"/>
      </w:numPr>
      <w:ind w:left="170" w:hanging="170"/>
    </w:pPr>
  </w:style>
  <w:style w:type="table" w:customStyle="1" w:styleId="TableGrid11">
    <w:name w:val="Table Grid11"/>
    <w:basedOn w:val="TableNormal"/>
    <w:next w:val="TableGrid"/>
    <w:uiPriority w:val="59"/>
    <w:rsid w:val="00F71AE3"/>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List">
    <w:name w:val="Numbered List"/>
    <w:basedOn w:val="Normal"/>
    <w:uiPriority w:val="3"/>
    <w:qFormat/>
    <w:rsid w:val="00F71AE3"/>
    <w:pPr>
      <w:spacing w:after="240" w:line="276" w:lineRule="auto"/>
      <w:ind w:left="720" w:hanging="360"/>
      <w:contextualSpacing/>
      <w:jc w:val="left"/>
    </w:pPr>
    <w:rPr>
      <w:rFonts w:eastAsiaTheme="majorEastAsia" w:cstheme="majorBidi"/>
      <w:sz w:val="22"/>
      <w:szCs w:val="22"/>
      <w:lang w:eastAsia="en-US" w:bidi="en-US"/>
    </w:rPr>
  </w:style>
  <w:style w:type="paragraph" w:customStyle="1" w:styleId="TableParagraph">
    <w:name w:val="Table Paragraph"/>
    <w:basedOn w:val="Normal"/>
    <w:uiPriority w:val="1"/>
    <w:qFormat/>
    <w:rsid w:val="00F71AE3"/>
    <w:pPr>
      <w:widowControl w:val="0"/>
      <w:autoSpaceDE w:val="0"/>
      <w:autoSpaceDN w:val="0"/>
      <w:spacing w:before="59"/>
      <w:ind w:left="107"/>
      <w:jc w:val="left"/>
    </w:pPr>
    <w:rPr>
      <w:rFonts w:ascii="Times New Roman" w:hAnsi="Times New Roman" w:cs="Times New Roman"/>
      <w:sz w:val="22"/>
      <w:szCs w:val="22"/>
      <w:lang w:val="en-US" w:eastAsia="en-US"/>
    </w:rPr>
  </w:style>
  <w:style w:type="table" w:customStyle="1" w:styleId="Submissionstandard">
    <w:name w:val="Submission standard"/>
    <w:basedOn w:val="TableNormal"/>
    <w:uiPriority w:val="99"/>
    <w:qFormat/>
    <w:rsid w:val="00F71AE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old" w:hAnsi="Arial Bold"/>
        <w:b/>
        <w:sz w:val="20"/>
      </w:rPr>
      <w:tblPr/>
      <w:tcPr>
        <w:shd w:val="clear" w:color="auto" w:fill="BFBFBF" w:themeFill="background1" w:themeFillShade="BF"/>
      </w:tcPr>
    </w:tblStylePr>
  </w:style>
  <w:style w:type="paragraph" w:customStyle="1" w:styleId="Subheading6">
    <w:name w:val="Subheading 6"/>
    <w:basedOn w:val="5-SubsectionSubheading"/>
    <w:link w:val="Subheading6Char"/>
    <w:qFormat/>
    <w:rsid w:val="00F71AE3"/>
    <w:rPr>
      <w:sz w:val="22"/>
    </w:rPr>
  </w:style>
  <w:style w:type="character" w:customStyle="1" w:styleId="Subheading6Char">
    <w:name w:val="Subheading 6 Char"/>
    <w:basedOn w:val="5-SubsectionSubheadingChar"/>
    <w:link w:val="Subheading6"/>
    <w:rsid w:val="00F71AE3"/>
    <w:rPr>
      <w:rFonts w:asciiTheme="minorHAnsi" w:eastAsiaTheme="majorEastAsia" w:hAnsiTheme="minorHAnsi" w:cstheme="majorBidi"/>
      <w:b/>
      <w:color w:val="000000" w:themeColor="text1"/>
      <w:sz w:val="22"/>
      <w:szCs w:val="24"/>
    </w:rPr>
  </w:style>
  <w:style w:type="character" w:customStyle="1" w:styleId="CaptionFootnoteChar">
    <w:name w:val="Caption Footnote Char"/>
    <w:basedOn w:val="DefaultParagraphFont"/>
    <w:link w:val="CaptionFootnote"/>
    <w:rsid w:val="00F71AE3"/>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F71AE3"/>
    <w:pPr>
      <w:jc w:val="left"/>
    </w:pPr>
    <w:rPr>
      <w:rFonts w:asciiTheme="minorHAnsi" w:hAnsiTheme="minorHAnsi" w:cs="Times New Roman"/>
      <w:kern w:val="28"/>
      <w:sz w:val="16"/>
      <w:lang w:eastAsia="en-GB"/>
    </w:rPr>
  </w:style>
  <w:style w:type="table" w:customStyle="1" w:styleId="TableGridbeth4">
    <w:name w:val="Table Gridbeth4"/>
    <w:basedOn w:val="TableNormal"/>
    <w:next w:val="TableGrid"/>
    <w:uiPriority w:val="59"/>
    <w:rsid w:val="00D73408"/>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beth1">
    <w:name w:val="Table Gridbeth1"/>
    <w:basedOn w:val="TableNormal"/>
    <w:next w:val="TableGrid"/>
    <w:uiPriority w:val="59"/>
    <w:rsid w:val="00852333"/>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basedOn w:val="ListParagraph"/>
    <w:qFormat/>
    <w:rsid w:val="00945361"/>
    <w:pPr>
      <w:numPr>
        <w:numId w:val="18"/>
      </w:numPr>
    </w:pPr>
    <w:rPr>
      <w:rFonts w:ascii="Calibri" w:hAnsi="Calibri" w:cstheme="minorBidi"/>
      <w:i/>
      <w:snapToGrid/>
      <w:sz w:val="22"/>
      <w:szCs w:val="22"/>
      <w:lang w:eastAsia="en-US"/>
    </w:rPr>
  </w:style>
  <w:style w:type="paragraph" w:styleId="PlainText">
    <w:name w:val="Plain Text"/>
    <w:basedOn w:val="Normal"/>
    <w:link w:val="PlainTextChar"/>
    <w:uiPriority w:val="99"/>
    <w:unhideWhenUsed/>
    <w:rsid w:val="00616FEB"/>
    <w:pPr>
      <w:jc w:val="left"/>
    </w:pPr>
    <w:rPr>
      <w:rFonts w:eastAsiaTheme="minorHAnsi" w:cs="Calibri"/>
      <w:sz w:val="22"/>
      <w:szCs w:val="22"/>
      <w:lang w:eastAsia="en-US"/>
    </w:rPr>
  </w:style>
  <w:style w:type="character" w:customStyle="1" w:styleId="PlainTextChar">
    <w:name w:val="Plain Text Char"/>
    <w:basedOn w:val="DefaultParagraphFont"/>
    <w:link w:val="PlainText"/>
    <w:uiPriority w:val="99"/>
    <w:rsid w:val="00616FEB"/>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576594345">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78893461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3379">
      <w:bodyDiv w:val="1"/>
      <w:marLeft w:val="0"/>
      <w:marRight w:val="0"/>
      <w:marTop w:val="0"/>
      <w:marBottom w:val="0"/>
      <w:divBdr>
        <w:top w:val="none" w:sz="0" w:space="0" w:color="auto"/>
        <w:left w:val="none" w:sz="0" w:space="0" w:color="auto"/>
        <w:bottom w:val="none" w:sz="0" w:space="0" w:color="auto"/>
        <w:right w:val="none" w:sz="0" w:space="0" w:color="auto"/>
      </w:divBdr>
    </w:div>
    <w:div w:id="1333684769">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9167380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brary.ehaweb.org/eha/2021/eha2021-virtual-congress/330170/peter.hillmen.first.interim.analysis.of.alpine.study.results.of.a.phase.3.html?f=menu=6*browseby=8*sortby=2*media=3*ce_id=2035*marker=1284*featured=17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3B16-FA7C-404D-985A-DF1DAA20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13869</Words>
  <Characters>78033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2021-10-25T03:04:00Z</dcterms:created>
  <dcterms:modified xsi:type="dcterms:W3CDTF">2021-10-25T03:04:00Z</dcterms:modified>
</cp:coreProperties>
</file>