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534DA" w14:textId="77777777" w:rsidR="00C50C2E" w:rsidRDefault="00C50C2E" w:rsidP="00207D00"/>
    <w:p w14:paraId="097989A2" w14:textId="77777777" w:rsidR="00B60939" w:rsidRDefault="00C75EC7" w:rsidP="00961E85">
      <w:pPr>
        <w:pStyle w:val="1-MainHeading"/>
        <w:spacing w:before="0" w:after="0"/>
      </w:pPr>
      <w:bookmarkStart w:id="0" w:name="_Toc82613928"/>
      <w:r>
        <w:t>5.10</w:t>
      </w:r>
      <w:r w:rsidR="00163F66">
        <w:tab/>
      </w:r>
      <w:r w:rsidR="68BC8B32" w:rsidRPr="5C922CF7">
        <w:t>PNEUMOCOCCAL POLYSACCHARIDE CONJUGATE VACCINE, 15 VALENT ADSORBED</w:t>
      </w:r>
      <w:r w:rsidR="00163F66">
        <w:t>,</w:t>
      </w:r>
      <w:r w:rsidR="00163F66">
        <w:br/>
      </w:r>
      <w:r w:rsidR="009C29F6">
        <w:t xml:space="preserve">0.5 mL </w:t>
      </w:r>
      <w:r w:rsidR="67ECA3AA">
        <w:t xml:space="preserve">pre-filled </w:t>
      </w:r>
      <w:r w:rsidR="009C29F6">
        <w:t>syringe</w:t>
      </w:r>
      <w:r w:rsidR="00163F66">
        <w:t>,</w:t>
      </w:r>
      <w:bookmarkStart w:id="1" w:name="_Toc82613929"/>
      <w:bookmarkEnd w:id="0"/>
      <w:r w:rsidR="00961E85">
        <w:t xml:space="preserve"> </w:t>
      </w:r>
      <w:r w:rsidR="00961E85">
        <w:br/>
      </w:r>
      <w:r w:rsidR="007C5C00">
        <w:t>Vaxneuvance</w:t>
      </w:r>
      <w:r w:rsidR="007C5C00">
        <w:rPr>
          <w:rFonts w:cstheme="minorHAnsi"/>
        </w:rPr>
        <w:t>®</w:t>
      </w:r>
      <w:r w:rsidR="00163F66">
        <w:br/>
      </w:r>
      <w:r w:rsidR="009C29F6" w:rsidRPr="009C29F6">
        <w:t>Merck Sharp &amp; Dohme (Australia) Pty Ltd</w:t>
      </w:r>
      <w:r w:rsidR="00B60939" w:rsidRPr="004A6040">
        <w:t>.</w:t>
      </w:r>
      <w:bookmarkEnd w:id="1"/>
    </w:p>
    <w:p w14:paraId="16A1B7D6" w14:textId="77777777" w:rsidR="00011FDC" w:rsidRPr="00407F2D" w:rsidRDefault="00011FDC" w:rsidP="009922BC">
      <w:pPr>
        <w:pStyle w:val="2-SectionHeading"/>
        <w:numPr>
          <w:ilvl w:val="0"/>
          <w:numId w:val="1"/>
        </w:numPr>
      </w:pPr>
      <w:bookmarkStart w:id="2" w:name="_Toc82213567"/>
      <w:bookmarkStart w:id="3" w:name="_Toc82245123"/>
      <w:bookmarkStart w:id="4" w:name="_Toc82248147"/>
      <w:bookmarkStart w:id="5" w:name="_Toc82613931"/>
      <w:bookmarkStart w:id="6" w:name="_Toc22897648"/>
      <w:bookmarkEnd w:id="2"/>
      <w:bookmarkEnd w:id="3"/>
      <w:bookmarkEnd w:id="4"/>
      <w:r w:rsidRPr="00407F2D">
        <w:t xml:space="preserve">Purpose of </w:t>
      </w:r>
      <w:r>
        <w:t>submission</w:t>
      </w:r>
      <w:bookmarkEnd w:id="5"/>
    </w:p>
    <w:p w14:paraId="5516581E" w14:textId="77777777" w:rsidR="00011FDC" w:rsidRPr="008B1757" w:rsidRDefault="00011FDC" w:rsidP="00011FDC">
      <w:pPr>
        <w:pStyle w:val="3-BodyText"/>
      </w:pPr>
      <w:r>
        <w:t xml:space="preserve">The </w:t>
      </w:r>
      <w:r w:rsidR="000A7744">
        <w:t xml:space="preserve">Category 2 </w:t>
      </w:r>
      <w:r>
        <w:t xml:space="preserve">submission </w:t>
      </w:r>
      <w:r w:rsidRPr="004E18E9">
        <w:t xml:space="preserve">requested </w:t>
      </w:r>
      <w:r>
        <w:t>listing on the National Immunisation Program (NIP)</w:t>
      </w:r>
      <w:r w:rsidR="00A57458">
        <w:t xml:space="preserve"> </w:t>
      </w:r>
      <w:r>
        <w:t xml:space="preserve">for </w:t>
      </w:r>
      <w:r w:rsidR="00346A9D">
        <w:t xml:space="preserve">a </w:t>
      </w:r>
      <w:bookmarkStart w:id="7" w:name="_Hlk87546775"/>
      <w:r w:rsidRPr="00664C09">
        <w:t>15</w:t>
      </w:r>
      <w:r>
        <w:t>-</w:t>
      </w:r>
      <w:r w:rsidRPr="00664C09">
        <w:t>valent pneumococcal conjugate vaccine</w:t>
      </w:r>
      <w:r>
        <w:t xml:space="preserve"> (PCV15)</w:t>
      </w:r>
      <w:bookmarkEnd w:id="7"/>
      <w:r>
        <w:t xml:space="preserve"> </w:t>
      </w:r>
      <w:bookmarkStart w:id="8" w:name="_Hlk87547268"/>
      <w:r w:rsidRPr="00F23224">
        <w:t>for</w:t>
      </w:r>
      <w:r>
        <w:t xml:space="preserve"> prevention of pneumococcal disease in</w:t>
      </w:r>
      <w:r w:rsidRPr="00F23224">
        <w:t xml:space="preserve"> non-Indigenous adults aged ≥70 years, Indigenous adults aged ≥50 years, and individuals at increased risk of pneumococcal disease aged ≥18 years.</w:t>
      </w:r>
      <w:r>
        <w:t xml:space="preserve"> </w:t>
      </w:r>
    </w:p>
    <w:bookmarkEnd w:id="8"/>
    <w:p w14:paraId="553F6CC2" w14:textId="77777777" w:rsidR="00011FDC" w:rsidRDefault="00011FDC" w:rsidP="00011FDC">
      <w:pPr>
        <w:pStyle w:val="3-BodyText"/>
      </w:pPr>
      <w:r w:rsidRPr="005750C5">
        <w:t>Listing was requested on the basis of a cost-minimisation</w:t>
      </w:r>
      <w:r>
        <w:t xml:space="preserve"> </w:t>
      </w:r>
      <w:r w:rsidR="00E9497E">
        <w:t>approach</w:t>
      </w:r>
      <w:r w:rsidR="00E9497E" w:rsidRPr="005750C5">
        <w:t xml:space="preserve"> </w:t>
      </w:r>
      <w:r w:rsidRPr="005750C5">
        <w:t>versus</w:t>
      </w:r>
      <w:r>
        <w:t xml:space="preserve"> </w:t>
      </w:r>
      <w:r w:rsidR="008F0440">
        <w:t xml:space="preserve">the </w:t>
      </w:r>
      <w:r w:rsidR="00F55179">
        <w:t xml:space="preserve">NIP-funded </w:t>
      </w:r>
      <w:r w:rsidRPr="00664C09">
        <w:t>1</w:t>
      </w:r>
      <w:r>
        <w:t>3-</w:t>
      </w:r>
      <w:r w:rsidRPr="00664C09">
        <w:t>valent pneumococcal conjugate vaccine</w:t>
      </w:r>
      <w:r>
        <w:t xml:space="preserve"> (PCV13)</w:t>
      </w:r>
      <w:r w:rsidR="008F0440">
        <w:t>, Prevenar 13</w:t>
      </w:r>
      <w:r w:rsidR="008F0440">
        <w:rPr>
          <w:rFonts w:cstheme="minorHAnsi"/>
        </w:rPr>
        <w:t>®</w:t>
      </w:r>
      <w:r>
        <w:t>. The key components of the submission are presented in Table 1.</w:t>
      </w:r>
      <w:r w:rsidRPr="005750C5">
        <w:t xml:space="preserve"> </w:t>
      </w:r>
    </w:p>
    <w:p w14:paraId="7D3C43F6" w14:textId="77777777" w:rsidR="00011FDC" w:rsidRDefault="00011FDC" w:rsidP="00011FDC">
      <w:pPr>
        <w:pStyle w:val="TableFigureHeading"/>
        <w:rPr>
          <w:rStyle w:val="CommentReference"/>
          <w:b/>
          <w:szCs w:val="24"/>
        </w:rPr>
      </w:pPr>
      <w:r w:rsidRPr="004A6040">
        <w:rPr>
          <w:rStyle w:val="CommentReference"/>
          <w:b/>
          <w:szCs w:val="24"/>
        </w:rPr>
        <w:lastRenderedPageBreak/>
        <w:t xml:space="preserve">Table </w:t>
      </w:r>
      <w:r>
        <w:rPr>
          <w:rStyle w:val="CommentReference"/>
          <w:b/>
          <w:szCs w:val="24"/>
        </w:rPr>
        <w:t>1</w:t>
      </w:r>
      <w:r w:rsidRPr="004A6040">
        <w:rPr>
          <w:rStyle w:val="CommentReference"/>
          <w:b/>
          <w:szCs w:val="24"/>
        </w:rPr>
        <w:t>: Key components of the clinical issue addressed by the submission</w:t>
      </w:r>
    </w:p>
    <w:tbl>
      <w:tblPr>
        <w:tblStyle w:val="HTATableshaded"/>
        <w:tblW w:w="5000" w:type="pct"/>
        <w:tblLook w:val="04A0" w:firstRow="1" w:lastRow="0" w:firstColumn="1" w:lastColumn="0" w:noHBand="0" w:noVBand="1"/>
        <w:tblCaption w:val="Table 1: Key components of the clinical issue addressed by the submission"/>
      </w:tblPr>
      <w:tblGrid>
        <w:gridCol w:w="1271"/>
        <w:gridCol w:w="7746"/>
      </w:tblGrid>
      <w:tr w:rsidR="00011FDC" w:rsidRPr="007B0D60" w14:paraId="0F9EC7E0" w14:textId="77777777" w:rsidTr="62B1472D">
        <w:trPr>
          <w:cnfStyle w:val="100000000000" w:firstRow="1" w:lastRow="0" w:firstColumn="0" w:lastColumn="0" w:oddVBand="0" w:evenVBand="0" w:oddHBand="0" w:evenHBand="0" w:firstRowFirstColumn="0" w:firstRowLastColumn="0" w:lastRowFirstColumn="0" w:lastRowLastColumn="0"/>
          <w:tblHeader/>
        </w:trPr>
        <w:tc>
          <w:tcPr>
            <w:tcW w:w="705" w:type="pct"/>
            <w:vAlign w:val="center"/>
          </w:tcPr>
          <w:p w14:paraId="0C082D61" w14:textId="77777777" w:rsidR="00011FDC" w:rsidRPr="007B0D60" w:rsidRDefault="00011FDC" w:rsidP="00283B8E">
            <w:pPr>
              <w:pStyle w:val="Tabletextleft"/>
              <w:keepNext/>
              <w:spacing w:before="0" w:after="0"/>
              <w:rPr>
                <w:rFonts w:ascii="Arial Narrow" w:hAnsi="Arial Narrow"/>
                <w:b/>
                <w:bCs/>
                <w:sz w:val="20"/>
              </w:rPr>
            </w:pPr>
            <w:r w:rsidRPr="007B0D60">
              <w:rPr>
                <w:rFonts w:ascii="Arial Narrow" w:hAnsi="Arial Narrow"/>
                <w:b/>
                <w:bCs/>
                <w:sz w:val="20"/>
              </w:rPr>
              <w:t xml:space="preserve">Component </w:t>
            </w:r>
          </w:p>
        </w:tc>
        <w:tc>
          <w:tcPr>
            <w:tcW w:w="4295" w:type="pct"/>
            <w:vAlign w:val="center"/>
          </w:tcPr>
          <w:p w14:paraId="30C1A334" w14:textId="77777777" w:rsidR="00011FDC" w:rsidRPr="007B0D60" w:rsidRDefault="00011FDC" w:rsidP="00283B8E">
            <w:pPr>
              <w:pStyle w:val="Tabletextleft"/>
              <w:keepNext/>
              <w:spacing w:before="0" w:after="0"/>
              <w:rPr>
                <w:rFonts w:ascii="Arial Narrow" w:hAnsi="Arial Narrow"/>
                <w:b/>
                <w:bCs/>
                <w:iCs/>
                <w:sz w:val="20"/>
              </w:rPr>
            </w:pPr>
            <w:r w:rsidRPr="007B0D60">
              <w:rPr>
                <w:rFonts w:ascii="Arial Narrow" w:hAnsi="Arial Narrow"/>
                <w:b/>
                <w:bCs/>
                <w:sz w:val="20"/>
              </w:rPr>
              <w:t xml:space="preserve">Description </w:t>
            </w:r>
          </w:p>
        </w:tc>
      </w:tr>
      <w:tr w:rsidR="00011FDC" w:rsidRPr="007B0D60" w14:paraId="088A8494" w14:textId="77777777" w:rsidTr="62B1472D">
        <w:tc>
          <w:tcPr>
            <w:tcW w:w="705" w:type="pct"/>
            <w:vAlign w:val="center"/>
          </w:tcPr>
          <w:p w14:paraId="5966A8E0" w14:textId="77777777" w:rsidR="00011FDC" w:rsidRPr="007B0D60" w:rsidRDefault="00011FDC" w:rsidP="00283B8E">
            <w:pPr>
              <w:pStyle w:val="Tabletextleft"/>
              <w:keepNext/>
              <w:spacing w:before="0" w:after="0"/>
              <w:rPr>
                <w:rFonts w:ascii="Arial Narrow" w:hAnsi="Arial Narrow"/>
                <w:sz w:val="20"/>
              </w:rPr>
            </w:pPr>
            <w:r w:rsidRPr="007B0D60">
              <w:rPr>
                <w:rFonts w:ascii="Arial Narrow" w:hAnsi="Arial Narrow"/>
                <w:sz w:val="20"/>
              </w:rPr>
              <w:t xml:space="preserve">Population </w:t>
            </w:r>
          </w:p>
        </w:tc>
        <w:tc>
          <w:tcPr>
            <w:tcW w:w="4295" w:type="pct"/>
            <w:vAlign w:val="center"/>
          </w:tcPr>
          <w:p w14:paraId="526984AC" w14:textId="77777777" w:rsidR="00011FDC" w:rsidRPr="007B67E2" w:rsidRDefault="00011FDC" w:rsidP="00283B8E">
            <w:pPr>
              <w:pStyle w:val="TableNoteBullet"/>
              <w:keepNext/>
              <w:spacing w:after="0"/>
              <w:ind w:right="57"/>
              <w:rPr>
                <w:rFonts w:ascii="Arial Narrow" w:hAnsi="Arial Narrow"/>
                <w:sz w:val="20"/>
                <w:szCs w:val="20"/>
              </w:rPr>
            </w:pPr>
            <w:r w:rsidRPr="007B67E2">
              <w:rPr>
                <w:rFonts w:ascii="Arial Narrow" w:hAnsi="Arial Narrow"/>
                <w:sz w:val="20"/>
                <w:szCs w:val="20"/>
              </w:rPr>
              <w:t xml:space="preserve">All </w:t>
            </w:r>
            <w:r w:rsidR="003175D4">
              <w:rPr>
                <w:rFonts w:ascii="Arial Narrow" w:hAnsi="Arial Narrow"/>
                <w:sz w:val="20"/>
                <w:szCs w:val="20"/>
              </w:rPr>
              <w:t>n</w:t>
            </w:r>
            <w:r w:rsidRPr="007B67E2">
              <w:rPr>
                <w:rFonts w:ascii="Arial Narrow" w:hAnsi="Arial Narrow"/>
                <w:sz w:val="20"/>
                <w:szCs w:val="20"/>
              </w:rPr>
              <w:t xml:space="preserve">on-Indigenous adults </w:t>
            </w:r>
            <w:r w:rsidR="00437DB8" w:rsidRPr="007B67E2">
              <w:rPr>
                <w:rFonts w:ascii="Arial Narrow" w:hAnsi="Arial Narrow"/>
                <w:sz w:val="20"/>
                <w:szCs w:val="20"/>
              </w:rPr>
              <w:t>≥</w:t>
            </w:r>
            <w:r w:rsidRPr="007B67E2">
              <w:rPr>
                <w:rFonts w:ascii="Arial Narrow" w:hAnsi="Arial Narrow"/>
                <w:sz w:val="20"/>
                <w:szCs w:val="20"/>
              </w:rPr>
              <w:t>70 years – 1 dose PCV15 only</w:t>
            </w:r>
            <w:r w:rsidR="00B84858">
              <w:rPr>
                <w:rFonts w:ascii="Arial Narrow" w:hAnsi="Arial Narrow"/>
                <w:sz w:val="20"/>
                <w:szCs w:val="20"/>
              </w:rPr>
              <w:t>.</w:t>
            </w:r>
          </w:p>
          <w:p w14:paraId="35139885" w14:textId="77777777" w:rsidR="00011FDC" w:rsidRPr="007B67E2" w:rsidRDefault="00011FDC" w:rsidP="00283B8E">
            <w:pPr>
              <w:pStyle w:val="TableNoteBullet"/>
              <w:keepNext/>
              <w:spacing w:after="0"/>
              <w:ind w:right="57"/>
              <w:rPr>
                <w:rFonts w:ascii="Arial Narrow" w:hAnsi="Arial Narrow"/>
                <w:sz w:val="20"/>
                <w:szCs w:val="20"/>
              </w:rPr>
            </w:pPr>
            <w:r w:rsidRPr="007B67E2">
              <w:rPr>
                <w:rFonts w:ascii="Arial Narrow" w:hAnsi="Arial Narrow"/>
                <w:sz w:val="20"/>
                <w:szCs w:val="20"/>
              </w:rPr>
              <w:t xml:space="preserve">All Indigenous adults </w:t>
            </w:r>
            <w:r w:rsidR="00437DB8" w:rsidRPr="007B67E2">
              <w:rPr>
                <w:rFonts w:ascii="Arial Narrow" w:hAnsi="Arial Narrow"/>
                <w:sz w:val="20"/>
                <w:szCs w:val="20"/>
              </w:rPr>
              <w:t>≥</w:t>
            </w:r>
            <w:r w:rsidRPr="007B67E2">
              <w:rPr>
                <w:rFonts w:ascii="Arial Narrow" w:hAnsi="Arial Narrow"/>
                <w:sz w:val="20"/>
                <w:szCs w:val="20"/>
              </w:rPr>
              <w:t>50 years – 1 dose PCV15 followed by 2 doses of PPV23, the 1</w:t>
            </w:r>
            <w:r w:rsidRPr="007B67E2">
              <w:rPr>
                <w:rFonts w:ascii="Arial Narrow" w:hAnsi="Arial Narrow"/>
                <w:sz w:val="20"/>
                <w:szCs w:val="20"/>
                <w:vertAlign w:val="superscript"/>
              </w:rPr>
              <w:t>st</w:t>
            </w:r>
            <w:r w:rsidR="00B84858">
              <w:rPr>
                <w:rFonts w:ascii="Arial Narrow" w:hAnsi="Arial Narrow"/>
                <w:sz w:val="20"/>
                <w:szCs w:val="20"/>
                <w:vertAlign w:val="superscript"/>
              </w:rPr>
              <w:t> </w:t>
            </w:r>
            <w:r w:rsidR="00B84858">
              <w:rPr>
                <w:rFonts w:ascii="Arial Narrow" w:hAnsi="Arial Narrow"/>
                <w:sz w:val="20"/>
                <w:szCs w:val="20"/>
                <w:vertAlign w:val="superscript"/>
              </w:rPr>
              <w:br/>
            </w:r>
            <w:r w:rsidRPr="007B67E2">
              <w:rPr>
                <w:rFonts w:ascii="Arial Narrow" w:hAnsi="Arial Narrow"/>
                <w:sz w:val="20"/>
                <w:szCs w:val="20"/>
              </w:rPr>
              <w:t>2-</w:t>
            </w:r>
            <w:r w:rsidR="00B84858">
              <w:rPr>
                <w:rFonts w:ascii="Arial Narrow" w:hAnsi="Arial Narrow"/>
                <w:sz w:val="20"/>
                <w:szCs w:val="20"/>
              </w:rPr>
              <w:t>1</w:t>
            </w:r>
            <w:r w:rsidRPr="007B67E2">
              <w:rPr>
                <w:rFonts w:ascii="Arial Narrow" w:hAnsi="Arial Narrow"/>
                <w:sz w:val="20"/>
                <w:szCs w:val="20"/>
              </w:rPr>
              <w:t>2</w:t>
            </w:r>
            <w:r w:rsidR="00B84858">
              <w:rPr>
                <w:rFonts w:ascii="Arial Narrow" w:hAnsi="Arial Narrow"/>
                <w:sz w:val="20"/>
                <w:szCs w:val="20"/>
              </w:rPr>
              <w:t> </w:t>
            </w:r>
            <w:r w:rsidRPr="007B67E2">
              <w:rPr>
                <w:rFonts w:ascii="Arial Narrow" w:hAnsi="Arial Narrow"/>
                <w:sz w:val="20"/>
                <w:szCs w:val="20"/>
              </w:rPr>
              <w:t>m</w:t>
            </w:r>
            <w:r w:rsidR="00B84858">
              <w:rPr>
                <w:rFonts w:ascii="Arial Narrow" w:hAnsi="Arial Narrow"/>
                <w:sz w:val="20"/>
                <w:szCs w:val="20"/>
              </w:rPr>
              <w:t>on</w:t>
            </w:r>
            <w:r w:rsidRPr="007B67E2">
              <w:rPr>
                <w:rFonts w:ascii="Arial Narrow" w:hAnsi="Arial Narrow"/>
                <w:sz w:val="20"/>
                <w:szCs w:val="20"/>
              </w:rPr>
              <w:t>ths later, then the 2</w:t>
            </w:r>
            <w:r w:rsidRPr="007B67E2">
              <w:rPr>
                <w:rFonts w:ascii="Arial Narrow" w:hAnsi="Arial Narrow"/>
                <w:sz w:val="20"/>
                <w:szCs w:val="20"/>
                <w:vertAlign w:val="superscript"/>
              </w:rPr>
              <w:t>nd</w:t>
            </w:r>
            <w:r w:rsidRPr="007B67E2">
              <w:rPr>
                <w:rFonts w:ascii="Arial Narrow" w:hAnsi="Arial Narrow"/>
                <w:sz w:val="20"/>
                <w:szCs w:val="20"/>
              </w:rPr>
              <w:t xml:space="preserve"> dose </w:t>
            </w:r>
            <w:r w:rsidR="00EA0EAA" w:rsidRPr="007B67E2">
              <w:rPr>
                <w:rFonts w:ascii="Arial Narrow" w:hAnsi="Arial Narrow"/>
                <w:sz w:val="20"/>
                <w:szCs w:val="20"/>
              </w:rPr>
              <w:t xml:space="preserve">at least </w:t>
            </w:r>
            <w:r w:rsidRPr="007B67E2">
              <w:rPr>
                <w:rFonts w:ascii="Arial Narrow" w:hAnsi="Arial Narrow"/>
                <w:sz w:val="20"/>
                <w:szCs w:val="20"/>
              </w:rPr>
              <w:t>five years later</w:t>
            </w:r>
            <w:r w:rsidR="00B84858">
              <w:rPr>
                <w:rFonts w:ascii="Arial Narrow" w:hAnsi="Arial Narrow"/>
                <w:sz w:val="20"/>
                <w:szCs w:val="20"/>
              </w:rPr>
              <w:t>.</w:t>
            </w:r>
          </w:p>
          <w:p w14:paraId="4BCEFE95" w14:textId="77777777" w:rsidR="00510858" w:rsidRPr="007B67E2" w:rsidRDefault="00011FDC" w:rsidP="00283B8E">
            <w:pPr>
              <w:pStyle w:val="TableNoteBullet"/>
              <w:keepNext/>
              <w:spacing w:after="0"/>
              <w:ind w:right="57"/>
              <w:rPr>
                <w:rFonts w:ascii="Arial Narrow" w:hAnsi="Arial Narrow"/>
                <w:sz w:val="20"/>
                <w:szCs w:val="20"/>
              </w:rPr>
            </w:pPr>
            <w:r w:rsidRPr="007B67E2">
              <w:rPr>
                <w:rFonts w:ascii="Arial Narrow" w:hAnsi="Arial Narrow"/>
                <w:sz w:val="20"/>
                <w:szCs w:val="20"/>
              </w:rPr>
              <w:t xml:space="preserve">In all persons </w:t>
            </w:r>
            <w:r w:rsidR="00437DB8" w:rsidRPr="007B67E2">
              <w:rPr>
                <w:rFonts w:ascii="Arial Narrow" w:hAnsi="Arial Narrow"/>
                <w:sz w:val="20"/>
                <w:szCs w:val="20"/>
              </w:rPr>
              <w:t>≥</w:t>
            </w:r>
            <w:r w:rsidRPr="007B67E2">
              <w:rPr>
                <w:rFonts w:ascii="Arial Narrow" w:hAnsi="Arial Narrow"/>
                <w:sz w:val="20"/>
                <w:szCs w:val="20"/>
              </w:rPr>
              <w:t xml:space="preserve">18 years newly diagnosed with a condition putting them at-risk of pneumococcal infection </w:t>
            </w:r>
            <w:r w:rsidR="00B84858">
              <w:rPr>
                <w:rFonts w:ascii="Arial Narrow" w:hAnsi="Arial Narrow"/>
                <w:sz w:val="20"/>
                <w:szCs w:val="20"/>
              </w:rPr>
              <w:t>–</w:t>
            </w:r>
            <w:r w:rsidRPr="007B67E2">
              <w:rPr>
                <w:rFonts w:ascii="Arial Narrow" w:hAnsi="Arial Narrow"/>
                <w:sz w:val="20"/>
                <w:szCs w:val="20"/>
              </w:rPr>
              <w:t xml:space="preserve"> 1 dose PCV15 followed by 2 doses of PPV23, the 1</w:t>
            </w:r>
            <w:r w:rsidRPr="007B67E2">
              <w:rPr>
                <w:rFonts w:ascii="Arial Narrow" w:hAnsi="Arial Narrow"/>
                <w:sz w:val="20"/>
                <w:szCs w:val="20"/>
                <w:vertAlign w:val="superscript"/>
              </w:rPr>
              <w:t>st</w:t>
            </w:r>
            <w:r w:rsidRPr="007B67E2">
              <w:rPr>
                <w:rFonts w:ascii="Arial Narrow" w:hAnsi="Arial Narrow"/>
                <w:sz w:val="20"/>
                <w:szCs w:val="20"/>
              </w:rPr>
              <w:t xml:space="preserve"> 2-12 m</w:t>
            </w:r>
            <w:r w:rsidR="00B84858">
              <w:rPr>
                <w:rFonts w:ascii="Arial Narrow" w:hAnsi="Arial Narrow"/>
                <w:sz w:val="20"/>
                <w:szCs w:val="20"/>
              </w:rPr>
              <w:t>on</w:t>
            </w:r>
            <w:r w:rsidRPr="007B67E2">
              <w:rPr>
                <w:rFonts w:ascii="Arial Narrow" w:hAnsi="Arial Narrow"/>
                <w:sz w:val="20"/>
                <w:szCs w:val="20"/>
              </w:rPr>
              <w:t>ths later, then the 2</w:t>
            </w:r>
            <w:r w:rsidRPr="007B67E2">
              <w:rPr>
                <w:rFonts w:ascii="Arial Narrow" w:hAnsi="Arial Narrow"/>
                <w:sz w:val="20"/>
                <w:szCs w:val="20"/>
                <w:vertAlign w:val="superscript"/>
              </w:rPr>
              <w:t>nd</w:t>
            </w:r>
            <w:r w:rsidRPr="007B67E2">
              <w:rPr>
                <w:rFonts w:ascii="Arial Narrow" w:hAnsi="Arial Narrow"/>
                <w:sz w:val="20"/>
                <w:szCs w:val="20"/>
              </w:rPr>
              <w:t xml:space="preserve"> </w:t>
            </w:r>
            <w:r w:rsidR="00F343BF" w:rsidRPr="007B67E2">
              <w:rPr>
                <w:rFonts w:ascii="Arial Narrow" w:hAnsi="Arial Narrow"/>
                <w:sz w:val="20"/>
                <w:szCs w:val="20"/>
              </w:rPr>
              <w:t xml:space="preserve">at least </w:t>
            </w:r>
            <w:r w:rsidRPr="007B67E2">
              <w:rPr>
                <w:rFonts w:ascii="Arial Narrow" w:hAnsi="Arial Narrow"/>
                <w:sz w:val="20"/>
                <w:szCs w:val="20"/>
              </w:rPr>
              <w:t xml:space="preserve">five years later. </w:t>
            </w:r>
          </w:p>
          <w:p w14:paraId="5F0972EB" w14:textId="77777777" w:rsidR="00011FDC" w:rsidRPr="004652A2" w:rsidRDefault="00011FDC" w:rsidP="00283B8E">
            <w:pPr>
              <w:pStyle w:val="TableNoteBullet"/>
              <w:keepNext/>
              <w:spacing w:after="0"/>
              <w:ind w:right="57"/>
              <w:rPr>
                <w:rFonts w:ascii="Arial Narrow" w:hAnsi="Arial Narrow"/>
                <w:sz w:val="20"/>
                <w:szCs w:val="20"/>
              </w:rPr>
            </w:pPr>
            <w:bookmarkStart w:id="9" w:name="_Hlk87624344"/>
            <w:r w:rsidRPr="62B1472D">
              <w:rPr>
                <w:rFonts w:ascii="Arial Narrow" w:hAnsi="Arial Narrow"/>
                <w:sz w:val="20"/>
                <w:szCs w:val="20"/>
              </w:rPr>
              <w:t xml:space="preserve">Haematopoietic stem cell transplant (HSCT) recipients </w:t>
            </w:r>
            <w:bookmarkEnd w:id="9"/>
            <w:r w:rsidRPr="62B1472D">
              <w:rPr>
                <w:rFonts w:ascii="Arial Narrow" w:hAnsi="Arial Narrow"/>
                <w:sz w:val="20"/>
                <w:szCs w:val="20"/>
              </w:rPr>
              <w:t>should receive 3 doses of PCV15 at 6, 8, and 12 months after HSCT and PPV23 at 24 months. As noted by ATAGI, HSCT patients should receive either PCV13 or PCV15, but not a mixed schedule, unless the course cannot be completed with the same vaccine (</w:t>
            </w:r>
            <w:r w:rsidR="00F55179">
              <w:rPr>
                <w:rFonts w:ascii="Arial Narrow" w:hAnsi="Arial Narrow"/>
                <w:sz w:val="20"/>
                <w:szCs w:val="20"/>
              </w:rPr>
              <w:t>p</w:t>
            </w:r>
            <w:r w:rsidRPr="62B1472D">
              <w:rPr>
                <w:rFonts w:ascii="Arial Narrow" w:hAnsi="Arial Narrow"/>
                <w:sz w:val="20"/>
                <w:szCs w:val="20"/>
              </w:rPr>
              <w:t xml:space="preserve">7, ATAGI </w:t>
            </w:r>
            <w:r w:rsidR="00F55179">
              <w:rPr>
                <w:rFonts w:ascii="Arial Narrow" w:hAnsi="Arial Narrow"/>
                <w:sz w:val="20"/>
                <w:szCs w:val="20"/>
              </w:rPr>
              <w:t>a</w:t>
            </w:r>
            <w:r w:rsidRPr="62B1472D">
              <w:rPr>
                <w:rFonts w:ascii="Arial Narrow" w:hAnsi="Arial Narrow"/>
                <w:sz w:val="20"/>
                <w:szCs w:val="20"/>
              </w:rPr>
              <w:t>dvice)</w:t>
            </w:r>
            <w:r w:rsidR="00B84858">
              <w:rPr>
                <w:rFonts w:ascii="Arial Narrow" w:hAnsi="Arial Narrow"/>
                <w:sz w:val="20"/>
                <w:szCs w:val="20"/>
              </w:rPr>
              <w:t>.</w:t>
            </w:r>
          </w:p>
        </w:tc>
      </w:tr>
      <w:tr w:rsidR="00011FDC" w:rsidRPr="007B0D60" w14:paraId="1F3EC8E9" w14:textId="77777777" w:rsidTr="62B1472D">
        <w:tc>
          <w:tcPr>
            <w:tcW w:w="705" w:type="pct"/>
            <w:vAlign w:val="center"/>
          </w:tcPr>
          <w:p w14:paraId="450CE820" w14:textId="77777777" w:rsidR="00011FDC" w:rsidRPr="007B0D60" w:rsidRDefault="00011FDC" w:rsidP="00283B8E">
            <w:pPr>
              <w:pStyle w:val="Tabletextleft"/>
              <w:keepNext/>
              <w:spacing w:before="0" w:after="0"/>
              <w:rPr>
                <w:rFonts w:ascii="Arial Narrow" w:hAnsi="Arial Narrow"/>
                <w:sz w:val="20"/>
              </w:rPr>
            </w:pPr>
            <w:r w:rsidRPr="007B0D60">
              <w:rPr>
                <w:rFonts w:ascii="Arial Narrow" w:hAnsi="Arial Narrow"/>
                <w:sz w:val="20"/>
              </w:rPr>
              <w:t xml:space="preserve">Intervention </w:t>
            </w:r>
          </w:p>
        </w:tc>
        <w:tc>
          <w:tcPr>
            <w:tcW w:w="4295" w:type="pct"/>
            <w:vAlign w:val="center"/>
          </w:tcPr>
          <w:p w14:paraId="1B31DC9C" w14:textId="77777777" w:rsidR="00011FDC" w:rsidRPr="007B0D60" w:rsidRDefault="00011FDC" w:rsidP="00283B8E">
            <w:pPr>
              <w:pStyle w:val="TableText0"/>
              <w:rPr>
                <w:sz w:val="20"/>
                <w:szCs w:val="20"/>
              </w:rPr>
            </w:pPr>
            <w:r w:rsidRPr="007B0D60">
              <w:rPr>
                <w:sz w:val="20"/>
                <w:szCs w:val="20"/>
              </w:rPr>
              <w:t>One intramuscular dose of PCV15 0.5</w:t>
            </w:r>
            <w:r w:rsidR="00185DDE">
              <w:rPr>
                <w:sz w:val="20"/>
                <w:szCs w:val="20"/>
              </w:rPr>
              <w:t xml:space="preserve"> </w:t>
            </w:r>
            <w:r w:rsidRPr="007B0D60">
              <w:rPr>
                <w:sz w:val="20"/>
                <w:szCs w:val="20"/>
              </w:rPr>
              <w:t>m</w:t>
            </w:r>
            <w:r w:rsidR="00185DDE">
              <w:rPr>
                <w:sz w:val="20"/>
                <w:szCs w:val="20"/>
              </w:rPr>
              <w:t>L</w:t>
            </w:r>
            <w:r w:rsidRPr="007B0D60">
              <w:rPr>
                <w:sz w:val="20"/>
                <w:szCs w:val="20"/>
              </w:rPr>
              <w:t>.</w:t>
            </w:r>
          </w:p>
          <w:p w14:paraId="62E8FD00" w14:textId="77777777" w:rsidR="00011FDC" w:rsidRPr="007B0D60" w:rsidRDefault="00011FDC" w:rsidP="00283B8E">
            <w:pPr>
              <w:pStyle w:val="Tabletextleft"/>
              <w:keepNext/>
              <w:spacing w:before="0" w:after="0"/>
              <w:rPr>
                <w:rFonts w:ascii="Arial Narrow" w:hAnsi="Arial Narrow"/>
                <w:sz w:val="20"/>
              </w:rPr>
            </w:pPr>
            <w:r w:rsidRPr="007B0D60">
              <w:rPr>
                <w:rFonts w:ascii="Arial Narrow" w:hAnsi="Arial Narrow"/>
                <w:sz w:val="20"/>
              </w:rPr>
              <w:t>PCV15 includes serotype-specific capsular polysaccharides included in PCV13, plus two additional serotypes; 22F and 33F, each conjugated to a non-toxic fragment of the diphtheria toxin (CRM197 protein).</w:t>
            </w:r>
          </w:p>
        </w:tc>
      </w:tr>
      <w:tr w:rsidR="00011FDC" w:rsidRPr="007B0D60" w14:paraId="6A3A061D" w14:textId="77777777" w:rsidTr="62B1472D">
        <w:tc>
          <w:tcPr>
            <w:tcW w:w="705" w:type="pct"/>
            <w:vAlign w:val="center"/>
          </w:tcPr>
          <w:p w14:paraId="46AE594D" w14:textId="77777777" w:rsidR="00011FDC" w:rsidRPr="007B0D60" w:rsidRDefault="00011FDC" w:rsidP="00283B8E">
            <w:pPr>
              <w:pStyle w:val="Tabletextleft"/>
              <w:keepNext/>
              <w:spacing w:before="0" w:after="0"/>
              <w:rPr>
                <w:rFonts w:ascii="Arial Narrow" w:hAnsi="Arial Narrow"/>
                <w:sz w:val="20"/>
              </w:rPr>
            </w:pPr>
            <w:r w:rsidRPr="007B0D60">
              <w:rPr>
                <w:rFonts w:ascii="Arial Narrow" w:hAnsi="Arial Narrow"/>
                <w:sz w:val="20"/>
              </w:rPr>
              <w:t xml:space="preserve">Comparator </w:t>
            </w:r>
          </w:p>
        </w:tc>
        <w:tc>
          <w:tcPr>
            <w:tcW w:w="4295" w:type="pct"/>
            <w:vAlign w:val="center"/>
          </w:tcPr>
          <w:p w14:paraId="29A4C3D4" w14:textId="77777777" w:rsidR="00011FDC" w:rsidRPr="007B0D60" w:rsidRDefault="00011FDC" w:rsidP="00283B8E">
            <w:pPr>
              <w:pStyle w:val="TableText0"/>
              <w:rPr>
                <w:sz w:val="20"/>
                <w:szCs w:val="20"/>
              </w:rPr>
            </w:pPr>
            <w:r w:rsidRPr="007B0D60">
              <w:rPr>
                <w:b/>
                <w:sz w:val="20"/>
                <w:szCs w:val="20"/>
              </w:rPr>
              <w:t>Main comparator</w:t>
            </w:r>
            <w:r w:rsidRPr="007B0D60">
              <w:rPr>
                <w:sz w:val="20"/>
                <w:szCs w:val="20"/>
              </w:rPr>
              <w:t xml:space="preserve">: One dose of PCV13 currently on the NIP (as of </w:t>
            </w:r>
            <w:r w:rsidR="00C27E59">
              <w:rPr>
                <w:sz w:val="20"/>
                <w:szCs w:val="20"/>
              </w:rPr>
              <w:t xml:space="preserve">1 </w:t>
            </w:r>
            <w:r w:rsidRPr="007B0D60">
              <w:rPr>
                <w:sz w:val="20"/>
                <w:szCs w:val="20"/>
              </w:rPr>
              <w:t xml:space="preserve">July 2020) for </w:t>
            </w:r>
            <w:r w:rsidRPr="00B62B10">
              <w:rPr>
                <w:sz w:val="20"/>
                <w:szCs w:val="20"/>
              </w:rPr>
              <w:t>all</w:t>
            </w:r>
            <w:r w:rsidRPr="000048C7">
              <w:rPr>
                <w:szCs w:val="20"/>
              </w:rPr>
              <w:t xml:space="preserve"> </w:t>
            </w:r>
            <w:r w:rsidRPr="007B0D60">
              <w:rPr>
                <w:sz w:val="20"/>
                <w:szCs w:val="20"/>
              </w:rPr>
              <w:t>the populations outlined in the population section. It is expected that PPV23 administration in the Indigenous and medically at-risk populations will remain the same</w:t>
            </w:r>
            <w:r w:rsidR="008E6A52">
              <w:rPr>
                <w:sz w:val="20"/>
                <w:szCs w:val="20"/>
              </w:rPr>
              <w:t>.</w:t>
            </w:r>
            <w:r w:rsidRPr="007B0D60">
              <w:rPr>
                <w:sz w:val="20"/>
                <w:szCs w:val="20"/>
              </w:rPr>
              <w:t xml:space="preserve"> </w:t>
            </w:r>
          </w:p>
          <w:p w14:paraId="30F9623A" w14:textId="77777777" w:rsidR="00011FDC" w:rsidRPr="007B0D60" w:rsidRDefault="00011FDC" w:rsidP="00283B8E">
            <w:pPr>
              <w:pStyle w:val="Tabletextleft"/>
              <w:keepNext/>
              <w:spacing w:before="0" w:after="0"/>
              <w:rPr>
                <w:rFonts w:ascii="Arial Narrow" w:hAnsi="Arial Narrow"/>
                <w:sz w:val="20"/>
              </w:rPr>
            </w:pPr>
            <w:r w:rsidRPr="007B0D60">
              <w:rPr>
                <w:rFonts w:ascii="Arial Narrow" w:hAnsi="Arial Narrow"/>
                <w:b/>
                <w:sz w:val="20"/>
              </w:rPr>
              <w:t>Near term comparator</w:t>
            </w:r>
            <w:r w:rsidRPr="007B0D60">
              <w:rPr>
                <w:rFonts w:ascii="Arial Narrow" w:hAnsi="Arial Narrow"/>
                <w:sz w:val="20"/>
              </w:rPr>
              <w:t xml:space="preserve">: </w:t>
            </w:r>
            <w:r w:rsidR="00C27E59">
              <w:rPr>
                <w:rFonts w:ascii="Arial Narrow" w:hAnsi="Arial Narrow"/>
                <w:sz w:val="20"/>
              </w:rPr>
              <w:t xml:space="preserve">Clinical trial results in adults have been reported for </w:t>
            </w:r>
            <w:r w:rsidRPr="007B0D60">
              <w:rPr>
                <w:rFonts w:ascii="Arial Narrow" w:hAnsi="Arial Narrow"/>
                <w:sz w:val="20"/>
              </w:rPr>
              <w:t xml:space="preserve">PCV20, </w:t>
            </w:r>
            <w:r w:rsidR="00C27E59">
              <w:rPr>
                <w:rFonts w:ascii="Arial Narrow" w:hAnsi="Arial Narrow"/>
                <w:sz w:val="20"/>
              </w:rPr>
              <w:t>however</w:t>
            </w:r>
            <w:r w:rsidR="00AA63B3">
              <w:rPr>
                <w:rFonts w:ascii="Arial Narrow" w:hAnsi="Arial Narrow"/>
                <w:sz w:val="20"/>
              </w:rPr>
              <w:t xml:space="preserve"> TGA evaluation of</w:t>
            </w:r>
            <w:r w:rsidR="00C27E59">
              <w:rPr>
                <w:rFonts w:ascii="Arial Narrow" w:hAnsi="Arial Narrow"/>
                <w:sz w:val="20"/>
              </w:rPr>
              <w:t xml:space="preserve"> PCV20 </w:t>
            </w:r>
            <w:r w:rsidR="00B84858">
              <w:rPr>
                <w:rFonts w:ascii="Arial Narrow" w:hAnsi="Arial Narrow"/>
                <w:sz w:val="20"/>
              </w:rPr>
              <w:t>had not commenced at the time of PBAC consideration</w:t>
            </w:r>
            <w:r w:rsidR="00D81CF0">
              <w:rPr>
                <w:rFonts w:ascii="Arial Narrow" w:hAnsi="Arial Narrow"/>
                <w:sz w:val="20"/>
              </w:rPr>
              <w:t>.</w:t>
            </w:r>
          </w:p>
        </w:tc>
      </w:tr>
      <w:tr w:rsidR="00011FDC" w:rsidRPr="007B0D60" w14:paraId="30065449" w14:textId="77777777" w:rsidTr="62B1472D">
        <w:tc>
          <w:tcPr>
            <w:tcW w:w="705" w:type="pct"/>
            <w:vAlign w:val="center"/>
          </w:tcPr>
          <w:p w14:paraId="4F096578" w14:textId="77777777" w:rsidR="00011FDC" w:rsidRPr="007B0D60" w:rsidRDefault="00011FDC" w:rsidP="00283B8E">
            <w:pPr>
              <w:pStyle w:val="Tabletextleft"/>
              <w:keepNext/>
              <w:spacing w:before="0" w:after="0"/>
              <w:rPr>
                <w:rFonts w:ascii="Arial Narrow" w:hAnsi="Arial Narrow"/>
                <w:sz w:val="20"/>
              </w:rPr>
            </w:pPr>
            <w:r w:rsidRPr="007B0D60">
              <w:rPr>
                <w:rFonts w:ascii="Arial Narrow" w:hAnsi="Arial Narrow"/>
                <w:sz w:val="20"/>
              </w:rPr>
              <w:t xml:space="preserve">Outcomes </w:t>
            </w:r>
          </w:p>
        </w:tc>
        <w:tc>
          <w:tcPr>
            <w:tcW w:w="4295" w:type="pct"/>
            <w:vAlign w:val="center"/>
          </w:tcPr>
          <w:p w14:paraId="36868BC1" w14:textId="77777777" w:rsidR="00011FDC" w:rsidRPr="007B0D60" w:rsidRDefault="00011FDC" w:rsidP="00283B8E">
            <w:pPr>
              <w:pStyle w:val="TableText0"/>
              <w:rPr>
                <w:sz w:val="20"/>
                <w:szCs w:val="20"/>
              </w:rPr>
            </w:pPr>
            <w:r w:rsidRPr="007B0D60">
              <w:rPr>
                <w:sz w:val="20"/>
                <w:szCs w:val="20"/>
              </w:rPr>
              <w:t xml:space="preserve">Immunogenicity: </w:t>
            </w:r>
          </w:p>
          <w:p w14:paraId="62AC38D0" w14:textId="77777777" w:rsidR="00011FDC" w:rsidRPr="007B0D60" w:rsidRDefault="00011FDC" w:rsidP="00283B8E">
            <w:pPr>
              <w:pStyle w:val="TableNoteBullet"/>
              <w:keepNext/>
              <w:spacing w:after="0"/>
              <w:ind w:right="57"/>
              <w:rPr>
                <w:rFonts w:ascii="Arial Narrow" w:hAnsi="Arial Narrow"/>
                <w:sz w:val="20"/>
                <w:szCs w:val="20"/>
              </w:rPr>
            </w:pPr>
            <w:r w:rsidRPr="007B0D60">
              <w:rPr>
                <w:rFonts w:ascii="Arial Narrow" w:hAnsi="Arial Narrow"/>
                <w:sz w:val="20"/>
                <w:szCs w:val="20"/>
              </w:rPr>
              <w:t xml:space="preserve">Serotype-specific opsonophagocytic (OPA) </w:t>
            </w:r>
            <w:r w:rsidR="00C27E59">
              <w:rPr>
                <w:rFonts w:ascii="Arial Narrow" w:hAnsi="Arial Narrow"/>
                <w:sz w:val="20"/>
                <w:szCs w:val="20"/>
              </w:rPr>
              <w:t>geometric mean titre (vaccine strain type)</w:t>
            </w:r>
            <w:r w:rsidR="00C27E59" w:rsidRPr="007B0D60">
              <w:rPr>
                <w:rFonts w:ascii="Arial Narrow" w:hAnsi="Arial Narrow"/>
                <w:sz w:val="20"/>
                <w:szCs w:val="20"/>
              </w:rPr>
              <w:t xml:space="preserve"> </w:t>
            </w:r>
            <w:r w:rsidRPr="007B0D60">
              <w:rPr>
                <w:rFonts w:ascii="Arial Narrow" w:hAnsi="Arial Narrow"/>
                <w:sz w:val="20"/>
                <w:szCs w:val="20"/>
              </w:rPr>
              <w:t>for the 15</w:t>
            </w:r>
            <w:r w:rsidR="00B84858">
              <w:rPr>
                <w:rFonts w:ascii="Arial Narrow" w:hAnsi="Arial Narrow"/>
                <w:sz w:val="20"/>
                <w:szCs w:val="20"/>
              </w:rPr>
              <w:t> </w:t>
            </w:r>
            <w:r w:rsidRPr="007B0D60">
              <w:rPr>
                <w:rFonts w:ascii="Arial Narrow" w:hAnsi="Arial Narrow"/>
                <w:sz w:val="20"/>
                <w:szCs w:val="20"/>
              </w:rPr>
              <w:t>serotypes in PCV15 at day 30</w:t>
            </w:r>
            <w:r w:rsidR="00B84858">
              <w:rPr>
                <w:rFonts w:ascii="Arial Narrow" w:hAnsi="Arial Narrow"/>
                <w:sz w:val="20"/>
                <w:szCs w:val="20"/>
              </w:rPr>
              <w:t>.</w:t>
            </w:r>
          </w:p>
          <w:p w14:paraId="040C6B44" w14:textId="77777777" w:rsidR="00011FDC" w:rsidRPr="007B0D60" w:rsidRDefault="00011FDC" w:rsidP="00283B8E">
            <w:pPr>
              <w:pStyle w:val="TableNoteBullet"/>
              <w:keepNext/>
              <w:spacing w:after="0"/>
              <w:ind w:right="57"/>
              <w:rPr>
                <w:rFonts w:ascii="Arial Narrow" w:hAnsi="Arial Narrow"/>
                <w:sz w:val="20"/>
                <w:szCs w:val="20"/>
              </w:rPr>
            </w:pPr>
            <w:r w:rsidRPr="007B0D60">
              <w:rPr>
                <w:rFonts w:ascii="Arial Narrow" w:hAnsi="Arial Narrow"/>
                <w:sz w:val="20"/>
                <w:szCs w:val="20"/>
              </w:rPr>
              <w:t xml:space="preserve">Serotype-specific immunoglobulin G (IgG) </w:t>
            </w:r>
            <w:r w:rsidR="00C27E59">
              <w:rPr>
                <w:rFonts w:ascii="Arial Narrow" w:hAnsi="Arial Narrow"/>
                <w:sz w:val="20"/>
                <w:szCs w:val="20"/>
              </w:rPr>
              <w:t xml:space="preserve">geometric mean </w:t>
            </w:r>
            <w:r w:rsidR="00540DEA">
              <w:rPr>
                <w:rFonts w:ascii="Arial Narrow" w:hAnsi="Arial Narrow"/>
                <w:sz w:val="20"/>
                <w:szCs w:val="20"/>
              </w:rPr>
              <w:t>concentration</w:t>
            </w:r>
            <w:r w:rsidR="00C27E59">
              <w:rPr>
                <w:rFonts w:ascii="Arial Narrow" w:hAnsi="Arial Narrow"/>
                <w:sz w:val="20"/>
                <w:szCs w:val="20"/>
              </w:rPr>
              <w:t xml:space="preserve"> (vaccine strain type)</w:t>
            </w:r>
            <w:r w:rsidR="00C27E59" w:rsidRPr="007B0D60">
              <w:rPr>
                <w:rFonts w:ascii="Arial Narrow" w:hAnsi="Arial Narrow"/>
                <w:sz w:val="20"/>
                <w:szCs w:val="20"/>
              </w:rPr>
              <w:t xml:space="preserve"> </w:t>
            </w:r>
            <w:r w:rsidRPr="007B0D60">
              <w:rPr>
                <w:rFonts w:ascii="Arial Narrow" w:hAnsi="Arial Narrow"/>
                <w:sz w:val="20"/>
                <w:szCs w:val="20"/>
              </w:rPr>
              <w:t>for the 15 serotypes in PCV15 at day 30</w:t>
            </w:r>
            <w:r w:rsidR="00B84858">
              <w:rPr>
                <w:rFonts w:ascii="Arial Narrow" w:hAnsi="Arial Narrow"/>
                <w:sz w:val="20"/>
                <w:szCs w:val="20"/>
              </w:rPr>
              <w:t>.</w:t>
            </w:r>
            <w:r w:rsidRPr="007B0D60">
              <w:rPr>
                <w:rFonts w:ascii="Arial Narrow" w:hAnsi="Arial Narrow"/>
                <w:sz w:val="20"/>
                <w:szCs w:val="20"/>
              </w:rPr>
              <w:t xml:space="preserve"> </w:t>
            </w:r>
          </w:p>
          <w:p w14:paraId="6B7BD22A" w14:textId="77777777" w:rsidR="00011FDC" w:rsidRPr="007B0D60" w:rsidRDefault="00011FDC" w:rsidP="00283B8E">
            <w:pPr>
              <w:pStyle w:val="TableText0"/>
              <w:rPr>
                <w:sz w:val="20"/>
                <w:szCs w:val="20"/>
              </w:rPr>
            </w:pPr>
            <w:r w:rsidRPr="007B0D60">
              <w:rPr>
                <w:sz w:val="20"/>
                <w:szCs w:val="20"/>
              </w:rPr>
              <w:t xml:space="preserve">Safety: </w:t>
            </w:r>
          </w:p>
          <w:p w14:paraId="083A7385" w14:textId="77777777" w:rsidR="00011FDC" w:rsidRPr="007B0D60" w:rsidRDefault="00011FDC" w:rsidP="00283B8E">
            <w:pPr>
              <w:pStyle w:val="TableNoteBullet"/>
              <w:keepNext/>
              <w:spacing w:after="0"/>
              <w:ind w:right="57"/>
              <w:rPr>
                <w:rFonts w:ascii="Arial Narrow" w:hAnsi="Arial Narrow"/>
                <w:sz w:val="20"/>
                <w:szCs w:val="20"/>
              </w:rPr>
            </w:pPr>
            <w:r w:rsidRPr="007B0D60">
              <w:rPr>
                <w:rFonts w:ascii="Arial Narrow" w:hAnsi="Arial Narrow"/>
                <w:sz w:val="20"/>
                <w:szCs w:val="20"/>
              </w:rPr>
              <w:t xml:space="preserve">Injection site reactions day 1-5 </w:t>
            </w:r>
            <w:r w:rsidR="00BD6571">
              <w:rPr>
                <w:rFonts w:ascii="Arial Narrow" w:hAnsi="Arial Narrow"/>
                <w:sz w:val="20"/>
                <w:szCs w:val="20"/>
              </w:rPr>
              <w:t>post-vaccination</w:t>
            </w:r>
            <w:r w:rsidR="00B84858">
              <w:rPr>
                <w:rFonts w:ascii="Arial Narrow" w:hAnsi="Arial Narrow"/>
                <w:sz w:val="20"/>
                <w:szCs w:val="20"/>
              </w:rPr>
              <w:t>.</w:t>
            </w:r>
          </w:p>
          <w:p w14:paraId="456E7C46" w14:textId="77777777" w:rsidR="00011FDC" w:rsidRPr="007B0D60" w:rsidRDefault="00011FDC" w:rsidP="00283B8E">
            <w:pPr>
              <w:pStyle w:val="TableNoteBullet"/>
              <w:keepNext/>
              <w:spacing w:after="0"/>
              <w:ind w:right="57"/>
              <w:rPr>
                <w:rFonts w:ascii="Arial Narrow" w:hAnsi="Arial Narrow"/>
                <w:sz w:val="20"/>
                <w:szCs w:val="20"/>
              </w:rPr>
            </w:pPr>
            <w:r w:rsidRPr="007B0D60">
              <w:rPr>
                <w:rFonts w:ascii="Arial Narrow" w:hAnsi="Arial Narrow"/>
                <w:sz w:val="20"/>
                <w:szCs w:val="20"/>
              </w:rPr>
              <w:t xml:space="preserve">Systemic AEs from </w:t>
            </w:r>
            <w:r w:rsidR="00E47AF0">
              <w:rPr>
                <w:rFonts w:ascii="Arial Narrow" w:hAnsi="Arial Narrow"/>
                <w:sz w:val="20"/>
                <w:szCs w:val="20"/>
              </w:rPr>
              <w:t>d</w:t>
            </w:r>
            <w:r w:rsidRPr="007B0D60">
              <w:rPr>
                <w:rFonts w:ascii="Arial Narrow" w:hAnsi="Arial Narrow"/>
                <w:sz w:val="20"/>
                <w:szCs w:val="20"/>
              </w:rPr>
              <w:t xml:space="preserve">ay 1 through to </w:t>
            </w:r>
            <w:r w:rsidR="00E47AF0">
              <w:rPr>
                <w:rFonts w:ascii="Arial Narrow" w:hAnsi="Arial Narrow"/>
                <w:sz w:val="20"/>
                <w:szCs w:val="20"/>
              </w:rPr>
              <w:t>d</w:t>
            </w:r>
            <w:r w:rsidRPr="007B0D60">
              <w:rPr>
                <w:rFonts w:ascii="Arial Narrow" w:hAnsi="Arial Narrow"/>
                <w:sz w:val="20"/>
                <w:szCs w:val="20"/>
              </w:rPr>
              <w:t xml:space="preserve">ay 14 </w:t>
            </w:r>
            <w:r w:rsidR="00BD6571">
              <w:rPr>
                <w:rFonts w:ascii="Arial Narrow" w:hAnsi="Arial Narrow"/>
                <w:sz w:val="20"/>
                <w:szCs w:val="20"/>
              </w:rPr>
              <w:t>post-vaccination</w:t>
            </w:r>
            <w:r w:rsidR="00B84858">
              <w:rPr>
                <w:rFonts w:ascii="Arial Narrow" w:hAnsi="Arial Narrow"/>
                <w:sz w:val="20"/>
                <w:szCs w:val="20"/>
              </w:rPr>
              <w:t>.</w:t>
            </w:r>
          </w:p>
          <w:p w14:paraId="3AA263CB" w14:textId="77777777" w:rsidR="00011FDC" w:rsidRPr="007B0D60" w:rsidRDefault="00011FDC" w:rsidP="00283B8E">
            <w:pPr>
              <w:pStyle w:val="TableNoteBullet"/>
              <w:keepNext/>
              <w:spacing w:after="0"/>
              <w:ind w:right="57"/>
              <w:rPr>
                <w:rFonts w:ascii="Arial Narrow" w:hAnsi="Arial Narrow"/>
                <w:sz w:val="20"/>
                <w:szCs w:val="20"/>
              </w:rPr>
            </w:pPr>
            <w:r w:rsidRPr="007B0D60">
              <w:rPr>
                <w:rFonts w:ascii="Arial Narrow" w:hAnsi="Arial Narrow"/>
                <w:sz w:val="20"/>
                <w:szCs w:val="20"/>
              </w:rPr>
              <w:t>Vaccine-related serious adverse events from day 1 to m</w:t>
            </w:r>
            <w:r w:rsidR="00B84858">
              <w:rPr>
                <w:rFonts w:ascii="Arial Narrow" w:hAnsi="Arial Narrow"/>
                <w:sz w:val="20"/>
                <w:szCs w:val="20"/>
              </w:rPr>
              <w:t>on</w:t>
            </w:r>
            <w:r w:rsidRPr="007B0D60">
              <w:rPr>
                <w:rFonts w:ascii="Arial Narrow" w:hAnsi="Arial Narrow"/>
                <w:sz w:val="20"/>
                <w:szCs w:val="20"/>
              </w:rPr>
              <w:t xml:space="preserve">th 6 </w:t>
            </w:r>
            <w:r w:rsidR="00BD6571">
              <w:rPr>
                <w:rFonts w:ascii="Arial Narrow" w:hAnsi="Arial Narrow"/>
                <w:sz w:val="20"/>
                <w:szCs w:val="20"/>
              </w:rPr>
              <w:t>post-vaccination</w:t>
            </w:r>
            <w:r w:rsidR="00B84858">
              <w:rPr>
                <w:rFonts w:ascii="Arial Narrow" w:hAnsi="Arial Narrow"/>
                <w:sz w:val="20"/>
                <w:szCs w:val="20"/>
              </w:rPr>
              <w:t>.</w:t>
            </w:r>
          </w:p>
          <w:p w14:paraId="02DB3ED6" w14:textId="77777777" w:rsidR="00011FDC" w:rsidRPr="009615A8" w:rsidRDefault="00011FDC" w:rsidP="00283B8E">
            <w:pPr>
              <w:pStyle w:val="TableNoteBullet"/>
              <w:keepNext/>
              <w:spacing w:after="0"/>
              <w:ind w:right="57"/>
              <w:rPr>
                <w:rFonts w:ascii="Arial Narrow" w:hAnsi="Arial Narrow"/>
                <w:sz w:val="20"/>
              </w:rPr>
            </w:pPr>
            <w:r w:rsidRPr="009615A8">
              <w:rPr>
                <w:rFonts w:ascii="Arial Narrow" w:hAnsi="Arial Narrow"/>
                <w:sz w:val="20"/>
              </w:rPr>
              <w:t>Grade 3 or higher adverse events</w:t>
            </w:r>
            <w:r w:rsidR="00B84858">
              <w:rPr>
                <w:rFonts w:ascii="Arial Narrow" w:hAnsi="Arial Narrow"/>
                <w:sz w:val="20"/>
              </w:rPr>
              <w:t>.</w:t>
            </w:r>
          </w:p>
        </w:tc>
      </w:tr>
      <w:tr w:rsidR="00011FDC" w:rsidRPr="007B0D60" w14:paraId="62BCD499" w14:textId="77777777" w:rsidTr="62B1472D">
        <w:tc>
          <w:tcPr>
            <w:tcW w:w="705" w:type="pct"/>
            <w:vAlign w:val="center"/>
          </w:tcPr>
          <w:p w14:paraId="7DDC455E" w14:textId="77777777" w:rsidR="00011FDC" w:rsidRPr="007B0D60" w:rsidRDefault="00011FDC" w:rsidP="00283B8E">
            <w:pPr>
              <w:pStyle w:val="Tabletextleft"/>
              <w:keepNext/>
              <w:spacing w:before="0" w:after="0"/>
              <w:rPr>
                <w:rFonts w:ascii="Arial Narrow" w:hAnsi="Arial Narrow"/>
                <w:sz w:val="20"/>
              </w:rPr>
            </w:pPr>
            <w:r w:rsidRPr="007B0D60">
              <w:rPr>
                <w:rFonts w:ascii="Arial Narrow" w:hAnsi="Arial Narrow"/>
                <w:sz w:val="20"/>
              </w:rPr>
              <w:t xml:space="preserve">Clinical claim </w:t>
            </w:r>
          </w:p>
        </w:tc>
        <w:tc>
          <w:tcPr>
            <w:tcW w:w="4295" w:type="pct"/>
            <w:vAlign w:val="center"/>
          </w:tcPr>
          <w:p w14:paraId="065E179F" w14:textId="77777777" w:rsidR="00011FDC" w:rsidRPr="007B0D60" w:rsidRDefault="00011FDC" w:rsidP="00283B8E">
            <w:pPr>
              <w:pStyle w:val="Tabletextleft"/>
              <w:keepNext/>
              <w:spacing w:before="0" w:after="0"/>
              <w:rPr>
                <w:rFonts w:ascii="Arial Narrow" w:hAnsi="Arial Narrow"/>
                <w:sz w:val="20"/>
              </w:rPr>
            </w:pPr>
            <w:r w:rsidRPr="007B0D60">
              <w:rPr>
                <w:rFonts w:ascii="Arial Narrow" w:hAnsi="Arial Narrow"/>
                <w:sz w:val="20"/>
              </w:rPr>
              <w:t xml:space="preserve">In the adult populations aged 18+ currently </w:t>
            </w:r>
            <w:r w:rsidRPr="00C3561E">
              <w:rPr>
                <w:rFonts w:ascii="Arial Narrow" w:hAnsi="Arial Narrow"/>
                <w:sz w:val="20"/>
              </w:rPr>
              <w:t xml:space="preserve">eligible for PCV13 vaccination on the NIP, PCV15 is </w:t>
            </w:r>
            <w:r w:rsidR="00437DB8">
              <w:rPr>
                <w:rFonts w:ascii="Arial Narrow" w:hAnsi="Arial Narrow"/>
                <w:sz w:val="20"/>
              </w:rPr>
              <w:t>noninferior</w:t>
            </w:r>
            <w:r w:rsidRPr="00C3561E">
              <w:rPr>
                <w:rFonts w:ascii="Arial Narrow" w:hAnsi="Arial Narrow"/>
                <w:sz w:val="20"/>
              </w:rPr>
              <w:t xml:space="preserve"> in terms of comparative immunogenicity for 12 of the 13 shared serotypes and superior to PCV13 for serotype 3. PCV15 is </w:t>
            </w:r>
            <w:r w:rsidRPr="000D56EC">
              <w:rPr>
                <w:rFonts w:ascii="Arial Narrow" w:hAnsi="Arial Narrow"/>
                <w:sz w:val="20"/>
              </w:rPr>
              <w:t>superior</w:t>
            </w:r>
            <w:r w:rsidRPr="00C3561E">
              <w:rPr>
                <w:rFonts w:ascii="Arial Narrow" w:hAnsi="Arial Narrow"/>
                <w:sz w:val="20"/>
              </w:rPr>
              <w:t xml:space="preserve"> to PCV13 in terms of immunogenicity for 22F and 33F. PCV15 is </w:t>
            </w:r>
            <w:r w:rsidR="00437DB8">
              <w:rPr>
                <w:rFonts w:ascii="Arial Narrow" w:hAnsi="Arial Narrow"/>
                <w:sz w:val="20"/>
              </w:rPr>
              <w:t>noninferior</w:t>
            </w:r>
            <w:r w:rsidRPr="00C3561E">
              <w:rPr>
                <w:rFonts w:ascii="Arial Narrow" w:hAnsi="Arial Narrow"/>
                <w:sz w:val="20"/>
              </w:rPr>
              <w:t xml:space="preserve"> to PCV13 in terms of safety</w:t>
            </w:r>
            <w:r w:rsidR="00B85962" w:rsidRPr="00C3561E">
              <w:rPr>
                <w:rFonts w:ascii="Arial Narrow" w:hAnsi="Arial Narrow"/>
                <w:sz w:val="20"/>
              </w:rPr>
              <w:t>.</w:t>
            </w:r>
          </w:p>
        </w:tc>
      </w:tr>
    </w:tbl>
    <w:p w14:paraId="0134E760" w14:textId="77777777" w:rsidR="00011FDC" w:rsidRPr="00974F3E" w:rsidRDefault="00011FDC" w:rsidP="00011FDC">
      <w:pPr>
        <w:pStyle w:val="Default"/>
        <w:keepNext/>
        <w:ind w:right="-154"/>
        <w:jc w:val="both"/>
        <w:rPr>
          <w:rFonts w:ascii="Arial Narrow" w:hAnsi="Arial Narrow"/>
          <w:bCs/>
          <w:sz w:val="18"/>
          <w:szCs w:val="18"/>
          <w:lang w:val="en-AU"/>
        </w:rPr>
      </w:pPr>
      <w:r w:rsidRPr="00974F3E">
        <w:rPr>
          <w:rFonts w:ascii="Arial Narrow" w:hAnsi="Arial Narrow"/>
          <w:bCs/>
          <w:sz w:val="18"/>
          <w:szCs w:val="18"/>
          <w:lang w:val="en-AU"/>
        </w:rPr>
        <w:t>Source:</w:t>
      </w:r>
      <w:r>
        <w:rPr>
          <w:rFonts w:ascii="Arial Narrow" w:hAnsi="Arial Narrow"/>
          <w:bCs/>
          <w:sz w:val="18"/>
          <w:szCs w:val="18"/>
          <w:lang w:val="en-AU"/>
        </w:rPr>
        <w:t xml:space="preserve"> Table 1.1-3, p10 of the submission</w:t>
      </w:r>
    </w:p>
    <w:p w14:paraId="659CEFAA" w14:textId="77777777" w:rsidR="00011FDC" w:rsidRPr="00974F3E" w:rsidRDefault="00011FDC" w:rsidP="00011FDC">
      <w:pPr>
        <w:pStyle w:val="Default"/>
        <w:keepNext/>
        <w:ind w:right="-154"/>
        <w:jc w:val="both"/>
        <w:rPr>
          <w:rFonts w:ascii="Arial Narrow" w:hAnsi="Arial Narrow"/>
          <w:bCs/>
          <w:sz w:val="18"/>
          <w:szCs w:val="18"/>
          <w:lang w:val="en-AU"/>
        </w:rPr>
      </w:pPr>
      <w:r>
        <w:rPr>
          <w:rFonts w:ascii="Arial Narrow" w:hAnsi="Arial Narrow"/>
          <w:bCs/>
          <w:sz w:val="18"/>
          <w:szCs w:val="18"/>
          <w:lang w:val="en-AU"/>
        </w:rPr>
        <w:t>AEs = adverse events; ATAGI =</w:t>
      </w:r>
      <w:r w:rsidRPr="00A92557">
        <w:t xml:space="preserve"> </w:t>
      </w:r>
      <w:r w:rsidRPr="00A92557">
        <w:rPr>
          <w:rFonts w:ascii="Arial Narrow" w:hAnsi="Arial Narrow"/>
          <w:bCs/>
          <w:sz w:val="18"/>
          <w:szCs w:val="18"/>
          <w:lang w:val="en-AU"/>
        </w:rPr>
        <w:t>Australian Technical Advisory Group on Immunisation</w:t>
      </w:r>
      <w:r>
        <w:rPr>
          <w:rFonts w:ascii="Arial Narrow" w:hAnsi="Arial Narrow"/>
          <w:bCs/>
          <w:sz w:val="18"/>
          <w:szCs w:val="18"/>
          <w:lang w:val="en-AU"/>
        </w:rPr>
        <w:t xml:space="preserve">; HSCT = </w:t>
      </w:r>
      <w:r w:rsidRPr="00C132DD">
        <w:rPr>
          <w:rFonts w:ascii="Arial Narrow" w:hAnsi="Arial Narrow"/>
          <w:bCs/>
          <w:sz w:val="18"/>
          <w:szCs w:val="18"/>
          <w:lang w:val="en-AU"/>
        </w:rPr>
        <w:t>Haematopoietic stem cell transplant</w:t>
      </w:r>
      <w:r>
        <w:rPr>
          <w:rFonts w:ascii="Arial Narrow" w:hAnsi="Arial Narrow"/>
          <w:bCs/>
          <w:sz w:val="18"/>
          <w:szCs w:val="18"/>
          <w:lang w:val="en-AU"/>
        </w:rPr>
        <w:t xml:space="preserve">; IgG = </w:t>
      </w:r>
      <w:r w:rsidRPr="00B4105E">
        <w:rPr>
          <w:rFonts w:ascii="Arial Narrow" w:hAnsi="Arial Narrow"/>
          <w:bCs/>
          <w:sz w:val="18"/>
          <w:szCs w:val="18"/>
          <w:lang w:val="en-AU"/>
        </w:rPr>
        <w:t>immunoglobulin</w:t>
      </w:r>
      <w:r>
        <w:rPr>
          <w:rFonts w:ascii="Arial Narrow" w:hAnsi="Arial Narrow"/>
          <w:bCs/>
          <w:sz w:val="18"/>
          <w:szCs w:val="18"/>
          <w:lang w:val="en-AU"/>
        </w:rPr>
        <w:t xml:space="preserve"> G; m</w:t>
      </w:r>
      <w:r w:rsidR="00185DDE">
        <w:rPr>
          <w:rFonts w:ascii="Arial Narrow" w:hAnsi="Arial Narrow"/>
          <w:bCs/>
          <w:sz w:val="18"/>
          <w:szCs w:val="18"/>
          <w:lang w:val="en-AU"/>
        </w:rPr>
        <w:t>L</w:t>
      </w:r>
      <w:r>
        <w:rPr>
          <w:rFonts w:ascii="Arial Narrow" w:hAnsi="Arial Narrow"/>
          <w:bCs/>
          <w:sz w:val="18"/>
          <w:szCs w:val="18"/>
          <w:lang w:val="en-AU"/>
        </w:rPr>
        <w:t xml:space="preserve"> = millilitre; NIP = National Immunisation Program; OPA = </w:t>
      </w:r>
      <w:r w:rsidRPr="00056A49">
        <w:rPr>
          <w:rFonts w:ascii="Arial Narrow" w:hAnsi="Arial Narrow"/>
          <w:bCs/>
          <w:sz w:val="18"/>
          <w:szCs w:val="18"/>
          <w:lang w:val="en-AU"/>
        </w:rPr>
        <w:t>opsonophagocyti</w:t>
      </w:r>
      <w:r>
        <w:rPr>
          <w:rFonts w:ascii="Arial Narrow" w:hAnsi="Arial Narrow"/>
          <w:bCs/>
          <w:sz w:val="18"/>
          <w:szCs w:val="18"/>
          <w:lang w:val="en-AU"/>
        </w:rPr>
        <w:t xml:space="preserve">c activity; PBAC = </w:t>
      </w:r>
      <w:r w:rsidRPr="00DB12D5">
        <w:rPr>
          <w:rFonts w:ascii="Arial Narrow" w:hAnsi="Arial Narrow"/>
          <w:bCs/>
          <w:sz w:val="18"/>
          <w:szCs w:val="18"/>
          <w:lang w:val="en-AU"/>
        </w:rPr>
        <w:t>Pharmaceutical Benefits Advisory Committee</w:t>
      </w:r>
      <w:r>
        <w:rPr>
          <w:rFonts w:ascii="Arial Narrow" w:hAnsi="Arial Narrow"/>
          <w:bCs/>
          <w:sz w:val="18"/>
          <w:szCs w:val="18"/>
          <w:lang w:val="en-AU"/>
        </w:rPr>
        <w:t xml:space="preserve">; PCV13 = 13-valent pneumococcal conjugate vaccine; PCV15 = 15-valent pneumococcal conjugate vaccine; PCV20 = 20-valent pneumococcal conjugate vaccine; PPV23 = 23-valent pneumococcal polysaccharide vaccine; TGA = </w:t>
      </w:r>
      <w:r w:rsidRPr="00330F14">
        <w:rPr>
          <w:rFonts w:ascii="Arial Narrow" w:hAnsi="Arial Narrow"/>
          <w:bCs/>
          <w:sz w:val="18"/>
          <w:szCs w:val="18"/>
          <w:lang w:val="en-AU"/>
        </w:rPr>
        <w:t>Therapeutic Goods Administration</w:t>
      </w:r>
    </w:p>
    <w:p w14:paraId="50A349E3" w14:textId="77777777" w:rsidR="00011FDC" w:rsidRPr="00407F2D" w:rsidRDefault="00011FDC" w:rsidP="009922BC">
      <w:pPr>
        <w:pStyle w:val="2-SectionHeading"/>
        <w:numPr>
          <w:ilvl w:val="0"/>
          <w:numId w:val="1"/>
        </w:numPr>
      </w:pPr>
      <w:bookmarkStart w:id="10" w:name="_Toc82613932"/>
      <w:r w:rsidRPr="00407F2D">
        <w:t>Background</w:t>
      </w:r>
      <w:bookmarkEnd w:id="10"/>
    </w:p>
    <w:p w14:paraId="23567BCF" w14:textId="77777777" w:rsidR="00011FDC" w:rsidRPr="004151CF" w:rsidRDefault="00011FDC" w:rsidP="00011FDC">
      <w:pPr>
        <w:pStyle w:val="4-SubsectionHeading"/>
      </w:pPr>
      <w:bookmarkStart w:id="11" w:name="_Toc82613933"/>
      <w:r w:rsidRPr="004151CF">
        <w:t>Registration status</w:t>
      </w:r>
      <w:bookmarkEnd w:id="11"/>
    </w:p>
    <w:p w14:paraId="47D86EB8" w14:textId="77777777" w:rsidR="00011FDC" w:rsidRDefault="00463AB6" w:rsidP="00011FDC">
      <w:pPr>
        <w:pStyle w:val="3-BodyText"/>
      </w:pPr>
      <w:r w:rsidRPr="0059281B">
        <w:rPr>
          <w:rFonts w:ascii="Calibri" w:eastAsia="Calibri" w:hAnsi="Calibri"/>
          <w:b/>
          <w:szCs w:val="22"/>
        </w:rPr>
        <w:t xml:space="preserve">TGA status at time of </w:t>
      </w:r>
      <w:r w:rsidR="00894274">
        <w:rPr>
          <w:rFonts w:ascii="Calibri" w:eastAsia="Calibri" w:hAnsi="Calibri"/>
          <w:b/>
          <w:szCs w:val="22"/>
        </w:rPr>
        <w:t>PBAC consideration</w:t>
      </w:r>
      <w:r w:rsidRPr="0059281B">
        <w:rPr>
          <w:rFonts w:ascii="Calibri" w:eastAsia="Calibri" w:hAnsi="Calibri"/>
          <w:szCs w:val="22"/>
        </w:rPr>
        <w:t>:</w:t>
      </w:r>
      <w:r w:rsidR="0059281B">
        <w:rPr>
          <w:rFonts w:ascii="Calibri" w:eastAsia="Calibri" w:hAnsi="Calibri"/>
          <w:szCs w:val="22"/>
        </w:rPr>
        <w:t xml:space="preserve"> </w:t>
      </w:r>
      <w:r w:rsidR="00011FDC" w:rsidRPr="0059281B">
        <w:t xml:space="preserve">The submission was made under </w:t>
      </w:r>
      <w:r w:rsidR="00E77FBE" w:rsidRPr="0059281B">
        <w:t>the</w:t>
      </w:r>
      <w:r w:rsidR="00952CE5" w:rsidRPr="0059281B">
        <w:t xml:space="preserve"> </w:t>
      </w:r>
      <w:r w:rsidR="00011FDC" w:rsidRPr="0059281B">
        <w:t xml:space="preserve">TGA/PBAC Parallel Process. At the time of </w:t>
      </w:r>
      <w:r w:rsidR="00894274">
        <w:t>PBAC consideration</w:t>
      </w:r>
      <w:r w:rsidR="00011FDC" w:rsidRPr="0059281B">
        <w:t xml:space="preserve">, </w:t>
      </w:r>
      <w:r w:rsidR="007F32F8" w:rsidRPr="0059281B">
        <w:t xml:space="preserve">the </w:t>
      </w:r>
      <w:r w:rsidR="00011FDC" w:rsidRPr="0059281B">
        <w:t xml:space="preserve">clinical evaluation report </w:t>
      </w:r>
      <w:r w:rsidR="00894274">
        <w:t>and Delegate’s Overview</w:t>
      </w:r>
      <w:r w:rsidR="00011FDC" w:rsidRPr="0059281B">
        <w:t xml:space="preserve"> </w:t>
      </w:r>
      <w:r w:rsidR="00894274">
        <w:t>were</w:t>
      </w:r>
      <w:r w:rsidR="00894274" w:rsidRPr="0059281B">
        <w:t xml:space="preserve"> </w:t>
      </w:r>
      <w:r w:rsidR="00011FDC" w:rsidRPr="0059281B">
        <w:t xml:space="preserve">available. </w:t>
      </w:r>
      <w:r w:rsidR="00D24411" w:rsidRPr="0059281B">
        <w:t xml:space="preserve">The requested indication was for use in adults aged </w:t>
      </w:r>
      <w:r w:rsidR="00437DB8" w:rsidRPr="0059281B">
        <w:rPr>
          <w:rFonts w:cstheme="minorHAnsi"/>
        </w:rPr>
        <w:t>≥</w:t>
      </w:r>
      <w:r w:rsidR="00D24411" w:rsidRPr="0059281B">
        <w:t xml:space="preserve">18 years. </w:t>
      </w:r>
      <w:r w:rsidR="00011FDC" w:rsidRPr="0059281B">
        <w:t>The</w:t>
      </w:r>
      <w:r w:rsidR="00B84858">
        <w:t xml:space="preserve"> United States</w:t>
      </w:r>
      <w:r w:rsidR="00011FDC" w:rsidRPr="0059281B">
        <w:t xml:space="preserve"> </w:t>
      </w:r>
      <w:r w:rsidR="00D74E5B" w:rsidRPr="0059281B">
        <w:t>Food and Drug Administration (</w:t>
      </w:r>
      <w:r w:rsidR="00011FDC" w:rsidRPr="0059281B">
        <w:t>FDA</w:t>
      </w:r>
      <w:r w:rsidR="00D74E5B" w:rsidRPr="0059281B">
        <w:t>)</w:t>
      </w:r>
      <w:r w:rsidR="00011FDC" w:rsidRPr="0059281B">
        <w:t xml:space="preserve"> </w:t>
      </w:r>
      <w:r w:rsidR="00011FDC" w:rsidRPr="0059281B">
        <w:lastRenderedPageBreak/>
        <w:t xml:space="preserve">approved PCV15 for use in adults aged </w:t>
      </w:r>
      <w:r w:rsidR="00437DB8" w:rsidRPr="0059281B">
        <w:rPr>
          <w:rFonts w:cstheme="minorHAnsi"/>
        </w:rPr>
        <w:t>≥</w:t>
      </w:r>
      <w:r w:rsidR="00011FDC" w:rsidRPr="0059281B">
        <w:t xml:space="preserve">18 years on 16 July 2021. The </w:t>
      </w:r>
      <w:r w:rsidR="00F431AF" w:rsidRPr="0059281B">
        <w:t xml:space="preserve">European Medicine Agency </w:t>
      </w:r>
      <w:r w:rsidR="003175D4">
        <w:t>recommended marketing authorisation on 14 October 2021</w:t>
      </w:r>
      <w:r w:rsidR="00011FDC" w:rsidRPr="0059281B">
        <w:t>.</w:t>
      </w:r>
    </w:p>
    <w:p w14:paraId="551C5D5D" w14:textId="77777777" w:rsidR="00A54ABF" w:rsidRPr="00282CFD" w:rsidRDefault="00A54ABF" w:rsidP="00510BC8">
      <w:pPr>
        <w:pStyle w:val="3-BodyText"/>
      </w:pPr>
      <w:r>
        <w:t xml:space="preserve">The TGA Delegate proposed to approve the registration of PCV15, and noted the following: “There is no immunological threshold level of antibody concentration that correlates with protection against pneumococcal disease in adults. Vaccination of adults with Prevnar elicited serotype-specific OPA titers that were found to be concordant to those in children, the population in which efficacy against IPD had been demonstrated. Licensure of Prevnar 13 in adults was based on demonstration of noninferiority of OPA responses to those elicited by PPV23. The CAPiTA study subsequently confirmed protective efficacy of Prevnar 13 for the prevention of IPD and pneumococcal pneumonia, validating the results of immunobridging. Based on this precedent and the lack of feasibility of conducting efficacy studies for new pneumococcal vaccines in settings where uptake of currently approved vaccines is high, immunobridging to Prevnar 13 for shared serotypes and demonstration of superior OPA responses to serotypes 22F and 33F has been proposed to regulatory </w:t>
      </w:r>
      <w:r w:rsidRPr="00282CFD">
        <w:t>agencies (US FDA) and accepted as basis for V114 [PCV15] licensure.”</w:t>
      </w:r>
    </w:p>
    <w:p w14:paraId="3C368E6E" w14:textId="77777777" w:rsidR="0070054E" w:rsidRPr="00282CFD" w:rsidRDefault="0070054E" w:rsidP="00011FDC">
      <w:pPr>
        <w:pStyle w:val="3-BodyText"/>
      </w:pPr>
      <w:r w:rsidRPr="00282CFD">
        <w:t xml:space="preserve">The </w:t>
      </w:r>
      <w:r w:rsidR="00371469" w:rsidRPr="00282CFD">
        <w:t xml:space="preserve">pre-PBAC Response </w:t>
      </w:r>
      <w:r w:rsidRPr="00282CFD">
        <w:t xml:space="preserve">advised that </w:t>
      </w:r>
      <w:r w:rsidR="00371469" w:rsidRPr="00282CFD">
        <w:t xml:space="preserve">the sponsor </w:t>
      </w:r>
      <w:r w:rsidR="00382618">
        <w:rPr>
          <w:noProof/>
          <w:color w:val="000000"/>
          <w:highlight w:val="black"/>
        </w:rPr>
        <w:t xml:space="preserve">''' ''''''''''''''''' ''''' '''''''''''''' '''' ''''''''' ''''''' '''''''''''' '''''' '''''' ''''' '''''''''''' ''' '''''''''''''''''''' ''''''''''''''''''''' '''' ''''''''''' </w:t>
      </w:r>
      <w:r w:rsidR="00B75753">
        <w:rPr>
          <w:noProof/>
          <w:color w:val="000000"/>
          <w:highlight w:val="black"/>
        </w:rPr>
        <w:t>''''''''''</w:t>
      </w:r>
      <w:r w:rsidR="00371469" w:rsidRPr="00282CFD">
        <w:t>.</w:t>
      </w:r>
    </w:p>
    <w:p w14:paraId="1402DD0B" w14:textId="77777777" w:rsidR="00011FDC" w:rsidRPr="00882085" w:rsidRDefault="00011FDC" w:rsidP="005C068A">
      <w:pPr>
        <w:pStyle w:val="2-SectionHeading"/>
        <w:numPr>
          <w:ilvl w:val="0"/>
          <w:numId w:val="1"/>
        </w:numPr>
      </w:pPr>
      <w:bookmarkStart w:id="12" w:name="_Toc82613934"/>
      <w:r w:rsidRPr="00407F2D">
        <w:t>Requested listing</w:t>
      </w:r>
      <w:bookmarkEnd w:id="12"/>
    </w:p>
    <w:p w14:paraId="4CE6A29F" w14:textId="77777777" w:rsidR="00011FDC" w:rsidRPr="00C12128" w:rsidRDefault="00011FDC" w:rsidP="00C96DF9">
      <w:pPr>
        <w:pStyle w:val="3-BodyText"/>
      </w:pPr>
      <w:r w:rsidRPr="00C12128">
        <w:t>The submission sought the following listing</w:t>
      </w:r>
      <w:r w:rsidR="00A57458" w:rsidRPr="00C12128">
        <w:t>, which is presented in a format adapted from the ATAGI advice.</w:t>
      </w:r>
    </w:p>
    <w:p w14:paraId="46F98D5F" w14:textId="77777777" w:rsidR="00C96DF9" w:rsidRPr="0059281B" w:rsidRDefault="00C96DF9" w:rsidP="00A57458">
      <w:pPr>
        <w:pStyle w:val="TableHeader"/>
        <w:keepNext/>
        <w:rPr>
          <w:rFonts w:ascii="Arial Narrow" w:hAnsi="Arial Narrow"/>
        </w:rPr>
      </w:pPr>
      <w:r w:rsidRPr="0059281B">
        <w:rPr>
          <w:rFonts w:ascii="Arial Narrow" w:hAnsi="Arial Narrow"/>
        </w:rPr>
        <w:t>Table 2: Essential elements of the requested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2"/>
        <w:gridCol w:w="1112"/>
        <w:gridCol w:w="1503"/>
        <w:gridCol w:w="1502"/>
        <w:gridCol w:w="1503"/>
      </w:tblGrid>
      <w:tr w:rsidR="00A57458" w:rsidRPr="0059281B" w14:paraId="453984DB" w14:textId="77777777" w:rsidTr="000B4F40">
        <w:trPr>
          <w:trHeight w:val="322"/>
        </w:trPr>
        <w:tc>
          <w:tcPr>
            <w:tcW w:w="1555" w:type="dxa"/>
          </w:tcPr>
          <w:p w14:paraId="6EB146A8"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bookmarkStart w:id="13" w:name="_Hlk82337055"/>
            <w:r w:rsidRPr="0059281B">
              <w:rPr>
                <w:rFonts w:ascii="Arial Narrow" w:hAnsi="Arial Narrow"/>
                <w:b/>
                <w:bCs/>
                <w:color w:val="000000"/>
                <w:sz w:val="20"/>
                <w:szCs w:val="20"/>
              </w:rPr>
              <w:t xml:space="preserve">Population requested </w:t>
            </w:r>
          </w:p>
        </w:tc>
        <w:tc>
          <w:tcPr>
            <w:tcW w:w="1842" w:type="dxa"/>
          </w:tcPr>
          <w:p w14:paraId="21F0905F"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b/>
                <w:bCs/>
                <w:color w:val="000000"/>
                <w:sz w:val="20"/>
                <w:szCs w:val="20"/>
              </w:rPr>
              <w:t xml:space="preserve">Number of doses, timing (primary series) </w:t>
            </w:r>
          </w:p>
        </w:tc>
        <w:tc>
          <w:tcPr>
            <w:tcW w:w="1112" w:type="dxa"/>
          </w:tcPr>
          <w:p w14:paraId="24DF515F"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b/>
                <w:bCs/>
                <w:color w:val="000000"/>
                <w:sz w:val="20"/>
                <w:szCs w:val="20"/>
              </w:rPr>
              <w:t xml:space="preserve">Booster frequency </w:t>
            </w:r>
          </w:p>
        </w:tc>
        <w:tc>
          <w:tcPr>
            <w:tcW w:w="1503" w:type="dxa"/>
          </w:tcPr>
          <w:p w14:paraId="26418095"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b/>
                <w:bCs/>
                <w:color w:val="000000"/>
                <w:sz w:val="20"/>
                <w:szCs w:val="20"/>
              </w:rPr>
              <w:t xml:space="preserve">Program setting (all that apply) </w:t>
            </w:r>
          </w:p>
        </w:tc>
        <w:tc>
          <w:tcPr>
            <w:tcW w:w="1502" w:type="dxa"/>
          </w:tcPr>
          <w:p w14:paraId="39EE8A27"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b/>
                <w:bCs/>
                <w:color w:val="000000"/>
                <w:sz w:val="20"/>
                <w:szCs w:val="20"/>
              </w:rPr>
              <w:t xml:space="preserve">Implications for other NIP vaccines </w:t>
            </w:r>
          </w:p>
        </w:tc>
        <w:tc>
          <w:tcPr>
            <w:tcW w:w="1503" w:type="dxa"/>
          </w:tcPr>
          <w:p w14:paraId="0F36D296"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b/>
                <w:bCs/>
                <w:color w:val="000000"/>
                <w:sz w:val="20"/>
                <w:szCs w:val="20"/>
              </w:rPr>
              <w:t xml:space="preserve">Price per Dose </w:t>
            </w:r>
          </w:p>
        </w:tc>
      </w:tr>
      <w:tr w:rsidR="00A57458" w:rsidRPr="0059281B" w14:paraId="663A7B43" w14:textId="77777777" w:rsidTr="000B4F40">
        <w:trPr>
          <w:trHeight w:val="589"/>
        </w:trPr>
        <w:tc>
          <w:tcPr>
            <w:tcW w:w="1555" w:type="dxa"/>
          </w:tcPr>
          <w:p w14:paraId="4AAAA085"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All non-Indigenous adults ≥70 years </w:t>
            </w:r>
          </w:p>
        </w:tc>
        <w:tc>
          <w:tcPr>
            <w:tcW w:w="1842" w:type="dxa"/>
          </w:tcPr>
          <w:p w14:paraId="0EDCFBCA"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1 dose PCV15 only </w:t>
            </w:r>
          </w:p>
        </w:tc>
        <w:tc>
          <w:tcPr>
            <w:tcW w:w="1112" w:type="dxa"/>
          </w:tcPr>
          <w:p w14:paraId="4EB43652"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Not requested </w:t>
            </w:r>
          </w:p>
        </w:tc>
        <w:tc>
          <w:tcPr>
            <w:tcW w:w="1503" w:type="dxa"/>
          </w:tcPr>
          <w:p w14:paraId="7294BBA2"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GPs OR treating specialist OR rural/community health clinic </w:t>
            </w:r>
          </w:p>
        </w:tc>
        <w:tc>
          <w:tcPr>
            <w:tcW w:w="1502" w:type="dxa"/>
          </w:tcPr>
          <w:p w14:paraId="4EEF1981"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Unchanged (alternative brand only) </w:t>
            </w:r>
          </w:p>
        </w:tc>
        <w:tc>
          <w:tcPr>
            <w:tcW w:w="1503" w:type="dxa"/>
          </w:tcPr>
          <w:p w14:paraId="45B25A2E"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To be advised based on Nationally Negotiated Price for the PCV13 comparator </w:t>
            </w:r>
          </w:p>
        </w:tc>
      </w:tr>
      <w:tr w:rsidR="00A57458" w:rsidRPr="0059281B" w14:paraId="0EB883FB" w14:textId="77777777" w:rsidTr="000B4F40">
        <w:trPr>
          <w:trHeight w:val="668"/>
        </w:trPr>
        <w:tc>
          <w:tcPr>
            <w:tcW w:w="1555" w:type="dxa"/>
          </w:tcPr>
          <w:p w14:paraId="6C97B066"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All Indigenous adults ≥50 years </w:t>
            </w:r>
          </w:p>
        </w:tc>
        <w:tc>
          <w:tcPr>
            <w:tcW w:w="1842" w:type="dxa"/>
          </w:tcPr>
          <w:p w14:paraId="12572AF3"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1 dose PCV15 followed by 2 doses of PPV23, the first 2-12 months later, then the second dose at least five years later </w:t>
            </w:r>
          </w:p>
        </w:tc>
        <w:tc>
          <w:tcPr>
            <w:tcW w:w="1112" w:type="dxa"/>
          </w:tcPr>
          <w:p w14:paraId="3517635A"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Not requested </w:t>
            </w:r>
          </w:p>
        </w:tc>
        <w:tc>
          <w:tcPr>
            <w:tcW w:w="1503" w:type="dxa"/>
          </w:tcPr>
          <w:p w14:paraId="5D4B3A93"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GPs OR treating specialist OR rural/community health clinic </w:t>
            </w:r>
          </w:p>
        </w:tc>
        <w:tc>
          <w:tcPr>
            <w:tcW w:w="1502" w:type="dxa"/>
          </w:tcPr>
          <w:p w14:paraId="2A13132A"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Unchanged (alternative brand only) </w:t>
            </w:r>
          </w:p>
        </w:tc>
        <w:tc>
          <w:tcPr>
            <w:tcW w:w="1503" w:type="dxa"/>
          </w:tcPr>
          <w:p w14:paraId="38D2EC1A"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To be advised based on Nationally Negotiated Price for the PCV13 comparator </w:t>
            </w:r>
          </w:p>
        </w:tc>
      </w:tr>
      <w:tr w:rsidR="00A57458" w:rsidRPr="0059281B" w14:paraId="55B82C79" w14:textId="77777777" w:rsidTr="000B4F40">
        <w:trPr>
          <w:trHeight w:val="897"/>
        </w:trPr>
        <w:tc>
          <w:tcPr>
            <w:tcW w:w="1555" w:type="dxa"/>
          </w:tcPr>
          <w:p w14:paraId="57ABE230"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All persons ≥18 years newly diagnosed with a condition putting them at-risk of pneumococcal infection (see also HSCT recipients)</w:t>
            </w:r>
          </w:p>
        </w:tc>
        <w:tc>
          <w:tcPr>
            <w:tcW w:w="1842" w:type="dxa"/>
          </w:tcPr>
          <w:p w14:paraId="78113981"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1 dose PCV15 followed by 2 doses of PPV23, the first 2-12 months later, then the second dose at least five years later </w:t>
            </w:r>
          </w:p>
        </w:tc>
        <w:tc>
          <w:tcPr>
            <w:tcW w:w="1112" w:type="dxa"/>
          </w:tcPr>
          <w:p w14:paraId="47D8038C"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Not requested </w:t>
            </w:r>
          </w:p>
        </w:tc>
        <w:tc>
          <w:tcPr>
            <w:tcW w:w="1503" w:type="dxa"/>
          </w:tcPr>
          <w:p w14:paraId="450CEB19"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Primarily treating specialists otherwise settings as above </w:t>
            </w:r>
          </w:p>
        </w:tc>
        <w:tc>
          <w:tcPr>
            <w:tcW w:w="1502" w:type="dxa"/>
          </w:tcPr>
          <w:p w14:paraId="1BA404BD"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Unchanged (alternative brand only) </w:t>
            </w:r>
          </w:p>
        </w:tc>
        <w:tc>
          <w:tcPr>
            <w:tcW w:w="1503" w:type="dxa"/>
          </w:tcPr>
          <w:p w14:paraId="7E56744A"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 xml:space="preserve">To be advised based on Nationally Negotiated Price for the PCV13 comparator </w:t>
            </w:r>
          </w:p>
        </w:tc>
      </w:tr>
      <w:tr w:rsidR="00C96DF9" w:rsidRPr="0059281B" w14:paraId="1D5DD99E" w14:textId="77777777" w:rsidTr="000B4F40">
        <w:trPr>
          <w:trHeight w:val="897"/>
        </w:trPr>
        <w:tc>
          <w:tcPr>
            <w:tcW w:w="1555" w:type="dxa"/>
          </w:tcPr>
          <w:p w14:paraId="158F05E3"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HSCT recipients</w:t>
            </w:r>
          </w:p>
        </w:tc>
        <w:tc>
          <w:tcPr>
            <w:tcW w:w="1842" w:type="dxa"/>
          </w:tcPr>
          <w:p w14:paraId="2AE18678" w14:textId="77777777" w:rsidR="00C96DF9" w:rsidRPr="0059281B" w:rsidRDefault="00C96DF9" w:rsidP="00A57458">
            <w:pPr>
              <w:keepNext/>
              <w:autoSpaceDE w:val="0"/>
              <w:autoSpaceDN w:val="0"/>
              <w:adjustRightInd w:val="0"/>
              <w:jc w:val="left"/>
              <w:rPr>
                <w:rFonts w:ascii="Arial Narrow" w:hAnsi="Arial Narrow"/>
                <w:color w:val="000000"/>
                <w:sz w:val="20"/>
                <w:szCs w:val="20"/>
                <w:vertAlign w:val="superscript"/>
              </w:rPr>
            </w:pPr>
            <w:r w:rsidRPr="0059281B">
              <w:rPr>
                <w:rFonts w:ascii="Arial Narrow" w:hAnsi="Arial Narrow"/>
                <w:color w:val="000000"/>
                <w:sz w:val="20"/>
                <w:szCs w:val="20"/>
              </w:rPr>
              <w:t>3 doses of PCV15 at 6, 8, and 12 months after HSCT and PPV23 at 24 months</w:t>
            </w:r>
            <w:r w:rsidRPr="0059281B">
              <w:rPr>
                <w:rFonts w:ascii="Arial Narrow" w:hAnsi="Arial Narrow"/>
                <w:color w:val="000000"/>
                <w:sz w:val="20"/>
                <w:szCs w:val="20"/>
                <w:vertAlign w:val="superscript"/>
              </w:rPr>
              <w:t>a</w:t>
            </w:r>
          </w:p>
        </w:tc>
        <w:tc>
          <w:tcPr>
            <w:tcW w:w="1112" w:type="dxa"/>
          </w:tcPr>
          <w:p w14:paraId="28F07B7E"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r w:rsidRPr="0059281B">
              <w:rPr>
                <w:rFonts w:ascii="Arial Narrow" w:hAnsi="Arial Narrow"/>
                <w:color w:val="000000"/>
                <w:sz w:val="20"/>
                <w:szCs w:val="20"/>
              </w:rPr>
              <w:t>Not requested</w:t>
            </w:r>
          </w:p>
        </w:tc>
        <w:tc>
          <w:tcPr>
            <w:tcW w:w="4508" w:type="dxa"/>
            <w:gridSpan w:val="3"/>
          </w:tcPr>
          <w:p w14:paraId="2CBE58B5" w14:textId="77777777" w:rsidR="00C96DF9" w:rsidRPr="0059281B" w:rsidRDefault="00C96DF9" w:rsidP="00A57458">
            <w:pPr>
              <w:keepNext/>
              <w:autoSpaceDE w:val="0"/>
              <w:autoSpaceDN w:val="0"/>
              <w:adjustRightInd w:val="0"/>
              <w:jc w:val="left"/>
              <w:rPr>
                <w:rFonts w:ascii="Arial Narrow" w:hAnsi="Arial Narrow"/>
                <w:color w:val="000000"/>
                <w:sz w:val="20"/>
                <w:szCs w:val="20"/>
              </w:rPr>
            </w:pPr>
          </w:p>
        </w:tc>
      </w:tr>
    </w:tbl>
    <w:p w14:paraId="34724F47" w14:textId="77777777" w:rsidR="00A57458" w:rsidRPr="0059281B" w:rsidRDefault="00A57458" w:rsidP="00A57458">
      <w:pPr>
        <w:pStyle w:val="TableHeader"/>
        <w:keepNext/>
        <w:rPr>
          <w:rFonts w:ascii="Arial Narrow" w:hAnsi="Arial Narrow"/>
          <w:b w:val="0"/>
          <w:bCs/>
          <w:sz w:val="18"/>
          <w:szCs w:val="18"/>
        </w:rPr>
      </w:pPr>
      <w:r w:rsidRPr="0059281B">
        <w:rPr>
          <w:rFonts w:ascii="Arial Narrow" w:hAnsi="Arial Narrow"/>
          <w:b w:val="0"/>
          <w:bCs/>
          <w:sz w:val="18"/>
          <w:szCs w:val="18"/>
        </w:rPr>
        <w:t>Source: p7, ATAGI advice</w:t>
      </w:r>
    </w:p>
    <w:p w14:paraId="20581835" w14:textId="77777777" w:rsidR="00C96DF9" w:rsidRPr="0059281B" w:rsidRDefault="00C96DF9" w:rsidP="00A57458">
      <w:pPr>
        <w:pStyle w:val="TableHeader"/>
        <w:keepNext/>
        <w:rPr>
          <w:rFonts w:ascii="Arial Narrow" w:hAnsi="Arial Narrow"/>
          <w:b w:val="0"/>
          <w:bCs/>
          <w:sz w:val="18"/>
          <w:szCs w:val="18"/>
        </w:rPr>
      </w:pPr>
      <w:r w:rsidRPr="0059281B">
        <w:rPr>
          <w:rFonts w:ascii="Arial Narrow" w:hAnsi="Arial Narrow"/>
          <w:b w:val="0"/>
          <w:bCs/>
          <w:sz w:val="18"/>
          <w:szCs w:val="18"/>
          <w:vertAlign w:val="superscript"/>
        </w:rPr>
        <w:t>a</w:t>
      </w:r>
      <w:r w:rsidR="00D17265">
        <w:rPr>
          <w:rFonts w:ascii="Arial Narrow" w:hAnsi="Arial Narrow"/>
          <w:b w:val="0"/>
          <w:bCs/>
          <w:sz w:val="18"/>
          <w:szCs w:val="18"/>
          <w:vertAlign w:val="superscript"/>
        </w:rPr>
        <w:t xml:space="preserve"> </w:t>
      </w:r>
      <w:r w:rsidRPr="0059281B">
        <w:rPr>
          <w:rFonts w:ascii="Arial Narrow" w:hAnsi="Arial Narrow"/>
          <w:b w:val="0"/>
          <w:bCs/>
          <w:sz w:val="18"/>
          <w:szCs w:val="18"/>
        </w:rPr>
        <w:t xml:space="preserve">There is no evidence to support a mixed schedule. </w:t>
      </w:r>
      <w:r w:rsidRPr="00E9497E">
        <w:rPr>
          <w:rFonts w:ascii="Arial Narrow" w:hAnsi="Arial Narrow"/>
          <w:b w:val="0"/>
          <w:bCs/>
          <w:sz w:val="18"/>
          <w:szCs w:val="18"/>
        </w:rPr>
        <w:t>The 3-dose series should be given using either PCV13 or PCV15.</w:t>
      </w:r>
      <w:r w:rsidRPr="0059281B">
        <w:rPr>
          <w:rFonts w:ascii="Arial Narrow" w:hAnsi="Arial Narrow"/>
          <w:b w:val="0"/>
          <w:bCs/>
          <w:sz w:val="18"/>
          <w:szCs w:val="18"/>
        </w:rPr>
        <w:t xml:space="preserve"> </w:t>
      </w:r>
      <w:r w:rsidRPr="00E9497E">
        <w:rPr>
          <w:rFonts w:ascii="Arial Narrow" w:hAnsi="Arial Narrow"/>
          <w:b w:val="0"/>
          <w:bCs/>
          <w:sz w:val="18"/>
          <w:szCs w:val="18"/>
        </w:rPr>
        <w:t>It is recommended</w:t>
      </w:r>
      <w:r w:rsidRPr="0059281B">
        <w:rPr>
          <w:rFonts w:ascii="Arial Narrow" w:hAnsi="Arial Narrow"/>
          <w:b w:val="0"/>
          <w:bCs/>
          <w:sz w:val="18"/>
          <w:szCs w:val="18"/>
        </w:rPr>
        <w:t xml:space="preserve"> that interchangeability may only be allowed if the course cannot be completed with the same vaccine.</w:t>
      </w:r>
    </w:p>
    <w:p w14:paraId="6EA572AE" w14:textId="77777777" w:rsidR="00C96DF9" w:rsidRPr="0059281B" w:rsidRDefault="00C96DF9" w:rsidP="00A57458">
      <w:pPr>
        <w:pStyle w:val="TableHeader"/>
        <w:keepNext/>
        <w:rPr>
          <w:rFonts w:ascii="Arial Narrow" w:hAnsi="Arial Narrow"/>
          <w:b w:val="0"/>
          <w:bCs/>
          <w:sz w:val="18"/>
          <w:szCs w:val="18"/>
        </w:rPr>
      </w:pPr>
      <w:r w:rsidRPr="0059281B">
        <w:rPr>
          <w:rFonts w:ascii="Arial Narrow" w:hAnsi="Arial Narrow"/>
          <w:b w:val="0"/>
          <w:bCs/>
          <w:sz w:val="18"/>
          <w:szCs w:val="18"/>
        </w:rPr>
        <w:t>HSCT = Haematopoietic stem cell transplant; PCV13 = 13-valent pneumococcal conjugate vaccine; PCV15 = 15-valent pneumococcal conjugate vaccine; PPV23 = 23-valent pneumococcal polysaccharide vaccine</w:t>
      </w:r>
      <w:r w:rsidR="00A57458" w:rsidRPr="0059281B">
        <w:rPr>
          <w:rFonts w:ascii="Arial Narrow" w:hAnsi="Arial Narrow"/>
          <w:b w:val="0"/>
          <w:bCs/>
          <w:sz w:val="18"/>
          <w:szCs w:val="18"/>
        </w:rPr>
        <w:t>.</w:t>
      </w:r>
    </w:p>
    <w:bookmarkEnd w:id="13"/>
    <w:p w14:paraId="5C2D7DB6" w14:textId="77777777" w:rsidR="00011FDC" w:rsidRPr="00882085" w:rsidRDefault="00011FDC" w:rsidP="00011FDC"/>
    <w:p w14:paraId="583C9CBC" w14:textId="77777777" w:rsidR="00A70942" w:rsidRPr="00C12128" w:rsidRDefault="00011FDC" w:rsidP="00C27E59">
      <w:pPr>
        <w:pStyle w:val="3-BodyText"/>
      </w:pPr>
      <w:r w:rsidRPr="00C12128">
        <w:t xml:space="preserve">The submission did not propose </w:t>
      </w:r>
      <w:r w:rsidR="00991263" w:rsidRPr="00C12128">
        <w:t xml:space="preserve">a </w:t>
      </w:r>
      <w:r w:rsidRPr="00C12128">
        <w:t>price for PCV15</w:t>
      </w:r>
      <w:r w:rsidR="00C07F7F" w:rsidRPr="00C12128">
        <w:t xml:space="preserve">, however </w:t>
      </w:r>
      <w:r w:rsidR="005F4726">
        <w:t xml:space="preserve">it </w:t>
      </w:r>
      <w:r w:rsidRPr="00C12128">
        <w:t>stated</w:t>
      </w:r>
      <w:r w:rsidR="00C07F7F" w:rsidRPr="00C12128">
        <w:t xml:space="preserve"> </w:t>
      </w:r>
      <w:r w:rsidR="005F4726">
        <w:t>the sponsor</w:t>
      </w:r>
      <w:r w:rsidRPr="00C12128">
        <w:t xml:space="preserve"> </w:t>
      </w:r>
      <w:r w:rsidR="00991263" w:rsidRPr="00C12128">
        <w:t xml:space="preserve">would </w:t>
      </w:r>
      <w:r w:rsidRPr="00C12128">
        <w:t xml:space="preserve">accept the </w:t>
      </w:r>
      <w:r w:rsidR="008C4AB6" w:rsidRPr="00C12128">
        <w:t>N</w:t>
      </w:r>
      <w:r w:rsidRPr="00C12128">
        <w:t xml:space="preserve">ationally </w:t>
      </w:r>
      <w:r w:rsidR="008C4AB6" w:rsidRPr="00C12128">
        <w:t>N</w:t>
      </w:r>
      <w:r w:rsidRPr="00C12128">
        <w:t xml:space="preserve">egotiated </w:t>
      </w:r>
      <w:r w:rsidR="008C4AB6" w:rsidRPr="00C12128">
        <w:t>P</w:t>
      </w:r>
      <w:r w:rsidRPr="00C12128">
        <w:t>rice for PCV13 for adults</w:t>
      </w:r>
      <w:r w:rsidR="005F4726">
        <w:t xml:space="preserve"> for PCV15</w:t>
      </w:r>
      <w:r w:rsidRPr="00C12128">
        <w:t xml:space="preserve">. </w:t>
      </w:r>
      <w:r w:rsidR="00991263" w:rsidRPr="00C12128">
        <w:t>I</w:t>
      </w:r>
      <w:r w:rsidRPr="00C12128">
        <w:t>n</w:t>
      </w:r>
      <w:r w:rsidR="00A16403" w:rsidRPr="00C12128">
        <w:t xml:space="preserve"> the cost-minimisation </w:t>
      </w:r>
      <w:r w:rsidR="00C861ED">
        <w:t>approach</w:t>
      </w:r>
      <w:r w:rsidR="00C861ED" w:rsidRPr="00C12128">
        <w:t xml:space="preserve"> </w:t>
      </w:r>
      <w:r w:rsidR="009A26AC" w:rsidRPr="00C12128">
        <w:t>and</w:t>
      </w:r>
      <w:r w:rsidR="00A16403" w:rsidRPr="00C12128">
        <w:t xml:space="preserve"> financial estimates,</w:t>
      </w:r>
      <w:r w:rsidRPr="00C12128">
        <w:t xml:space="preserve"> the price was assumed to be $114.99 which was based on </w:t>
      </w:r>
      <w:r w:rsidR="00610F1E" w:rsidRPr="00C12128">
        <w:t xml:space="preserve">a </w:t>
      </w:r>
      <w:r w:rsidRPr="00C12128">
        <w:t xml:space="preserve">published private market price (Chemist Warehouse). </w:t>
      </w:r>
      <w:r w:rsidR="00911D6F" w:rsidRPr="00C12128">
        <w:t xml:space="preserve">The </w:t>
      </w:r>
      <w:r w:rsidR="008C4AB6" w:rsidRPr="00C12128">
        <w:t xml:space="preserve">actual </w:t>
      </w:r>
      <w:r w:rsidR="00911D6F" w:rsidRPr="00C12128">
        <w:t xml:space="preserve">price paid for </w:t>
      </w:r>
      <w:r w:rsidR="000F0D2E" w:rsidRPr="00C12128">
        <w:t xml:space="preserve">PCV15 </w:t>
      </w:r>
      <w:r w:rsidR="00715042" w:rsidRPr="00C12128">
        <w:t>would</w:t>
      </w:r>
      <w:r w:rsidR="000F0D2E" w:rsidRPr="00C12128">
        <w:t xml:space="preserve"> depend on the outcome of a competitive tender process.</w:t>
      </w:r>
    </w:p>
    <w:p w14:paraId="2855CE89" w14:textId="77777777" w:rsidR="00011FDC" w:rsidRPr="00C12128" w:rsidRDefault="00011FDC" w:rsidP="00B01AAB">
      <w:pPr>
        <w:pStyle w:val="3-BodyText"/>
        <w:rPr>
          <w:rFonts w:cstheme="minorHAnsi"/>
        </w:rPr>
      </w:pPr>
      <w:r w:rsidRPr="00C12128">
        <w:t xml:space="preserve">The clinical evidence presented in the submission </w:t>
      </w:r>
      <w:r w:rsidR="00EA565D" w:rsidRPr="00C12128">
        <w:t>was</w:t>
      </w:r>
      <w:r w:rsidRPr="00C12128">
        <w:t xml:space="preserve"> less applicable to Indigenous adults aged </w:t>
      </w:r>
      <w:r w:rsidR="00437DB8" w:rsidRPr="00C12128">
        <w:rPr>
          <w:rFonts w:cstheme="minorHAnsi"/>
        </w:rPr>
        <w:t>≥</w:t>
      </w:r>
      <w:r w:rsidRPr="00C12128">
        <w:rPr>
          <w:rFonts w:cstheme="minorHAnsi"/>
        </w:rPr>
        <w:t xml:space="preserve">50 years and </w:t>
      </w:r>
      <w:r w:rsidR="00162944">
        <w:rPr>
          <w:rFonts w:cstheme="minorHAnsi"/>
        </w:rPr>
        <w:t xml:space="preserve">adults </w:t>
      </w:r>
      <w:r w:rsidRPr="00C12128">
        <w:rPr>
          <w:rFonts w:cstheme="minorHAnsi"/>
        </w:rPr>
        <w:t xml:space="preserve">at increased risk of pneumococcal disease </w:t>
      </w:r>
      <w:r w:rsidRPr="00C12128">
        <w:t xml:space="preserve">aged </w:t>
      </w:r>
      <w:r w:rsidR="00437DB8" w:rsidRPr="00C12128">
        <w:rPr>
          <w:rFonts w:cstheme="minorHAnsi"/>
        </w:rPr>
        <w:t>≥</w:t>
      </w:r>
      <w:r w:rsidRPr="00C12128">
        <w:rPr>
          <w:rFonts w:cstheme="minorHAnsi"/>
        </w:rPr>
        <w:t>18</w:t>
      </w:r>
      <w:r w:rsidR="00C861ED">
        <w:rPr>
          <w:rFonts w:cstheme="minorHAnsi"/>
        </w:rPr>
        <w:t> </w:t>
      </w:r>
      <w:r w:rsidRPr="00C12128">
        <w:rPr>
          <w:rFonts w:cstheme="minorHAnsi"/>
        </w:rPr>
        <w:t xml:space="preserve">years. </w:t>
      </w:r>
      <w:r w:rsidR="00447A67" w:rsidRPr="00C12128">
        <w:rPr>
          <w:rFonts w:cstheme="minorHAnsi"/>
        </w:rPr>
        <w:t xml:space="preserve">As a proxy for the Indigenous population in Australia, the submission presented </w:t>
      </w:r>
      <w:r w:rsidR="00465731" w:rsidRPr="00C12128">
        <w:rPr>
          <w:rFonts w:cstheme="minorHAnsi"/>
        </w:rPr>
        <w:t xml:space="preserve">a </w:t>
      </w:r>
      <w:r w:rsidR="008C4AB6" w:rsidRPr="00C12128">
        <w:rPr>
          <w:rFonts w:cstheme="minorHAnsi"/>
        </w:rPr>
        <w:t>subgroup</w:t>
      </w:r>
      <w:r w:rsidR="00465731" w:rsidRPr="00C12128">
        <w:rPr>
          <w:rFonts w:cstheme="minorHAnsi"/>
        </w:rPr>
        <w:t xml:space="preserve"> analysis on North American India</w:t>
      </w:r>
      <w:r w:rsidR="00C172F7" w:rsidRPr="00C12128">
        <w:rPr>
          <w:rFonts w:cstheme="minorHAnsi"/>
        </w:rPr>
        <w:t>ns</w:t>
      </w:r>
      <w:r w:rsidRPr="00C12128">
        <w:rPr>
          <w:rFonts w:cstheme="minorHAnsi"/>
        </w:rPr>
        <w:t>.</w:t>
      </w:r>
      <w:r w:rsidR="00D130FC">
        <w:rPr>
          <w:rFonts w:cstheme="minorHAnsi"/>
        </w:rPr>
        <w:t xml:space="preserve"> </w:t>
      </w:r>
      <w:r w:rsidR="000B4F40" w:rsidRPr="008924BA">
        <w:rPr>
          <w:rFonts w:cstheme="minorHAnsi"/>
        </w:rPr>
        <w:t>In addition, t</w:t>
      </w:r>
      <w:r w:rsidR="00D130FC" w:rsidRPr="008924BA">
        <w:rPr>
          <w:rFonts w:cstheme="minorHAnsi"/>
        </w:rPr>
        <w:t>he evidence did not represent the majority of risk conditions</w:t>
      </w:r>
      <w:r w:rsidR="005E4A8C">
        <w:rPr>
          <w:rFonts w:cstheme="minorHAnsi"/>
        </w:rPr>
        <w:t xml:space="preserve"> currently subsidised</w:t>
      </w:r>
      <w:r w:rsidR="0089392A">
        <w:rPr>
          <w:rFonts w:cstheme="minorHAnsi"/>
        </w:rPr>
        <w:t xml:space="preserve"> for </w:t>
      </w:r>
      <w:r w:rsidR="001E3456">
        <w:rPr>
          <w:rFonts w:cstheme="minorHAnsi"/>
        </w:rPr>
        <w:t>pneumococcal vaccines</w:t>
      </w:r>
      <w:r w:rsidR="005E4A8C">
        <w:rPr>
          <w:rFonts w:cstheme="minorHAnsi"/>
        </w:rPr>
        <w:t xml:space="preserve"> under the NIP</w:t>
      </w:r>
      <w:r w:rsidR="00D130FC" w:rsidRPr="008924BA">
        <w:rPr>
          <w:rFonts w:cstheme="minorHAnsi"/>
        </w:rPr>
        <w:t>.</w:t>
      </w:r>
      <w:r w:rsidR="00E67DA8" w:rsidRPr="008924BA">
        <w:rPr>
          <w:rFonts w:cstheme="minorHAnsi"/>
        </w:rPr>
        <w:t xml:space="preserve"> Of the</w:t>
      </w:r>
      <w:r w:rsidR="00D130FC" w:rsidRPr="008924BA">
        <w:rPr>
          <w:rFonts w:cstheme="minorHAnsi"/>
        </w:rPr>
        <w:t xml:space="preserve"> conditions currently subsidised for pneumococcal vaccines under the NIP, the evidence only included </w:t>
      </w:r>
      <w:r w:rsidR="00EB1EC3" w:rsidRPr="008924BA">
        <w:rPr>
          <w:rFonts w:cstheme="minorHAnsi"/>
        </w:rPr>
        <w:t xml:space="preserve">patients with </w:t>
      </w:r>
      <w:r w:rsidR="009C0E15" w:rsidRPr="002C39BC">
        <w:t xml:space="preserve">human immunodeficiency virus </w:t>
      </w:r>
      <w:r w:rsidR="009C0E15">
        <w:t>(</w:t>
      </w:r>
      <w:r w:rsidR="00EB1EC3" w:rsidRPr="008924BA">
        <w:rPr>
          <w:rFonts w:cstheme="minorHAnsi"/>
        </w:rPr>
        <w:t>HIV</w:t>
      </w:r>
      <w:r w:rsidR="009C0E15">
        <w:rPr>
          <w:rFonts w:cstheme="minorHAnsi"/>
        </w:rPr>
        <w:t>)</w:t>
      </w:r>
      <w:r w:rsidR="00D130FC" w:rsidRPr="008924BA">
        <w:rPr>
          <w:rFonts w:cstheme="minorHAnsi"/>
        </w:rPr>
        <w:t>.</w:t>
      </w:r>
    </w:p>
    <w:p w14:paraId="7EE1295E" w14:textId="77777777" w:rsidR="00011FDC" w:rsidRPr="00407F2D" w:rsidRDefault="00011FDC" w:rsidP="009922BC">
      <w:pPr>
        <w:pStyle w:val="2-SectionHeading"/>
        <w:numPr>
          <w:ilvl w:val="0"/>
          <w:numId w:val="1"/>
        </w:numPr>
      </w:pPr>
      <w:bookmarkStart w:id="14" w:name="_Toc82613935"/>
      <w:r>
        <w:t>Population and disease</w:t>
      </w:r>
      <w:bookmarkEnd w:id="14"/>
    </w:p>
    <w:p w14:paraId="1EFD05EB" w14:textId="77777777" w:rsidR="00011FDC" w:rsidRPr="00C12128" w:rsidRDefault="00011FDC" w:rsidP="00011FDC">
      <w:pPr>
        <w:pStyle w:val="3-BodyText"/>
        <w:rPr>
          <w:color w:val="0066FF"/>
        </w:rPr>
      </w:pPr>
      <w:r w:rsidRPr="00C12128">
        <w:t xml:space="preserve">Pneumococcal disease, caused by the pathogen </w:t>
      </w:r>
      <w:r w:rsidRPr="00F93A3C">
        <w:rPr>
          <w:i/>
          <w:iCs/>
        </w:rPr>
        <w:t>Streptococcus pneumoniae</w:t>
      </w:r>
      <w:r w:rsidRPr="00C12128">
        <w:t>, can be broadly divided into IPD (</w:t>
      </w:r>
      <w:r w:rsidR="00745649" w:rsidRPr="00C12128">
        <w:t xml:space="preserve">invasive pneumococcal disease; </w:t>
      </w:r>
      <w:r w:rsidRPr="00C12128">
        <w:t xml:space="preserve">meningitis, bacteraemia and pneumonia associated with bacteraemia) and non-invasive pneumococcal disease (GP-treated community acquired pneumonia (CAP) and hospitalised CAP). It can be fatal and was associated with 2,434 hospital admissions in 2016 and 622 deaths between 1997 and 2016 (AIHW 2018). Despite a longstanding pneumococcal disease vaccination program in both children and adults, cases of IPD have been rising in Australia between 2015-2019. </w:t>
      </w:r>
    </w:p>
    <w:p w14:paraId="6BD8CB21" w14:textId="77777777" w:rsidR="00820793" w:rsidRPr="00C12128" w:rsidRDefault="00CC5E77" w:rsidP="00011FDC">
      <w:pPr>
        <w:pStyle w:val="3-BodyText"/>
        <w:rPr>
          <w:color w:val="0066FF"/>
        </w:rPr>
      </w:pPr>
      <w:r w:rsidRPr="00C12128">
        <w:t>P</w:t>
      </w:r>
      <w:r w:rsidR="00011FDC" w:rsidRPr="00C12128">
        <w:t>rior</w:t>
      </w:r>
      <w:r w:rsidR="00210372" w:rsidRPr="00C12128">
        <w:t xml:space="preserve"> to</w:t>
      </w:r>
      <w:r w:rsidR="00011FDC" w:rsidRPr="00C12128">
        <w:t xml:space="preserve"> </w:t>
      </w:r>
      <w:r w:rsidR="003D2CC9">
        <w:t xml:space="preserve">NIP </w:t>
      </w:r>
      <w:r w:rsidR="001570E0" w:rsidRPr="00C12128">
        <w:t xml:space="preserve">funding </w:t>
      </w:r>
      <w:r w:rsidR="00210372" w:rsidRPr="00C12128">
        <w:t xml:space="preserve">of </w:t>
      </w:r>
      <w:r w:rsidR="00011FDC" w:rsidRPr="00C12128">
        <w:t xml:space="preserve">PCV13 </w:t>
      </w:r>
      <w:r w:rsidR="001570E0" w:rsidRPr="00C12128">
        <w:t xml:space="preserve">on </w:t>
      </w:r>
      <w:r w:rsidR="003D2CC9">
        <w:t>1 July 2020</w:t>
      </w:r>
      <w:r w:rsidR="001570E0" w:rsidRPr="00C12128">
        <w:t xml:space="preserve"> for</w:t>
      </w:r>
      <w:r w:rsidR="00D04498">
        <w:t xml:space="preserve"> children and</w:t>
      </w:r>
      <w:r w:rsidR="00011FDC" w:rsidRPr="00C12128">
        <w:t xml:space="preserve"> </w:t>
      </w:r>
      <w:r w:rsidR="004E2ABD" w:rsidRPr="00C12128">
        <w:t xml:space="preserve">the </w:t>
      </w:r>
      <w:r w:rsidR="005D68C6">
        <w:t>same</w:t>
      </w:r>
      <w:r w:rsidR="003D2CC9">
        <w:t xml:space="preserve"> populations</w:t>
      </w:r>
      <w:r w:rsidR="004A0338">
        <w:t xml:space="preserve"> as those requested by the submission for PCV15</w:t>
      </w:r>
      <w:r w:rsidR="00011FDC" w:rsidRPr="00C12128">
        <w:t xml:space="preserve">, </w:t>
      </w:r>
      <w:r w:rsidR="001570E0" w:rsidRPr="00C12128">
        <w:t>d</w:t>
      </w:r>
      <w:r w:rsidRPr="00C12128">
        <w:t xml:space="preserve">ata from 2015 to 2019 </w:t>
      </w:r>
      <w:r w:rsidR="008C2365" w:rsidRPr="00C12128">
        <w:t xml:space="preserve">showed that </w:t>
      </w:r>
      <w:r w:rsidR="00011FDC" w:rsidRPr="00C12128">
        <w:t xml:space="preserve">serotype 3-related IPD </w:t>
      </w:r>
      <w:r w:rsidRPr="00C12128">
        <w:t xml:space="preserve">was </w:t>
      </w:r>
      <w:r w:rsidR="00011FDC" w:rsidRPr="00C12128">
        <w:t>steadily increas</w:t>
      </w:r>
      <w:r w:rsidRPr="00C12128">
        <w:t>ing</w:t>
      </w:r>
      <w:r w:rsidR="00011FDC" w:rsidRPr="00C12128">
        <w:t xml:space="preserve">, and in 2019, it accounted for 18.5% of IPD cases (based on </w:t>
      </w:r>
      <w:r w:rsidR="001570E0" w:rsidRPr="00C12128">
        <w:t xml:space="preserve">data from non-Indigenous adults </w:t>
      </w:r>
      <w:r w:rsidR="00011FDC" w:rsidRPr="00C12128">
        <w:t xml:space="preserve">≥70 years; National Notifiable Disease Surveillance System; NNDSS data), making it the leading contributor to IPD in Australia. </w:t>
      </w:r>
      <w:r w:rsidR="00CE4E34" w:rsidRPr="00C12128">
        <w:t>These data also show</w:t>
      </w:r>
      <w:r w:rsidR="008659D6" w:rsidRPr="00C12128">
        <w:t>ed</w:t>
      </w:r>
      <w:r w:rsidR="00CE4E34" w:rsidRPr="00C12128">
        <w:t xml:space="preserve"> that </w:t>
      </w:r>
      <w:r w:rsidR="00011FDC" w:rsidRPr="00C12128">
        <w:t>IPD caused by serotypes 19F and 19A account</w:t>
      </w:r>
      <w:r w:rsidR="008659D6" w:rsidRPr="00C12128">
        <w:t>ed</w:t>
      </w:r>
      <w:r w:rsidR="00011FDC" w:rsidRPr="00C12128">
        <w:t xml:space="preserve"> for 7.1% and 5.0% of all serotypes respectively (based on ≥70 years non-Indigenous adults; NNDSS data). </w:t>
      </w:r>
      <w:r w:rsidR="00036E8E" w:rsidRPr="00C12128">
        <w:t>T</w:t>
      </w:r>
      <w:r w:rsidR="00D92789" w:rsidRPr="00C12128">
        <w:t>he</w:t>
      </w:r>
      <w:r w:rsidR="004249BA" w:rsidRPr="00C12128">
        <w:t xml:space="preserve"> current incidence of pneumococcal disease </w:t>
      </w:r>
      <w:r w:rsidR="00087575" w:rsidRPr="00C12128">
        <w:t xml:space="preserve">of </w:t>
      </w:r>
      <w:r w:rsidR="004249BA" w:rsidRPr="00C12128">
        <w:t>PCV13-covered serotypes</w:t>
      </w:r>
      <w:r w:rsidR="00224A63" w:rsidRPr="00C12128">
        <w:t>,</w:t>
      </w:r>
      <w:r w:rsidR="004249BA" w:rsidRPr="00C12128">
        <w:t xml:space="preserve"> including these three serotypes</w:t>
      </w:r>
      <w:r w:rsidR="00224A63" w:rsidRPr="00C12128">
        <w:t>,</w:t>
      </w:r>
      <w:r w:rsidR="004249BA" w:rsidRPr="00C12128">
        <w:t xml:space="preserve"> </w:t>
      </w:r>
      <w:r w:rsidR="00087575" w:rsidRPr="00C12128">
        <w:t xml:space="preserve">is unknown </w:t>
      </w:r>
      <w:r w:rsidR="004249BA" w:rsidRPr="00C12128">
        <w:t xml:space="preserve">given that </w:t>
      </w:r>
      <w:r w:rsidR="00011FDC" w:rsidRPr="00C12128">
        <w:t>PCV13 is relatively new to Australia</w:t>
      </w:r>
      <w:r w:rsidR="00680D01" w:rsidRPr="00C12128">
        <w:t xml:space="preserve"> in the proposed </w:t>
      </w:r>
      <w:r w:rsidR="002226DB" w:rsidRPr="00C12128">
        <w:t xml:space="preserve">adult </w:t>
      </w:r>
      <w:r w:rsidR="00680D01" w:rsidRPr="00C12128">
        <w:t>populations</w:t>
      </w:r>
      <w:r w:rsidR="004249BA" w:rsidRPr="00C12128">
        <w:t>.</w:t>
      </w:r>
      <w:r w:rsidR="00723608">
        <w:rPr>
          <w:i/>
          <w:iCs/>
        </w:rPr>
        <w:t xml:space="preserve"> </w:t>
      </w:r>
      <w:r w:rsidR="00723608" w:rsidRPr="008924BA">
        <w:t>The ESC noted that</w:t>
      </w:r>
      <w:r w:rsidR="007B021C" w:rsidRPr="008924BA">
        <w:t xml:space="preserve"> these incidence rates </w:t>
      </w:r>
      <w:r w:rsidR="006509BE" w:rsidRPr="008924BA">
        <w:t>did</w:t>
      </w:r>
      <w:r w:rsidR="007B021C" w:rsidRPr="008924BA">
        <w:t xml:space="preserve"> not account for</w:t>
      </w:r>
      <w:r w:rsidR="00161A94" w:rsidRPr="008924BA">
        <w:t xml:space="preserve"> the effect of PCV13 </w:t>
      </w:r>
      <w:r w:rsidR="006509BE" w:rsidRPr="008924BA">
        <w:t xml:space="preserve">on the epidemiology of the disease </w:t>
      </w:r>
      <w:r w:rsidR="007B021C" w:rsidRPr="008924BA">
        <w:t xml:space="preserve">as </w:t>
      </w:r>
      <w:r w:rsidR="006509BE" w:rsidRPr="008924BA">
        <w:t>it</w:t>
      </w:r>
      <w:r w:rsidR="007B021C" w:rsidRPr="008924BA">
        <w:t xml:space="preserve"> was</w:t>
      </w:r>
      <w:r w:rsidR="006509BE" w:rsidRPr="008924BA">
        <w:t xml:space="preserve"> only</w:t>
      </w:r>
      <w:r w:rsidR="007B021C" w:rsidRPr="008924BA">
        <w:t xml:space="preserve"> included on the NIP for adults in July 2020.</w:t>
      </w:r>
    </w:p>
    <w:p w14:paraId="76F5AB1E" w14:textId="77777777" w:rsidR="00011FDC" w:rsidRPr="00C878B5" w:rsidRDefault="00D221CF" w:rsidP="00011FDC">
      <w:pPr>
        <w:pStyle w:val="3-BodyText"/>
        <w:rPr>
          <w:color w:val="0066FF"/>
        </w:rPr>
      </w:pPr>
      <w:r w:rsidRPr="00C12128">
        <w:t>Protection against s</w:t>
      </w:r>
      <w:r w:rsidR="00EF79CA" w:rsidRPr="00C12128">
        <w:t xml:space="preserve">erotypes 22F and 33F </w:t>
      </w:r>
      <w:r w:rsidRPr="00C12128">
        <w:t>is</w:t>
      </w:r>
      <w:r w:rsidR="00EF79CA" w:rsidRPr="00C12128">
        <w:t xml:space="preserve"> unique to PCV15</w:t>
      </w:r>
      <w:r w:rsidR="001276D3" w:rsidRPr="00C12128">
        <w:t>. O</w:t>
      </w:r>
      <w:r w:rsidR="008B7B72" w:rsidRPr="00C12128">
        <w:t>f these</w:t>
      </w:r>
      <w:r w:rsidR="001276D3" w:rsidRPr="00C12128">
        <w:t>,</w:t>
      </w:r>
      <w:r w:rsidR="008B7B72" w:rsidRPr="00C12128">
        <w:t xml:space="preserve"> </w:t>
      </w:r>
      <w:r w:rsidR="00011FDC" w:rsidRPr="00C12128">
        <w:t xml:space="preserve">22F </w:t>
      </w:r>
      <w:r w:rsidR="00D10688" w:rsidRPr="00C12128">
        <w:t>was</w:t>
      </w:r>
      <w:r w:rsidR="00011FDC" w:rsidRPr="00C12128">
        <w:t xml:space="preserve"> the second most prevalent serotype causing 8.4% of</w:t>
      </w:r>
      <w:r w:rsidR="009711F9" w:rsidRPr="00C12128">
        <w:t xml:space="preserve"> all</w:t>
      </w:r>
      <w:r w:rsidR="00011FDC" w:rsidRPr="00C12128">
        <w:t xml:space="preserve"> IPD in 2019, whilst serotype 33F contribute</w:t>
      </w:r>
      <w:r w:rsidR="00D10688" w:rsidRPr="00C12128">
        <w:t>d</w:t>
      </w:r>
      <w:r w:rsidR="00011FDC" w:rsidRPr="00C12128">
        <w:t xml:space="preserve"> to 3.9% of cases </w:t>
      </w:r>
      <w:r w:rsidR="004D1FAB" w:rsidRPr="00C12128">
        <w:t xml:space="preserve">in Australia </w:t>
      </w:r>
      <w:r w:rsidR="00011FDC" w:rsidRPr="00C12128">
        <w:t xml:space="preserve">(based on non-Indigenous </w:t>
      </w:r>
      <w:r w:rsidR="006B695B" w:rsidRPr="00C12128">
        <w:t xml:space="preserve">adults </w:t>
      </w:r>
      <w:r w:rsidR="00011FDC" w:rsidRPr="00C12128">
        <w:t xml:space="preserve">≥70 years; NNDSS data). </w:t>
      </w:r>
      <w:r w:rsidR="008A3C72" w:rsidRPr="008924BA">
        <w:t>The ESC noted that based on N</w:t>
      </w:r>
      <w:r w:rsidR="000B4F40" w:rsidRPr="008924BA">
        <w:t>N</w:t>
      </w:r>
      <w:r w:rsidR="008A3C72" w:rsidRPr="008924BA">
        <w:t xml:space="preserve">DSS data from 2019, more than 50% of all IPD cases were due to serotypes not </w:t>
      </w:r>
      <w:r w:rsidR="00BC7F7E" w:rsidRPr="008924BA">
        <w:t xml:space="preserve">included in </w:t>
      </w:r>
      <w:r w:rsidR="00C878B5" w:rsidRPr="008924BA">
        <w:t xml:space="preserve">either PCV13 or </w:t>
      </w:r>
      <w:r w:rsidR="00BC7F7E" w:rsidRPr="008924BA">
        <w:t>PCV15.</w:t>
      </w:r>
    </w:p>
    <w:p w14:paraId="49B2A119" w14:textId="77777777" w:rsidR="00203A67" w:rsidRPr="008924BA" w:rsidRDefault="00C878B5" w:rsidP="00850105">
      <w:pPr>
        <w:pStyle w:val="3-BodyText"/>
        <w:rPr>
          <w:color w:val="0066FF"/>
        </w:rPr>
      </w:pPr>
      <w:r w:rsidRPr="008924BA">
        <w:t>The ESC noted that in the financial estimates, the sponsor assumed that PCV15 would be listed in 2023 and that it would fully replace PCV1</w:t>
      </w:r>
      <w:r w:rsidR="00A0132B" w:rsidRPr="008924BA">
        <w:t>3</w:t>
      </w:r>
      <w:r w:rsidRPr="008924BA">
        <w:t xml:space="preserve"> in the proposed</w:t>
      </w:r>
      <w:r w:rsidR="006D46A6" w:rsidRPr="008924BA">
        <w:t xml:space="preserve"> (i.e. adult)</w:t>
      </w:r>
      <w:r w:rsidRPr="008924BA">
        <w:t xml:space="preserve"> populations.</w:t>
      </w:r>
      <w:r w:rsidR="003621C8" w:rsidRPr="008924BA">
        <w:t xml:space="preserve"> ATAGI had noted that the market share of pneumococcal vaccines supplied on the NIP </w:t>
      </w:r>
      <w:r w:rsidR="006D46A6" w:rsidRPr="008924BA">
        <w:t>would</w:t>
      </w:r>
      <w:r w:rsidR="003621C8" w:rsidRPr="008924BA">
        <w:t xml:space="preserve"> depend on the outcome of a competitive tender process (p8 of the ATAGI advice). </w:t>
      </w:r>
      <w:r w:rsidRPr="008924BA">
        <w:t xml:space="preserve">The ESC </w:t>
      </w:r>
      <w:r w:rsidR="003621C8" w:rsidRPr="008924BA">
        <w:t xml:space="preserve">considered that the sponsor’s assumption </w:t>
      </w:r>
      <w:r w:rsidR="006D46A6" w:rsidRPr="008924BA">
        <w:t xml:space="preserve">of replacement </w:t>
      </w:r>
      <w:r w:rsidR="003621C8" w:rsidRPr="008924BA">
        <w:t xml:space="preserve">was unjustified, and noted there may be programmatic concerns around supply issues with one supplier. At the same time, however, the ESC advised that </w:t>
      </w:r>
      <w:r w:rsidRPr="008924BA">
        <w:t xml:space="preserve">there was potential for prescriber confusion if PCV15 was included on the NIP for adults </w:t>
      </w:r>
      <w:r w:rsidR="00F46560" w:rsidRPr="008924BA">
        <w:t>but not those aged under</w:t>
      </w:r>
      <w:r w:rsidRPr="008924BA">
        <w:t xml:space="preserve"> 18 years</w:t>
      </w:r>
      <w:r w:rsidR="00F46560" w:rsidRPr="008924BA">
        <w:t>,</w:t>
      </w:r>
      <w:r w:rsidR="003621C8" w:rsidRPr="008924BA">
        <w:t xml:space="preserve"> </w:t>
      </w:r>
      <w:r w:rsidRPr="008924BA">
        <w:t>as this would mean that different pneumococcal vaccines would need to be administered depending on age</w:t>
      </w:r>
      <w:r w:rsidR="006D46A6" w:rsidRPr="008924BA">
        <w:t>.</w:t>
      </w:r>
      <w:r w:rsidRPr="008924BA">
        <w:t xml:space="preserve"> </w:t>
      </w:r>
      <w:r w:rsidR="00F46560" w:rsidRPr="008924BA">
        <w:t xml:space="preserve">The ESC noted that the sponsor intended to seek regulatory approval and reimbursement for use of PCV15 in those aged under 18 years. </w:t>
      </w:r>
      <w:r w:rsidR="003621C8" w:rsidRPr="008924BA">
        <w:t>If this potentially staged approach (</w:t>
      </w:r>
      <w:r w:rsidR="000254CE">
        <w:t xml:space="preserve">i.e. </w:t>
      </w:r>
      <w:r w:rsidR="003621C8" w:rsidRPr="008924BA">
        <w:t>extending PCV</w:t>
      </w:r>
      <w:r w:rsidR="006D46A6" w:rsidRPr="008924BA">
        <w:t>15 first</w:t>
      </w:r>
      <w:r w:rsidR="003621C8" w:rsidRPr="008924BA">
        <w:t xml:space="preserve"> to adults and then </w:t>
      </w:r>
      <w:r w:rsidR="006D46A6" w:rsidRPr="008924BA">
        <w:t xml:space="preserve">potentially to </w:t>
      </w:r>
      <w:r w:rsidR="003621C8" w:rsidRPr="008924BA">
        <w:t>children) was considered appropriate, then well-developed communication activities around the appropriate administration</w:t>
      </w:r>
      <w:r w:rsidR="006D46A6" w:rsidRPr="008924BA">
        <w:t xml:space="preserve"> and timing</w:t>
      </w:r>
      <w:r w:rsidR="003621C8" w:rsidRPr="008924BA">
        <w:t xml:space="preserve"> of different vaccines would be critical to the </w:t>
      </w:r>
      <w:r w:rsidR="008F31E0" w:rsidRPr="008924BA">
        <w:t xml:space="preserve">effective </w:t>
      </w:r>
      <w:r w:rsidR="003621C8" w:rsidRPr="008924BA">
        <w:t xml:space="preserve">implementation of any listing on the NIP. </w:t>
      </w:r>
      <w:r w:rsidR="005111D3" w:rsidRPr="005111D3">
        <w:t>T</w:t>
      </w:r>
      <w:r w:rsidR="005111D3">
        <w:t>he</w:t>
      </w:r>
      <w:r w:rsidR="005111D3" w:rsidRPr="005111D3">
        <w:t xml:space="preserve"> </w:t>
      </w:r>
      <w:r w:rsidR="005111D3">
        <w:t xml:space="preserve">pre-PBAC Response indicated that the </w:t>
      </w:r>
      <w:r w:rsidR="005F4726">
        <w:t>s</w:t>
      </w:r>
      <w:r w:rsidR="005111D3">
        <w:t>ponsor was open to further discussions regarding broadening the NIP supplier base for pneumococcal vaccines</w:t>
      </w:r>
      <w:r w:rsidR="0036642F">
        <w:t>,</w:t>
      </w:r>
      <w:r w:rsidR="005111D3">
        <w:t xml:space="preserve"> to </w:t>
      </w:r>
      <w:r w:rsidR="005111D3" w:rsidRPr="005111D3">
        <w:t>support any programmatic concerns</w:t>
      </w:r>
      <w:r w:rsidR="005111D3">
        <w:t xml:space="preserve">. </w:t>
      </w:r>
    </w:p>
    <w:p w14:paraId="64DB1804" w14:textId="77777777" w:rsidR="00C878B5" w:rsidRPr="00203A67" w:rsidRDefault="003621C8" w:rsidP="00203A67">
      <w:pPr>
        <w:ind w:firstLine="709"/>
        <w:rPr>
          <w:rFonts w:asciiTheme="minorHAnsi" w:hAnsiTheme="minorHAnsi" w:cs="Times New Roman"/>
          <w:i/>
          <w:lang w:eastAsia="en-US"/>
        </w:rPr>
      </w:pPr>
      <w:r w:rsidRPr="00203A67">
        <w:rPr>
          <w:i/>
        </w:rPr>
        <w:t xml:space="preserve"> </w:t>
      </w:r>
      <w:bookmarkStart w:id="15" w:name="_Hlk76375324"/>
      <w:r w:rsidR="00203A67" w:rsidRPr="00203A67">
        <w:rPr>
          <w:rFonts w:asciiTheme="minorHAnsi" w:hAnsiTheme="minorHAnsi" w:cs="Times New Roman"/>
          <w:i/>
          <w:lang w:eastAsia="en-US"/>
        </w:rPr>
        <w:t>For more detail on PBAC’s view, see section 7 PBAC outcome.</w:t>
      </w:r>
      <w:bookmarkEnd w:id="15"/>
    </w:p>
    <w:p w14:paraId="44354CC9" w14:textId="77777777" w:rsidR="00011FDC" w:rsidRPr="00407F2D" w:rsidRDefault="00011FDC" w:rsidP="009922BC">
      <w:pPr>
        <w:pStyle w:val="2-SectionHeading"/>
        <w:numPr>
          <w:ilvl w:val="0"/>
          <w:numId w:val="1"/>
        </w:numPr>
      </w:pPr>
      <w:bookmarkStart w:id="16" w:name="_Toc82613936"/>
      <w:r w:rsidRPr="00407F2D">
        <w:t>Comparator</w:t>
      </w:r>
      <w:bookmarkEnd w:id="16"/>
    </w:p>
    <w:p w14:paraId="4BCF941C" w14:textId="77777777" w:rsidR="00011FDC" w:rsidRPr="00C12128" w:rsidRDefault="00011FDC" w:rsidP="00011FDC">
      <w:pPr>
        <w:pStyle w:val="3-BodyText"/>
        <w:rPr>
          <w:snapToGrid/>
          <w:lang w:val="en-US"/>
        </w:rPr>
      </w:pPr>
      <w:r w:rsidRPr="00C12128">
        <w:t xml:space="preserve">The submission nominated </w:t>
      </w:r>
      <w:r w:rsidR="00E851EF">
        <w:t xml:space="preserve">the NIP-funded </w:t>
      </w:r>
      <w:r w:rsidRPr="00C12128">
        <w:t>PCV13 as the main comparator</w:t>
      </w:r>
      <w:r w:rsidR="00E9497E">
        <w:t>, which was appropriate</w:t>
      </w:r>
      <w:r w:rsidRPr="00C12128">
        <w:t>.</w:t>
      </w:r>
    </w:p>
    <w:p w14:paraId="7571CEE2" w14:textId="77777777" w:rsidR="00011FDC" w:rsidRPr="00C12128" w:rsidRDefault="00011FDC" w:rsidP="00C27E59">
      <w:pPr>
        <w:pStyle w:val="3-BodyText"/>
        <w:rPr>
          <w:snapToGrid/>
          <w:lang w:val="en-US"/>
        </w:rPr>
      </w:pPr>
      <w:r w:rsidRPr="00C12128">
        <w:t xml:space="preserve">The submission also nominated PCV20 as </w:t>
      </w:r>
      <w:r w:rsidR="00166C7D" w:rsidRPr="00C12128">
        <w:t>a</w:t>
      </w:r>
      <w:r w:rsidRPr="00C12128">
        <w:t xml:space="preserve"> </w:t>
      </w:r>
      <w:r w:rsidR="006B3514" w:rsidRPr="00C12128">
        <w:t xml:space="preserve">potential </w:t>
      </w:r>
      <w:r w:rsidRPr="00C12128">
        <w:t xml:space="preserve">near market comparator. PCV20 covers </w:t>
      </w:r>
      <w:r w:rsidR="00532BA1" w:rsidRPr="00C12128">
        <w:t xml:space="preserve">an additional </w:t>
      </w:r>
      <w:r w:rsidRPr="00C12128">
        <w:t xml:space="preserve">7 and 5 serotypes </w:t>
      </w:r>
      <w:r w:rsidR="002B6AA2" w:rsidRPr="00C12128">
        <w:t xml:space="preserve">compared </w:t>
      </w:r>
      <w:r w:rsidRPr="00C12128">
        <w:t xml:space="preserve">to PCV13 and PCV15, respectively. PCV20 was approved by the FDA in June 2021. </w:t>
      </w:r>
      <w:r w:rsidR="00D760BA" w:rsidRPr="00C12128">
        <w:t xml:space="preserve">Clinical </w:t>
      </w:r>
      <w:r w:rsidR="00675F22" w:rsidRPr="00C12128">
        <w:t>evidence for PCV20 in the submission was limited</w:t>
      </w:r>
      <w:r w:rsidR="00D760BA" w:rsidRPr="00C12128">
        <w:t xml:space="preserve">, and </w:t>
      </w:r>
      <w:r w:rsidR="002D1685" w:rsidRPr="00C12128">
        <w:t>no</w:t>
      </w:r>
      <w:r w:rsidR="004933B1" w:rsidRPr="00C12128">
        <w:t xml:space="preserve"> economic evaluation </w:t>
      </w:r>
      <w:r w:rsidR="002D1685" w:rsidRPr="00C12128">
        <w:t>was included</w:t>
      </w:r>
      <w:r w:rsidR="004933B1" w:rsidRPr="00C12128">
        <w:t>.</w:t>
      </w:r>
      <w:r w:rsidR="009B4037">
        <w:t xml:space="preserve"> </w:t>
      </w:r>
      <w:r w:rsidR="009B4037" w:rsidRPr="008924BA">
        <w:t>The comparison</w:t>
      </w:r>
      <w:r w:rsidR="003B011F">
        <w:t xml:space="preserve"> </w:t>
      </w:r>
      <w:r w:rsidR="00E851EF">
        <w:t xml:space="preserve">was </w:t>
      </w:r>
      <w:r w:rsidR="009B4037" w:rsidRPr="008924BA">
        <w:t>not relevant for PBAC consideration at the present time</w:t>
      </w:r>
      <w:r w:rsidR="008924BA">
        <w:t xml:space="preserve"> given the PBAC ha</w:t>
      </w:r>
      <w:r w:rsidR="003309C0">
        <w:t>d</w:t>
      </w:r>
      <w:r w:rsidR="008924BA">
        <w:t xml:space="preserve"> not</w:t>
      </w:r>
      <w:r w:rsidR="002C39BC">
        <w:t xml:space="preserve"> received a submission to list PCV20 on the NIP</w:t>
      </w:r>
      <w:r w:rsidR="00CB7829" w:rsidRPr="008924BA">
        <w:t>.</w:t>
      </w:r>
      <w:r w:rsidR="009B4037">
        <w:t xml:space="preserve"> </w:t>
      </w:r>
    </w:p>
    <w:p w14:paraId="2A1AB6B4" w14:textId="77777777" w:rsidR="00011FDC" w:rsidRDefault="00011FDC" w:rsidP="00011FDC">
      <w:pPr>
        <w:pStyle w:val="2-SectionHeading"/>
        <w:numPr>
          <w:ilvl w:val="0"/>
          <w:numId w:val="1"/>
        </w:numPr>
      </w:pPr>
      <w:bookmarkStart w:id="17" w:name="_Toc82613937"/>
      <w:bookmarkStart w:id="18" w:name="_Hlk86339098"/>
      <w:r>
        <w:t>C</w:t>
      </w:r>
      <w:r w:rsidRPr="00407F2D">
        <w:t>onsideration of the evidence</w:t>
      </w:r>
      <w:bookmarkEnd w:id="17"/>
    </w:p>
    <w:bookmarkEnd w:id="18"/>
    <w:p w14:paraId="5DDFE1F1" w14:textId="77777777" w:rsidR="00203A67" w:rsidRPr="006E1229" w:rsidRDefault="00203A67" w:rsidP="00203A67">
      <w:pPr>
        <w:pStyle w:val="4-SubsectionHeading"/>
      </w:pPr>
      <w:r w:rsidRPr="006E1229">
        <w:t>Sponsor hearing</w:t>
      </w:r>
    </w:p>
    <w:p w14:paraId="70EBD07C" w14:textId="77777777" w:rsidR="00203A67" w:rsidRPr="00203A67" w:rsidRDefault="00203A67" w:rsidP="00203A67">
      <w:pPr>
        <w:pStyle w:val="3-BodyText"/>
        <w:rPr>
          <w:color w:val="0066FF"/>
        </w:rPr>
      </w:pPr>
      <w:bookmarkStart w:id="19" w:name="_Hlk86338853"/>
      <w:r>
        <w:rPr>
          <w:snapToGrid/>
          <w:lang w:val="en-US"/>
        </w:rPr>
        <w:t xml:space="preserve">There was no hearing for this item. </w:t>
      </w:r>
    </w:p>
    <w:bookmarkEnd w:id="19"/>
    <w:p w14:paraId="21AA2181" w14:textId="77777777" w:rsidR="00203A67" w:rsidRPr="006E1229" w:rsidRDefault="00203A67" w:rsidP="00203A67">
      <w:pPr>
        <w:pStyle w:val="4-SubsectionHeading"/>
      </w:pPr>
      <w:r w:rsidRPr="006E1229">
        <w:t>Consumer comments</w:t>
      </w:r>
    </w:p>
    <w:p w14:paraId="16D42077" w14:textId="77777777" w:rsidR="00203A67" w:rsidRPr="00972655" w:rsidRDefault="00203A67" w:rsidP="00972655">
      <w:pPr>
        <w:pStyle w:val="3-BodyText"/>
        <w:rPr>
          <w:color w:val="0066FF"/>
        </w:rPr>
      </w:pPr>
      <w:r>
        <w:rPr>
          <w:snapToGrid/>
          <w:lang w:val="en-US"/>
        </w:rPr>
        <w:t>The PBAC noted that no consumer comments were received for this item</w:t>
      </w:r>
      <w:r w:rsidR="00934AB0">
        <w:rPr>
          <w:snapToGrid/>
          <w:lang w:val="en-US"/>
        </w:rPr>
        <w:t>.</w:t>
      </w:r>
    </w:p>
    <w:p w14:paraId="62EE3D76" w14:textId="77777777" w:rsidR="00011FDC" w:rsidRPr="00C9624D" w:rsidRDefault="00011FDC" w:rsidP="00011FDC">
      <w:pPr>
        <w:pStyle w:val="4-SubsectionHeading"/>
      </w:pPr>
      <w:bookmarkStart w:id="20" w:name="_Toc82613938"/>
      <w:r w:rsidRPr="00C9624D">
        <w:t>Clinical trials</w:t>
      </w:r>
      <w:bookmarkEnd w:id="20"/>
    </w:p>
    <w:p w14:paraId="68B8B59A" w14:textId="77777777" w:rsidR="00011FDC" w:rsidRPr="00A85F5C" w:rsidRDefault="00011FDC" w:rsidP="00011FDC">
      <w:pPr>
        <w:pStyle w:val="3-BodyText"/>
        <w:rPr>
          <w:color w:val="0066FF"/>
        </w:rPr>
      </w:pPr>
      <w:bookmarkStart w:id="21" w:name="_Hlk86338622"/>
      <w:r>
        <w:rPr>
          <w:snapToGrid/>
          <w:lang w:val="en-US"/>
        </w:rPr>
        <w:t xml:space="preserve">The </w:t>
      </w:r>
      <w:r w:rsidR="00A3408A">
        <w:rPr>
          <w:snapToGrid/>
          <w:lang w:val="en-US"/>
        </w:rPr>
        <w:t>submission</w:t>
      </w:r>
      <w:r w:rsidR="00035A65">
        <w:rPr>
          <w:snapToGrid/>
          <w:lang w:val="en-US"/>
        </w:rPr>
        <w:t xml:space="preserve"> </w:t>
      </w:r>
      <w:r>
        <w:rPr>
          <w:snapToGrid/>
          <w:lang w:val="en-US"/>
        </w:rPr>
        <w:t xml:space="preserve">was based on </w:t>
      </w:r>
      <w:r w:rsidR="00224F6D">
        <w:rPr>
          <w:snapToGrid/>
          <w:lang w:val="en-US"/>
        </w:rPr>
        <w:t xml:space="preserve">the following </w:t>
      </w:r>
      <w:r>
        <w:rPr>
          <w:snapToGrid/>
          <w:lang w:val="en-US"/>
        </w:rPr>
        <w:t>evidence:</w:t>
      </w:r>
    </w:p>
    <w:bookmarkEnd w:id="21"/>
    <w:p w14:paraId="111BB7B4" w14:textId="77777777" w:rsidR="00011FDC" w:rsidRDefault="00011FDC" w:rsidP="00584CEB">
      <w:pPr>
        <w:pStyle w:val="3-BodyText"/>
        <w:numPr>
          <w:ilvl w:val="0"/>
          <w:numId w:val="35"/>
        </w:numPr>
        <w:spacing w:after="0"/>
        <w:rPr>
          <w:color w:val="0066FF"/>
        </w:rPr>
      </w:pPr>
      <w:r>
        <w:rPr>
          <w:snapToGrid/>
          <w:lang w:val="en-US"/>
        </w:rPr>
        <w:t xml:space="preserve">One </w:t>
      </w:r>
      <w:bookmarkStart w:id="22" w:name="_Hlk87631986"/>
      <w:r>
        <w:rPr>
          <w:snapToGrid/>
          <w:lang w:val="en-US"/>
        </w:rPr>
        <w:t>head-to-head</w:t>
      </w:r>
      <w:r w:rsidR="00C10E02">
        <w:rPr>
          <w:snapToGrid/>
          <w:lang w:val="en-US"/>
        </w:rPr>
        <w:t>,</w:t>
      </w:r>
      <w:r w:rsidR="00E37A5F">
        <w:rPr>
          <w:snapToGrid/>
          <w:lang w:val="en-US"/>
        </w:rPr>
        <w:t xml:space="preserve"> </w:t>
      </w:r>
      <w:r w:rsidR="00734BBC">
        <w:rPr>
          <w:snapToGrid/>
          <w:lang w:val="en-US"/>
        </w:rPr>
        <w:t>randomised</w:t>
      </w:r>
      <w:r w:rsidR="00E37A5F">
        <w:rPr>
          <w:snapToGrid/>
          <w:lang w:val="en-US"/>
        </w:rPr>
        <w:t>,</w:t>
      </w:r>
      <w:r w:rsidR="00C10E02">
        <w:rPr>
          <w:snapToGrid/>
          <w:lang w:val="en-US"/>
        </w:rPr>
        <w:t xml:space="preserve"> </w:t>
      </w:r>
      <w:r w:rsidR="00437DB8">
        <w:rPr>
          <w:snapToGrid/>
          <w:lang w:val="en-US"/>
        </w:rPr>
        <w:t>noninferior</w:t>
      </w:r>
      <w:r w:rsidR="00C10E02">
        <w:rPr>
          <w:snapToGrid/>
          <w:lang w:val="en-US"/>
        </w:rPr>
        <w:t>ity</w:t>
      </w:r>
      <w:r>
        <w:rPr>
          <w:snapToGrid/>
          <w:lang w:val="en-US"/>
        </w:rPr>
        <w:t xml:space="preserve"> trial </w:t>
      </w:r>
      <w:r w:rsidR="00224F6D">
        <w:rPr>
          <w:snapToGrid/>
          <w:lang w:val="en-US"/>
        </w:rPr>
        <w:t xml:space="preserve">(P019) </w:t>
      </w:r>
      <w:r>
        <w:rPr>
          <w:snapToGrid/>
          <w:lang w:val="en-US"/>
        </w:rPr>
        <w:t>comparing PCV15 to PCV13 (N=1,202)</w:t>
      </w:r>
      <w:r w:rsidR="00800835">
        <w:rPr>
          <w:snapToGrid/>
          <w:lang w:val="en-US"/>
        </w:rPr>
        <w:t>.</w:t>
      </w:r>
      <w:bookmarkEnd w:id="22"/>
    </w:p>
    <w:p w14:paraId="6F63374D" w14:textId="77777777" w:rsidR="00011FDC" w:rsidRPr="00C47A2C" w:rsidRDefault="00011FDC" w:rsidP="00584CEB">
      <w:pPr>
        <w:pStyle w:val="3-BodyText"/>
        <w:numPr>
          <w:ilvl w:val="0"/>
          <w:numId w:val="35"/>
        </w:numPr>
        <w:spacing w:after="0"/>
        <w:rPr>
          <w:color w:val="0066FF"/>
        </w:rPr>
      </w:pPr>
      <w:r>
        <w:t xml:space="preserve">Supplementary trials </w:t>
      </w:r>
      <w:r w:rsidR="00E37A5F">
        <w:t xml:space="preserve">that included </w:t>
      </w:r>
      <w:r>
        <w:t>6 head-to-head randomised trials comparing</w:t>
      </w:r>
      <w:r w:rsidRPr="00CA70C6">
        <w:t xml:space="preserve"> PCV15 </w:t>
      </w:r>
      <w:r>
        <w:t>to</w:t>
      </w:r>
      <w:r w:rsidRPr="00CA70C6">
        <w:t xml:space="preserve"> PCV13</w:t>
      </w:r>
      <w:r>
        <w:t>: P020 (N=2,221), P016 (N=600), P017 (N=1,500), P018 (N=300), P006 (690) and P007 (N=253).</w:t>
      </w:r>
    </w:p>
    <w:p w14:paraId="4C4D66AE" w14:textId="77777777" w:rsidR="00011FDC" w:rsidRPr="00221DDF" w:rsidRDefault="00011FDC" w:rsidP="00584CEB">
      <w:pPr>
        <w:pStyle w:val="3-BodyText"/>
        <w:numPr>
          <w:ilvl w:val="0"/>
          <w:numId w:val="35"/>
        </w:numPr>
        <w:spacing w:after="0"/>
        <w:rPr>
          <w:color w:val="0066FF"/>
        </w:rPr>
      </w:pPr>
      <w:r>
        <w:rPr>
          <w:snapToGrid/>
          <w:lang w:val="en-US"/>
        </w:rPr>
        <w:t xml:space="preserve">Subgroup analysis of participants aged </w:t>
      </w:r>
      <w:r w:rsidR="00437DB8">
        <w:rPr>
          <w:rFonts w:cstheme="minorHAnsi"/>
          <w:snapToGrid/>
          <w:lang w:val="en-US"/>
        </w:rPr>
        <w:t>≥</w:t>
      </w:r>
      <w:r>
        <w:rPr>
          <w:snapToGrid/>
          <w:lang w:val="en-US"/>
        </w:rPr>
        <w:t xml:space="preserve">70 </w:t>
      </w:r>
      <w:r w:rsidR="00427CEF">
        <w:rPr>
          <w:snapToGrid/>
          <w:lang w:val="en-US"/>
        </w:rPr>
        <w:t>pooled from</w:t>
      </w:r>
      <w:r>
        <w:rPr>
          <w:snapToGrid/>
          <w:lang w:val="en-US"/>
        </w:rPr>
        <w:t xml:space="preserve"> P019, P020</w:t>
      </w:r>
      <w:r w:rsidR="00723E78">
        <w:rPr>
          <w:snapToGrid/>
          <w:lang w:val="en-US"/>
        </w:rPr>
        <w:t xml:space="preserve"> and</w:t>
      </w:r>
      <w:r>
        <w:rPr>
          <w:snapToGrid/>
          <w:lang w:val="en-US"/>
        </w:rPr>
        <w:t xml:space="preserve"> P016.</w:t>
      </w:r>
    </w:p>
    <w:p w14:paraId="5068F5A8" w14:textId="77777777" w:rsidR="00011FDC" w:rsidRPr="00D06A78" w:rsidRDefault="00011FDC" w:rsidP="00584CEB">
      <w:pPr>
        <w:pStyle w:val="3-BodyText"/>
        <w:numPr>
          <w:ilvl w:val="0"/>
          <w:numId w:val="35"/>
        </w:numPr>
        <w:spacing w:after="0"/>
        <w:rPr>
          <w:color w:val="0066FF"/>
        </w:rPr>
      </w:pPr>
      <w:r>
        <w:rPr>
          <w:snapToGrid/>
          <w:lang w:val="en-US"/>
        </w:rPr>
        <w:t xml:space="preserve">Subgroup analysis of </w:t>
      </w:r>
      <w:r w:rsidR="009029C2">
        <w:rPr>
          <w:snapToGrid/>
          <w:lang w:val="en-US"/>
        </w:rPr>
        <w:t xml:space="preserve">the </w:t>
      </w:r>
      <w:r>
        <w:rPr>
          <w:snapToGrid/>
          <w:lang w:val="en-US"/>
        </w:rPr>
        <w:t>North American Indian</w:t>
      </w:r>
      <w:r w:rsidR="009029C2">
        <w:rPr>
          <w:snapToGrid/>
          <w:lang w:val="en-US"/>
        </w:rPr>
        <w:t xml:space="preserve"> population</w:t>
      </w:r>
      <w:r>
        <w:rPr>
          <w:snapToGrid/>
          <w:lang w:val="en-US"/>
        </w:rPr>
        <w:t xml:space="preserve"> </w:t>
      </w:r>
      <w:r w:rsidR="000B1B8A">
        <w:rPr>
          <w:snapToGrid/>
          <w:lang w:val="en-US"/>
        </w:rPr>
        <w:t xml:space="preserve">from </w:t>
      </w:r>
      <w:r>
        <w:rPr>
          <w:snapToGrid/>
          <w:lang w:val="en-US"/>
        </w:rPr>
        <w:t>P017.</w:t>
      </w:r>
    </w:p>
    <w:p w14:paraId="65A4FCB4" w14:textId="77777777" w:rsidR="00011FDC" w:rsidRPr="00C47A2C" w:rsidRDefault="00210AE4" w:rsidP="00584CEB">
      <w:pPr>
        <w:pStyle w:val="3-BodyText"/>
        <w:numPr>
          <w:ilvl w:val="0"/>
          <w:numId w:val="35"/>
        </w:numPr>
        <w:rPr>
          <w:color w:val="0066FF"/>
        </w:rPr>
      </w:pPr>
      <w:r>
        <w:rPr>
          <w:snapToGrid/>
          <w:lang w:val="en-US"/>
        </w:rPr>
        <w:t xml:space="preserve">An </w:t>
      </w:r>
      <w:bookmarkStart w:id="23" w:name="_Hlk82202889"/>
      <w:r>
        <w:rPr>
          <w:snapToGrid/>
          <w:lang w:val="en-US"/>
        </w:rPr>
        <w:t>indirect treatment comparison (ITC)</w:t>
      </w:r>
      <w:r w:rsidR="00011FDC">
        <w:rPr>
          <w:snapToGrid/>
          <w:lang w:val="en-US"/>
        </w:rPr>
        <w:t xml:space="preserve"> </w:t>
      </w:r>
      <w:r w:rsidR="000B1B8A">
        <w:rPr>
          <w:snapToGrid/>
          <w:lang w:val="en-US"/>
        </w:rPr>
        <w:t xml:space="preserve">comparing </w:t>
      </w:r>
      <w:r w:rsidR="00011FDC">
        <w:rPr>
          <w:snapToGrid/>
          <w:lang w:val="en-US"/>
        </w:rPr>
        <w:t xml:space="preserve">PCV15 </w:t>
      </w:r>
      <w:r w:rsidR="000B1B8A">
        <w:rPr>
          <w:snapToGrid/>
          <w:lang w:val="en-US"/>
        </w:rPr>
        <w:t xml:space="preserve">with </w:t>
      </w:r>
      <w:r w:rsidR="00011FDC">
        <w:rPr>
          <w:snapToGrid/>
          <w:lang w:val="en-US"/>
        </w:rPr>
        <w:t>PCV20</w:t>
      </w:r>
      <w:r w:rsidR="000B1B8A">
        <w:rPr>
          <w:snapToGrid/>
          <w:lang w:val="en-US"/>
        </w:rPr>
        <w:t xml:space="preserve"> </w:t>
      </w:r>
      <w:bookmarkEnd w:id="23"/>
      <w:r w:rsidR="000B1B8A">
        <w:rPr>
          <w:snapToGrid/>
          <w:lang w:val="en-US"/>
        </w:rPr>
        <w:t>using PCV13 as the common comparator</w:t>
      </w:r>
      <w:r w:rsidR="00011FDC">
        <w:rPr>
          <w:snapToGrid/>
          <w:lang w:val="en-US"/>
        </w:rPr>
        <w:t>.</w:t>
      </w:r>
    </w:p>
    <w:p w14:paraId="057F7AF5" w14:textId="77777777" w:rsidR="00011FDC" w:rsidRPr="00B50DB8" w:rsidRDefault="00011FDC" w:rsidP="00011FDC">
      <w:pPr>
        <w:pStyle w:val="3-BodyText"/>
      </w:pPr>
      <w:r>
        <w:rPr>
          <w:snapToGrid/>
          <w:lang w:val="en-US"/>
        </w:rPr>
        <w:t xml:space="preserve">Details of the trials presented in the submission are provided in the table below. </w:t>
      </w:r>
    </w:p>
    <w:p w14:paraId="069CBC42" w14:textId="77777777" w:rsidR="00011FDC" w:rsidRPr="002E4F02" w:rsidRDefault="00011FDC" w:rsidP="00192DD4">
      <w:pPr>
        <w:pStyle w:val="TableFigureHeading"/>
        <w:rPr>
          <w:rStyle w:val="CommentReference"/>
          <w:b/>
          <w:szCs w:val="24"/>
        </w:rPr>
      </w:pPr>
      <w:r w:rsidRPr="002E4F02">
        <w:rPr>
          <w:rStyle w:val="CommentReference"/>
          <w:b/>
          <w:szCs w:val="24"/>
        </w:rPr>
        <w:t xml:space="preserve">Table </w:t>
      </w:r>
      <w:r>
        <w:rPr>
          <w:rStyle w:val="CommentReference"/>
          <w:b/>
          <w:szCs w:val="24"/>
        </w:rPr>
        <w:t>3</w:t>
      </w:r>
      <w:r w:rsidRPr="002E4F02">
        <w:rPr>
          <w:rStyle w:val="CommentReference"/>
          <w:b/>
          <w:szCs w:val="24"/>
        </w:rPr>
        <w:t>: Trials and associated reports presented in the submission</w:t>
      </w:r>
    </w:p>
    <w:tbl>
      <w:tblPr>
        <w:tblStyle w:val="TableGrid"/>
        <w:tblW w:w="9010" w:type="dxa"/>
        <w:tblLook w:val="04A0" w:firstRow="1" w:lastRow="0" w:firstColumn="1" w:lastColumn="0" w:noHBand="0" w:noVBand="1"/>
        <w:tblCaption w:val="Table 3: Trials and associated reports presented in the submission"/>
      </w:tblPr>
      <w:tblGrid>
        <w:gridCol w:w="1106"/>
        <w:gridCol w:w="4185"/>
        <w:gridCol w:w="3719"/>
      </w:tblGrid>
      <w:tr w:rsidR="00011FDC" w:rsidRPr="00961833" w14:paraId="571D2615" w14:textId="77777777" w:rsidTr="0064478F">
        <w:trPr>
          <w:trHeight w:val="108"/>
          <w:tblHeader/>
        </w:trPr>
        <w:tc>
          <w:tcPr>
            <w:tcW w:w="1109" w:type="dxa"/>
            <w:hideMark/>
          </w:tcPr>
          <w:p w14:paraId="45EEECBE" w14:textId="77777777" w:rsidR="00011FDC" w:rsidRPr="00961833" w:rsidRDefault="00011FDC" w:rsidP="00192DD4">
            <w:pPr>
              <w:pStyle w:val="Source"/>
              <w:keepNext/>
              <w:numPr>
                <w:ilvl w:val="0"/>
                <w:numId w:val="0"/>
              </w:numPr>
              <w:spacing w:before="0" w:after="0" w:line="240" w:lineRule="auto"/>
              <w:ind w:left="720" w:hanging="720"/>
              <w:rPr>
                <w:rFonts w:ascii="Arial Narrow" w:hAnsi="Arial Narrow"/>
                <w:b/>
                <w:bCs/>
                <w:sz w:val="20"/>
              </w:rPr>
            </w:pPr>
            <w:r w:rsidRPr="00961833">
              <w:rPr>
                <w:rFonts w:ascii="Arial Narrow" w:hAnsi="Arial Narrow"/>
                <w:b/>
                <w:bCs/>
                <w:sz w:val="20"/>
              </w:rPr>
              <w:t xml:space="preserve">Trial ID </w:t>
            </w:r>
          </w:p>
        </w:tc>
        <w:tc>
          <w:tcPr>
            <w:tcW w:w="5690" w:type="dxa"/>
            <w:hideMark/>
          </w:tcPr>
          <w:p w14:paraId="79FD1AC6" w14:textId="77777777" w:rsidR="00011FDC" w:rsidRPr="00961833" w:rsidRDefault="00011FDC" w:rsidP="00192DD4">
            <w:pPr>
              <w:pStyle w:val="TableText0"/>
              <w:rPr>
                <w:b/>
                <w:szCs w:val="20"/>
              </w:rPr>
            </w:pPr>
            <w:r w:rsidRPr="00961833">
              <w:rPr>
                <w:b/>
                <w:szCs w:val="20"/>
              </w:rPr>
              <w:t xml:space="preserve">Protocol title/Publication title </w:t>
            </w:r>
          </w:p>
        </w:tc>
        <w:tc>
          <w:tcPr>
            <w:tcW w:w="2211" w:type="dxa"/>
            <w:hideMark/>
          </w:tcPr>
          <w:p w14:paraId="7DF91164" w14:textId="77777777" w:rsidR="00011FDC" w:rsidRPr="00961833" w:rsidRDefault="00011FDC" w:rsidP="00192DD4">
            <w:pPr>
              <w:pStyle w:val="TableText0"/>
              <w:rPr>
                <w:b/>
                <w:szCs w:val="20"/>
              </w:rPr>
            </w:pPr>
            <w:r w:rsidRPr="00961833">
              <w:rPr>
                <w:b/>
                <w:szCs w:val="20"/>
              </w:rPr>
              <w:t xml:space="preserve">Publication citation </w:t>
            </w:r>
          </w:p>
        </w:tc>
      </w:tr>
      <w:tr w:rsidR="00CD4B5B" w:rsidRPr="00961833" w14:paraId="023E8BF6" w14:textId="77777777" w:rsidTr="00192DD4">
        <w:trPr>
          <w:trHeight w:val="710"/>
        </w:trPr>
        <w:tc>
          <w:tcPr>
            <w:tcW w:w="1109" w:type="dxa"/>
            <w:hideMark/>
          </w:tcPr>
          <w:p w14:paraId="144ADE1B" w14:textId="77777777" w:rsidR="00CD4B5B" w:rsidRPr="00961833" w:rsidRDefault="00CD4B5B" w:rsidP="00192DD4">
            <w:pPr>
              <w:pStyle w:val="TableText0"/>
              <w:rPr>
                <w:szCs w:val="20"/>
              </w:rPr>
            </w:pPr>
            <w:r w:rsidRPr="00961833">
              <w:rPr>
                <w:szCs w:val="20"/>
              </w:rPr>
              <w:t>P019</w:t>
            </w:r>
          </w:p>
        </w:tc>
        <w:tc>
          <w:tcPr>
            <w:tcW w:w="5690" w:type="dxa"/>
            <w:hideMark/>
          </w:tcPr>
          <w:p w14:paraId="1737698F" w14:textId="77777777" w:rsidR="00CD4B5B" w:rsidRPr="00961833" w:rsidRDefault="00CD4B5B" w:rsidP="00192DD4">
            <w:pPr>
              <w:pStyle w:val="TableText0"/>
              <w:rPr>
                <w:szCs w:val="20"/>
              </w:rPr>
            </w:pPr>
            <w:r w:rsidRPr="00961833">
              <w:rPr>
                <w:szCs w:val="20"/>
              </w:rPr>
              <w:t>Phase 3, Multicentre, Randomized, Double-blind, Active Comparator-controlled Study to Evaluate the Safety, Tolerability, and Immunogenicity of V114 in Healthy Adults 50 Years of Age or Older (PNEU-AGE)</w:t>
            </w:r>
          </w:p>
        </w:tc>
        <w:tc>
          <w:tcPr>
            <w:tcW w:w="2211" w:type="dxa"/>
            <w:hideMark/>
          </w:tcPr>
          <w:p w14:paraId="43D94BD2" w14:textId="77777777" w:rsidR="00CD4B5B" w:rsidRPr="00961833" w:rsidRDefault="00CD4B5B" w:rsidP="00192DD4">
            <w:pPr>
              <w:pStyle w:val="TableText0"/>
              <w:rPr>
                <w:szCs w:val="20"/>
              </w:rPr>
            </w:pPr>
            <w:r w:rsidRPr="00A36613">
              <w:rPr>
                <w:i/>
                <w:iCs/>
              </w:rPr>
              <w:t xml:space="preserve"> Clinical Study Report P019V114</w:t>
            </w:r>
          </w:p>
        </w:tc>
      </w:tr>
      <w:tr w:rsidR="00CD4B5B" w:rsidRPr="00961833" w14:paraId="28857DA1" w14:textId="77777777" w:rsidTr="00192DD4">
        <w:trPr>
          <w:trHeight w:val="905"/>
        </w:trPr>
        <w:tc>
          <w:tcPr>
            <w:tcW w:w="1109" w:type="dxa"/>
            <w:hideMark/>
          </w:tcPr>
          <w:p w14:paraId="348C1996" w14:textId="77777777" w:rsidR="00CD4B5B" w:rsidRPr="00961833" w:rsidRDefault="00CD4B5B" w:rsidP="00192DD4">
            <w:pPr>
              <w:pStyle w:val="TableText0"/>
              <w:rPr>
                <w:szCs w:val="20"/>
              </w:rPr>
            </w:pPr>
            <w:r w:rsidRPr="00961833">
              <w:rPr>
                <w:szCs w:val="20"/>
              </w:rPr>
              <w:t>P020</w:t>
            </w:r>
          </w:p>
        </w:tc>
        <w:tc>
          <w:tcPr>
            <w:tcW w:w="5690" w:type="dxa"/>
            <w:hideMark/>
          </w:tcPr>
          <w:p w14:paraId="7DBE5254" w14:textId="77777777" w:rsidR="00CD4B5B" w:rsidRPr="00961833" w:rsidRDefault="00CD4B5B" w:rsidP="00192DD4">
            <w:pPr>
              <w:pStyle w:val="TableText0"/>
              <w:rPr>
                <w:szCs w:val="20"/>
              </w:rPr>
            </w:pPr>
            <w:r w:rsidRPr="00961833">
              <w:rPr>
                <w:szCs w:val="20"/>
              </w:rPr>
              <w:t>Phase 3, Multicentre, Randomized, Double-blind, Active Comparator-controlled, Lot-to-Lot Consistency Study to Evaluate the Safety, Tolerability, and Immunogenicity of V114 in Healthy Adults 50 Years of Age or Older (PNEU-TRUE)</w:t>
            </w:r>
          </w:p>
        </w:tc>
        <w:tc>
          <w:tcPr>
            <w:tcW w:w="2211" w:type="dxa"/>
            <w:hideMark/>
          </w:tcPr>
          <w:p w14:paraId="09695243" w14:textId="77777777" w:rsidR="00CD4B5B" w:rsidRPr="00961833" w:rsidRDefault="00CD4B5B" w:rsidP="00192DD4">
            <w:pPr>
              <w:pStyle w:val="TableText0"/>
              <w:rPr>
                <w:szCs w:val="20"/>
              </w:rPr>
            </w:pPr>
            <w:r w:rsidRPr="00A36613">
              <w:rPr>
                <w:i/>
                <w:iCs/>
              </w:rPr>
              <w:t>Clinical Study Report P020V114</w:t>
            </w:r>
          </w:p>
        </w:tc>
      </w:tr>
      <w:tr w:rsidR="00CD4B5B" w:rsidRPr="00961833" w14:paraId="642ADD24" w14:textId="77777777" w:rsidTr="00192DD4">
        <w:trPr>
          <w:trHeight w:val="904"/>
        </w:trPr>
        <w:tc>
          <w:tcPr>
            <w:tcW w:w="1109" w:type="dxa"/>
            <w:hideMark/>
          </w:tcPr>
          <w:p w14:paraId="24314030" w14:textId="77777777" w:rsidR="00CD4B5B" w:rsidRPr="00961833" w:rsidRDefault="00CD4B5B" w:rsidP="00192DD4">
            <w:pPr>
              <w:pStyle w:val="TableText0"/>
              <w:rPr>
                <w:szCs w:val="20"/>
              </w:rPr>
            </w:pPr>
            <w:r w:rsidRPr="00961833">
              <w:rPr>
                <w:szCs w:val="20"/>
              </w:rPr>
              <w:t>P016</w:t>
            </w:r>
          </w:p>
        </w:tc>
        <w:tc>
          <w:tcPr>
            <w:tcW w:w="5690" w:type="dxa"/>
            <w:hideMark/>
          </w:tcPr>
          <w:p w14:paraId="10783BD8" w14:textId="77777777" w:rsidR="00CD4B5B" w:rsidRPr="00961833" w:rsidRDefault="00CD4B5B" w:rsidP="00192DD4">
            <w:pPr>
              <w:pStyle w:val="TableText0"/>
              <w:rPr>
                <w:szCs w:val="20"/>
              </w:rPr>
            </w:pPr>
            <w:r w:rsidRPr="00961833">
              <w:rPr>
                <w:szCs w:val="20"/>
              </w:rPr>
              <w:t>A Phase 3, Multicentre, Randomized, Double-blind, Active Comparator-controlled Study to Evaluate the Safety, Tolerability, and Immunogenicity of V114 Followed by Administration of PNEUMOVAX™23 One Year Later in Healthy Adults 50 Years of Age or Older (PNEU-PATH)</w:t>
            </w:r>
          </w:p>
        </w:tc>
        <w:tc>
          <w:tcPr>
            <w:tcW w:w="2211" w:type="dxa"/>
            <w:hideMark/>
          </w:tcPr>
          <w:p w14:paraId="6F9C8F1A" w14:textId="77777777" w:rsidR="00CD4B5B" w:rsidRPr="00961833" w:rsidRDefault="00CD4B5B" w:rsidP="00192DD4">
            <w:pPr>
              <w:pStyle w:val="TableText0"/>
              <w:rPr>
                <w:szCs w:val="20"/>
              </w:rPr>
            </w:pPr>
            <w:r w:rsidRPr="00A36613">
              <w:rPr>
                <w:i/>
                <w:iCs/>
              </w:rPr>
              <w:t>Clinical Study Report P0</w:t>
            </w:r>
            <w:r>
              <w:rPr>
                <w:i/>
                <w:iCs/>
              </w:rPr>
              <w:t>16</w:t>
            </w:r>
            <w:r w:rsidRPr="00A36613">
              <w:rPr>
                <w:i/>
                <w:iCs/>
              </w:rPr>
              <w:t>V114</w:t>
            </w:r>
          </w:p>
        </w:tc>
      </w:tr>
      <w:tr w:rsidR="00CD4B5B" w:rsidRPr="00961833" w14:paraId="2D38C291" w14:textId="77777777" w:rsidTr="00192DD4">
        <w:trPr>
          <w:trHeight w:val="942"/>
        </w:trPr>
        <w:tc>
          <w:tcPr>
            <w:tcW w:w="1109" w:type="dxa"/>
            <w:hideMark/>
          </w:tcPr>
          <w:p w14:paraId="5B72A24A" w14:textId="77777777" w:rsidR="00CD4B5B" w:rsidRPr="00961833" w:rsidRDefault="00CD4B5B" w:rsidP="00192DD4">
            <w:pPr>
              <w:pStyle w:val="TableText0"/>
              <w:rPr>
                <w:szCs w:val="20"/>
              </w:rPr>
            </w:pPr>
            <w:r w:rsidRPr="00961833">
              <w:rPr>
                <w:szCs w:val="20"/>
              </w:rPr>
              <w:t>P017</w:t>
            </w:r>
          </w:p>
        </w:tc>
        <w:tc>
          <w:tcPr>
            <w:tcW w:w="5690" w:type="dxa"/>
            <w:hideMark/>
          </w:tcPr>
          <w:p w14:paraId="57C8E685" w14:textId="77777777" w:rsidR="00CD4B5B" w:rsidRPr="00961833" w:rsidRDefault="00CD4B5B" w:rsidP="00192DD4">
            <w:pPr>
              <w:pStyle w:val="TableText0"/>
              <w:rPr>
                <w:szCs w:val="20"/>
              </w:rPr>
            </w:pPr>
            <w:r w:rsidRPr="00961833">
              <w:rPr>
                <w:szCs w:val="20"/>
              </w:rPr>
              <w:t>A Phase 3, Multicentre, Randomized, Double-blind, Active Comparator-controlled Study to Evaluate the Safety, Tolerability, and Immunogenicity of V114 Followed by Administration of PNEUMOVAX™23 Six Months Later in Immunocompetent Adults Between 18 and 49 Years of Age at Increased Risk for Pneumococcal Disease (PNEU–DAY).</w:t>
            </w:r>
          </w:p>
        </w:tc>
        <w:tc>
          <w:tcPr>
            <w:tcW w:w="2211" w:type="dxa"/>
            <w:hideMark/>
          </w:tcPr>
          <w:p w14:paraId="51405CE6" w14:textId="77777777" w:rsidR="00CD4B5B" w:rsidRPr="00961833" w:rsidRDefault="00CD4B5B" w:rsidP="00192DD4">
            <w:pPr>
              <w:pStyle w:val="TableText0"/>
              <w:rPr>
                <w:szCs w:val="20"/>
              </w:rPr>
            </w:pPr>
            <w:r w:rsidRPr="00A36613">
              <w:rPr>
                <w:i/>
                <w:iCs/>
              </w:rPr>
              <w:t>Clinical Study Report P0</w:t>
            </w:r>
            <w:r>
              <w:rPr>
                <w:i/>
                <w:iCs/>
              </w:rPr>
              <w:t>17</w:t>
            </w:r>
            <w:r w:rsidRPr="00A36613">
              <w:rPr>
                <w:i/>
                <w:iCs/>
              </w:rPr>
              <w:t>V114</w:t>
            </w:r>
          </w:p>
        </w:tc>
      </w:tr>
      <w:tr w:rsidR="00011FDC" w:rsidRPr="00961833" w14:paraId="005A5D5C" w14:textId="77777777" w:rsidTr="00192DD4">
        <w:trPr>
          <w:trHeight w:val="448"/>
        </w:trPr>
        <w:tc>
          <w:tcPr>
            <w:tcW w:w="1109" w:type="dxa"/>
            <w:hideMark/>
          </w:tcPr>
          <w:p w14:paraId="758CF470" w14:textId="77777777" w:rsidR="00011FDC" w:rsidRPr="00961833" w:rsidRDefault="00011FDC" w:rsidP="00192DD4">
            <w:pPr>
              <w:pStyle w:val="TableText0"/>
              <w:rPr>
                <w:szCs w:val="20"/>
              </w:rPr>
            </w:pPr>
            <w:r w:rsidRPr="00961833">
              <w:rPr>
                <w:szCs w:val="20"/>
              </w:rPr>
              <w:t>P018</w:t>
            </w:r>
          </w:p>
        </w:tc>
        <w:tc>
          <w:tcPr>
            <w:tcW w:w="5690" w:type="dxa"/>
            <w:hideMark/>
          </w:tcPr>
          <w:p w14:paraId="3B8A5CA2" w14:textId="77777777" w:rsidR="00011FDC" w:rsidRPr="00961833" w:rsidRDefault="00011FDC" w:rsidP="00192DD4">
            <w:pPr>
              <w:pStyle w:val="TableText0"/>
              <w:rPr>
                <w:szCs w:val="20"/>
              </w:rPr>
            </w:pPr>
            <w:r w:rsidRPr="00961833">
              <w:rPr>
                <w:szCs w:val="20"/>
              </w:rPr>
              <w:t>A Phase 3, Multicentre, Randomized, Double-blind, Active Comparator-controlled Study to Evaluate the Safety, Tolerability, and Immunogenicity of V114 Followed by Administration of PNEUMOVAX™23 Eight Weeks Later in Adults Infected with HIV (PNEU–WAY)</w:t>
            </w:r>
          </w:p>
        </w:tc>
        <w:tc>
          <w:tcPr>
            <w:tcW w:w="2211" w:type="dxa"/>
            <w:hideMark/>
          </w:tcPr>
          <w:p w14:paraId="461074B7" w14:textId="77777777" w:rsidR="00011FDC" w:rsidRPr="00961833" w:rsidRDefault="00011FDC" w:rsidP="00192DD4">
            <w:pPr>
              <w:pStyle w:val="TableText0"/>
              <w:rPr>
                <w:szCs w:val="20"/>
              </w:rPr>
            </w:pPr>
            <w:r w:rsidRPr="00961833">
              <w:rPr>
                <w:szCs w:val="20"/>
              </w:rPr>
              <w:t>Mohapi et al, 2020 Safety and Immunogenicity of V114, a 15-Valent Pneumococcal Conjugate Vaccine (PCV), in Adults Infected With Human Immunodeficiency Virus (HIV): A Phase 3 Trial, Poster at ISPPD, June 2020</w:t>
            </w:r>
          </w:p>
        </w:tc>
      </w:tr>
      <w:tr w:rsidR="00011FDC" w:rsidRPr="00961833" w14:paraId="75A275F9" w14:textId="77777777" w:rsidTr="00192DD4">
        <w:trPr>
          <w:trHeight w:val="352"/>
        </w:trPr>
        <w:tc>
          <w:tcPr>
            <w:tcW w:w="1109" w:type="dxa"/>
            <w:hideMark/>
          </w:tcPr>
          <w:p w14:paraId="25BC53D6" w14:textId="77777777" w:rsidR="00011FDC" w:rsidRPr="00961833" w:rsidRDefault="00011FDC" w:rsidP="00192DD4">
            <w:pPr>
              <w:pStyle w:val="TableText0"/>
              <w:rPr>
                <w:szCs w:val="20"/>
              </w:rPr>
            </w:pPr>
            <w:r w:rsidRPr="00961833">
              <w:rPr>
                <w:szCs w:val="20"/>
              </w:rPr>
              <w:t>P006</w:t>
            </w:r>
          </w:p>
        </w:tc>
        <w:tc>
          <w:tcPr>
            <w:tcW w:w="5690" w:type="dxa"/>
            <w:hideMark/>
          </w:tcPr>
          <w:p w14:paraId="44E9022C" w14:textId="77777777" w:rsidR="00011FDC" w:rsidRPr="00961833" w:rsidRDefault="00011FDC" w:rsidP="00192DD4">
            <w:pPr>
              <w:pStyle w:val="TableText0"/>
              <w:rPr>
                <w:szCs w:val="20"/>
              </w:rPr>
            </w:pPr>
            <w:r w:rsidRPr="00961833">
              <w:rPr>
                <w:szCs w:val="20"/>
              </w:rPr>
              <w:t>Safety and immunogenicity of 15-valent pneumococcal conjugate vaccine (PCV-15) compared to PCV-13 in healthy older adults</w:t>
            </w:r>
          </w:p>
        </w:tc>
        <w:tc>
          <w:tcPr>
            <w:tcW w:w="2211" w:type="dxa"/>
            <w:hideMark/>
          </w:tcPr>
          <w:p w14:paraId="3A053A83" w14:textId="77777777" w:rsidR="00011FDC" w:rsidRPr="00961833" w:rsidRDefault="00011FDC" w:rsidP="00192DD4">
            <w:pPr>
              <w:pStyle w:val="TableText0"/>
              <w:rPr>
                <w:szCs w:val="20"/>
              </w:rPr>
            </w:pPr>
            <w:r w:rsidRPr="00961833">
              <w:rPr>
                <w:szCs w:val="20"/>
              </w:rPr>
              <w:t xml:space="preserve">Stacey et al, 2019 </w:t>
            </w:r>
            <w:r w:rsidRPr="00DB3EE8">
              <w:rPr>
                <w:i/>
                <w:iCs/>
                <w:szCs w:val="20"/>
              </w:rPr>
              <w:t>Human Vaccines and Immunotherapeutics</w:t>
            </w:r>
            <w:r w:rsidRPr="00961833">
              <w:rPr>
                <w:szCs w:val="20"/>
              </w:rPr>
              <w:t>, VOL. 15, NO. 3, 530–539 https://doi.org/10.1080/21645515.2018.1532249</w:t>
            </w:r>
          </w:p>
        </w:tc>
      </w:tr>
      <w:tr w:rsidR="00011FDC" w:rsidRPr="00961833" w14:paraId="20049838" w14:textId="77777777" w:rsidTr="00192DD4">
        <w:trPr>
          <w:trHeight w:val="460"/>
        </w:trPr>
        <w:tc>
          <w:tcPr>
            <w:tcW w:w="1109" w:type="dxa"/>
            <w:hideMark/>
          </w:tcPr>
          <w:p w14:paraId="7494CF1C" w14:textId="77777777" w:rsidR="00011FDC" w:rsidRPr="00961833" w:rsidRDefault="00011FDC" w:rsidP="00192DD4">
            <w:pPr>
              <w:pStyle w:val="TableText0"/>
              <w:rPr>
                <w:szCs w:val="20"/>
              </w:rPr>
            </w:pPr>
            <w:r w:rsidRPr="00961833">
              <w:rPr>
                <w:szCs w:val="20"/>
              </w:rPr>
              <w:t>P007</w:t>
            </w:r>
          </w:p>
        </w:tc>
        <w:tc>
          <w:tcPr>
            <w:tcW w:w="5690" w:type="dxa"/>
            <w:hideMark/>
          </w:tcPr>
          <w:p w14:paraId="0BDA568B" w14:textId="77777777" w:rsidR="00011FDC" w:rsidRPr="00961833" w:rsidRDefault="00011FDC" w:rsidP="00192DD4">
            <w:pPr>
              <w:pStyle w:val="TableText0"/>
              <w:rPr>
                <w:szCs w:val="20"/>
              </w:rPr>
            </w:pPr>
            <w:r w:rsidRPr="00961833">
              <w:rPr>
                <w:szCs w:val="20"/>
              </w:rPr>
              <w:t>Safety and immunogenicity of 15-valent pneumococcal conjugate vaccine compared to 13-valent pneumococcal conjugate vaccine in adults ≥65 years of age previously vaccinated with 23-valent pneumococcal polysaccharide vaccine</w:t>
            </w:r>
          </w:p>
        </w:tc>
        <w:tc>
          <w:tcPr>
            <w:tcW w:w="2211" w:type="dxa"/>
            <w:hideMark/>
          </w:tcPr>
          <w:p w14:paraId="5236BF3A" w14:textId="77777777" w:rsidR="00011FDC" w:rsidRPr="00961833" w:rsidRDefault="00011FDC" w:rsidP="00192DD4">
            <w:pPr>
              <w:pStyle w:val="TableText0"/>
              <w:rPr>
                <w:szCs w:val="20"/>
              </w:rPr>
            </w:pPr>
            <w:r w:rsidRPr="00961833">
              <w:rPr>
                <w:szCs w:val="20"/>
              </w:rPr>
              <w:t xml:space="preserve">Peterson et al, 2019 </w:t>
            </w:r>
            <w:r w:rsidRPr="00DB3EE8">
              <w:rPr>
                <w:i/>
                <w:iCs/>
                <w:szCs w:val="20"/>
              </w:rPr>
              <w:t>Human Vaccines and Immunotherapeutics</w:t>
            </w:r>
            <w:r w:rsidRPr="00961833">
              <w:rPr>
                <w:szCs w:val="20"/>
              </w:rPr>
              <w:t>, VOL. 15, NO. 3, 540–548</w:t>
            </w:r>
          </w:p>
          <w:p w14:paraId="1952FEC5" w14:textId="77777777" w:rsidR="00011FDC" w:rsidRPr="00961833" w:rsidRDefault="00011FDC" w:rsidP="00192DD4">
            <w:pPr>
              <w:pStyle w:val="TableText0"/>
              <w:rPr>
                <w:szCs w:val="20"/>
              </w:rPr>
            </w:pPr>
            <w:r w:rsidRPr="00961833">
              <w:rPr>
                <w:szCs w:val="20"/>
              </w:rPr>
              <w:t>https://doi.org/10.1080/21645515.2018.1532250</w:t>
            </w:r>
          </w:p>
        </w:tc>
      </w:tr>
    </w:tbl>
    <w:p w14:paraId="6B506F36" w14:textId="77777777" w:rsidR="00011FDC" w:rsidRPr="00B1011F" w:rsidRDefault="00011FDC" w:rsidP="00192DD4">
      <w:pPr>
        <w:pStyle w:val="TableFigureFooter"/>
        <w:keepNext/>
        <w:rPr>
          <w:sz w:val="20"/>
        </w:rPr>
      </w:pPr>
      <w:r>
        <w:t>Source: Table 2.2-1, p33 of the submission.</w:t>
      </w:r>
    </w:p>
    <w:p w14:paraId="07C766C7" w14:textId="77777777" w:rsidR="00011FDC" w:rsidRPr="00EC5836" w:rsidRDefault="00011FDC" w:rsidP="00011FDC">
      <w:pPr>
        <w:pStyle w:val="3-BodyText"/>
        <w:rPr>
          <w:color w:val="0066FF"/>
        </w:rPr>
      </w:pPr>
      <w:r w:rsidRPr="00B50DB8">
        <w:t>The key features of the direct randomised trial</w:t>
      </w:r>
      <w:r>
        <w:t>s</w:t>
      </w:r>
      <w:r w:rsidRPr="00B50DB8">
        <w:t xml:space="preserve"> are summarised in the table below.</w:t>
      </w:r>
      <w:r>
        <w:t xml:space="preserve"> </w:t>
      </w:r>
    </w:p>
    <w:p w14:paraId="07BE9306" w14:textId="77777777" w:rsidR="00011FDC" w:rsidRPr="00EC5836" w:rsidRDefault="00011FDC" w:rsidP="00011FDC">
      <w:pPr>
        <w:pStyle w:val="TableFigureHeading"/>
        <w:rPr>
          <w:rStyle w:val="CommentReference"/>
          <w:b/>
          <w:szCs w:val="24"/>
        </w:rPr>
      </w:pPr>
      <w:r w:rsidRPr="00EC5836">
        <w:rPr>
          <w:rStyle w:val="CommentReference"/>
          <w:b/>
          <w:szCs w:val="24"/>
        </w:rPr>
        <w:t xml:space="preserve">Table </w:t>
      </w:r>
      <w:r>
        <w:rPr>
          <w:rStyle w:val="CommentReference"/>
          <w:b/>
          <w:szCs w:val="24"/>
        </w:rPr>
        <w:t>4</w:t>
      </w:r>
      <w:r w:rsidRPr="00EC5836">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3"/>
        <w:gridCol w:w="1394"/>
        <w:gridCol w:w="1742"/>
        <w:gridCol w:w="986"/>
        <w:gridCol w:w="2813"/>
        <w:gridCol w:w="1389"/>
      </w:tblGrid>
      <w:tr w:rsidR="002462E5" w:rsidRPr="00B41614" w14:paraId="4D0F5656" w14:textId="77777777" w:rsidTr="00F3222C">
        <w:trPr>
          <w:cantSplit/>
          <w:tblHeader/>
        </w:trPr>
        <w:tc>
          <w:tcPr>
            <w:tcW w:w="384" w:type="pct"/>
            <w:shd w:val="clear" w:color="auto" w:fill="auto"/>
            <w:vAlign w:val="center"/>
          </w:tcPr>
          <w:p w14:paraId="351AFF88" w14:textId="77777777" w:rsidR="002462E5" w:rsidRPr="00B41614" w:rsidRDefault="002462E5" w:rsidP="00C27E59">
            <w:pPr>
              <w:pStyle w:val="In-tableHeading"/>
            </w:pPr>
            <w:r w:rsidRPr="00B41614">
              <w:t>Trial</w:t>
            </w:r>
          </w:p>
        </w:tc>
        <w:tc>
          <w:tcPr>
            <w:tcW w:w="773" w:type="pct"/>
            <w:shd w:val="clear" w:color="auto" w:fill="auto"/>
            <w:vAlign w:val="center"/>
          </w:tcPr>
          <w:p w14:paraId="67C9E0A4" w14:textId="77777777" w:rsidR="002462E5" w:rsidRPr="00587FDA" w:rsidRDefault="002462E5" w:rsidP="00C27E59">
            <w:pPr>
              <w:pStyle w:val="In-tableHeading"/>
              <w:jc w:val="center"/>
              <w:rPr>
                <w:vertAlign w:val="superscript"/>
              </w:rPr>
            </w:pPr>
            <w:r w:rsidRPr="00B41614">
              <w:t>N</w:t>
            </w:r>
            <w:r>
              <w:rPr>
                <w:vertAlign w:val="superscript"/>
              </w:rPr>
              <w:t>a</w:t>
            </w:r>
          </w:p>
        </w:tc>
        <w:tc>
          <w:tcPr>
            <w:tcW w:w="966" w:type="pct"/>
            <w:shd w:val="clear" w:color="auto" w:fill="auto"/>
            <w:vAlign w:val="center"/>
          </w:tcPr>
          <w:p w14:paraId="46BBE46C" w14:textId="77777777" w:rsidR="002462E5" w:rsidRPr="00587FDA" w:rsidRDefault="002462E5" w:rsidP="00C27E59">
            <w:pPr>
              <w:pStyle w:val="In-tableHeading"/>
              <w:jc w:val="center"/>
              <w:rPr>
                <w:vertAlign w:val="superscript"/>
              </w:rPr>
            </w:pPr>
            <w:r w:rsidRPr="00B41614">
              <w:t>Design/duration</w:t>
            </w:r>
            <w:r>
              <w:rPr>
                <w:vertAlign w:val="superscript"/>
              </w:rPr>
              <w:t>b</w:t>
            </w:r>
          </w:p>
        </w:tc>
        <w:tc>
          <w:tcPr>
            <w:tcW w:w="547" w:type="pct"/>
            <w:shd w:val="clear" w:color="auto" w:fill="auto"/>
            <w:vAlign w:val="center"/>
          </w:tcPr>
          <w:p w14:paraId="3136CBD7" w14:textId="77777777" w:rsidR="002462E5" w:rsidRPr="00B41614" w:rsidRDefault="002462E5" w:rsidP="00C27E59">
            <w:pPr>
              <w:pStyle w:val="In-tableHeading"/>
              <w:jc w:val="center"/>
            </w:pPr>
            <w:r w:rsidRPr="00B41614">
              <w:t>Risk of bias</w:t>
            </w:r>
          </w:p>
        </w:tc>
        <w:tc>
          <w:tcPr>
            <w:tcW w:w="1560" w:type="pct"/>
            <w:shd w:val="clear" w:color="auto" w:fill="auto"/>
            <w:vAlign w:val="center"/>
          </w:tcPr>
          <w:p w14:paraId="1E36D152" w14:textId="77777777" w:rsidR="002462E5" w:rsidRPr="00B41614" w:rsidRDefault="002462E5" w:rsidP="00C27E59">
            <w:pPr>
              <w:pStyle w:val="In-tableHeading"/>
              <w:jc w:val="center"/>
            </w:pPr>
            <w:r w:rsidRPr="00B41614">
              <w:t>Patient population</w:t>
            </w:r>
          </w:p>
        </w:tc>
        <w:tc>
          <w:tcPr>
            <w:tcW w:w="770" w:type="pct"/>
            <w:shd w:val="clear" w:color="auto" w:fill="auto"/>
            <w:vAlign w:val="center"/>
          </w:tcPr>
          <w:p w14:paraId="380904F1" w14:textId="77777777" w:rsidR="002462E5" w:rsidRPr="00B41614" w:rsidRDefault="002462E5" w:rsidP="00C27E59">
            <w:pPr>
              <w:pStyle w:val="In-tableHeading"/>
              <w:jc w:val="center"/>
            </w:pPr>
            <w:r w:rsidRPr="00B41614">
              <w:t>Outcome</w:t>
            </w:r>
            <w:r>
              <w:t>s</w:t>
            </w:r>
          </w:p>
        </w:tc>
      </w:tr>
      <w:tr w:rsidR="002462E5" w:rsidRPr="00B41614" w14:paraId="418A771D" w14:textId="77777777" w:rsidTr="00F3222C">
        <w:trPr>
          <w:cantSplit/>
          <w:tblHeader/>
        </w:trPr>
        <w:tc>
          <w:tcPr>
            <w:tcW w:w="5000" w:type="pct"/>
            <w:gridSpan w:val="6"/>
            <w:shd w:val="clear" w:color="auto" w:fill="auto"/>
            <w:vAlign w:val="center"/>
          </w:tcPr>
          <w:p w14:paraId="606FF157" w14:textId="77777777" w:rsidR="002462E5" w:rsidRPr="00B41614" w:rsidRDefault="002462E5" w:rsidP="00F3222C">
            <w:pPr>
              <w:pStyle w:val="In-tableHeading"/>
            </w:pPr>
            <w:r>
              <w:t>PCV15 vs PCV13</w:t>
            </w:r>
          </w:p>
        </w:tc>
      </w:tr>
      <w:tr w:rsidR="002462E5" w:rsidRPr="00E2771E" w14:paraId="6DA33D82" w14:textId="77777777" w:rsidTr="00F3222C">
        <w:trPr>
          <w:cantSplit/>
        </w:trPr>
        <w:tc>
          <w:tcPr>
            <w:tcW w:w="384" w:type="pct"/>
            <w:shd w:val="clear" w:color="auto" w:fill="auto"/>
            <w:vAlign w:val="center"/>
          </w:tcPr>
          <w:p w14:paraId="78086B93" w14:textId="77777777" w:rsidR="002462E5" w:rsidRPr="00E2771E" w:rsidRDefault="002462E5" w:rsidP="00C27E59">
            <w:pPr>
              <w:pStyle w:val="TableText0"/>
              <w:rPr>
                <w:lang w:val="en-US"/>
              </w:rPr>
            </w:pPr>
            <w:r>
              <w:rPr>
                <w:lang w:val="en-US"/>
              </w:rPr>
              <w:t>P019</w:t>
            </w:r>
          </w:p>
        </w:tc>
        <w:tc>
          <w:tcPr>
            <w:tcW w:w="773" w:type="pct"/>
            <w:shd w:val="clear" w:color="auto" w:fill="auto"/>
            <w:vAlign w:val="center"/>
          </w:tcPr>
          <w:p w14:paraId="7613D0A6" w14:textId="77777777" w:rsidR="002462E5" w:rsidRPr="00E2771E" w:rsidRDefault="002462E5" w:rsidP="00C27E59">
            <w:pPr>
              <w:pStyle w:val="TableText0"/>
              <w:jc w:val="center"/>
              <w:rPr>
                <w:lang w:val="en-US"/>
              </w:rPr>
            </w:pPr>
            <w:r>
              <w:rPr>
                <w:lang w:val="en-US"/>
              </w:rPr>
              <w:t>1,205</w:t>
            </w:r>
          </w:p>
        </w:tc>
        <w:tc>
          <w:tcPr>
            <w:tcW w:w="966" w:type="pct"/>
            <w:shd w:val="clear" w:color="auto" w:fill="auto"/>
            <w:vAlign w:val="center"/>
          </w:tcPr>
          <w:p w14:paraId="71386005" w14:textId="77777777" w:rsidR="002462E5" w:rsidRDefault="003B30BF" w:rsidP="00C27E59">
            <w:pPr>
              <w:pStyle w:val="TableText0"/>
              <w:jc w:val="center"/>
              <w:rPr>
                <w:lang w:val="en-US"/>
              </w:rPr>
            </w:pPr>
            <w:r>
              <w:rPr>
                <w:lang w:val="en-US"/>
              </w:rPr>
              <w:t xml:space="preserve">Phase III, </w:t>
            </w:r>
            <w:r w:rsidR="002462E5" w:rsidRPr="00E2771E">
              <w:rPr>
                <w:lang w:val="en-US"/>
              </w:rPr>
              <w:t>R, DB</w:t>
            </w:r>
            <w:r w:rsidR="002462E5">
              <w:rPr>
                <w:lang w:val="en-US"/>
              </w:rPr>
              <w:t>, MC</w:t>
            </w:r>
          </w:p>
          <w:p w14:paraId="1AC8996D" w14:textId="77777777" w:rsidR="002462E5" w:rsidRPr="00E2771E" w:rsidRDefault="002462E5" w:rsidP="00C27E59">
            <w:pPr>
              <w:pStyle w:val="TableText0"/>
              <w:jc w:val="center"/>
              <w:rPr>
                <w:lang w:val="en-US"/>
              </w:rPr>
            </w:pPr>
            <w:r w:rsidRPr="00E2771E">
              <w:rPr>
                <w:lang w:val="en-US"/>
              </w:rPr>
              <w:t>6 mths</w:t>
            </w:r>
          </w:p>
        </w:tc>
        <w:tc>
          <w:tcPr>
            <w:tcW w:w="547" w:type="pct"/>
            <w:shd w:val="clear" w:color="auto" w:fill="auto"/>
            <w:vAlign w:val="center"/>
          </w:tcPr>
          <w:p w14:paraId="1CB2BCF2" w14:textId="77777777" w:rsidR="002462E5" w:rsidRPr="00BC7F7E" w:rsidRDefault="002462E5" w:rsidP="00C27E59">
            <w:pPr>
              <w:pStyle w:val="TableText0"/>
              <w:jc w:val="center"/>
              <w:rPr>
                <w:iCs/>
                <w:lang w:val="en-US"/>
              </w:rPr>
            </w:pPr>
            <w:r w:rsidRPr="00BC7F7E">
              <w:rPr>
                <w:iCs/>
                <w:lang w:val="en-US"/>
              </w:rPr>
              <w:t>Low</w:t>
            </w:r>
          </w:p>
        </w:tc>
        <w:tc>
          <w:tcPr>
            <w:tcW w:w="1560" w:type="pct"/>
            <w:shd w:val="clear" w:color="auto" w:fill="auto"/>
            <w:vAlign w:val="center"/>
          </w:tcPr>
          <w:p w14:paraId="10075B4C" w14:textId="77777777" w:rsidR="002462E5" w:rsidRPr="00E2771E" w:rsidRDefault="002462E5" w:rsidP="00C27E59">
            <w:pPr>
              <w:pStyle w:val="TableText0"/>
              <w:jc w:val="center"/>
              <w:rPr>
                <w:lang w:val="en-US"/>
              </w:rPr>
            </w:pPr>
            <w:r>
              <w:rPr>
                <w:lang w:val="en-US"/>
              </w:rPr>
              <w:t>Adults aged ≥50 yrs</w:t>
            </w:r>
          </w:p>
        </w:tc>
        <w:tc>
          <w:tcPr>
            <w:tcW w:w="770" w:type="pct"/>
            <w:shd w:val="clear" w:color="auto" w:fill="auto"/>
            <w:vAlign w:val="center"/>
          </w:tcPr>
          <w:p w14:paraId="05461BC0" w14:textId="77777777" w:rsidR="002462E5" w:rsidRPr="00E2771E" w:rsidRDefault="002462E5" w:rsidP="00C27E59">
            <w:pPr>
              <w:pStyle w:val="TableText0"/>
              <w:jc w:val="center"/>
              <w:rPr>
                <w:lang w:val="en-US"/>
              </w:rPr>
            </w:pPr>
            <w:r>
              <w:rPr>
                <w:lang w:val="en-US"/>
              </w:rPr>
              <w:t>OPA, IgG, Safety</w:t>
            </w:r>
          </w:p>
        </w:tc>
      </w:tr>
      <w:tr w:rsidR="002462E5" w:rsidRPr="00E2771E" w14:paraId="2B52D42C" w14:textId="77777777" w:rsidTr="00F3222C">
        <w:trPr>
          <w:cantSplit/>
        </w:trPr>
        <w:tc>
          <w:tcPr>
            <w:tcW w:w="384" w:type="pct"/>
            <w:shd w:val="clear" w:color="auto" w:fill="auto"/>
            <w:vAlign w:val="center"/>
          </w:tcPr>
          <w:p w14:paraId="2A7B9D3D" w14:textId="77777777" w:rsidR="002462E5" w:rsidRPr="00E2771E" w:rsidRDefault="002462E5" w:rsidP="00C27E59">
            <w:pPr>
              <w:pStyle w:val="TableText0"/>
              <w:rPr>
                <w:lang w:val="en-US"/>
              </w:rPr>
            </w:pPr>
            <w:r>
              <w:rPr>
                <w:lang w:val="en-US"/>
              </w:rPr>
              <w:t>P020</w:t>
            </w:r>
          </w:p>
        </w:tc>
        <w:tc>
          <w:tcPr>
            <w:tcW w:w="773" w:type="pct"/>
            <w:shd w:val="clear" w:color="auto" w:fill="auto"/>
            <w:vAlign w:val="center"/>
          </w:tcPr>
          <w:p w14:paraId="634BEE1F" w14:textId="77777777" w:rsidR="002462E5" w:rsidRPr="00E2771E" w:rsidRDefault="002462E5" w:rsidP="00C27E59">
            <w:pPr>
              <w:pStyle w:val="TableText0"/>
              <w:jc w:val="center"/>
              <w:rPr>
                <w:lang w:val="en-US"/>
              </w:rPr>
            </w:pPr>
            <w:r>
              <w:rPr>
                <w:lang w:val="en-US"/>
              </w:rPr>
              <w:t>2,340</w:t>
            </w:r>
            <w:r w:rsidRPr="00BE2244">
              <w:rPr>
                <w:vertAlign w:val="superscript"/>
                <w:lang w:val="en-US"/>
              </w:rPr>
              <w:t>c</w:t>
            </w:r>
          </w:p>
        </w:tc>
        <w:tc>
          <w:tcPr>
            <w:tcW w:w="966" w:type="pct"/>
            <w:shd w:val="clear" w:color="auto" w:fill="auto"/>
            <w:vAlign w:val="center"/>
          </w:tcPr>
          <w:p w14:paraId="72FB079B" w14:textId="77777777" w:rsidR="002462E5" w:rsidRDefault="003B30BF" w:rsidP="00C27E59">
            <w:pPr>
              <w:pStyle w:val="TableText0"/>
              <w:jc w:val="center"/>
              <w:rPr>
                <w:lang w:val="en-US"/>
              </w:rPr>
            </w:pPr>
            <w:r>
              <w:rPr>
                <w:lang w:val="en-US"/>
              </w:rPr>
              <w:t xml:space="preserve">Phase III, </w:t>
            </w:r>
            <w:r w:rsidR="002462E5">
              <w:rPr>
                <w:lang w:val="en-US"/>
              </w:rPr>
              <w:t>R, DB, MC</w:t>
            </w:r>
          </w:p>
          <w:p w14:paraId="235FB82D" w14:textId="77777777" w:rsidR="002462E5" w:rsidRPr="00E2771E" w:rsidRDefault="002462E5" w:rsidP="00C27E59">
            <w:pPr>
              <w:pStyle w:val="TableText0"/>
              <w:jc w:val="center"/>
              <w:rPr>
                <w:lang w:val="en-US"/>
              </w:rPr>
            </w:pPr>
            <w:r>
              <w:rPr>
                <w:lang w:val="en-US"/>
              </w:rPr>
              <w:t>6 mths</w:t>
            </w:r>
          </w:p>
        </w:tc>
        <w:tc>
          <w:tcPr>
            <w:tcW w:w="547" w:type="pct"/>
            <w:shd w:val="clear" w:color="auto" w:fill="auto"/>
            <w:vAlign w:val="center"/>
          </w:tcPr>
          <w:p w14:paraId="2A295B5C" w14:textId="77777777" w:rsidR="002462E5" w:rsidRPr="00BC7F7E" w:rsidRDefault="002462E5" w:rsidP="00C27E59">
            <w:pPr>
              <w:pStyle w:val="TableText0"/>
              <w:jc w:val="center"/>
              <w:rPr>
                <w:iCs/>
                <w:lang w:val="en-US"/>
              </w:rPr>
            </w:pPr>
            <w:r w:rsidRPr="00BC7F7E">
              <w:rPr>
                <w:iCs/>
                <w:lang w:val="en-US"/>
              </w:rPr>
              <w:t>Low</w:t>
            </w:r>
          </w:p>
        </w:tc>
        <w:tc>
          <w:tcPr>
            <w:tcW w:w="1560" w:type="pct"/>
            <w:shd w:val="clear" w:color="auto" w:fill="auto"/>
            <w:vAlign w:val="center"/>
          </w:tcPr>
          <w:p w14:paraId="0FA29711" w14:textId="77777777" w:rsidR="002462E5" w:rsidRPr="00E2771E" w:rsidRDefault="002462E5" w:rsidP="00C27E59">
            <w:pPr>
              <w:pStyle w:val="TableText0"/>
              <w:jc w:val="center"/>
              <w:rPr>
                <w:lang w:val="en-US"/>
              </w:rPr>
            </w:pPr>
            <w:r>
              <w:rPr>
                <w:lang w:val="en-US"/>
              </w:rPr>
              <w:t>Adults aged ≥50 yrs</w:t>
            </w:r>
          </w:p>
        </w:tc>
        <w:tc>
          <w:tcPr>
            <w:tcW w:w="770" w:type="pct"/>
            <w:shd w:val="clear" w:color="auto" w:fill="auto"/>
            <w:vAlign w:val="center"/>
          </w:tcPr>
          <w:p w14:paraId="6B8A14F4" w14:textId="77777777" w:rsidR="002462E5" w:rsidRPr="00E2771E" w:rsidRDefault="002462E5" w:rsidP="00C27E59">
            <w:pPr>
              <w:pStyle w:val="TableText0"/>
              <w:jc w:val="center"/>
              <w:rPr>
                <w:lang w:val="en-US"/>
              </w:rPr>
            </w:pPr>
            <w:r>
              <w:rPr>
                <w:lang w:val="en-US"/>
              </w:rPr>
              <w:t>OPA, IgG, Safety</w:t>
            </w:r>
          </w:p>
        </w:tc>
      </w:tr>
      <w:tr w:rsidR="002462E5" w:rsidRPr="00E2771E" w14:paraId="72AC25EE" w14:textId="77777777" w:rsidTr="00F3222C">
        <w:trPr>
          <w:cantSplit/>
        </w:trPr>
        <w:tc>
          <w:tcPr>
            <w:tcW w:w="384" w:type="pct"/>
            <w:shd w:val="clear" w:color="auto" w:fill="auto"/>
            <w:vAlign w:val="center"/>
          </w:tcPr>
          <w:p w14:paraId="23A25575" w14:textId="77777777" w:rsidR="002462E5" w:rsidRPr="00E2771E" w:rsidRDefault="002462E5" w:rsidP="00C27E59">
            <w:pPr>
              <w:pStyle w:val="TableText0"/>
              <w:rPr>
                <w:lang w:val="en-US"/>
              </w:rPr>
            </w:pPr>
            <w:r>
              <w:rPr>
                <w:lang w:val="en-US"/>
              </w:rPr>
              <w:t>P016</w:t>
            </w:r>
          </w:p>
        </w:tc>
        <w:tc>
          <w:tcPr>
            <w:tcW w:w="773" w:type="pct"/>
            <w:shd w:val="clear" w:color="auto" w:fill="auto"/>
            <w:vAlign w:val="center"/>
          </w:tcPr>
          <w:p w14:paraId="25B52932" w14:textId="77777777" w:rsidR="002462E5" w:rsidRPr="00E2771E" w:rsidRDefault="002462E5" w:rsidP="00C27E59">
            <w:pPr>
              <w:pStyle w:val="TableText0"/>
              <w:jc w:val="center"/>
              <w:rPr>
                <w:lang w:val="en-US"/>
              </w:rPr>
            </w:pPr>
            <w:r>
              <w:rPr>
                <w:lang w:val="en-US"/>
              </w:rPr>
              <w:t>652</w:t>
            </w:r>
          </w:p>
        </w:tc>
        <w:tc>
          <w:tcPr>
            <w:tcW w:w="966" w:type="pct"/>
            <w:shd w:val="clear" w:color="auto" w:fill="auto"/>
            <w:vAlign w:val="center"/>
          </w:tcPr>
          <w:p w14:paraId="31FA25C7" w14:textId="77777777" w:rsidR="002462E5" w:rsidRDefault="003B30BF" w:rsidP="00C27E59">
            <w:pPr>
              <w:pStyle w:val="TableText0"/>
              <w:jc w:val="center"/>
              <w:rPr>
                <w:lang w:val="en-US"/>
              </w:rPr>
            </w:pPr>
            <w:r>
              <w:rPr>
                <w:lang w:val="en-US"/>
              </w:rPr>
              <w:t xml:space="preserve">Phase III, </w:t>
            </w:r>
            <w:r w:rsidR="002462E5">
              <w:rPr>
                <w:lang w:val="en-US"/>
              </w:rPr>
              <w:t>R, DB, MC</w:t>
            </w:r>
          </w:p>
          <w:p w14:paraId="64880920" w14:textId="77777777" w:rsidR="002462E5" w:rsidRPr="00E2771E" w:rsidRDefault="002462E5" w:rsidP="00C27E59">
            <w:pPr>
              <w:pStyle w:val="TableText0"/>
              <w:jc w:val="center"/>
              <w:rPr>
                <w:lang w:val="en-US"/>
              </w:rPr>
            </w:pPr>
            <w:r>
              <w:rPr>
                <w:lang w:val="en-US"/>
              </w:rPr>
              <w:t>13 mths</w:t>
            </w:r>
          </w:p>
        </w:tc>
        <w:tc>
          <w:tcPr>
            <w:tcW w:w="547" w:type="pct"/>
            <w:shd w:val="clear" w:color="auto" w:fill="auto"/>
            <w:vAlign w:val="center"/>
          </w:tcPr>
          <w:p w14:paraId="51D2F58D" w14:textId="77777777" w:rsidR="002462E5" w:rsidRPr="00BC7F7E" w:rsidRDefault="002462E5" w:rsidP="00C27E59">
            <w:pPr>
              <w:pStyle w:val="TableText0"/>
              <w:jc w:val="center"/>
              <w:rPr>
                <w:iCs/>
                <w:lang w:val="en-US"/>
              </w:rPr>
            </w:pPr>
            <w:r w:rsidRPr="00BC7F7E">
              <w:rPr>
                <w:iCs/>
                <w:lang w:val="en-US"/>
              </w:rPr>
              <w:t>Low</w:t>
            </w:r>
          </w:p>
        </w:tc>
        <w:tc>
          <w:tcPr>
            <w:tcW w:w="1560" w:type="pct"/>
            <w:shd w:val="clear" w:color="auto" w:fill="auto"/>
            <w:vAlign w:val="center"/>
          </w:tcPr>
          <w:p w14:paraId="252315C4" w14:textId="77777777" w:rsidR="002462E5" w:rsidRPr="00E2771E" w:rsidRDefault="002462E5" w:rsidP="00C27E59">
            <w:pPr>
              <w:pStyle w:val="TableText0"/>
              <w:jc w:val="center"/>
              <w:rPr>
                <w:lang w:val="en-US"/>
              </w:rPr>
            </w:pPr>
            <w:r>
              <w:rPr>
                <w:lang w:val="en-US"/>
              </w:rPr>
              <w:t>Adults aged ≥50 yrs</w:t>
            </w:r>
          </w:p>
        </w:tc>
        <w:tc>
          <w:tcPr>
            <w:tcW w:w="770" w:type="pct"/>
            <w:shd w:val="clear" w:color="auto" w:fill="auto"/>
            <w:vAlign w:val="center"/>
          </w:tcPr>
          <w:p w14:paraId="4E06B720" w14:textId="77777777" w:rsidR="002462E5" w:rsidRPr="00E2771E" w:rsidRDefault="002462E5" w:rsidP="00C27E59">
            <w:pPr>
              <w:pStyle w:val="TableText0"/>
              <w:jc w:val="center"/>
              <w:rPr>
                <w:lang w:val="en-US"/>
              </w:rPr>
            </w:pPr>
            <w:r>
              <w:rPr>
                <w:lang w:val="en-US"/>
              </w:rPr>
              <w:t>OPA, IgG, Safety</w:t>
            </w:r>
          </w:p>
        </w:tc>
      </w:tr>
      <w:tr w:rsidR="002462E5" w:rsidRPr="00E2771E" w14:paraId="74E28D65" w14:textId="77777777" w:rsidTr="00F3222C">
        <w:trPr>
          <w:cantSplit/>
        </w:trPr>
        <w:tc>
          <w:tcPr>
            <w:tcW w:w="384" w:type="pct"/>
            <w:shd w:val="clear" w:color="auto" w:fill="auto"/>
            <w:vAlign w:val="center"/>
          </w:tcPr>
          <w:p w14:paraId="51381D76" w14:textId="77777777" w:rsidR="002462E5" w:rsidRPr="00E2771E" w:rsidRDefault="002462E5" w:rsidP="00C27E59">
            <w:pPr>
              <w:pStyle w:val="TableText0"/>
              <w:rPr>
                <w:lang w:val="en-US"/>
              </w:rPr>
            </w:pPr>
            <w:r>
              <w:rPr>
                <w:lang w:val="en-US"/>
              </w:rPr>
              <w:t>P017</w:t>
            </w:r>
          </w:p>
        </w:tc>
        <w:tc>
          <w:tcPr>
            <w:tcW w:w="773" w:type="pct"/>
            <w:shd w:val="clear" w:color="auto" w:fill="auto"/>
            <w:vAlign w:val="center"/>
          </w:tcPr>
          <w:p w14:paraId="70CF1766" w14:textId="77777777" w:rsidR="002462E5" w:rsidRPr="00BE2244" w:rsidRDefault="002462E5" w:rsidP="00C27E59">
            <w:pPr>
              <w:pStyle w:val="TableText0"/>
              <w:jc w:val="center"/>
              <w:rPr>
                <w:vertAlign w:val="superscript"/>
                <w:lang w:val="en-US"/>
              </w:rPr>
            </w:pPr>
            <w:r>
              <w:rPr>
                <w:lang w:val="en-US"/>
              </w:rPr>
              <w:t>1,515</w:t>
            </w:r>
            <w:r>
              <w:rPr>
                <w:vertAlign w:val="superscript"/>
                <w:lang w:val="en-US"/>
              </w:rPr>
              <w:t>d</w:t>
            </w:r>
          </w:p>
        </w:tc>
        <w:tc>
          <w:tcPr>
            <w:tcW w:w="966" w:type="pct"/>
            <w:shd w:val="clear" w:color="auto" w:fill="auto"/>
            <w:vAlign w:val="center"/>
          </w:tcPr>
          <w:p w14:paraId="53C19499" w14:textId="77777777" w:rsidR="002462E5" w:rsidRDefault="003B30BF" w:rsidP="00C27E59">
            <w:pPr>
              <w:pStyle w:val="TableText0"/>
              <w:jc w:val="center"/>
              <w:rPr>
                <w:lang w:val="en-US"/>
              </w:rPr>
            </w:pPr>
            <w:r>
              <w:rPr>
                <w:lang w:val="en-US"/>
              </w:rPr>
              <w:t xml:space="preserve">Phase III, </w:t>
            </w:r>
            <w:r w:rsidR="002462E5">
              <w:rPr>
                <w:lang w:val="en-US"/>
              </w:rPr>
              <w:t>R, DB, MC</w:t>
            </w:r>
          </w:p>
          <w:p w14:paraId="446E84D4" w14:textId="77777777" w:rsidR="002462E5" w:rsidRPr="00E2771E" w:rsidRDefault="002462E5" w:rsidP="00C27E59">
            <w:pPr>
              <w:pStyle w:val="TableText0"/>
              <w:jc w:val="center"/>
              <w:rPr>
                <w:lang w:val="en-US"/>
              </w:rPr>
            </w:pPr>
            <w:r>
              <w:rPr>
                <w:lang w:val="en-US"/>
              </w:rPr>
              <w:t>6 mths</w:t>
            </w:r>
          </w:p>
        </w:tc>
        <w:tc>
          <w:tcPr>
            <w:tcW w:w="547" w:type="pct"/>
            <w:shd w:val="clear" w:color="auto" w:fill="auto"/>
            <w:vAlign w:val="center"/>
          </w:tcPr>
          <w:p w14:paraId="5EEA8B49" w14:textId="77777777" w:rsidR="002462E5" w:rsidRPr="00BC7F7E" w:rsidRDefault="002462E5" w:rsidP="00C27E59">
            <w:pPr>
              <w:pStyle w:val="TableText0"/>
              <w:jc w:val="center"/>
              <w:rPr>
                <w:iCs/>
                <w:lang w:val="en-US"/>
              </w:rPr>
            </w:pPr>
            <w:r w:rsidRPr="00BC7F7E">
              <w:rPr>
                <w:iCs/>
                <w:lang w:val="en-US"/>
              </w:rPr>
              <w:t xml:space="preserve">Low </w:t>
            </w:r>
          </w:p>
        </w:tc>
        <w:tc>
          <w:tcPr>
            <w:tcW w:w="1560" w:type="pct"/>
            <w:shd w:val="clear" w:color="auto" w:fill="auto"/>
            <w:vAlign w:val="center"/>
          </w:tcPr>
          <w:p w14:paraId="66EE5A4A" w14:textId="77777777" w:rsidR="002462E5" w:rsidRPr="00E2771E" w:rsidRDefault="002462E5" w:rsidP="00C27E59">
            <w:pPr>
              <w:pStyle w:val="TableText0"/>
              <w:jc w:val="center"/>
              <w:rPr>
                <w:lang w:val="en-US"/>
              </w:rPr>
            </w:pPr>
            <w:r>
              <w:rPr>
                <w:lang w:val="en-US"/>
              </w:rPr>
              <w:t>Adults aged 18-49 yrs at increased risk of pneumococcal disease</w:t>
            </w:r>
          </w:p>
        </w:tc>
        <w:tc>
          <w:tcPr>
            <w:tcW w:w="770" w:type="pct"/>
            <w:shd w:val="clear" w:color="auto" w:fill="auto"/>
            <w:vAlign w:val="center"/>
          </w:tcPr>
          <w:p w14:paraId="610AC2DD" w14:textId="77777777" w:rsidR="002462E5" w:rsidRPr="00E2771E" w:rsidRDefault="002462E5" w:rsidP="00C27E59">
            <w:pPr>
              <w:pStyle w:val="TableText0"/>
              <w:jc w:val="center"/>
              <w:rPr>
                <w:lang w:val="en-US"/>
              </w:rPr>
            </w:pPr>
            <w:r>
              <w:rPr>
                <w:lang w:val="en-US"/>
              </w:rPr>
              <w:t>OPA, IgG, Safety</w:t>
            </w:r>
          </w:p>
        </w:tc>
      </w:tr>
      <w:tr w:rsidR="002462E5" w:rsidRPr="00E2771E" w14:paraId="281FC96B" w14:textId="77777777" w:rsidTr="00F3222C">
        <w:trPr>
          <w:cantSplit/>
        </w:trPr>
        <w:tc>
          <w:tcPr>
            <w:tcW w:w="384" w:type="pct"/>
            <w:shd w:val="clear" w:color="auto" w:fill="auto"/>
            <w:vAlign w:val="center"/>
          </w:tcPr>
          <w:p w14:paraId="32575839" w14:textId="77777777" w:rsidR="002462E5" w:rsidRPr="00E2771E" w:rsidRDefault="002462E5" w:rsidP="00C27E59">
            <w:pPr>
              <w:pStyle w:val="TableText0"/>
              <w:rPr>
                <w:lang w:val="en-US"/>
              </w:rPr>
            </w:pPr>
            <w:r>
              <w:rPr>
                <w:lang w:val="en-US"/>
              </w:rPr>
              <w:t>P018</w:t>
            </w:r>
          </w:p>
        </w:tc>
        <w:tc>
          <w:tcPr>
            <w:tcW w:w="773" w:type="pct"/>
            <w:shd w:val="clear" w:color="auto" w:fill="auto"/>
            <w:vAlign w:val="center"/>
          </w:tcPr>
          <w:p w14:paraId="5BE05859" w14:textId="77777777" w:rsidR="002462E5" w:rsidRPr="00E2771E" w:rsidRDefault="002462E5" w:rsidP="00C27E59">
            <w:pPr>
              <w:pStyle w:val="TableText0"/>
              <w:jc w:val="center"/>
              <w:rPr>
                <w:lang w:val="en-US"/>
              </w:rPr>
            </w:pPr>
            <w:r>
              <w:rPr>
                <w:lang w:val="en-US"/>
              </w:rPr>
              <w:t>302</w:t>
            </w:r>
          </w:p>
        </w:tc>
        <w:tc>
          <w:tcPr>
            <w:tcW w:w="966" w:type="pct"/>
            <w:shd w:val="clear" w:color="auto" w:fill="auto"/>
            <w:vAlign w:val="center"/>
          </w:tcPr>
          <w:p w14:paraId="48AA3FC6" w14:textId="77777777" w:rsidR="002462E5" w:rsidRDefault="003B30BF" w:rsidP="00C27E59">
            <w:pPr>
              <w:pStyle w:val="TableText0"/>
              <w:jc w:val="center"/>
              <w:rPr>
                <w:lang w:val="en-US"/>
              </w:rPr>
            </w:pPr>
            <w:r>
              <w:rPr>
                <w:lang w:val="en-US"/>
              </w:rPr>
              <w:t xml:space="preserve">Phase III, </w:t>
            </w:r>
            <w:r w:rsidR="002462E5">
              <w:rPr>
                <w:lang w:val="en-US"/>
              </w:rPr>
              <w:t>R, DB, MC</w:t>
            </w:r>
          </w:p>
          <w:p w14:paraId="465D68EB" w14:textId="77777777" w:rsidR="002462E5" w:rsidRPr="00E2771E" w:rsidRDefault="002462E5" w:rsidP="00C27E59">
            <w:pPr>
              <w:pStyle w:val="TableText0"/>
              <w:jc w:val="center"/>
              <w:rPr>
                <w:lang w:val="en-US"/>
              </w:rPr>
            </w:pPr>
            <w:r>
              <w:rPr>
                <w:lang w:val="en-US"/>
              </w:rPr>
              <w:t>8 weeks</w:t>
            </w:r>
          </w:p>
        </w:tc>
        <w:tc>
          <w:tcPr>
            <w:tcW w:w="547" w:type="pct"/>
            <w:shd w:val="clear" w:color="auto" w:fill="auto"/>
            <w:vAlign w:val="center"/>
          </w:tcPr>
          <w:p w14:paraId="088EDEFC" w14:textId="77777777" w:rsidR="002462E5" w:rsidRPr="00BC7F7E" w:rsidRDefault="002462E5" w:rsidP="00C27E59">
            <w:pPr>
              <w:pStyle w:val="TableText0"/>
              <w:jc w:val="center"/>
              <w:rPr>
                <w:iCs/>
                <w:lang w:val="en-US"/>
              </w:rPr>
            </w:pPr>
            <w:r w:rsidRPr="00BC7F7E">
              <w:rPr>
                <w:iCs/>
                <w:lang w:val="en-US"/>
              </w:rPr>
              <w:t xml:space="preserve">Low </w:t>
            </w:r>
          </w:p>
        </w:tc>
        <w:tc>
          <w:tcPr>
            <w:tcW w:w="1560" w:type="pct"/>
            <w:shd w:val="clear" w:color="auto" w:fill="auto"/>
            <w:vAlign w:val="center"/>
          </w:tcPr>
          <w:p w14:paraId="6C0D1454" w14:textId="77777777" w:rsidR="002462E5" w:rsidRPr="00E2771E" w:rsidRDefault="002462E5" w:rsidP="00C27E59">
            <w:pPr>
              <w:pStyle w:val="TableText0"/>
              <w:jc w:val="center"/>
              <w:rPr>
                <w:lang w:val="en-US"/>
              </w:rPr>
            </w:pPr>
            <w:r>
              <w:rPr>
                <w:lang w:val="en-US"/>
              </w:rPr>
              <w:t xml:space="preserve">Adults aged </w:t>
            </w:r>
            <w:r w:rsidR="00437DB8">
              <w:rPr>
                <w:lang w:val="en-US"/>
              </w:rPr>
              <w:t>≥</w:t>
            </w:r>
            <w:r>
              <w:rPr>
                <w:lang w:val="en-US"/>
              </w:rPr>
              <w:t>18 yrs with HIV</w:t>
            </w:r>
          </w:p>
        </w:tc>
        <w:tc>
          <w:tcPr>
            <w:tcW w:w="770" w:type="pct"/>
            <w:shd w:val="clear" w:color="auto" w:fill="auto"/>
            <w:vAlign w:val="center"/>
          </w:tcPr>
          <w:p w14:paraId="4CD1CFDA" w14:textId="77777777" w:rsidR="002462E5" w:rsidRPr="00E2771E" w:rsidRDefault="002462E5" w:rsidP="00C27E59">
            <w:pPr>
              <w:pStyle w:val="TableText0"/>
              <w:jc w:val="center"/>
              <w:rPr>
                <w:lang w:val="en-US"/>
              </w:rPr>
            </w:pPr>
            <w:r>
              <w:rPr>
                <w:lang w:val="en-US"/>
              </w:rPr>
              <w:t>OPA, IgG, Safety</w:t>
            </w:r>
          </w:p>
        </w:tc>
      </w:tr>
      <w:tr w:rsidR="002462E5" w:rsidRPr="00E2771E" w14:paraId="16E2AB63" w14:textId="77777777" w:rsidTr="00F3222C">
        <w:trPr>
          <w:cantSplit/>
        </w:trPr>
        <w:tc>
          <w:tcPr>
            <w:tcW w:w="384" w:type="pct"/>
            <w:shd w:val="clear" w:color="auto" w:fill="auto"/>
            <w:vAlign w:val="center"/>
          </w:tcPr>
          <w:p w14:paraId="667EE4F0" w14:textId="77777777" w:rsidR="002462E5" w:rsidRDefault="002462E5" w:rsidP="00C27E59">
            <w:pPr>
              <w:pStyle w:val="TableText0"/>
              <w:rPr>
                <w:lang w:val="en-US"/>
              </w:rPr>
            </w:pPr>
            <w:r>
              <w:rPr>
                <w:lang w:val="en-US"/>
              </w:rPr>
              <w:t>P006</w:t>
            </w:r>
          </w:p>
        </w:tc>
        <w:tc>
          <w:tcPr>
            <w:tcW w:w="773" w:type="pct"/>
            <w:shd w:val="clear" w:color="auto" w:fill="auto"/>
            <w:vAlign w:val="center"/>
          </w:tcPr>
          <w:p w14:paraId="2D21A793" w14:textId="77777777" w:rsidR="002462E5" w:rsidRPr="00E2771E" w:rsidRDefault="002462E5" w:rsidP="00C27E59">
            <w:pPr>
              <w:pStyle w:val="TableText0"/>
              <w:jc w:val="center"/>
              <w:rPr>
                <w:lang w:val="en-US"/>
              </w:rPr>
            </w:pPr>
            <w:r>
              <w:rPr>
                <w:lang w:val="en-US"/>
              </w:rPr>
              <w:t>690</w:t>
            </w:r>
          </w:p>
        </w:tc>
        <w:tc>
          <w:tcPr>
            <w:tcW w:w="966" w:type="pct"/>
            <w:shd w:val="clear" w:color="auto" w:fill="auto"/>
            <w:vAlign w:val="center"/>
          </w:tcPr>
          <w:p w14:paraId="7F268AD0" w14:textId="77777777" w:rsidR="002462E5" w:rsidRDefault="003B30BF" w:rsidP="00C27E59">
            <w:pPr>
              <w:pStyle w:val="TableText0"/>
              <w:jc w:val="center"/>
              <w:rPr>
                <w:lang w:val="en-US"/>
              </w:rPr>
            </w:pPr>
            <w:r>
              <w:rPr>
                <w:lang w:val="en-US"/>
              </w:rPr>
              <w:t xml:space="preserve">Phase II, </w:t>
            </w:r>
            <w:r w:rsidR="002462E5">
              <w:rPr>
                <w:lang w:val="en-US"/>
              </w:rPr>
              <w:t>R, DB, MC</w:t>
            </w:r>
          </w:p>
          <w:p w14:paraId="04A85AA8" w14:textId="77777777" w:rsidR="002462E5" w:rsidRPr="00E2771E" w:rsidRDefault="002462E5" w:rsidP="00C27E59">
            <w:pPr>
              <w:pStyle w:val="TableText0"/>
              <w:jc w:val="center"/>
              <w:rPr>
                <w:lang w:val="en-US"/>
              </w:rPr>
            </w:pPr>
            <w:r>
              <w:rPr>
                <w:lang w:val="en-US"/>
              </w:rPr>
              <w:t>30 days</w:t>
            </w:r>
          </w:p>
        </w:tc>
        <w:tc>
          <w:tcPr>
            <w:tcW w:w="547" w:type="pct"/>
            <w:shd w:val="clear" w:color="auto" w:fill="auto"/>
            <w:vAlign w:val="center"/>
          </w:tcPr>
          <w:p w14:paraId="49AA93B5" w14:textId="77777777" w:rsidR="002462E5" w:rsidRPr="00BC7F7E" w:rsidRDefault="002462E5" w:rsidP="00C27E59">
            <w:pPr>
              <w:pStyle w:val="TableText0"/>
              <w:jc w:val="center"/>
              <w:rPr>
                <w:iCs/>
                <w:lang w:val="en-US"/>
              </w:rPr>
            </w:pPr>
            <w:r w:rsidRPr="00BC7F7E">
              <w:rPr>
                <w:iCs/>
                <w:lang w:val="en-US"/>
              </w:rPr>
              <w:t xml:space="preserve">Low </w:t>
            </w:r>
          </w:p>
        </w:tc>
        <w:tc>
          <w:tcPr>
            <w:tcW w:w="1560" w:type="pct"/>
            <w:shd w:val="clear" w:color="auto" w:fill="auto"/>
            <w:vAlign w:val="center"/>
          </w:tcPr>
          <w:p w14:paraId="2FF154D5" w14:textId="77777777" w:rsidR="002462E5" w:rsidRPr="00E2771E" w:rsidRDefault="002462E5" w:rsidP="00C27E59">
            <w:pPr>
              <w:pStyle w:val="TableText0"/>
              <w:jc w:val="center"/>
              <w:rPr>
                <w:lang w:val="en-US"/>
              </w:rPr>
            </w:pPr>
            <w:r>
              <w:rPr>
                <w:lang w:val="en-US"/>
              </w:rPr>
              <w:t xml:space="preserve">Adults aged </w:t>
            </w:r>
            <w:r w:rsidR="00437DB8">
              <w:rPr>
                <w:lang w:val="en-US"/>
              </w:rPr>
              <w:t>≥</w:t>
            </w:r>
            <w:r>
              <w:rPr>
                <w:lang w:val="en-US"/>
              </w:rPr>
              <w:t>50 yrs</w:t>
            </w:r>
          </w:p>
        </w:tc>
        <w:tc>
          <w:tcPr>
            <w:tcW w:w="770" w:type="pct"/>
            <w:shd w:val="clear" w:color="auto" w:fill="auto"/>
            <w:vAlign w:val="center"/>
          </w:tcPr>
          <w:p w14:paraId="58502D32" w14:textId="77777777" w:rsidR="002462E5" w:rsidRPr="00E2771E" w:rsidRDefault="002462E5" w:rsidP="00C27E59">
            <w:pPr>
              <w:pStyle w:val="TableText0"/>
              <w:jc w:val="center"/>
              <w:rPr>
                <w:lang w:val="en-US"/>
              </w:rPr>
            </w:pPr>
            <w:r>
              <w:rPr>
                <w:lang w:val="en-US"/>
              </w:rPr>
              <w:t>OPA, IgG, Safety</w:t>
            </w:r>
          </w:p>
        </w:tc>
      </w:tr>
      <w:tr w:rsidR="002462E5" w:rsidRPr="00E2771E" w14:paraId="23B77296" w14:textId="77777777" w:rsidTr="00F3222C">
        <w:trPr>
          <w:cantSplit/>
        </w:trPr>
        <w:tc>
          <w:tcPr>
            <w:tcW w:w="384" w:type="pct"/>
            <w:shd w:val="clear" w:color="auto" w:fill="auto"/>
            <w:vAlign w:val="center"/>
          </w:tcPr>
          <w:p w14:paraId="10D5AEBD" w14:textId="77777777" w:rsidR="002462E5" w:rsidRDefault="002462E5" w:rsidP="00C27E59">
            <w:pPr>
              <w:pStyle w:val="TableText0"/>
              <w:rPr>
                <w:lang w:val="en-US"/>
              </w:rPr>
            </w:pPr>
            <w:r>
              <w:rPr>
                <w:lang w:val="en-US"/>
              </w:rPr>
              <w:t>P007</w:t>
            </w:r>
          </w:p>
        </w:tc>
        <w:tc>
          <w:tcPr>
            <w:tcW w:w="773" w:type="pct"/>
            <w:shd w:val="clear" w:color="auto" w:fill="auto"/>
            <w:vAlign w:val="center"/>
          </w:tcPr>
          <w:p w14:paraId="709D3DDB" w14:textId="77777777" w:rsidR="002462E5" w:rsidRPr="00E2771E" w:rsidRDefault="002462E5" w:rsidP="00C27E59">
            <w:pPr>
              <w:pStyle w:val="TableText0"/>
              <w:jc w:val="center"/>
              <w:rPr>
                <w:lang w:val="en-US"/>
              </w:rPr>
            </w:pPr>
            <w:r>
              <w:rPr>
                <w:lang w:val="en-US"/>
              </w:rPr>
              <w:t>253</w:t>
            </w:r>
          </w:p>
        </w:tc>
        <w:tc>
          <w:tcPr>
            <w:tcW w:w="966" w:type="pct"/>
            <w:shd w:val="clear" w:color="auto" w:fill="auto"/>
            <w:vAlign w:val="center"/>
          </w:tcPr>
          <w:p w14:paraId="5B5AF969" w14:textId="77777777" w:rsidR="002462E5" w:rsidRDefault="003B30BF" w:rsidP="00C27E59">
            <w:pPr>
              <w:pStyle w:val="TableText0"/>
              <w:jc w:val="center"/>
              <w:rPr>
                <w:lang w:val="en-US"/>
              </w:rPr>
            </w:pPr>
            <w:r>
              <w:rPr>
                <w:lang w:val="en-US"/>
              </w:rPr>
              <w:t xml:space="preserve">Phase II, </w:t>
            </w:r>
            <w:r w:rsidR="002462E5">
              <w:rPr>
                <w:lang w:val="en-US"/>
              </w:rPr>
              <w:t>R, DB, MC</w:t>
            </w:r>
          </w:p>
          <w:p w14:paraId="4C1F1EEA" w14:textId="77777777" w:rsidR="002462E5" w:rsidRPr="00E2771E" w:rsidRDefault="002462E5" w:rsidP="00C27E59">
            <w:pPr>
              <w:pStyle w:val="TableText0"/>
              <w:jc w:val="center"/>
              <w:rPr>
                <w:lang w:val="en-US"/>
              </w:rPr>
            </w:pPr>
            <w:r>
              <w:rPr>
                <w:lang w:val="en-US"/>
              </w:rPr>
              <w:t>30 days</w:t>
            </w:r>
          </w:p>
        </w:tc>
        <w:tc>
          <w:tcPr>
            <w:tcW w:w="547" w:type="pct"/>
            <w:shd w:val="clear" w:color="auto" w:fill="auto"/>
            <w:vAlign w:val="center"/>
          </w:tcPr>
          <w:p w14:paraId="60F1D4D1" w14:textId="77777777" w:rsidR="002462E5" w:rsidRPr="00BC7F7E" w:rsidRDefault="002462E5" w:rsidP="00C27E59">
            <w:pPr>
              <w:pStyle w:val="TableText0"/>
              <w:jc w:val="center"/>
              <w:rPr>
                <w:iCs/>
                <w:lang w:val="en-US"/>
              </w:rPr>
            </w:pPr>
            <w:r w:rsidRPr="00BC7F7E">
              <w:rPr>
                <w:iCs/>
                <w:lang w:val="en-US"/>
              </w:rPr>
              <w:t xml:space="preserve">Low </w:t>
            </w:r>
          </w:p>
        </w:tc>
        <w:tc>
          <w:tcPr>
            <w:tcW w:w="1560" w:type="pct"/>
            <w:shd w:val="clear" w:color="auto" w:fill="auto"/>
            <w:vAlign w:val="center"/>
          </w:tcPr>
          <w:p w14:paraId="387E3FA6" w14:textId="77777777" w:rsidR="002462E5" w:rsidRPr="00E2771E" w:rsidRDefault="002462E5" w:rsidP="00C27E59">
            <w:pPr>
              <w:pStyle w:val="TableText0"/>
              <w:jc w:val="center"/>
              <w:rPr>
                <w:lang w:val="en-US"/>
              </w:rPr>
            </w:pPr>
            <w:r>
              <w:rPr>
                <w:lang w:val="en-US"/>
              </w:rPr>
              <w:t xml:space="preserve">Adults aged ≥65 yrs vaccinated with PPV23 </w:t>
            </w:r>
            <w:r w:rsidR="00437DB8">
              <w:rPr>
                <w:lang w:val="en-US"/>
              </w:rPr>
              <w:t>&gt;</w:t>
            </w:r>
            <w:r>
              <w:rPr>
                <w:lang w:val="en-US"/>
              </w:rPr>
              <w:t>1 yr</w:t>
            </w:r>
          </w:p>
        </w:tc>
        <w:tc>
          <w:tcPr>
            <w:tcW w:w="770" w:type="pct"/>
            <w:shd w:val="clear" w:color="auto" w:fill="auto"/>
            <w:vAlign w:val="center"/>
          </w:tcPr>
          <w:p w14:paraId="5E5CA875" w14:textId="77777777" w:rsidR="002462E5" w:rsidRPr="00E2771E" w:rsidRDefault="002462E5" w:rsidP="00C27E59">
            <w:pPr>
              <w:pStyle w:val="TableText0"/>
              <w:jc w:val="center"/>
              <w:rPr>
                <w:lang w:val="en-US"/>
              </w:rPr>
            </w:pPr>
            <w:r>
              <w:rPr>
                <w:lang w:val="en-US"/>
              </w:rPr>
              <w:t>OPA, IgG, Safety</w:t>
            </w:r>
          </w:p>
        </w:tc>
      </w:tr>
    </w:tbl>
    <w:p w14:paraId="4FB3B56A" w14:textId="77777777" w:rsidR="00011FDC" w:rsidRPr="00F51177" w:rsidRDefault="00011FDC" w:rsidP="00011FDC">
      <w:pPr>
        <w:pStyle w:val="TableFigureFooter"/>
      </w:pPr>
      <w:r w:rsidRPr="00F51177">
        <w:t>Source: Compiled during the evaluation</w:t>
      </w:r>
    </w:p>
    <w:p w14:paraId="3C4383F1" w14:textId="77777777" w:rsidR="00011FDC" w:rsidRPr="00F51177" w:rsidRDefault="00011FDC" w:rsidP="00011FDC">
      <w:pPr>
        <w:pStyle w:val="TableFigureFooter"/>
      </w:pPr>
      <w:r w:rsidRPr="00F51177">
        <w:t xml:space="preserve">DB = double blind; </w:t>
      </w:r>
      <w:r>
        <w:t xml:space="preserve">IgG = immunoglobulin G; HIV = </w:t>
      </w:r>
      <w:r w:rsidR="00635342">
        <w:t>h</w:t>
      </w:r>
      <w:r w:rsidRPr="00DF6867">
        <w:t>uman immunodeficiency virus</w:t>
      </w:r>
      <w:r>
        <w:t xml:space="preserve">; </w:t>
      </w:r>
      <w:r w:rsidRPr="00F51177">
        <w:t>MC = multi-centre</w:t>
      </w:r>
      <w:r>
        <w:t>; OPA = opsonophagocytic activity</w:t>
      </w:r>
      <w:r w:rsidRPr="00F51177">
        <w:t xml:space="preserve">; </w:t>
      </w:r>
      <w:r w:rsidRPr="00215EEC">
        <w:t>PCV13 = 13-valent pneumococcal conjugate vaccine; PCV15 = 15-valent pneumococcal conjugate vaccine</w:t>
      </w:r>
      <w:r>
        <w:t xml:space="preserve">; </w:t>
      </w:r>
      <w:r w:rsidRPr="00DD1197">
        <w:t>PPV23 = 23-valent pneumococcal polysaccharide vaccine</w:t>
      </w:r>
      <w:r>
        <w:t xml:space="preserve">; </w:t>
      </w:r>
      <w:r w:rsidRPr="00F51177">
        <w:t>R = randomised.</w:t>
      </w:r>
    </w:p>
    <w:p w14:paraId="052985A1" w14:textId="77777777" w:rsidR="00FC324C" w:rsidRDefault="00011FDC" w:rsidP="00011FDC">
      <w:pPr>
        <w:pStyle w:val="TableFigureFooter"/>
      </w:pPr>
      <w:r w:rsidRPr="00F51177">
        <w:rPr>
          <w:vertAlign w:val="superscript"/>
        </w:rPr>
        <w:t xml:space="preserve">a </w:t>
      </w:r>
      <w:r w:rsidRPr="00F51177">
        <w:t>at randomisation</w:t>
      </w:r>
    </w:p>
    <w:p w14:paraId="24F81322" w14:textId="77777777" w:rsidR="00FC324C" w:rsidRDefault="00011FDC" w:rsidP="00011FDC">
      <w:pPr>
        <w:pStyle w:val="TableFigureFooter"/>
      </w:pPr>
      <w:r w:rsidRPr="00F51177">
        <w:rPr>
          <w:vertAlign w:val="superscript"/>
        </w:rPr>
        <w:t xml:space="preserve">b </w:t>
      </w:r>
      <w:r w:rsidRPr="00F51177">
        <w:t>based on an outcome with longest duration</w:t>
      </w:r>
    </w:p>
    <w:p w14:paraId="5C02C82E" w14:textId="77777777" w:rsidR="00FC324C" w:rsidRDefault="00011FDC" w:rsidP="00011FDC">
      <w:pPr>
        <w:pStyle w:val="TableFigureFooter"/>
      </w:pPr>
      <w:r w:rsidRPr="00F51177">
        <w:rPr>
          <w:vertAlign w:val="superscript"/>
        </w:rPr>
        <w:t xml:space="preserve">c </w:t>
      </w:r>
      <w:r w:rsidRPr="00F51177">
        <w:t xml:space="preserve">unequal randomisation with a 3:3:3:1 ratio to receive PCV15 in three arms </w:t>
      </w:r>
      <w:r w:rsidR="001B4D91">
        <w:t xml:space="preserve">at different doses </w:t>
      </w:r>
      <w:r w:rsidRPr="00F51177">
        <w:t>and PCV13 in one arm</w:t>
      </w:r>
    </w:p>
    <w:p w14:paraId="71C67BD4" w14:textId="77777777" w:rsidR="00011FDC" w:rsidRPr="00BE2244" w:rsidRDefault="00011FDC" w:rsidP="00011FDC">
      <w:pPr>
        <w:pStyle w:val="TableFigureFooter"/>
        <w:rPr>
          <w:sz w:val="20"/>
        </w:rPr>
      </w:pPr>
      <w:r w:rsidRPr="00F51177">
        <w:rPr>
          <w:vertAlign w:val="superscript"/>
        </w:rPr>
        <w:t xml:space="preserve">d </w:t>
      </w:r>
      <w:r w:rsidRPr="00F51177">
        <w:t>unequal randomisation with a 3:1 ratio to receive PCV15 and PCV13 respectively</w:t>
      </w:r>
      <w:r w:rsidR="007D4FE3">
        <w:t xml:space="preserve"> </w:t>
      </w:r>
    </w:p>
    <w:p w14:paraId="66895C2A" w14:textId="77777777" w:rsidR="00CA6056" w:rsidRPr="00C12128" w:rsidRDefault="00CA6056" w:rsidP="00CA6056">
      <w:pPr>
        <w:pStyle w:val="3-BodyText"/>
      </w:pPr>
      <w:r w:rsidRPr="00C12128">
        <w:t>Key efficacy outcomes in the trials were based on immunological response and included the level of opsonophagocytic activity (OPA; measured in geometric mean titre; GMT) and immunoglobulin G (IgG; measured in geometric mean concentration; GMC) at Day 30 post-vaccination. The comparative efficacy was expressed as the ratio between PCV15 and PCV13 for OPA GMT and IgG GMC.</w:t>
      </w:r>
    </w:p>
    <w:p w14:paraId="3EA1A3AE" w14:textId="77777777" w:rsidR="00BB0C4A" w:rsidRPr="00C12128" w:rsidRDefault="00BB0C4A" w:rsidP="00D02305">
      <w:pPr>
        <w:pStyle w:val="3-BodyText"/>
        <w:spacing w:after="0"/>
      </w:pPr>
      <w:r w:rsidRPr="00C12128">
        <w:t>In terms of efficacy measure, the primary objective of these trials were:</w:t>
      </w:r>
    </w:p>
    <w:p w14:paraId="5A111DAE" w14:textId="77777777" w:rsidR="0028298C" w:rsidRPr="00C12128" w:rsidRDefault="0028298C" w:rsidP="00361418">
      <w:pPr>
        <w:pStyle w:val="3-BodyText"/>
        <w:numPr>
          <w:ilvl w:val="0"/>
          <w:numId w:val="35"/>
        </w:numPr>
        <w:spacing w:after="0"/>
      </w:pPr>
      <w:r w:rsidRPr="00C12128">
        <w:t xml:space="preserve">P019: </w:t>
      </w:r>
      <w:r w:rsidR="006979C4" w:rsidRPr="00C12128">
        <w:t>to compare serotype-specific OPA GMTs 30 days post-vaccination (Day 30) of PCV15 and PCV13</w:t>
      </w:r>
      <w:r w:rsidR="00361418" w:rsidRPr="00C12128">
        <w:t xml:space="preserve"> and to compare serotype-specific proportions of participants with a ≥4-fold rise from pre</w:t>
      </w:r>
      <w:r w:rsidR="00011ABA" w:rsidRPr="00C12128">
        <w:t>-</w:t>
      </w:r>
      <w:r w:rsidR="00361418" w:rsidRPr="00C12128">
        <w:t>vaccination (Day 1) to 30 days post</w:t>
      </w:r>
      <w:r w:rsidR="00011ABA" w:rsidRPr="00C12128">
        <w:t>-</w:t>
      </w:r>
      <w:r w:rsidR="00361418" w:rsidRPr="00C12128">
        <w:t xml:space="preserve">vaccination (Day 30) for OPA responses for the 2 unique serotypes in </w:t>
      </w:r>
      <w:r w:rsidR="006400EC" w:rsidRPr="00C12128">
        <w:t xml:space="preserve">PCV15 </w:t>
      </w:r>
      <w:r w:rsidR="005F090C" w:rsidRPr="00C12128">
        <w:t>of PCV15 and PCV13.</w:t>
      </w:r>
    </w:p>
    <w:p w14:paraId="5DAC8363" w14:textId="77777777" w:rsidR="00BB0C4A" w:rsidRPr="00C12128" w:rsidRDefault="00BB0C4A" w:rsidP="00BB0C4A">
      <w:pPr>
        <w:pStyle w:val="3-BodyText"/>
        <w:numPr>
          <w:ilvl w:val="0"/>
          <w:numId w:val="35"/>
        </w:numPr>
        <w:spacing w:after="0"/>
      </w:pPr>
      <w:r w:rsidRPr="00C12128">
        <w:rPr>
          <w:snapToGrid/>
          <w:lang w:val="en-US"/>
        </w:rPr>
        <w:t>P020</w:t>
      </w:r>
      <w:r w:rsidRPr="00C12128">
        <w:t xml:space="preserve">: to describe the immunogenicity of 3 lots of PCV15. </w:t>
      </w:r>
    </w:p>
    <w:p w14:paraId="3E394B60" w14:textId="77777777" w:rsidR="00BB0C4A" w:rsidRPr="00C12128" w:rsidRDefault="00BB0C4A" w:rsidP="00BB0C4A">
      <w:pPr>
        <w:pStyle w:val="3-BodyText"/>
        <w:numPr>
          <w:ilvl w:val="0"/>
          <w:numId w:val="35"/>
        </w:numPr>
        <w:spacing w:after="0"/>
      </w:pPr>
      <w:r w:rsidRPr="00C12128">
        <w:t xml:space="preserve">P016: to compare the OPA GMT ratio at Day 30 post-vaccination with PPV23 (at Month 13) for PCV15 and PCV13 recipients. </w:t>
      </w:r>
    </w:p>
    <w:p w14:paraId="370D769F" w14:textId="77777777" w:rsidR="00BB0C4A" w:rsidRPr="00C12128" w:rsidRDefault="00BB0C4A" w:rsidP="00BB0C4A">
      <w:pPr>
        <w:pStyle w:val="3-BodyText"/>
        <w:numPr>
          <w:ilvl w:val="0"/>
          <w:numId w:val="35"/>
        </w:numPr>
        <w:spacing w:after="0"/>
      </w:pPr>
      <w:r w:rsidRPr="00C12128">
        <w:t>P017: to evaluate OPA GMT ratio at Day 30 post-vaccination with PCV15 and PCV13 within each vaccination group separately.</w:t>
      </w:r>
    </w:p>
    <w:p w14:paraId="1A8C75F3" w14:textId="77777777" w:rsidR="00BB0C4A" w:rsidRPr="00C12128" w:rsidRDefault="00BB0C4A" w:rsidP="00BB0C4A">
      <w:pPr>
        <w:pStyle w:val="3-BodyText"/>
        <w:numPr>
          <w:ilvl w:val="0"/>
          <w:numId w:val="35"/>
        </w:numPr>
        <w:spacing w:after="0"/>
      </w:pPr>
      <w:r w:rsidRPr="00C12128">
        <w:t xml:space="preserve">P018: to evaluate OPA GMT ratio and IgG at Day 30 post-vaccination with PCV15 and PCV13 within each vaccination group separately. </w:t>
      </w:r>
    </w:p>
    <w:p w14:paraId="1995A9FF" w14:textId="77777777" w:rsidR="00BB0C4A" w:rsidRPr="00C12128" w:rsidRDefault="00BB0C4A" w:rsidP="00BB0C4A">
      <w:pPr>
        <w:pStyle w:val="3-BodyText"/>
        <w:numPr>
          <w:ilvl w:val="0"/>
          <w:numId w:val="35"/>
        </w:numPr>
        <w:spacing w:after="0"/>
      </w:pPr>
      <w:r w:rsidRPr="00C12128">
        <w:rPr>
          <w:snapToGrid/>
          <w:lang w:val="en-US"/>
        </w:rPr>
        <w:t>P006</w:t>
      </w:r>
      <w:r w:rsidRPr="00C12128">
        <w:t xml:space="preserve">: to compare two different formulations of PCV15 to PCV13. </w:t>
      </w:r>
    </w:p>
    <w:p w14:paraId="1DA75063" w14:textId="77777777" w:rsidR="00BB0C4A" w:rsidRPr="00C12128" w:rsidRDefault="00BB0C4A" w:rsidP="00D02305">
      <w:pPr>
        <w:pStyle w:val="3-BodyText"/>
        <w:numPr>
          <w:ilvl w:val="0"/>
          <w:numId w:val="35"/>
        </w:numPr>
      </w:pPr>
      <w:r w:rsidRPr="00C12128">
        <w:rPr>
          <w:snapToGrid/>
          <w:lang w:val="en-US"/>
        </w:rPr>
        <w:t>P007</w:t>
      </w:r>
      <w:r w:rsidRPr="00C12128">
        <w:t>: to summarise IgG responses measured at Day 1 and Day 30 post-vaccination in PCV15 recipients and PCV13 recipients.</w:t>
      </w:r>
    </w:p>
    <w:p w14:paraId="36C3BB02" w14:textId="77777777" w:rsidR="005340A6" w:rsidRDefault="0025283A" w:rsidP="00676906">
      <w:pPr>
        <w:pStyle w:val="3-BodyText"/>
      </w:pPr>
      <w:r w:rsidRPr="002470C7">
        <w:t>The ESC noted that o</w:t>
      </w:r>
      <w:r w:rsidR="00575A30" w:rsidRPr="002470C7">
        <w:t>nly</w:t>
      </w:r>
      <w:r w:rsidR="00575A30" w:rsidRPr="00C12128">
        <w:t xml:space="preserve"> P019 was </w:t>
      </w:r>
      <w:r w:rsidR="00D94D8D" w:rsidRPr="00C12128">
        <w:t xml:space="preserve">primarily </w:t>
      </w:r>
      <w:r w:rsidR="00575A30" w:rsidRPr="00C12128">
        <w:t>designed and powered to compare</w:t>
      </w:r>
      <w:r w:rsidR="00ED1511" w:rsidRPr="00C12128">
        <w:t xml:space="preserve"> the efficacy</w:t>
      </w:r>
      <w:r w:rsidR="009B5D7B" w:rsidRPr="00C12128">
        <w:t xml:space="preserve"> of</w:t>
      </w:r>
      <w:r w:rsidR="00575A30" w:rsidRPr="00C12128">
        <w:t xml:space="preserve"> PCV15 </w:t>
      </w:r>
      <w:r w:rsidR="00281589" w:rsidRPr="00C12128">
        <w:t>and</w:t>
      </w:r>
      <w:r w:rsidR="00575A30" w:rsidRPr="00C12128">
        <w:t xml:space="preserve"> PCV13.</w:t>
      </w:r>
      <w:r w:rsidR="008E36DF" w:rsidRPr="00C12128">
        <w:t xml:space="preserve"> </w:t>
      </w:r>
      <w:r w:rsidR="00BC1A3B" w:rsidRPr="00C12128">
        <w:t>P020, P016, P017, and P018 were not primarily designed to evaluate t</w:t>
      </w:r>
      <w:r w:rsidR="008E36DF" w:rsidRPr="00C12128">
        <w:t xml:space="preserve">hese </w:t>
      </w:r>
      <w:r w:rsidR="003D7782" w:rsidRPr="00C12128">
        <w:t xml:space="preserve">efficacy </w:t>
      </w:r>
      <w:r w:rsidR="008E36DF" w:rsidRPr="00C12128">
        <w:t>outcomes</w:t>
      </w:r>
      <w:r w:rsidR="00F306DD" w:rsidRPr="00C12128">
        <w:t xml:space="preserve"> (</w:t>
      </w:r>
      <w:r w:rsidR="00EC0560" w:rsidRPr="00C12128">
        <w:t>OPA</w:t>
      </w:r>
      <w:r w:rsidR="00F83CEE" w:rsidRPr="00C12128">
        <w:t xml:space="preserve"> GMT and IgG GMC </w:t>
      </w:r>
      <w:r w:rsidR="00583161" w:rsidRPr="00C12128">
        <w:t>ratios</w:t>
      </w:r>
      <w:r w:rsidR="00BC1A3B" w:rsidRPr="00C12128">
        <w:t xml:space="preserve"> at Day 30</w:t>
      </w:r>
      <w:r w:rsidR="00F83CEE" w:rsidRPr="00C12128">
        <w:t>)</w:t>
      </w:r>
      <w:r w:rsidR="002324BE" w:rsidRPr="00C12128">
        <w:t>.</w:t>
      </w:r>
      <w:r w:rsidR="00E839E9" w:rsidRPr="00C12128">
        <w:t xml:space="preserve"> </w:t>
      </w:r>
      <w:r w:rsidR="00211ACE" w:rsidRPr="00C12128">
        <w:t>The</w:t>
      </w:r>
      <w:r w:rsidR="00577A8D" w:rsidRPr="00C12128">
        <w:t xml:space="preserve"> Phase II</w:t>
      </w:r>
      <w:r w:rsidR="00211ACE" w:rsidRPr="00C12128">
        <w:t xml:space="preserve"> </w:t>
      </w:r>
      <w:r w:rsidR="00E839E9" w:rsidRPr="00C12128">
        <w:t>P006</w:t>
      </w:r>
      <w:r w:rsidR="00211ACE" w:rsidRPr="00C12128">
        <w:t xml:space="preserve"> trial</w:t>
      </w:r>
      <w:r w:rsidR="00B06D21" w:rsidRPr="00C12128">
        <w:t xml:space="preserve"> </w:t>
      </w:r>
      <w:r w:rsidR="00E839E9" w:rsidRPr="00C12128">
        <w:t>used</w:t>
      </w:r>
      <w:r w:rsidR="00344C10" w:rsidRPr="00C12128">
        <w:t xml:space="preserve"> a</w:t>
      </w:r>
      <w:r w:rsidR="00E839E9" w:rsidRPr="00C12128">
        <w:t xml:space="preserve"> less </w:t>
      </w:r>
      <w:r w:rsidR="00104791" w:rsidRPr="00C12128">
        <w:t>stringent statistical approach compared to P019</w:t>
      </w:r>
      <w:r w:rsidR="00DF5C02" w:rsidRPr="00C12128">
        <w:t xml:space="preserve"> to assess </w:t>
      </w:r>
      <w:r w:rsidR="00437DB8" w:rsidRPr="00C12128">
        <w:t>noninferior</w:t>
      </w:r>
      <w:r w:rsidR="000D3F6E" w:rsidRPr="00C12128">
        <w:t>ity</w:t>
      </w:r>
      <w:r w:rsidR="00A2103A" w:rsidRPr="00C12128">
        <w:t xml:space="preserve"> (</w:t>
      </w:r>
      <w:r w:rsidR="00DB1A26" w:rsidRPr="00C12128">
        <w:t>i.e</w:t>
      </w:r>
      <w:r w:rsidR="008533F3" w:rsidRPr="00C12128">
        <w:t xml:space="preserve">. </w:t>
      </w:r>
      <w:r w:rsidR="00A2103A" w:rsidRPr="00C12128">
        <w:t xml:space="preserve">P006 defined a </w:t>
      </w:r>
      <w:r w:rsidR="00437DB8" w:rsidRPr="00C12128">
        <w:t>noninferior</w:t>
      </w:r>
      <w:r w:rsidR="008533F3" w:rsidRPr="00C12128">
        <w:t>ity</w:t>
      </w:r>
      <w:r w:rsidR="00E52D1E" w:rsidRPr="00C12128">
        <w:t xml:space="preserve"> </w:t>
      </w:r>
      <w:r w:rsidR="00DF5C02" w:rsidRPr="00C12128">
        <w:t>threshold</w:t>
      </w:r>
      <w:r w:rsidR="00E52D1E" w:rsidRPr="00C12128">
        <w:t xml:space="preserve"> </w:t>
      </w:r>
      <w:r w:rsidR="00211ACE" w:rsidRPr="00C12128">
        <w:t xml:space="preserve">for OPA GMT ratio </w:t>
      </w:r>
      <w:r w:rsidR="00154632" w:rsidRPr="00C12128">
        <w:t xml:space="preserve">of 0.33 </w:t>
      </w:r>
      <w:r w:rsidR="00195716" w:rsidRPr="00C12128">
        <w:t>while in</w:t>
      </w:r>
      <w:r w:rsidR="00154632" w:rsidRPr="00C12128">
        <w:t xml:space="preserve"> P019</w:t>
      </w:r>
      <w:r w:rsidR="00211ACE" w:rsidRPr="00C12128">
        <w:t>, the threshold</w:t>
      </w:r>
      <w:r w:rsidR="00154632" w:rsidRPr="00C12128">
        <w:t xml:space="preserve"> </w:t>
      </w:r>
      <w:r w:rsidR="002A503D" w:rsidRPr="00C12128">
        <w:t xml:space="preserve">was </w:t>
      </w:r>
      <w:r w:rsidR="00154632" w:rsidRPr="00C12128">
        <w:t>0.50</w:t>
      </w:r>
      <w:r w:rsidR="000D3F6E" w:rsidRPr="00C12128">
        <w:t>)</w:t>
      </w:r>
      <w:r w:rsidR="00211ACE" w:rsidRPr="00C12128">
        <w:t>.</w:t>
      </w:r>
      <w:r w:rsidR="00F53F3E" w:rsidRPr="00C12128">
        <w:t xml:space="preserve"> </w:t>
      </w:r>
      <w:r w:rsidR="00312515" w:rsidRPr="00C12128">
        <w:t>P007 was a descriptive study, and therefore no hypotheses were generated.</w:t>
      </w:r>
      <w:r w:rsidR="0092288A" w:rsidRPr="00C12128">
        <w:t xml:space="preserve"> </w:t>
      </w:r>
      <w:r w:rsidR="003D5F44" w:rsidRPr="00C12128">
        <w:t>Interpretation of results from these supplementary trials and related analyses should be made with caution.</w:t>
      </w:r>
    </w:p>
    <w:p w14:paraId="0DEA1BCA" w14:textId="77777777" w:rsidR="001B7893" w:rsidRPr="002C39BC" w:rsidRDefault="001B7893" w:rsidP="00676906">
      <w:pPr>
        <w:pStyle w:val="3-BodyText"/>
      </w:pPr>
      <w:r w:rsidRPr="002C39BC">
        <w:t xml:space="preserve">The pivotal trial, P019, enrolled participants that differed from the proposed listing populations (P019 </w:t>
      </w:r>
      <w:r w:rsidR="003C742D">
        <w:t>included non-</w:t>
      </w:r>
      <w:r w:rsidR="003175D4">
        <w:t>I</w:t>
      </w:r>
      <w:r w:rsidR="003C742D">
        <w:t>ndigenous adults</w:t>
      </w:r>
      <w:r w:rsidR="003C742D" w:rsidRPr="002C39BC">
        <w:t xml:space="preserve"> </w:t>
      </w:r>
      <w:r w:rsidRPr="002C39BC">
        <w:t xml:space="preserve">younger than </w:t>
      </w:r>
      <w:bookmarkStart w:id="24" w:name="_Hlk84971819"/>
      <w:r w:rsidRPr="002C39BC">
        <w:t>70</w:t>
      </w:r>
      <w:r w:rsidR="0025283A" w:rsidRPr="002C39BC">
        <w:t> </w:t>
      </w:r>
      <w:bookmarkEnd w:id="24"/>
      <w:r w:rsidRPr="002C39BC">
        <w:t>years</w:t>
      </w:r>
      <w:r w:rsidR="004C2924">
        <w:t>,</w:t>
      </w:r>
      <w:r w:rsidRPr="002C39BC">
        <w:t xml:space="preserve"> the trial was not restricted to Indigenous adults aged </w:t>
      </w:r>
      <w:r w:rsidRPr="002C39BC">
        <w:rPr>
          <w:rFonts w:cs="Calibri"/>
        </w:rPr>
        <w:t>≥</w:t>
      </w:r>
      <w:r w:rsidRPr="002C39BC">
        <w:t xml:space="preserve">50 years, and patients were in good health </w:t>
      </w:r>
      <w:r w:rsidR="003C742D">
        <w:t xml:space="preserve">according to </w:t>
      </w:r>
      <w:r w:rsidRPr="002C39BC">
        <w:t>investigator’s opinion</w:t>
      </w:r>
      <w:r w:rsidR="004C2924">
        <w:t xml:space="preserve"> </w:t>
      </w:r>
      <w:r w:rsidR="003C742D">
        <w:t>(</w:t>
      </w:r>
      <w:r w:rsidRPr="002C39BC">
        <w:t>i.e. not at increased risk of pneumococcal disease)</w:t>
      </w:r>
      <w:r w:rsidR="003C742D">
        <w:t>)</w:t>
      </w:r>
      <w:r w:rsidRPr="002C39BC">
        <w:t>.</w:t>
      </w:r>
      <w:r w:rsidR="00676A35" w:rsidRPr="002C39BC">
        <w:t xml:space="preserve"> The ESC noted that </w:t>
      </w:r>
      <w:r w:rsidR="00452536" w:rsidRPr="002C39BC">
        <w:t>69.1%</w:t>
      </w:r>
      <w:r w:rsidR="00676A35" w:rsidRPr="002C39BC">
        <w:t xml:space="preserve"> of participants in P019 were aged over </w:t>
      </w:r>
      <w:r w:rsidR="00452536" w:rsidRPr="002C39BC">
        <w:t>65</w:t>
      </w:r>
      <w:r w:rsidR="00676A35" w:rsidRPr="002C39BC">
        <w:t xml:space="preserve"> years</w:t>
      </w:r>
      <w:r w:rsidR="00452536" w:rsidRPr="002C39BC">
        <w:t xml:space="preserve">, and </w:t>
      </w:r>
      <w:r w:rsidR="00676A35" w:rsidRPr="002C39BC">
        <w:t xml:space="preserve">considered that the population in P019 </w:t>
      </w:r>
      <w:r w:rsidR="00100BE1" w:rsidRPr="002C39BC">
        <w:t>would be similar overall to the proposed population of non-</w:t>
      </w:r>
      <w:r w:rsidR="0025283A" w:rsidRPr="002C39BC">
        <w:t>I</w:t>
      </w:r>
      <w:r w:rsidR="00100BE1" w:rsidRPr="002C39BC">
        <w:t xml:space="preserve">ndigenous adults aged </w:t>
      </w:r>
      <w:r w:rsidR="00100BE1" w:rsidRPr="002C39BC">
        <w:rPr>
          <w:rFonts w:cs="Calibri"/>
        </w:rPr>
        <w:t>≥</w:t>
      </w:r>
      <w:r w:rsidR="00100BE1" w:rsidRPr="002C39BC">
        <w:t>70</w:t>
      </w:r>
      <w:r w:rsidR="00452536" w:rsidRPr="002C39BC">
        <w:t xml:space="preserve"> years</w:t>
      </w:r>
      <w:r w:rsidR="00100BE1" w:rsidRPr="002C39BC">
        <w:t>.</w:t>
      </w:r>
    </w:p>
    <w:p w14:paraId="6938C29D" w14:textId="77777777" w:rsidR="00176562" w:rsidRPr="00C12128" w:rsidRDefault="00251044" w:rsidP="00251044">
      <w:pPr>
        <w:pStyle w:val="3-BodyText"/>
        <w:rPr>
          <w:color w:val="0066FF"/>
        </w:rPr>
      </w:pPr>
      <w:r w:rsidRPr="00C12128">
        <w:t xml:space="preserve">The key outcomes </w:t>
      </w:r>
      <w:r w:rsidR="000478B7" w:rsidRPr="00C12128">
        <w:t xml:space="preserve">presented in the submission </w:t>
      </w:r>
      <w:r w:rsidR="00191DF7" w:rsidRPr="00C12128">
        <w:t>to compare the efficacy</w:t>
      </w:r>
      <w:r w:rsidR="0018704D" w:rsidRPr="00C12128">
        <w:t xml:space="preserve"> of PCV15 and PCV13 </w:t>
      </w:r>
      <w:r w:rsidR="00AB27AF" w:rsidRPr="00C12128">
        <w:t>includ</w:t>
      </w:r>
      <w:r w:rsidR="000478B7" w:rsidRPr="00C12128">
        <w:t>ed</w:t>
      </w:r>
      <w:r w:rsidR="00AB27AF" w:rsidRPr="00C12128">
        <w:t xml:space="preserve"> </w:t>
      </w:r>
      <w:r w:rsidR="0018704D" w:rsidRPr="00C12128">
        <w:t xml:space="preserve">the </w:t>
      </w:r>
      <w:r w:rsidR="00AB27AF" w:rsidRPr="00C12128">
        <w:t>OPA</w:t>
      </w:r>
      <w:r w:rsidR="002A7FAA" w:rsidRPr="00C12128">
        <w:t xml:space="preserve"> GMT</w:t>
      </w:r>
      <w:r w:rsidR="00AB27AF" w:rsidRPr="00C12128">
        <w:t xml:space="preserve"> and IgG </w:t>
      </w:r>
      <w:r w:rsidR="002A7FAA" w:rsidRPr="00C12128">
        <w:t>GMC</w:t>
      </w:r>
      <w:r w:rsidR="00B41F2E" w:rsidRPr="00C12128">
        <w:t xml:space="preserve"> ratios</w:t>
      </w:r>
      <w:r w:rsidR="000478B7" w:rsidRPr="00C12128">
        <w:t>, which</w:t>
      </w:r>
      <w:r w:rsidR="002A7FAA" w:rsidRPr="00C12128">
        <w:t xml:space="preserve"> </w:t>
      </w:r>
      <w:r w:rsidRPr="00C12128">
        <w:t>are surrogates for pneumococcal disease prevention.</w:t>
      </w:r>
      <w:r w:rsidR="00057720" w:rsidRPr="00C12128">
        <w:t xml:space="preserve"> </w:t>
      </w:r>
      <w:r w:rsidR="005F7478" w:rsidRPr="00C12128" w:rsidDel="00576D73">
        <w:t>The use of immunogenic response as a surrogate for disease prevention ha</w:t>
      </w:r>
      <w:r w:rsidR="004C2924">
        <w:t>d</w:t>
      </w:r>
      <w:r w:rsidR="005F7478" w:rsidRPr="00C12128" w:rsidDel="00576D73">
        <w:t xml:space="preserve"> previously been accepted by the PBAC for other vaccines </w:t>
      </w:r>
      <w:r w:rsidR="004E2D41" w:rsidRPr="00C12128" w:rsidDel="00576D73">
        <w:t>that</w:t>
      </w:r>
      <w:r w:rsidR="00EC37A5" w:rsidRPr="00C12128" w:rsidDel="00576D73">
        <w:t xml:space="preserve"> also</w:t>
      </w:r>
      <w:r w:rsidR="004E2D41" w:rsidRPr="00C12128" w:rsidDel="00576D73">
        <w:t xml:space="preserve"> assessed a condition </w:t>
      </w:r>
      <w:r w:rsidR="00EC37A5" w:rsidRPr="00C12128" w:rsidDel="00576D73">
        <w:t>with a low incidence</w:t>
      </w:r>
      <w:r w:rsidR="00D82A5D" w:rsidRPr="00C12128" w:rsidDel="00576D73">
        <w:t xml:space="preserve"> </w:t>
      </w:r>
      <w:r w:rsidR="009B18BB" w:rsidRPr="00C12128" w:rsidDel="00576D73">
        <w:t>like</w:t>
      </w:r>
      <w:r w:rsidR="0025790F" w:rsidRPr="00C12128" w:rsidDel="00576D73">
        <w:t xml:space="preserve"> </w:t>
      </w:r>
      <w:r w:rsidR="00EF5A52" w:rsidRPr="00C12128" w:rsidDel="00576D73">
        <w:t xml:space="preserve">meningococcal </w:t>
      </w:r>
      <w:r w:rsidR="0025790F" w:rsidRPr="00C12128" w:rsidDel="00576D73">
        <w:t>disease</w:t>
      </w:r>
      <w:r w:rsidR="00EC37A5" w:rsidRPr="00C12128" w:rsidDel="00576D73">
        <w:t xml:space="preserve"> </w:t>
      </w:r>
      <w:r w:rsidR="005F7478" w:rsidRPr="00C12128" w:rsidDel="00576D73">
        <w:t>(</w:t>
      </w:r>
      <w:r w:rsidR="00883ED2" w:rsidRPr="00C12128" w:rsidDel="00576D73">
        <w:t>MenACWY-TT, Public Summary Document (PSD), November 2020 PBAC meeting</w:t>
      </w:r>
      <w:r w:rsidR="005F7478" w:rsidRPr="00C12128" w:rsidDel="00576D73">
        <w:t>)</w:t>
      </w:r>
      <w:r w:rsidR="004A0316" w:rsidRPr="00C12128" w:rsidDel="00576D73">
        <w:t>.</w:t>
      </w:r>
      <w:r w:rsidR="005F7478" w:rsidRPr="00C12128" w:rsidDel="00576D73">
        <w:t xml:space="preserve"> </w:t>
      </w:r>
      <w:r w:rsidR="005F7478" w:rsidRPr="00C12128">
        <w:t xml:space="preserve">ATAGI considered that using such immunogenicity outcomes </w:t>
      </w:r>
      <w:r w:rsidR="004C2924">
        <w:t>was</w:t>
      </w:r>
      <w:r w:rsidR="004C2924" w:rsidRPr="00C12128">
        <w:t xml:space="preserve"> </w:t>
      </w:r>
      <w:r w:rsidR="005F7478" w:rsidRPr="00C12128">
        <w:t xml:space="preserve">reasonable given the low incidence of </w:t>
      </w:r>
      <w:r w:rsidR="00497F89" w:rsidRPr="00C12128">
        <w:t>pneumococcal disease</w:t>
      </w:r>
      <w:r w:rsidR="00A837E3" w:rsidRPr="00C12128">
        <w:t>, noting that it has previously accepted this approach for pneumococcal vaccines</w:t>
      </w:r>
      <w:r w:rsidR="005F7478" w:rsidRPr="00C12128">
        <w:t xml:space="preserve"> (p6 of the ATAGI </w:t>
      </w:r>
      <w:r w:rsidR="0098038D" w:rsidRPr="00C12128">
        <w:t>advice</w:t>
      </w:r>
      <w:r w:rsidR="005F7478" w:rsidRPr="00C12128">
        <w:t xml:space="preserve">). </w:t>
      </w:r>
      <w:r w:rsidR="00F820AF" w:rsidRPr="00C12128">
        <w:t xml:space="preserve">The </w:t>
      </w:r>
      <w:r w:rsidR="00802FA8" w:rsidRPr="00C12128">
        <w:t xml:space="preserve">PBAC </w:t>
      </w:r>
      <w:r w:rsidR="00053B79" w:rsidRPr="00C12128">
        <w:t xml:space="preserve">previously </w:t>
      </w:r>
      <w:r w:rsidR="00802FA8" w:rsidRPr="00C12128">
        <w:t xml:space="preserve">recommended </w:t>
      </w:r>
      <w:r w:rsidR="005B6652" w:rsidRPr="00C12128">
        <w:t>listing PCV13</w:t>
      </w:r>
      <w:r w:rsidR="00AF43BB" w:rsidRPr="00C12128">
        <w:t xml:space="preserve"> for infants</w:t>
      </w:r>
      <w:r w:rsidR="003020DF" w:rsidRPr="00C12128">
        <w:t xml:space="preserve"> </w:t>
      </w:r>
      <w:r w:rsidR="005E4C6E" w:rsidRPr="00C12128">
        <w:t xml:space="preserve">on the basis of </w:t>
      </w:r>
      <w:r w:rsidR="00053B79" w:rsidRPr="00C12128">
        <w:t>noninferiority</w:t>
      </w:r>
      <w:r w:rsidR="005E4C6E" w:rsidRPr="00C12128">
        <w:t xml:space="preserve"> </w:t>
      </w:r>
      <w:r w:rsidR="00053B79" w:rsidRPr="00C12128">
        <w:t>with</w:t>
      </w:r>
      <w:r w:rsidR="005E4C6E" w:rsidRPr="00C12128">
        <w:t xml:space="preserve"> PCV7, based on immunogenicity outcomes</w:t>
      </w:r>
      <w:r w:rsidR="00402957" w:rsidRPr="00C12128">
        <w:t xml:space="preserve"> (with </w:t>
      </w:r>
      <w:r w:rsidR="009533A3" w:rsidRPr="00C12128">
        <w:t xml:space="preserve">some concerns </w:t>
      </w:r>
      <w:r w:rsidR="00402957" w:rsidRPr="00C12128">
        <w:t xml:space="preserve">around immune persistence). </w:t>
      </w:r>
      <w:r w:rsidR="00AD7241" w:rsidRPr="00C12128">
        <w:t>At that time, t</w:t>
      </w:r>
      <w:r w:rsidR="00402957" w:rsidRPr="00C12128">
        <w:t xml:space="preserve">he PBAC </w:t>
      </w:r>
      <w:r w:rsidR="00830E24">
        <w:t>did not</w:t>
      </w:r>
      <w:r w:rsidR="00402957" w:rsidRPr="00C12128">
        <w:t xml:space="preserve"> accept a claim of superiority</w:t>
      </w:r>
      <w:r w:rsidR="00830E24">
        <w:t xml:space="preserve"> for PCV13 due to</w:t>
      </w:r>
      <w:r w:rsidR="00402957" w:rsidRPr="00C12128">
        <w:t xml:space="preserve"> </w:t>
      </w:r>
      <w:r w:rsidR="00DC078B" w:rsidRPr="00C12128">
        <w:t xml:space="preserve">uncertainty </w:t>
      </w:r>
      <w:r w:rsidR="004C2924">
        <w:t xml:space="preserve">about </w:t>
      </w:r>
      <w:r w:rsidR="00DC078B" w:rsidRPr="00C12128">
        <w:t xml:space="preserve">whether </w:t>
      </w:r>
      <w:r w:rsidR="00BB6FB1" w:rsidRPr="00C12128">
        <w:t xml:space="preserve">the immunogenicity </w:t>
      </w:r>
      <w:r w:rsidR="0091776C">
        <w:t xml:space="preserve">results from the trials </w:t>
      </w:r>
      <w:r w:rsidR="00BB6FB1" w:rsidRPr="00C12128">
        <w:t>would translate into clinically important benefits (</w:t>
      </w:r>
      <w:r w:rsidR="00383B02" w:rsidRPr="00C12128">
        <w:t xml:space="preserve">PCV13, </w:t>
      </w:r>
      <w:r w:rsidR="00582ABB" w:rsidRPr="00C12128">
        <w:t>PSD</w:t>
      </w:r>
      <w:r w:rsidR="00F050E6" w:rsidRPr="00C12128">
        <w:t>, July 2010 PBAC meeting</w:t>
      </w:r>
      <w:r w:rsidR="00166A56" w:rsidRPr="00C12128">
        <w:t>)</w:t>
      </w:r>
      <w:r w:rsidR="00F050E6" w:rsidRPr="00C12128">
        <w:t>.</w:t>
      </w:r>
      <w:r w:rsidR="005F7478" w:rsidRPr="00C12128">
        <w:t xml:space="preserve"> </w:t>
      </w:r>
    </w:p>
    <w:p w14:paraId="418EDDA6" w14:textId="77777777" w:rsidR="002C2E3D" w:rsidRPr="002C39BC" w:rsidRDefault="004215E4" w:rsidP="00C27E59">
      <w:pPr>
        <w:pStyle w:val="3-BodyText"/>
      </w:pPr>
      <w:bookmarkStart w:id="25" w:name="_Ref85198041"/>
      <w:r w:rsidRPr="002C39BC">
        <w:t xml:space="preserve">ATAGI </w:t>
      </w:r>
      <w:r w:rsidR="004C2924">
        <w:t xml:space="preserve">had </w:t>
      </w:r>
      <w:r w:rsidRPr="002C39BC">
        <w:t>noted that threshold values for OPA and IgG that correlate with clinical protection have not yet been documented in adults. As such, the magnitude and precision of any resultant clinical benefit</w:t>
      </w:r>
      <w:r w:rsidR="004C59CB" w:rsidRPr="002C39BC">
        <w:t xml:space="preserve"> based on these outcomes</w:t>
      </w:r>
      <w:r w:rsidRPr="002C39BC">
        <w:t xml:space="preserve"> remain</w:t>
      </w:r>
      <w:r w:rsidR="004C2924">
        <w:t>ed</w:t>
      </w:r>
      <w:r w:rsidRPr="002C39BC">
        <w:t xml:space="preserve"> unknown. </w:t>
      </w:r>
      <w:r w:rsidR="005340A6" w:rsidRPr="002C39BC">
        <w:t xml:space="preserve">The outcome </w:t>
      </w:r>
      <w:r w:rsidR="003623D0" w:rsidRPr="002C39BC">
        <w:t xml:space="preserve">that </w:t>
      </w:r>
      <w:r w:rsidR="005340A6" w:rsidRPr="002C39BC">
        <w:t xml:space="preserve">was used as the basis of the clinical claim was the OPA GMT ratio (PCV15/PCV13) at Day 30. In P019, the </w:t>
      </w:r>
      <w:r w:rsidR="00437DB8" w:rsidRPr="002C39BC">
        <w:t>noninferior</w:t>
      </w:r>
      <w:r w:rsidR="005340A6" w:rsidRPr="002C39BC">
        <w:t>ity criteri</w:t>
      </w:r>
      <w:r w:rsidR="003623D0" w:rsidRPr="002C39BC">
        <w:t>on</w:t>
      </w:r>
      <w:r w:rsidR="005340A6" w:rsidRPr="002C39BC">
        <w:t xml:space="preserve"> </w:t>
      </w:r>
      <w:bookmarkStart w:id="26" w:name="_Hlk87879016"/>
      <w:r w:rsidR="005340A6" w:rsidRPr="002C39BC">
        <w:t>was</w:t>
      </w:r>
      <w:r w:rsidR="00011FDC" w:rsidRPr="002C39BC">
        <w:t xml:space="preserve"> a lower bound of the 95% confidence interval (CI) </w:t>
      </w:r>
      <w:r w:rsidR="005340A6" w:rsidRPr="002C39BC">
        <w:t xml:space="preserve">of the GMT </w:t>
      </w:r>
      <w:r w:rsidR="00011FDC" w:rsidRPr="002C39BC">
        <w:t xml:space="preserve">ratio </w:t>
      </w:r>
      <w:r w:rsidR="00437DB8" w:rsidRPr="002C39BC">
        <w:t>&gt;</w:t>
      </w:r>
      <w:r w:rsidR="00011FDC" w:rsidRPr="002C39BC">
        <w:t>0.50</w:t>
      </w:r>
      <w:r w:rsidR="00EB3993" w:rsidRPr="002C39BC">
        <w:t>.</w:t>
      </w:r>
      <w:r w:rsidR="00011FDC" w:rsidRPr="002C39BC">
        <w:t xml:space="preserve"> </w:t>
      </w:r>
      <w:bookmarkEnd w:id="26"/>
      <w:r w:rsidR="00011FDC" w:rsidRPr="002C39BC">
        <w:t xml:space="preserve">ATAGI </w:t>
      </w:r>
      <w:r w:rsidR="004C2924">
        <w:t>had been</w:t>
      </w:r>
      <w:r w:rsidR="004C2924" w:rsidRPr="002C39BC">
        <w:t xml:space="preserve"> </w:t>
      </w:r>
      <w:r w:rsidR="00011FDC" w:rsidRPr="002C39BC">
        <w:t xml:space="preserve">concerned that the </w:t>
      </w:r>
      <w:r w:rsidR="00437DB8" w:rsidRPr="002C39BC">
        <w:t>noninferior</w:t>
      </w:r>
      <w:r w:rsidR="00011FDC" w:rsidRPr="002C39BC">
        <w:t xml:space="preserve">ity </w:t>
      </w:r>
      <w:r w:rsidR="0027337C" w:rsidRPr="002C39BC">
        <w:t xml:space="preserve">threshold </w:t>
      </w:r>
      <w:r w:rsidR="00011FDC" w:rsidRPr="002C39BC">
        <w:t xml:space="preserve">of 0.50 was lower than </w:t>
      </w:r>
      <w:r w:rsidR="00843C98" w:rsidRPr="002C39BC">
        <w:t xml:space="preserve">that </w:t>
      </w:r>
      <w:r w:rsidR="00C83032" w:rsidRPr="002C39BC">
        <w:t xml:space="preserve">suggested </w:t>
      </w:r>
      <w:r w:rsidR="00011FDC" w:rsidRPr="002C39BC">
        <w:t>by the W</w:t>
      </w:r>
      <w:r w:rsidR="004C2924">
        <w:t xml:space="preserve">orld </w:t>
      </w:r>
      <w:r w:rsidR="00011FDC" w:rsidRPr="002C39BC">
        <w:t>H</w:t>
      </w:r>
      <w:r w:rsidR="004C2924">
        <w:t xml:space="preserve">ealth </w:t>
      </w:r>
      <w:r w:rsidR="00011FDC" w:rsidRPr="002C39BC">
        <w:t>O</w:t>
      </w:r>
      <w:r w:rsidR="004C2924">
        <w:t>rganization (WHO)</w:t>
      </w:r>
      <w:r w:rsidR="00011FDC" w:rsidRPr="002C39BC">
        <w:t xml:space="preserve"> of 0.67</w:t>
      </w:r>
      <w:r w:rsidR="00C83032" w:rsidRPr="002C39BC">
        <w:t xml:space="preserve"> as</w:t>
      </w:r>
      <w:r w:rsidR="00011FDC" w:rsidRPr="002C39BC">
        <w:t xml:space="preserve"> using such low threshold may</w:t>
      </w:r>
      <w:r w:rsidR="004C2924">
        <w:t xml:space="preserve"> potentially</w:t>
      </w:r>
      <w:r w:rsidR="00011FDC" w:rsidRPr="002C39BC">
        <w:t xml:space="preserve"> result in accepting a vaccine that has lower efficacy than the original vaccine</w:t>
      </w:r>
      <w:r w:rsidR="004659C2" w:rsidRPr="002C39BC">
        <w:t>s</w:t>
      </w:r>
      <w:r w:rsidR="00011FDC" w:rsidRPr="002C39BC">
        <w:t xml:space="preserve"> (</w:t>
      </w:r>
      <w:r w:rsidR="004659C2" w:rsidRPr="002C39BC">
        <w:t xml:space="preserve">e.g. </w:t>
      </w:r>
      <w:r w:rsidR="00011FDC" w:rsidRPr="002C39BC">
        <w:t xml:space="preserve">7-valent pneumococcal conjugate vaccine; PCV7) i.e. ‘downward drift’ (p18 of the ATAGI </w:t>
      </w:r>
      <w:r w:rsidR="001C7783" w:rsidRPr="002C39BC">
        <w:t>advice</w:t>
      </w:r>
      <w:r w:rsidR="00011FDC" w:rsidRPr="002C39BC">
        <w:t>).</w:t>
      </w:r>
      <w:r w:rsidR="00837C26" w:rsidRPr="002C39BC">
        <w:rPr>
          <w:rFonts w:ascii="Calibri" w:hAnsi="Calibri"/>
        </w:rPr>
        <w:t xml:space="preserve"> The Pre-Sub-Committee Response (PSCR) </w:t>
      </w:r>
      <w:r w:rsidR="00530320" w:rsidRPr="002C39BC">
        <w:rPr>
          <w:rFonts w:ascii="Calibri" w:hAnsi="Calibri"/>
        </w:rPr>
        <w:t>reiterated</w:t>
      </w:r>
      <w:r w:rsidR="00837C26" w:rsidRPr="002C39BC">
        <w:rPr>
          <w:rFonts w:ascii="Calibri" w:hAnsi="Calibri"/>
        </w:rPr>
        <w:t xml:space="preserve"> that ‘downward drift’ is less applicable to adult pneumococcal vaccines as PCV13 was the first pneumococcal conjugate vaccine licensed in adults. The PSCR  noted that the use of a 1.5-fold noninferiority margin in P019 would have increased the required sample size by more than 5-6</w:t>
      </w:r>
      <w:r w:rsidR="00530320" w:rsidRPr="002C39BC">
        <w:rPr>
          <w:rFonts w:ascii="Calibri" w:hAnsi="Calibri"/>
        </w:rPr>
        <w:t>-</w:t>
      </w:r>
      <w:r w:rsidR="00837C26" w:rsidRPr="002C39BC">
        <w:rPr>
          <w:rFonts w:ascii="Calibri" w:hAnsi="Calibri"/>
        </w:rPr>
        <w:t>fold, creating significant feasibility challenges.</w:t>
      </w:r>
      <w:r w:rsidR="00246598" w:rsidRPr="002C39BC">
        <w:rPr>
          <w:rFonts w:ascii="Calibri" w:hAnsi="Calibri"/>
        </w:rPr>
        <w:t xml:space="preserve"> The </w:t>
      </w:r>
      <w:r w:rsidR="0028381E" w:rsidRPr="002C39BC">
        <w:rPr>
          <w:rFonts w:ascii="Calibri" w:hAnsi="Calibri"/>
        </w:rPr>
        <w:t xml:space="preserve">ESC </w:t>
      </w:r>
      <w:r w:rsidR="008C7C4B" w:rsidRPr="002C39BC">
        <w:rPr>
          <w:rFonts w:ascii="Calibri" w:hAnsi="Calibri"/>
        </w:rPr>
        <w:t xml:space="preserve">acknowledged that it may be difficult to achieve </w:t>
      </w:r>
      <w:r w:rsidR="00843063" w:rsidRPr="002C39BC">
        <w:rPr>
          <w:rFonts w:ascii="Calibri" w:hAnsi="Calibri"/>
        </w:rPr>
        <w:t>the large</w:t>
      </w:r>
      <w:r w:rsidR="008C7C4B" w:rsidRPr="002C39BC">
        <w:rPr>
          <w:rFonts w:ascii="Calibri" w:hAnsi="Calibri"/>
        </w:rPr>
        <w:t xml:space="preserve"> sample size</w:t>
      </w:r>
      <w:r w:rsidR="00843063" w:rsidRPr="002C39BC">
        <w:rPr>
          <w:rFonts w:ascii="Calibri" w:hAnsi="Calibri"/>
        </w:rPr>
        <w:t>s</w:t>
      </w:r>
      <w:r w:rsidR="008C7C4B" w:rsidRPr="002C39BC">
        <w:rPr>
          <w:rFonts w:ascii="Calibri" w:hAnsi="Calibri"/>
        </w:rPr>
        <w:t xml:space="preserve"> </w:t>
      </w:r>
      <w:r w:rsidR="00843063" w:rsidRPr="002C39BC">
        <w:rPr>
          <w:rFonts w:ascii="Calibri" w:hAnsi="Calibri"/>
        </w:rPr>
        <w:t xml:space="preserve">required to assess noninferiority of </w:t>
      </w:r>
      <w:r w:rsidR="008C7C4B" w:rsidRPr="002C39BC">
        <w:rPr>
          <w:rFonts w:ascii="Calibri" w:hAnsi="Calibri"/>
        </w:rPr>
        <w:t>vaccines with multiple antigens</w:t>
      </w:r>
      <w:r w:rsidR="00843063" w:rsidRPr="002C39BC">
        <w:rPr>
          <w:rFonts w:ascii="Calibri" w:hAnsi="Calibri"/>
        </w:rPr>
        <w:t xml:space="preserve"> such as PCV15. </w:t>
      </w:r>
      <w:bookmarkEnd w:id="25"/>
    </w:p>
    <w:p w14:paraId="20D9F044" w14:textId="77777777" w:rsidR="00011FDC" w:rsidRPr="002C39BC" w:rsidRDefault="002C2E3D" w:rsidP="00C27E59">
      <w:pPr>
        <w:pStyle w:val="3-BodyText"/>
      </w:pPr>
      <w:r w:rsidRPr="002C39BC">
        <w:t>Superiority was claimed if the lower 95% CI bound of the 95% CI of the GMT ratios was &gt;2 for serotype 22F and 33F and &gt;1.2 for serotype 3. T</w:t>
      </w:r>
      <w:r w:rsidR="00011FDC" w:rsidRPr="002C39BC">
        <w:t>he superiority criteri</w:t>
      </w:r>
      <w:r w:rsidR="00DF7A06" w:rsidRPr="002C39BC">
        <w:t>on</w:t>
      </w:r>
      <w:r w:rsidR="00011FDC" w:rsidRPr="002C39BC">
        <w:t xml:space="preserve"> used for serotype 3 of 1.2 was not pre-specified in the original study protocol</w:t>
      </w:r>
      <w:r w:rsidR="00A835C6" w:rsidRPr="002C39BC">
        <w:t xml:space="preserve"> and</w:t>
      </w:r>
      <w:r w:rsidR="00011FDC" w:rsidRPr="002C39BC">
        <w:t xml:space="preserve"> ATAGI considered that such</w:t>
      </w:r>
      <w:r w:rsidR="00DF7A06" w:rsidRPr="002C39BC">
        <w:t xml:space="preserve"> a</w:t>
      </w:r>
      <w:r w:rsidR="00011FDC" w:rsidRPr="002C39BC">
        <w:t xml:space="preserve"> criteri</w:t>
      </w:r>
      <w:r w:rsidR="00DF7A06" w:rsidRPr="002C39BC">
        <w:t>on</w:t>
      </w:r>
      <w:r w:rsidR="00011FDC" w:rsidRPr="002C39BC">
        <w:t xml:space="preserve"> (1.2) was ‘poorly justified’ (p20 of the ATAGI </w:t>
      </w:r>
      <w:r w:rsidR="001C7783" w:rsidRPr="002C39BC">
        <w:t>advice</w:t>
      </w:r>
      <w:r w:rsidR="00011FDC" w:rsidRPr="002C39BC">
        <w:t xml:space="preserve">). </w:t>
      </w:r>
      <w:r w:rsidR="00D63D67" w:rsidRPr="002C39BC">
        <w:rPr>
          <w:rFonts w:ascii="Calibri" w:hAnsi="Calibri"/>
        </w:rPr>
        <w:t>Also, this differ</w:t>
      </w:r>
      <w:r w:rsidR="00903B55" w:rsidRPr="002C39BC">
        <w:rPr>
          <w:rFonts w:ascii="Calibri" w:hAnsi="Calibri"/>
        </w:rPr>
        <w:t>ed</w:t>
      </w:r>
      <w:r w:rsidR="00D63D67" w:rsidRPr="002C39BC">
        <w:rPr>
          <w:rFonts w:ascii="Calibri" w:hAnsi="Calibri"/>
        </w:rPr>
        <w:t xml:space="preserve"> from the superiority </w:t>
      </w:r>
      <w:r w:rsidR="00F8604E" w:rsidRPr="002C39BC">
        <w:rPr>
          <w:rFonts w:ascii="Calibri" w:hAnsi="Calibri"/>
        </w:rPr>
        <w:t xml:space="preserve">criterion </w:t>
      </w:r>
      <w:r w:rsidR="00D265C2" w:rsidRPr="002C39BC">
        <w:rPr>
          <w:rFonts w:ascii="Calibri" w:hAnsi="Calibri"/>
        </w:rPr>
        <w:t xml:space="preserve">of 2.0 </w:t>
      </w:r>
      <w:r w:rsidR="00D63D67" w:rsidRPr="002C39BC">
        <w:rPr>
          <w:rFonts w:ascii="Calibri" w:hAnsi="Calibri"/>
        </w:rPr>
        <w:t xml:space="preserve">used in the same trial for serotypes </w:t>
      </w:r>
      <w:r w:rsidR="009355E8" w:rsidRPr="002C39BC">
        <w:rPr>
          <w:rFonts w:ascii="Calibri" w:hAnsi="Calibri"/>
        </w:rPr>
        <w:t>22F and 33F</w:t>
      </w:r>
      <w:r w:rsidR="00D63D67" w:rsidRPr="002C39BC">
        <w:rPr>
          <w:rFonts w:ascii="Calibri" w:hAnsi="Calibri"/>
        </w:rPr>
        <w:t>.</w:t>
      </w:r>
      <w:r w:rsidR="008E6BCF" w:rsidRPr="002C39BC">
        <w:rPr>
          <w:rFonts w:ascii="Calibri" w:hAnsi="Calibri"/>
        </w:rPr>
        <w:t xml:space="preserve"> </w:t>
      </w:r>
      <w:r w:rsidR="00FF26BD" w:rsidRPr="002C39BC">
        <w:rPr>
          <w:rFonts w:ascii="Calibri" w:hAnsi="Calibri"/>
        </w:rPr>
        <w:t xml:space="preserve">The PSCR </w:t>
      </w:r>
      <w:r w:rsidR="004C7DEE" w:rsidRPr="002C39BC">
        <w:rPr>
          <w:rFonts w:ascii="Calibri" w:hAnsi="Calibri"/>
        </w:rPr>
        <w:t xml:space="preserve"> </w:t>
      </w:r>
      <w:r w:rsidR="00530320" w:rsidRPr="002C39BC">
        <w:rPr>
          <w:rFonts w:ascii="Calibri" w:hAnsi="Calibri"/>
        </w:rPr>
        <w:t>reiterated</w:t>
      </w:r>
      <w:r w:rsidR="004C7DEE" w:rsidRPr="002C39BC">
        <w:rPr>
          <w:rFonts w:ascii="Calibri" w:hAnsi="Calibri"/>
        </w:rPr>
        <w:t xml:space="preserve"> that a margin of 1.0 was typically used in superiority testing for shared serotypes </w:t>
      </w:r>
      <w:r w:rsidR="00847E76" w:rsidRPr="002C39BC">
        <w:rPr>
          <w:rFonts w:ascii="Calibri" w:hAnsi="Calibri"/>
        </w:rPr>
        <w:t>and as such, the margin for serotype</w:t>
      </w:r>
      <w:r w:rsidR="004C2924">
        <w:rPr>
          <w:rFonts w:ascii="Calibri" w:hAnsi="Calibri"/>
        </w:rPr>
        <w:t> </w:t>
      </w:r>
      <w:r w:rsidR="00847E76" w:rsidRPr="002C39BC">
        <w:rPr>
          <w:rFonts w:ascii="Calibri" w:hAnsi="Calibri"/>
        </w:rPr>
        <w:t xml:space="preserve">3 </w:t>
      </w:r>
      <w:r w:rsidR="00530320" w:rsidRPr="002C39BC">
        <w:rPr>
          <w:rFonts w:ascii="Calibri" w:hAnsi="Calibri"/>
        </w:rPr>
        <w:t>was</w:t>
      </w:r>
      <w:r w:rsidR="00847E76" w:rsidRPr="002C39BC">
        <w:rPr>
          <w:rFonts w:ascii="Calibri" w:hAnsi="Calibri"/>
        </w:rPr>
        <w:t xml:space="preserve"> conservative.</w:t>
      </w:r>
      <w:r w:rsidR="00FD6637" w:rsidRPr="002C39BC">
        <w:rPr>
          <w:rFonts w:ascii="Calibri" w:hAnsi="Calibri"/>
        </w:rPr>
        <w:t xml:space="preserve"> The PSCR</w:t>
      </w:r>
      <w:r w:rsidR="00FF26BD" w:rsidRPr="002C39BC">
        <w:rPr>
          <w:rFonts w:ascii="Calibri" w:hAnsi="Calibri"/>
        </w:rPr>
        <w:t xml:space="preserve"> contended that</w:t>
      </w:r>
      <w:r w:rsidR="00E25494" w:rsidRPr="002C39BC">
        <w:rPr>
          <w:rFonts w:ascii="Calibri" w:hAnsi="Calibri"/>
        </w:rPr>
        <w:t xml:space="preserve"> it </w:t>
      </w:r>
      <w:r w:rsidR="00FD6637" w:rsidRPr="002C39BC">
        <w:rPr>
          <w:rFonts w:ascii="Calibri" w:hAnsi="Calibri"/>
        </w:rPr>
        <w:t>would be</w:t>
      </w:r>
      <w:r w:rsidR="00E25494" w:rsidRPr="002C39BC">
        <w:rPr>
          <w:rFonts w:ascii="Calibri" w:hAnsi="Calibri"/>
        </w:rPr>
        <w:t xml:space="preserve"> inappropriate to apply</w:t>
      </w:r>
      <w:r w:rsidR="004C7DEE" w:rsidRPr="002C39BC">
        <w:rPr>
          <w:rFonts w:ascii="Calibri" w:hAnsi="Calibri"/>
        </w:rPr>
        <w:t xml:space="preserve"> </w:t>
      </w:r>
      <w:r w:rsidR="00FD6637" w:rsidRPr="002C39BC">
        <w:rPr>
          <w:rFonts w:ascii="Calibri" w:hAnsi="Calibri"/>
        </w:rPr>
        <w:t xml:space="preserve">a similar </w:t>
      </w:r>
      <w:r w:rsidR="004C7DEE" w:rsidRPr="002C39BC">
        <w:rPr>
          <w:rFonts w:ascii="Calibri" w:hAnsi="Calibri"/>
        </w:rPr>
        <w:t>superiority</w:t>
      </w:r>
      <w:r w:rsidR="00FF26BD" w:rsidRPr="002C39BC">
        <w:rPr>
          <w:rFonts w:ascii="Calibri" w:hAnsi="Calibri"/>
        </w:rPr>
        <w:t xml:space="preserve"> margin</w:t>
      </w:r>
      <w:r w:rsidR="00FD6637" w:rsidRPr="002C39BC">
        <w:rPr>
          <w:rFonts w:ascii="Calibri" w:hAnsi="Calibri"/>
        </w:rPr>
        <w:t xml:space="preserve"> for </w:t>
      </w:r>
      <w:r w:rsidR="009A130D" w:rsidRPr="002C39BC">
        <w:rPr>
          <w:rFonts w:ascii="Calibri" w:hAnsi="Calibri"/>
        </w:rPr>
        <w:t>serotypes 22F and 33F</w:t>
      </w:r>
      <w:r w:rsidR="00530320" w:rsidRPr="002C39BC">
        <w:rPr>
          <w:rFonts w:ascii="Calibri" w:hAnsi="Calibri"/>
        </w:rPr>
        <w:t>,</w:t>
      </w:r>
      <w:r w:rsidR="009A130D" w:rsidRPr="002C39BC">
        <w:rPr>
          <w:rFonts w:ascii="Calibri" w:hAnsi="Calibri"/>
        </w:rPr>
        <w:t xml:space="preserve"> which are unique to PCV15.</w:t>
      </w:r>
      <w:r w:rsidR="00FF26BD" w:rsidRPr="002C39BC">
        <w:rPr>
          <w:rFonts w:ascii="Calibri" w:hAnsi="Calibri"/>
        </w:rPr>
        <w:t xml:space="preserve"> </w:t>
      </w:r>
      <w:r w:rsidR="009A130D" w:rsidRPr="002C39BC">
        <w:t>The ESC noted that the superiority criterion was added as part of an amendment in February</w:t>
      </w:r>
      <w:r w:rsidR="00530320" w:rsidRPr="002C39BC">
        <w:t> </w:t>
      </w:r>
      <w:r w:rsidR="009A130D" w:rsidRPr="002C39BC">
        <w:t>2020 to the original protocol dated 9 January 2019.</w:t>
      </w:r>
      <w:r w:rsidR="008D1A1E" w:rsidRPr="002C39BC">
        <w:t xml:space="preserve"> The ESC </w:t>
      </w:r>
      <w:r w:rsidR="00F1657F" w:rsidRPr="002C39BC">
        <w:t>noted</w:t>
      </w:r>
      <w:r w:rsidR="008D1A1E" w:rsidRPr="002C39BC">
        <w:t xml:space="preserve"> that given the lack of a demonstrated OPA threshold </w:t>
      </w:r>
      <w:r w:rsidR="002469D7" w:rsidRPr="002C39BC">
        <w:t>that</w:t>
      </w:r>
      <w:r w:rsidR="008D1A1E" w:rsidRPr="002C39BC">
        <w:t xml:space="preserve"> correlates with clinical protection against pneumococcal disease,</w:t>
      </w:r>
      <w:r w:rsidR="00F1657F" w:rsidRPr="002C39BC">
        <w:t xml:space="preserve"> </w:t>
      </w:r>
      <w:bookmarkStart w:id="27" w:name="_Hlk87888451"/>
      <w:r w:rsidR="00F1657F" w:rsidRPr="002C39BC">
        <w:t xml:space="preserve">a superiority threshold which </w:t>
      </w:r>
      <w:r w:rsidR="00DE6EA1" w:rsidRPr="002C39BC">
        <w:t xml:space="preserve">correlates </w:t>
      </w:r>
      <w:r w:rsidR="00F1657F" w:rsidRPr="002C39BC">
        <w:t>with additional clinical protection was also uncertain.</w:t>
      </w:r>
      <w:r w:rsidR="00A24EA1" w:rsidRPr="002C39BC">
        <w:t xml:space="preserve"> </w:t>
      </w:r>
      <w:bookmarkEnd w:id="27"/>
      <w:r w:rsidR="008D1A1E" w:rsidRPr="002C39BC">
        <w:t>Further, the</w:t>
      </w:r>
      <w:r w:rsidR="00F56D89" w:rsidRPr="002C39BC">
        <w:t xml:space="preserve"> ESC noted that </w:t>
      </w:r>
      <w:r w:rsidR="00B32BC4" w:rsidRPr="002C39BC">
        <w:t>the approach of</w:t>
      </w:r>
      <w:r w:rsidR="002D4158" w:rsidRPr="002C39BC">
        <w:t xml:space="preserve"> </w:t>
      </w:r>
      <w:r w:rsidR="00247857" w:rsidRPr="002C39BC">
        <w:t xml:space="preserve">selectively considering results for superiority </w:t>
      </w:r>
      <w:r w:rsidR="00B038D0" w:rsidRPr="002C39BC">
        <w:t>without apparent adjustment for multiple testing</w:t>
      </w:r>
      <w:r w:rsidR="000473D4" w:rsidRPr="002C39BC">
        <w:t xml:space="preserve"> in P019</w:t>
      </w:r>
      <w:r w:rsidR="00B038D0" w:rsidRPr="002C39BC">
        <w:t xml:space="preserve"> is associated with an increased chance of Type </w:t>
      </w:r>
      <w:r w:rsidR="00A82BCC">
        <w:t>I</w:t>
      </w:r>
      <w:r w:rsidR="00B038D0" w:rsidRPr="002C39BC">
        <w:t xml:space="preserve"> error</w:t>
      </w:r>
      <w:r w:rsidR="000473D4" w:rsidRPr="002C39BC">
        <w:t xml:space="preserve"> (in this case, the risk of claiming effect when there is none)</w:t>
      </w:r>
      <w:r w:rsidR="00247857" w:rsidRPr="002C39BC">
        <w:t>.</w:t>
      </w:r>
      <w:r w:rsidR="002F0BE1">
        <w:t xml:space="preserve"> The pre-PBAC Response </w:t>
      </w:r>
      <w:r w:rsidR="00C93854">
        <w:t xml:space="preserve"> contended that the risk of Type I error in P019 was minimal</w:t>
      </w:r>
      <w:r w:rsidR="00B17B6B">
        <w:t xml:space="preserve"> as</w:t>
      </w:r>
      <w:r w:rsidR="00A82BCC">
        <w:t xml:space="preserve"> </w:t>
      </w:r>
      <w:r w:rsidR="00B17B6B">
        <w:t>this</w:t>
      </w:r>
      <w:r w:rsidR="00555138">
        <w:t xml:space="preserve"> </w:t>
      </w:r>
      <w:r w:rsidR="00A82BCC">
        <w:t>was accounted for in the P019 protocol.</w:t>
      </w:r>
      <w:r w:rsidR="00555138">
        <w:t xml:space="preserve"> The pre-PBAC Response noted that while not stated explicitly in</w:t>
      </w:r>
      <w:r w:rsidR="002E7FFC">
        <w:t xml:space="preserve"> </w:t>
      </w:r>
      <w:r w:rsidR="00555138">
        <w:t xml:space="preserve">the protocol, a sequential testing approach was used </w:t>
      </w:r>
      <w:r w:rsidR="002E7FFC">
        <w:t xml:space="preserve">to control for Type I error </w:t>
      </w:r>
      <w:r w:rsidR="00555138">
        <w:t xml:space="preserve">where </w:t>
      </w:r>
      <w:r w:rsidR="00A4513E" w:rsidRPr="00A4513E">
        <w:t>the testing of the secondary hypotheses for assessing serotype 3 superiority was gated by the success of primary hypotheses (</w:t>
      </w:r>
      <w:r w:rsidR="00A4513E">
        <w:t xml:space="preserve">i.e. </w:t>
      </w:r>
      <w:r w:rsidR="00A4513E" w:rsidRPr="00A4513E">
        <w:t xml:space="preserve">noninferiority for </w:t>
      </w:r>
      <w:r w:rsidR="00A4513E">
        <w:t xml:space="preserve">the </w:t>
      </w:r>
      <w:r w:rsidR="00A4513E" w:rsidRPr="00A4513E">
        <w:t>13 shared serotypes</w:t>
      </w:r>
      <w:r w:rsidR="00A4513E">
        <w:t xml:space="preserve"> and </w:t>
      </w:r>
      <w:r w:rsidR="00A4513E" w:rsidRPr="00A4513E">
        <w:t xml:space="preserve">superiority of </w:t>
      </w:r>
      <w:r w:rsidR="00A4513E">
        <w:t xml:space="preserve">serotypes </w:t>
      </w:r>
      <w:r w:rsidR="00A4513E" w:rsidRPr="00A4513E">
        <w:t>22F and 33F)</w:t>
      </w:r>
      <w:r w:rsidR="002E7FFC">
        <w:t>.</w:t>
      </w:r>
      <w:r w:rsidR="002E7FFC" w:rsidRPr="002E7FFC">
        <w:t xml:space="preserve"> </w:t>
      </w:r>
    </w:p>
    <w:p w14:paraId="63E314B4" w14:textId="77777777" w:rsidR="00011FDC" w:rsidRPr="00F93A3C" w:rsidRDefault="005A786C" w:rsidP="00011FDC">
      <w:pPr>
        <w:pStyle w:val="3-BodyText"/>
      </w:pPr>
      <w:r>
        <w:t>I</w:t>
      </w:r>
      <w:r w:rsidR="00011FDC" w:rsidRPr="00F93A3C">
        <w:t xml:space="preserve">n </w:t>
      </w:r>
      <w:r w:rsidR="00DF7A06" w:rsidRPr="00F93A3C">
        <w:t xml:space="preserve">its </w:t>
      </w:r>
      <w:r w:rsidR="00011FDC" w:rsidRPr="00F93A3C">
        <w:t>consideration of PCV13</w:t>
      </w:r>
      <w:r w:rsidR="009F37E9" w:rsidRPr="00F93A3C">
        <w:t xml:space="preserve"> for </w:t>
      </w:r>
      <w:r w:rsidR="008404CB" w:rsidRPr="00F93A3C">
        <w:t xml:space="preserve">older </w:t>
      </w:r>
      <w:r w:rsidR="00387CAB" w:rsidRPr="00F93A3C">
        <w:t xml:space="preserve">people </w:t>
      </w:r>
      <w:r w:rsidR="00A72AD1" w:rsidRPr="00F93A3C">
        <w:t>(Indigenous and non-Indigenous)</w:t>
      </w:r>
      <w:r w:rsidR="00011FDC" w:rsidRPr="00F93A3C">
        <w:t xml:space="preserve">, the PBAC’s </w:t>
      </w:r>
      <w:r w:rsidR="00451EF1" w:rsidRPr="00F93A3C">
        <w:t>c</w:t>
      </w:r>
      <w:r w:rsidR="00562FAA" w:rsidRPr="00F93A3C">
        <w:t>ost-minimisation and subsequent c</w:t>
      </w:r>
      <w:r w:rsidR="00451EF1" w:rsidRPr="00F93A3C">
        <w:t xml:space="preserve">ost-effectiveness </w:t>
      </w:r>
      <w:r w:rsidR="00011FDC" w:rsidRPr="00F93A3C">
        <w:t xml:space="preserve">recommendation </w:t>
      </w:r>
      <w:r w:rsidR="00451EF1" w:rsidRPr="00F93A3C">
        <w:t xml:space="preserve">compared with </w:t>
      </w:r>
      <w:r w:rsidR="00FD0FDB" w:rsidRPr="00F93A3C">
        <w:t>PPV23</w:t>
      </w:r>
      <w:r w:rsidR="00451EF1" w:rsidRPr="00F93A3C">
        <w:t xml:space="preserve"> </w:t>
      </w:r>
      <w:r w:rsidR="00011FDC" w:rsidRPr="00F93A3C">
        <w:t xml:space="preserve">was based on a large trial that reported clinical outcomes with a long follow-up period – CAPITA. The trial enrolled 84,496 participants (Table 2, </w:t>
      </w:r>
      <w:r w:rsidR="00A036D7" w:rsidRPr="00F93A3C">
        <w:t>PCV13</w:t>
      </w:r>
      <w:r w:rsidR="00011FDC" w:rsidRPr="00F93A3C">
        <w:t xml:space="preserve">, PSD, July 2016 PBAC meeting). The key clinical outcomes in CAPITA were incidence of IPD and CAP and the follow-up period was up to 4 years. Compared to CAPITA, P019 enrolled </w:t>
      </w:r>
      <w:r w:rsidR="008F689E">
        <w:t>fewer</w:t>
      </w:r>
      <w:r w:rsidR="008F689E" w:rsidRPr="00F93A3C">
        <w:t xml:space="preserve"> </w:t>
      </w:r>
      <w:r w:rsidR="00011FDC" w:rsidRPr="00F93A3C">
        <w:t xml:space="preserve">participants, used immunological surrogate outcomes to account for efficacy and the follow-up period was limited to 30 days </w:t>
      </w:r>
      <w:r w:rsidR="00BD6571" w:rsidRPr="00F93A3C">
        <w:t>post-vaccination</w:t>
      </w:r>
      <w:r w:rsidR="00011FDC" w:rsidRPr="00F93A3C">
        <w:t xml:space="preserve">. </w:t>
      </w:r>
    </w:p>
    <w:p w14:paraId="199E197B" w14:textId="77777777" w:rsidR="00011FDC" w:rsidRPr="00C9624D" w:rsidRDefault="00011FDC" w:rsidP="00011FDC">
      <w:pPr>
        <w:pStyle w:val="4-SubsectionHeading"/>
      </w:pPr>
      <w:bookmarkStart w:id="28" w:name="_Toc82613939"/>
      <w:r w:rsidRPr="00C9624D">
        <w:t>Comparative effectiveness</w:t>
      </w:r>
      <w:bookmarkEnd w:id="28"/>
    </w:p>
    <w:p w14:paraId="61444039" w14:textId="77777777" w:rsidR="00011FDC" w:rsidRPr="00F46B8D" w:rsidRDefault="00011FDC" w:rsidP="00B05E32">
      <w:pPr>
        <w:pStyle w:val="5-SubsectionSubheading"/>
      </w:pPr>
      <w:bookmarkStart w:id="29" w:name="_Toc82613940"/>
      <w:r w:rsidRPr="00F46B8D">
        <w:t xml:space="preserve">Results from </w:t>
      </w:r>
      <w:r>
        <w:t>P019</w:t>
      </w:r>
      <w:bookmarkEnd w:id="29"/>
      <w:r w:rsidRPr="00F46B8D">
        <w:t xml:space="preserve"> </w:t>
      </w:r>
    </w:p>
    <w:p w14:paraId="1260C1EC" w14:textId="77777777" w:rsidR="00161E94" w:rsidRPr="002C39BC" w:rsidRDefault="00011FDC" w:rsidP="00011FDC">
      <w:pPr>
        <w:pStyle w:val="3-BodyText"/>
        <w:rPr>
          <w:color w:val="0066FF"/>
        </w:rPr>
      </w:pPr>
      <w:r w:rsidRPr="002C39BC">
        <w:t xml:space="preserve">A summary of OPA GMT ratios at Day 30 in P019 is presented in Figure 1. All 13 shared serotypes met the </w:t>
      </w:r>
      <w:r w:rsidR="00437DB8" w:rsidRPr="002C39BC">
        <w:t>noninferior</w:t>
      </w:r>
      <w:r w:rsidRPr="002C39BC">
        <w:t>ity criteri</w:t>
      </w:r>
      <w:r w:rsidR="005F33AA" w:rsidRPr="002C39BC">
        <w:t>on</w:t>
      </w:r>
      <w:r w:rsidRPr="002C39BC">
        <w:t xml:space="preserve"> of 0.5 with their lower bound of 95% CI for OPA GMT ratio ranging from 0.57 (serotype 4) to 1.38 (serotype 3). Serotype</w:t>
      </w:r>
      <w:r w:rsidR="00006292" w:rsidRPr="002C39BC">
        <w:t>s</w:t>
      </w:r>
      <w:r w:rsidRPr="002C39BC">
        <w:t xml:space="preserve"> 22F and 33F met the superiority criteri</w:t>
      </w:r>
      <w:r w:rsidR="00006292" w:rsidRPr="002C39BC">
        <w:t>on</w:t>
      </w:r>
      <w:r w:rsidRPr="002C39BC">
        <w:t xml:space="preserve"> </w:t>
      </w:r>
      <w:r w:rsidR="000D639E" w:rsidRPr="002C39BC">
        <w:t>with</w:t>
      </w:r>
      <w:r w:rsidRPr="002C39BC">
        <w:t xml:space="preserve"> the lower bound of </w:t>
      </w:r>
      <w:r w:rsidR="000D639E" w:rsidRPr="002C39BC">
        <w:t xml:space="preserve">the </w:t>
      </w:r>
      <w:r w:rsidRPr="002C39BC">
        <w:t xml:space="preserve">95% CI for OPA GMT ratio </w:t>
      </w:r>
      <w:r w:rsidR="000D639E" w:rsidRPr="002C39BC">
        <w:t xml:space="preserve">being </w:t>
      </w:r>
      <w:r w:rsidRPr="002C39BC">
        <w:t>26.35 and 6.07 for 22F and 33F, respectively. Serotype 3 also met the superiority criteri</w:t>
      </w:r>
      <w:r w:rsidR="00352A0A" w:rsidRPr="002C39BC">
        <w:t>on</w:t>
      </w:r>
      <w:r w:rsidRPr="002C39BC">
        <w:t xml:space="preserve"> </w:t>
      </w:r>
      <w:r w:rsidR="000D639E" w:rsidRPr="002C39BC">
        <w:t>with</w:t>
      </w:r>
      <w:r w:rsidRPr="002C39BC">
        <w:t xml:space="preserve"> the lower bound of the 95% CI for OPA GMT ratio </w:t>
      </w:r>
      <w:r w:rsidR="000D639E" w:rsidRPr="002C39BC">
        <w:t xml:space="preserve">being </w:t>
      </w:r>
      <w:r w:rsidRPr="002C39BC">
        <w:t>1.38.</w:t>
      </w:r>
      <w:r w:rsidR="00716F9A" w:rsidRPr="002C39BC">
        <w:t xml:space="preserve"> </w:t>
      </w:r>
      <w:r w:rsidR="008F689E" w:rsidRPr="002C39BC">
        <w:t>As shown in the figure below, t</w:t>
      </w:r>
      <w:r w:rsidR="00716F9A" w:rsidRPr="002C39BC">
        <w:t>he ESC noted that serotype 3 had a relatively low OPA response</w:t>
      </w:r>
      <w:r w:rsidR="008F689E" w:rsidRPr="002C39BC">
        <w:t xml:space="preserve"> at baseline</w:t>
      </w:r>
      <w:r w:rsidR="00716F9A" w:rsidRPr="002C39BC">
        <w:t>, which makes the ratio for serotype 3 more sensitive to any increases in absolute OPA response for PCV15.</w:t>
      </w:r>
      <w:r w:rsidR="00161E94" w:rsidRPr="002C39BC">
        <w:t xml:space="preserve"> As such, the ESC considered that </w:t>
      </w:r>
      <w:r w:rsidR="00313693" w:rsidRPr="002C39BC">
        <w:t>the result for serotype 3 was potentially an outlier.</w:t>
      </w:r>
      <w:r w:rsidR="0013145B" w:rsidRPr="002C39BC">
        <w:t xml:space="preserve"> Taken </w:t>
      </w:r>
      <w:r w:rsidR="0013145B" w:rsidRPr="0055547D">
        <w:t xml:space="preserve">together with the issues </w:t>
      </w:r>
      <w:r w:rsidR="00F1657F" w:rsidRPr="0055547D">
        <w:t xml:space="preserve">around a superiority threshold for OPA response outlined in paragraph </w:t>
      </w:r>
      <w:r w:rsidR="00E3217A" w:rsidRPr="0055547D">
        <w:t>6.12</w:t>
      </w:r>
      <w:r w:rsidR="0013145B" w:rsidRPr="0055547D">
        <w:t>, the ESC</w:t>
      </w:r>
      <w:r w:rsidR="0013145B" w:rsidRPr="002C39BC">
        <w:t xml:space="preserve"> considered that use of PCV15 may not translate into more disease prevention for serotype 3 compared to PCV13.</w:t>
      </w:r>
    </w:p>
    <w:p w14:paraId="24FC2DD6" w14:textId="77777777" w:rsidR="00011FDC" w:rsidRPr="00900018" w:rsidRDefault="00011FDC" w:rsidP="00813E32">
      <w:pPr>
        <w:pStyle w:val="ListBullet"/>
        <w:keepNext/>
        <w:numPr>
          <w:ilvl w:val="0"/>
          <w:numId w:val="0"/>
        </w:numPr>
        <w:ind w:left="357" w:hanging="357"/>
        <w:rPr>
          <w:rFonts w:ascii="Arial Narrow" w:hAnsi="Arial Narrow"/>
          <w:b/>
          <w:bCs/>
          <w:sz w:val="20"/>
          <w:szCs w:val="20"/>
        </w:rPr>
      </w:pPr>
      <w:r>
        <w:rPr>
          <w:rFonts w:ascii="Arial Narrow" w:hAnsi="Arial Narrow"/>
          <w:b/>
          <w:bCs/>
          <w:sz w:val="20"/>
          <w:szCs w:val="20"/>
        </w:rPr>
        <w:t xml:space="preserve">Figure 1: </w:t>
      </w:r>
      <w:r w:rsidRPr="00900018">
        <w:rPr>
          <w:rFonts w:ascii="Arial Narrow" w:hAnsi="Arial Narrow"/>
          <w:b/>
          <w:bCs/>
          <w:sz w:val="20"/>
          <w:szCs w:val="20"/>
        </w:rPr>
        <w:t xml:space="preserve">Forest </w:t>
      </w:r>
      <w:r>
        <w:rPr>
          <w:rFonts w:ascii="Arial Narrow" w:hAnsi="Arial Narrow"/>
          <w:b/>
          <w:bCs/>
          <w:sz w:val="20"/>
          <w:szCs w:val="20"/>
        </w:rPr>
        <w:t>p</w:t>
      </w:r>
      <w:r w:rsidRPr="00900018">
        <w:rPr>
          <w:rFonts w:ascii="Arial Narrow" w:hAnsi="Arial Narrow"/>
          <w:b/>
          <w:bCs/>
          <w:sz w:val="20"/>
          <w:szCs w:val="20"/>
        </w:rPr>
        <w:t xml:space="preserve">lot of OPA GMT </w:t>
      </w:r>
      <w:r>
        <w:rPr>
          <w:rFonts w:ascii="Arial Narrow" w:hAnsi="Arial Narrow"/>
          <w:b/>
          <w:bCs/>
          <w:sz w:val="20"/>
          <w:szCs w:val="20"/>
        </w:rPr>
        <w:t>r</w:t>
      </w:r>
      <w:r w:rsidRPr="00900018">
        <w:rPr>
          <w:rFonts w:ascii="Arial Narrow" w:hAnsi="Arial Narrow"/>
          <w:b/>
          <w:bCs/>
          <w:sz w:val="20"/>
          <w:szCs w:val="20"/>
        </w:rPr>
        <w:t>atios at Day 30 (</w:t>
      </w:r>
      <w:r>
        <w:rPr>
          <w:rFonts w:ascii="Arial Narrow" w:hAnsi="Arial Narrow"/>
          <w:b/>
          <w:bCs/>
          <w:sz w:val="20"/>
          <w:szCs w:val="20"/>
        </w:rPr>
        <w:t>p</w:t>
      </w:r>
      <w:r w:rsidRPr="00900018">
        <w:rPr>
          <w:rFonts w:ascii="Arial Narrow" w:hAnsi="Arial Narrow"/>
          <w:b/>
          <w:bCs/>
          <w:sz w:val="20"/>
          <w:szCs w:val="20"/>
        </w:rPr>
        <w:t>er-</w:t>
      </w:r>
      <w:r>
        <w:rPr>
          <w:rFonts w:ascii="Arial Narrow" w:hAnsi="Arial Narrow"/>
          <w:b/>
          <w:bCs/>
          <w:sz w:val="20"/>
          <w:szCs w:val="20"/>
        </w:rPr>
        <w:t>p</w:t>
      </w:r>
      <w:r w:rsidRPr="00900018">
        <w:rPr>
          <w:rFonts w:ascii="Arial Narrow" w:hAnsi="Arial Narrow"/>
          <w:b/>
          <w:bCs/>
          <w:sz w:val="20"/>
          <w:szCs w:val="20"/>
        </w:rPr>
        <w:t xml:space="preserve">rotocol </w:t>
      </w:r>
      <w:r>
        <w:rPr>
          <w:rFonts w:ascii="Arial Narrow" w:hAnsi="Arial Narrow"/>
          <w:b/>
          <w:bCs/>
          <w:sz w:val="20"/>
          <w:szCs w:val="20"/>
        </w:rPr>
        <w:t>p</w:t>
      </w:r>
      <w:r w:rsidRPr="00900018">
        <w:rPr>
          <w:rFonts w:ascii="Arial Narrow" w:hAnsi="Arial Narrow"/>
          <w:b/>
          <w:bCs/>
          <w:sz w:val="20"/>
          <w:szCs w:val="20"/>
        </w:rPr>
        <w:t>opulation) - P019</w:t>
      </w:r>
    </w:p>
    <w:p w14:paraId="79773FEF" w14:textId="77777777" w:rsidR="00011FDC" w:rsidRDefault="00011FDC" w:rsidP="000F2F24">
      <w:pPr>
        <w:jc w:val="left"/>
        <w:rPr>
          <w:color w:val="3366FF"/>
        </w:rPr>
      </w:pPr>
      <w:r w:rsidRPr="003724A8">
        <w:rPr>
          <w:noProof/>
        </w:rPr>
        <w:drawing>
          <wp:inline distT="0" distB="0" distL="0" distR="0" wp14:anchorId="06C5724D" wp14:editId="5FBE9E88">
            <wp:extent cx="5286375" cy="5931257"/>
            <wp:effectExtent l="0" t="0" r="0" b="0"/>
            <wp:docPr id="8" name="Picture 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1598" cy="5970776"/>
                    </a:xfrm>
                    <a:prstGeom prst="rect">
                      <a:avLst/>
                    </a:prstGeom>
                    <a:noFill/>
                    <a:ln>
                      <a:noFill/>
                    </a:ln>
                  </pic:spPr>
                </pic:pic>
              </a:graphicData>
            </a:graphic>
          </wp:inline>
        </w:drawing>
      </w:r>
    </w:p>
    <w:p w14:paraId="6EDCA1D1" w14:textId="77777777" w:rsidR="00011FDC" w:rsidRDefault="00011FDC" w:rsidP="00011FDC">
      <w:pPr>
        <w:pStyle w:val="Default"/>
        <w:ind w:right="-154"/>
        <w:jc w:val="both"/>
        <w:rPr>
          <w:rFonts w:ascii="Arial Narrow" w:hAnsi="Arial Narrow"/>
          <w:bCs/>
          <w:sz w:val="18"/>
          <w:szCs w:val="18"/>
          <w:lang w:val="en-AU"/>
        </w:rPr>
      </w:pPr>
      <w:r w:rsidRPr="00974F3E">
        <w:rPr>
          <w:rFonts w:ascii="Arial Narrow" w:hAnsi="Arial Narrow"/>
          <w:bCs/>
          <w:sz w:val="18"/>
          <w:szCs w:val="18"/>
          <w:lang w:val="en-AU"/>
        </w:rPr>
        <w:t>Source:</w:t>
      </w:r>
      <w:r>
        <w:rPr>
          <w:rFonts w:ascii="Arial Narrow" w:hAnsi="Arial Narrow"/>
          <w:bCs/>
          <w:sz w:val="18"/>
          <w:szCs w:val="18"/>
          <w:lang w:val="en-AU"/>
        </w:rPr>
        <w:t xml:space="preserve"> Figure 2.5-2, p82 of the submission</w:t>
      </w:r>
    </w:p>
    <w:p w14:paraId="2138C1A5" w14:textId="77777777" w:rsidR="00011FDC" w:rsidRPr="00F657DC" w:rsidRDefault="00011FDC" w:rsidP="00011FDC">
      <w:pPr>
        <w:pStyle w:val="Default"/>
        <w:ind w:right="-154"/>
        <w:jc w:val="both"/>
        <w:rPr>
          <w:rFonts w:ascii="Arial Narrow" w:hAnsi="Arial Narrow"/>
          <w:bCs/>
          <w:sz w:val="18"/>
          <w:szCs w:val="18"/>
          <w:lang w:val="en-AU"/>
        </w:rPr>
      </w:pPr>
      <w:r>
        <w:rPr>
          <w:rFonts w:ascii="Arial Narrow" w:hAnsi="Arial Narrow"/>
          <w:bCs/>
          <w:sz w:val="18"/>
          <w:szCs w:val="18"/>
          <w:lang w:val="en-AU"/>
        </w:rPr>
        <w:t xml:space="preserve">CI = confidence interval; GMT = </w:t>
      </w:r>
      <w:r w:rsidRPr="00645761">
        <w:rPr>
          <w:rFonts w:ascii="Arial Narrow" w:hAnsi="Arial Narrow"/>
          <w:bCs/>
          <w:sz w:val="18"/>
          <w:szCs w:val="18"/>
          <w:lang w:val="en-AU"/>
        </w:rPr>
        <w:t>geometric mean</w:t>
      </w:r>
      <w:r>
        <w:rPr>
          <w:rFonts w:ascii="Arial Narrow" w:hAnsi="Arial Narrow"/>
          <w:bCs/>
          <w:sz w:val="18"/>
          <w:szCs w:val="18"/>
          <w:lang w:val="en-AU"/>
        </w:rPr>
        <w:t xml:space="preserve"> titre; n = number of sample size; OPA = </w:t>
      </w:r>
      <w:r w:rsidRPr="00645761">
        <w:rPr>
          <w:rFonts w:ascii="Arial Narrow" w:hAnsi="Arial Narrow"/>
          <w:bCs/>
          <w:sz w:val="18"/>
          <w:szCs w:val="18"/>
          <w:lang w:val="en-AU"/>
        </w:rPr>
        <w:t>opsonophagocytic activity</w:t>
      </w:r>
      <w:r>
        <w:rPr>
          <w:rFonts w:ascii="Arial Narrow" w:hAnsi="Arial Narrow"/>
          <w:bCs/>
          <w:sz w:val="18"/>
          <w:szCs w:val="18"/>
          <w:lang w:val="en-AU"/>
        </w:rPr>
        <w:t>;</w:t>
      </w:r>
      <w:r w:rsidRPr="00000FB1">
        <w:rPr>
          <w:rFonts w:ascii="Arial Narrow" w:hAnsi="Arial Narrow"/>
          <w:bCs/>
          <w:sz w:val="18"/>
          <w:szCs w:val="18"/>
          <w:lang w:val="en-AU"/>
        </w:rPr>
        <w:t xml:space="preserve"> PCV13 = </w:t>
      </w:r>
      <w:r>
        <w:rPr>
          <w:rFonts w:ascii="Arial Narrow" w:hAnsi="Arial Narrow"/>
          <w:bCs/>
          <w:sz w:val="18"/>
          <w:szCs w:val="18"/>
          <w:lang w:val="en-AU"/>
        </w:rPr>
        <w:t>13-valent pneumococcal conjugate vaccine</w:t>
      </w:r>
      <w:r w:rsidRPr="00000FB1">
        <w:rPr>
          <w:rFonts w:ascii="Arial Narrow" w:hAnsi="Arial Narrow"/>
          <w:bCs/>
          <w:sz w:val="18"/>
          <w:szCs w:val="18"/>
          <w:lang w:val="en-AU"/>
        </w:rPr>
        <w:t xml:space="preserve">; PCV15 = </w:t>
      </w:r>
      <w:r>
        <w:rPr>
          <w:rFonts w:ascii="Arial Narrow" w:hAnsi="Arial Narrow"/>
          <w:bCs/>
          <w:sz w:val="18"/>
          <w:szCs w:val="18"/>
          <w:lang w:val="en-AU"/>
        </w:rPr>
        <w:t>15-valent pneumococcal conjugate vaccine</w:t>
      </w:r>
    </w:p>
    <w:p w14:paraId="19698E04" w14:textId="77777777" w:rsidR="00011FDC" w:rsidRDefault="00011FDC" w:rsidP="00011FDC">
      <w:pPr>
        <w:pStyle w:val="3-BodyText"/>
        <w:numPr>
          <w:ilvl w:val="0"/>
          <w:numId w:val="0"/>
        </w:numPr>
      </w:pPr>
    </w:p>
    <w:p w14:paraId="0179F657" w14:textId="77777777" w:rsidR="00011FDC" w:rsidRPr="00F93A3C" w:rsidRDefault="00011FDC" w:rsidP="00011FDC">
      <w:pPr>
        <w:pStyle w:val="3-BodyText"/>
      </w:pPr>
      <w:r w:rsidRPr="00F93A3C">
        <w:t>Four</w:t>
      </w:r>
      <w:r w:rsidR="003A5184" w:rsidRPr="00F93A3C">
        <w:t xml:space="preserve"> of the</w:t>
      </w:r>
      <w:r w:rsidRPr="00F93A3C">
        <w:t xml:space="preserve"> serotypes</w:t>
      </w:r>
      <w:r w:rsidR="003A5184" w:rsidRPr="00F93A3C">
        <w:t xml:space="preserve"> (</w:t>
      </w:r>
      <w:r w:rsidRPr="00F93A3C">
        <w:t>1, 4, 5, and 14</w:t>
      </w:r>
      <w:r w:rsidR="003A5184" w:rsidRPr="00F93A3C">
        <w:t>)</w:t>
      </w:r>
      <w:r w:rsidRPr="00F93A3C">
        <w:t xml:space="preserve"> had a lower bound 95% CI &lt;0.67 (WHO suggested threshold). Seven serotypes </w:t>
      </w:r>
      <w:r w:rsidR="003A5184" w:rsidRPr="00F93A3C">
        <w:t>(</w:t>
      </w:r>
      <w:r w:rsidRPr="00F93A3C">
        <w:t>1, 4, 5, 7, 9V, 14, and 19A</w:t>
      </w:r>
      <w:r w:rsidR="003A5184" w:rsidRPr="00F93A3C">
        <w:t>)</w:t>
      </w:r>
      <w:r w:rsidRPr="00F93A3C">
        <w:t xml:space="preserve"> had </w:t>
      </w:r>
      <w:r w:rsidR="00E66D65" w:rsidRPr="00F93A3C">
        <w:t xml:space="preserve">an </w:t>
      </w:r>
      <w:r w:rsidRPr="00F93A3C">
        <w:t xml:space="preserve">upper bound 95% CI below 1.00, favouring PCV13. </w:t>
      </w:r>
    </w:p>
    <w:p w14:paraId="3EEC14A3" w14:textId="77777777" w:rsidR="00011FDC" w:rsidRPr="00491C85" w:rsidRDefault="00011FDC" w:rsidP="00011FDC">
      <w:pPr>
        <w:pStyle w:val="3-BodyText"/>
        <w:rPr>
          <w:color w:val="0066FF"/>
        </w:rPr>
      </w:pPr>
      <w:r w:rsidRPr="00F93A3C">
        <w:t>The results for</w:t>
      </w:r>
      <w:r w:rsidR="004C7139" w:rsidRPr="00F93A3C">
        <w:t xml:space="preserve"> the</w:t>
      </w:r>
      <w:r w:rsidRPr="00F93A3C">
        <w:t xml:space="preserve"> IgG GMC ratio at Day 30 were consistent with the OPA GMT ratio</w:t>
      </w:r>
      <w:r w:rsidR="004C7139" w:rsidRPr="00F93A3C">
        <w:t>,</w:t>
      </w:r>
      <w:r w:rsidRPr="00F93A3C">
        <w:t xml:space="preserve"> where PCV15 showed </w:t>
      </w:r>
      <w:r w:rsidR="00437DB8" w:rsidRPr="00F93A3C">
        <w:t>noninferior</w:t>
      </w:r>
      <w:r w:rsidRPr="00F93A3C">
        <w:t xml:space="preserve">ity </w:t>
      </w:r>
      <w:r w:rsidR="004C7139" w:rsidRPr="00F93A3C">
        <w:t>in all</w:t>
      </w:r>
      <w:r w:rsidRPr="00F93A3C">
        <w:t xml:space="preserve"> 13 shared serotypes and superiority for serotypes 3, 22F and 33F.</w:t>
      </w:r>
    </w:p>
    <w:p w14:paraId="01E0916E" w14:textId="77777777" w:rsidR="00491C85" w:rsidRPr="002C39BC" w:rsidRDefault="00491C85" w:rsidP="00011FDC">
      <w:pPr>
        <w:pStyle w:val="3-BodyText"/>
      </w:pPr>
      <w:r w:rsidRPr="002C39BC">
        <w:t xml:space="preserve">The ESC considered </w:t>
      </w:r>
      <w:r w:rsidR="00456B74" w:rsidRPr="002C39BC">
        <w:t xml:space="preserve">that the table below showing the 95% CIs for OPA GMT ratios for shared serotypes across the </w:t>
      </w:r>
      <w:r w:rsidR="005221B6">
        <w:t>trials</w:t>
      </w:r>
      <w:r w:rsidR="005221B6" w:rsidRPr="002C39BC">
        <w:t xml:space="preserve"> </w:t>
      </w:r>
      <w:r w:rsidR="00456B74" w:rsidRPr="002C39BC">
        <w:t>was a useful summary</w:t>
      </w:r>
      <w:r w:rsidR="00F54D81" w:rsidRPr="002C39BC">
        <w:t>, noting that not all studies were powered for this comparison</w:t>
      </w:r>
      <w:r w:rsidR="00456B74" w:rsidRPr="002C39BC">
        <w:t xml:space="preserve">. </w:t>
      </w:r>
    </w:p>
    <w:p w14:paraId="1F37CA3B" w14:textId="77777777" w:rsidR="00456B74" w:rsidRPr="005221B6" w:rsidRDefault="00456B74" w:rsidP="00456B74">
      <w:pPr>
        <w:rPr>
          <w:rFonts w:ascii="Arial Narrow" w:hAnsi="Arial Narrow"/>
          <w:b/>
          <w:bCs/>
          <w:sz w:val="20"/>
          <w:szCs w:val="20"/>
        </w:rPr>
      </w:pPr>
      <w:r w:rsidRPr="005221B6">
        <w:rPr>
          <w:rFonts w:ascii="Arial Narrow" w:hAnsi="Arial Narrow"/>
          <w:b/>
          <w:bCs/>
          <w:sz w:val="20"/>
          <w:szCs w:val="20"/>
        </w:rPr>
        <w:t>Table 5: 95% CI for OPA GMT ratios</w:t>
      </w:r>
      <w:r w:rsidR="00943F8D" w:rsidRPr="005221B6">
        <w:rPr>
          <w:rFonts w:ascii="Arial Narrow" w:hAnsi="Arial Narrow"/>
          <w:b/>
          <w:bCs/>
          <w:sz w:val="20"/>
          <w:szCs w:val="20"/>
        </w:rPr>
        <w:t xml:space="preserve"> for share</w:t>
      </w:r>
      <w:r w:rsidR="00F54D81" w:rsidRPr="005221B6">
        <w:rPr>
          <w:rFonts w:ascii="Arial Narrow" w:hAnsi="Arial Narrow"/>
          <w:b/>
          <w:bCs/>
          <w:sz w:val="20"/>
          <w:szCs w:val="20"/>
        </w:rPr>
        <w:t>d</w:t>
      </w:r>
      <w:r w:rsidR="00943F8D" w:rsidRPr="005221B6">
        <w:rPr>
          <w:rFonts w:ascii="Arial Narrow" w:hAnsi="Arial Narrow"/>
          <w:b/>
          <w:bCs/>
          <w:sz w:val="20"/>
          <w:szCs w:val="20"/>
        </w:rPr>
        <w:t xml:space="preserve"> serotypes</w:t>
      </w:r>
      <w:r w:rsidRPr="005221B6">
        <w:rPr>
          <w:rFonts w:ascii="Arial Narrow" w:hAnsi="Arial Narrow"/>
          <w:b/>
          <w:bCs/>
          <w:sz w:val="20"/>
          <w:szCs w:val="20"/>
        </w:rPr>
        <w:t xml:space="preserve"> at day 30 from the supplementary trials compared with P019</w:t>
      </w:r>
    </w:p>
    <w:tbl>
      <w:tblPr>
        <w:tblStyle w:val="TableGrid"/>
        <w:tblW w:w="5000" w:type="pct"/>
        <w:tblLook w:val="01E0" w:firstRow="1" w:lastRow="1" w:firstColumn="1" w:lastColumn="1" w:noHBand="0" w:noVBand="0"/>
        <w:tblCaption w:val="Table 5: 95% CI for OPA GMT ratios for shared serotypes at day 30 from the supplementary trials compared with P019"/>
      </w:tblPr>
      <w:tblGrid>
        <w:gridCol w:w="918"/>
        <w:gridCol w:w="1096"/>
        <w:gridCol w:w="1176"/>
        <w:gridCol w:w="1232"/>
        <w:gridCol w:w="1223"/>
        <w:gridCol w:w="1113"/>
        <w:gridCol w:w="1113"/>
        <w:gridCol w:w="1146"/>
      </w:tblGrid>
      <w:tr w:rsidR="002F0785" w:rsidRPr="005A786C" w14:paraId="068E8695" w14:textId="77777777" w:rsidTr="0064478F">
        <w:trPr>
          <w:trHeight w:val="308"/>
          <w:tblHeader/>
        </w:trPr>
        <w:tc>
          <w:tcPr>
            <w:tcW w:w="470" w:type="pct"/>
            <w:vAlign w:val="center"/>
          </w:tcPr>
          <w:p w14:paraId="3A5605CA" w14:textId="77777777" w:rsidR="002F0785" w:rsidRPr="005A786C" w:rsidRDefault="002F0785" w:rsidP="00943F8D">
            <w:pPr>
              <w:pStyle w:val="Tabletext"/>
              <w:jc w:val="center"/>
              <w:rPr>
                <w:b/>
                <w:bCs/>
                <w:szCs w:val="20"/>
              </w:rPr>
            </w:pPr>
            <w:r w:rsidRPr="005A786C">
              <w:rPr>
                <w:b/>
                <w:bCs/>
                <w:szCs w:val="20"/>
              </w:rPr>
              <w:t>Serotype</w:t>
            </w:r>
          </w:p>
        </w:tc>
        <w:tc>
          <w:tcPr>
            <w:tcW w:w="616" w:type="pct"/>
            <w:vAlign w:val="center"/>
          </w:tcPr>
          <w:p w14:paraId="1128E463" w14:textId="77777777" w:rsidR="002F0785" w:rsidRPr="005A786C" w:rsidRDefault="002F0785" w:rsidP="00943F8D">
            <w:pPr>
              <w:pStyle w:val="Tabletext"/>
              <w:jc w:val="center"/>
              <w:rPr>
                <w:b/>
                <w:bCs/>
                <w:spacing w:val="-1"/>
                <w:szCs w:val="20"/>
              </w:rPr>
            </w:pPr>
            <w:r w:rsidRPr="005A786C">
              <w:rPr>
                <w:b/>
                <w:bCs/>
                <w:spacing w:val="-1"/>
                <w:szCs w:val="20"/>
              </w:rPr>
              <w:t>P019</w:t>
            </w:r>
          </w:p>
          <w:p w14:paraId="68CE60CF" w14:textId="77777777" w:rsidR="00F54D81" w:rsidRPr="005A786C" w:rsidRDefault="002F0785" w:rsidP="00943F8D">
            <w:pPr>
              <w:pStyle w:val="Tabletext"/>
              <w:jc w:val="center"/>
              <w:rPr>
                <w:b/>
                <w:bCs/>
                <w:szCs w:val="20"/>
              </w:rPr>
            </w:pPr>
            <w:r w:rsidRPr="005A786C">
              <w:rPr>
                <w:b/>
                <w:bCs/>
                <w:szCs w:val="20"/>
              </w:rPr>
              <w:t xml:space="preserve">(N PCV15 = 602, </w:t>
            </w:r>
          </w:p>
          <w:p w14:paraId="5064E3E7" w14:textId="77777777" w:rsidR="002F0785" w:rsidRPr="005A786C" w:rsidRDefault="002F0785" w:rsidP="00943F8D">
            <w:pPr>
              <w:pStyle w:val="Tabletext"/>
              <w:jc w:val="center"/>
              <w:rPr>
                <w:b/>
                <w:bCs/>
                <w:szCs w:val="20"/>
              </w:rPr>
            </w:pPr>
            <w:r w:rsidRPr="005A786C">
              <w:rPr>
                <w:b/>
                <w:bCs/>
                <w:szCs w:val="20"/>
              </w:rPr>
              <w:t>N PCV13 = 600)</w:t>
            </w:r>
          </w:p>
        </w:tc>
        <w:tc>
          <w:tcPr>
            <w:tcW w:w="660" w:type="pct"/>
            <w:vAlign w:val="center"/>
          </w:tcPr>
          <w:p w14:paraId="4987F4AD" w14:textId="77777777" w:rsidR="002F0785" w:rsidRPr="005A786C" w:rsidRDefault="002F0785" w:rsidP="00943F8D">
            <w:pPr>
              <w:pStyle w:val="Tabletext"/>
              <w:jc w:val="center"/>
              <w:rPr>
                <w:b/>
                <w:bCs/>
                <w:spacing w:val="-1"/>
                <w:szCs w:val="20"/>
              </w:rPr>
            </w:pPr>
            <w:r w:rsidRPr="005A786C">
              <w:rPr>
                <w:b/>
                <w:bCs/>
                <w:spacing w:val="-1"/>
                <w:szCs w:val="20"/>
              </w:rPr>
              <w:t>P020</w:t>
            </w:r>
          </w:p>
          <w:p w14:paraId="7FC26FEE" w14:textId="77777777" w:rsidR="00F54D81" w:rsidRPr="005A786C" w:rsidRDefault="002F0785" w:rsidP="00627451">
            <w:pPr>
              <w:pStyle w:val="Tabletext"/>
              <w:jc w:val="center"/>
              <w:rPr>
                <w:b/>
                <w:bCs/>
                <w:szCs w:val="20"/>
              </w:rPr>
            </w:pPr>
            <w:r w:rsidRPr="005A786C">
              <w:rPr>
                <w:b/>
                <w:bCs/>
                <w:szCs w:val="20"/>
              </w:rPr>
              <w:t xml:space="preserve">(N PCV15 = 2,102, </w:t>
            </w:r>
          </w:p>
          <w:p w14:paraId="614CEA8E" w14:textId="77777777" w:rsidR="002F0785" w:rsidRPr="005A786C" w:rsidRDefault="002F0785" w:rsidP="00627451">
            <w:pPr>
              <w:pStyle w:val="Tabletext"/>
              <w:jc w:val="center"/>
              <w:rPr>
                <w:b/>
                <w:bCs/>
                <w:szCs w:val="20"/>
              </w:rPr>
            </w:pPr>
            <w:r w:rsidRPr="005A786C">
              <w:rPr>
                <w:b/>
                <w:bCs/>
                <w:szCs w:val="20"/>
              </w:rPr>
              <w:t>N PCV13 = 231)</w:t>
            </w:r>
          </w:p>
        </w:tc>
        <w:tc>
          <w:tcPr>
            <w:tcW w:w="691" w:type="pct"/>
            <w:vAlign w:val="center"/>
          </w:tcPr>
          <w:p w14:paraId="5ECF3568" w14:textId="77777777" w:rsidR="002F0785" w:rsidRPr="005A786C" w:rsidRDefault="002F0785" w:rsidP="00627451">
            <w:pPr>
              <w:pStyle w:val="Tabletext"/>
              <w:jc w:val="center"/>
              <w:rPr>
                <w:b/>
                <w:bCs/>
                <w:spacing w:val="-1"/>
                <w:szCs w:val="20"/>
              </w:rPr>
            </w:pPr>
            <w:r w:rsidRPr="005A786C">
              <w:rPr>
                <w:b/>
                <w:bCs/>
                <w:spacing w:val="-1"/>
                <w:szCs w:val="20"/>
              </w:rPr>
              <w:t>P016</w:t>
            </w:r>
          </w:p>
          <w:p w14:paraId="4E40BF3B" w14:textId="77777777" w:rsidR="002F0785" w:rsidRPr="005A786C" w:rsidRDefault="002F0785" w:rsidP="0070054E">
            <w:pPr>
              <w:pStyle w:val="Tabletext"/>
              <w:jc w:val="center"/>
              <w:rPr>
                <w:b/>
                <w:bCs/>
                <w:szCs w:val="20"/>
              </w:rPr>
            </w:pPr>
            <w:r w:rsidRPr="005A786C">
              <w:rPr>
                <w:b/>
                <w:bCs/>
                <w:szCs w:val="20"/>
              </w:rPr>
              <w:t>(N PCV15 = 326,</w:t>
            </w:r>
          </w:p>
          <w:p w14:paraId="24F51C38" w14:textId="77777777" w:rsidR="002F0785" w:rsidRPr="005A786C" w:rsidRDefault="002F0785" w:rsidP="00845081">
            <w:pPr>
              <w:pStyle w:val="Tabletext"/>
              <w:jc w:val="center"/>
              <w:rPr>
                <w:b/>
                <w:bCs/>
                <w:szCs w:val="20"/>
              </w:rPr>
            </w:pPr>
            <w:r w:rsidRPr="005A786C">
              <w:rPr>
                <w:b/>
                <w:bCs/>
                <w:szCs w:val="20"/>
              </w:rPr>
              <w:t>N PCV13 = 325)</w:t>
            </w:r>
          </w:p>
        </w:tc>
        <w:tc>
          <w:tcPr>
            <w:tcW w:w="686" w:type="pct"/>
            <w:vAlign w:val="center"/>
          </w:tcPr>
          <w:p w14:paraId="6A484564" w14:textId="77777777" w:rsidR="002F0785" w:rsidRPr="005A786C" w:rsidRDefault="002F0785" w:rsidP="00A91206">
            <w:pPr>
              <w:pStyle w:val="Tabletext"/>
              <w:jc w:val="center"/>
              <w:rPr>
                <w:b/>
                <w:bCs/>
                <w:spacing w:val="-1"/>
                <w:szCs w:val="20"/>
              </w:rPr>
            </w:pPr>
            <w:r w:rsidRPr="005A786C">
              <w:rPr>
                <w:b/>
                <w:bCs/>
                <w:spacing w:val="-1"/>
                <w:szCs w:val="20"/>
              </w:rPr>
              <w:t>P017</w:t>
            </w:r>
            <w:r w:rsidRPr="005A786C">
              <w:rPr>
                <w:b/>
                <w:bCs/>
                <w:spacing w:val="-1"/>
                <w:szCs w:val="20"/>
                <w:vertAlign w:val="superscript"/>
              </w:rPr>
              <w:t>a</w:t>
            </w:r>
          </w:p>
          <w:p w14:paraId="719AFE3E" w14:textId="77777777" w:rsidR="00F54D81" w:rsidRPr="005A786C" w:rsidRDefault="002F0785">
            <w:pPr>
              <w:pStyle w:val="Tabletext"/>
              <w:jc w:val="center"/>
              <w:rPr>
                <w:b/>
                <w:bCs/>
                <w:szCs w:val="20"/>
              </w:rPr>
            </w:pPr>
            <w:r w:rsidRPr="005A786C">
              <w:rPr>
                <w:b/>
                <w:bCs/>
                <w:szCs w:val="20"/>
              </w:rPr>
              <w:t xml:space="preserve">(N PCV15 = 1,133, </w:t>
            </w:r>
          </w:p>
          <w:p w14:paraId="62188675" w14:textId="77777777" w:rsidR="002F0785" w:rsidRPr="005A786C" w:rsidRDefault="002F0785">
            <w:pPr>
              <w:pStyle w:val="Tabletext"/>
              <w:jc w:val="center"/>
              <w:rPr>
                <w:b/>
                <w:bCs/>
                <w:szCs w:val="20"/>
              </w:rPr>
            </w:pPr>
            <w:r w:rsidRPr="005A786C">
              <w:rPr>
                <w:b/>
                <w:bCs/>
                <w:szCs w:val="20"/>
              </w:rPr>
              <w:t>N PCV13 = 379)</w:t>
            </w:r>
          </w:p>
        </w:tc>
        <w:tc>
          <w:tcPr>
            <w:tcW w:w="625" w:type="pct"/>
            <w:vAlign w:val="center"/>
          </w:tcPr>
          <w:p w14:paraId="61EB331C" w14:textId="77777777" w:rsidR="002F0785" w:rsidRPr="005A786C" w:rsidRDefault="002F0785">
            <w:pPr>
              <w:pStyle w:val="Tabletext"/>
              <w:jc w:val="center"/>
              <w:rPr>
                <w:b/>
                <w:bCs/>
                <w:spacing w:val="-3"/>
                <w:szCs w:val="20"/>
              </w:rPr>
            </w:pPr>
            <w:r w:rsidRPr="005A786C">
              <w:rPr>
                <w:b/>
                <w:bCs/>
                <w:szCs w:val="20"/>
              </w:rPr>
              <w:t>P018</w:t>
            </w:r>
          </w:p>
          <w:p w14:paraId="171495A3" w14:textId="77777777" w:rsidR="002F0785" w:rsidRPr="005A786C" w:rsidRDefault="002F0785">
            <w:pPr>
              <w:pStyle w:val="Tabletext"/>
              <w:jc w:val="center"/>
              <w:rPr>
                <w:b/>
                <w:bCs/>
                <w:szCs w:val="20"/>
              </w:rPr>
            </w:pPr>
            <w:r w:rsidRPr="005A786C">
              <w:rPr>
                <w:b/>
                <w:bCs/>
                <w:szCs w:val="20"/>
              </w:rPr>
              <w:t>(N PCV15 = 152,</w:t>
            </w:r>
          </w:p>
          <w:p w14:paraId="0BBD473D" w14:textId="77777777" w:rsidR="002F0785" w:rsidRPr="005A786C" w:rsidRDefault="002F0785">
            <w:pPr>
              <w:pStyle w:val="Tabletext"/>
              <w:jc w:val="center"/>
              <w:rPr>
                <w:b/>
                <w:bCs/>
                <w:szCs w:val="20"/>
              </w:rPr>
            </w:pPr>
            <w:r w:rsidRPr="005A786C">
              <w:rPr>
                <w:b/>
                <w:bCs/>
                <w:szCs w:val="20"/>
              </w:rPr>
              <w:t>N PCV13 = 150)</w:t>
            </w:r>
          </w:p>
        </w:tc>
        <w:tc>
          <w:tcPr>
            <w:tcW w:w="625" w:type="pct"/>
            <w:vAlign w:val="center"/>
          </w:tcPr>
          <w:p w14:paraId="7762AB66" w14:textId="77777777" w:rsidR="00943F8D" w:rsidRPr="00282CFD" w:rsidRDefault="002F0785" w:rsidP="00943F8D">
            <w:pPr>
              <w:pStyle w:val="Tabletext"/>
              <w:jc w:val="center"/>
              <w:rPr>
                <w:b/>
                <w:bCs/>
                <w:szCs w:val="20"/>
              </w:rPr>
            </w:pPr>
            <w:r w:rsidRPr="00282CFD">
              <w:rPr>
                <w:b/>
                <w:bCs/>
                <w:szCs w:val="20"/>
              </w:rPr>
              <w:t>First Nations Only</w:t>
            </w:r>
            <w:r w:rsidR="00943F8D" w:rsidRPr="00282CFD">
              <w:rPr>
                <w:b/>
                <w:bCs/>
                <w:szCs w:val="20"/>
              </w:rPr>
              <w:t xml:space="preserve"> </w:t>
            </w:r>
            <w:r w:rsidR="00017749" w:rsidRPr="00282CFD">
              <w:rPr>
                <w:b/>
                <w:bCs/>
                <w:szCs w:val="20"/>
              </w:rPr>
              <w:t>in P017</w:t>
            </w:r>
          </w:p>
          <w:p w14:paraId="1F5669C2" w14:textId="77777777" w:rsidR="002F0785" w:rsidRPr="00282CFD" w:rsidRDefault="00943F8D" w:rsidP="00943F8D">
            <w:pPr>
              <w:pStyle w:val="Tabletext"/>
              <w:jc w:val="center"/>
              <w:rPr>
                <w:b/>
                <w:bCs/>
                <w:szCs w:val="20"/>
              </w:rPr>
            </w:pPr>
            <w:r w:rsidRPr="00282CFD">
              <w:rPr>
                <w:b/>
                <w:bCs/>
                <w:szCs w:val="20"/>
              </w:rPr>
              <w:t>(N PCV15 =445,</w:t>
            </w:r>
          </w:p>
          <w:p w14:paraId="5123FB23" w14:textId="77777777" w:rsidR="00943F8D" w:rsidRPr="00282CFD" w:rsidRDefault="00943F8D" w:rsidP="00943F8D">
            <w:pPr>
              <w:pStyle w:val="Tabletext"/>
              <w:jc w:val="center"/>
              <w:rPr>
                <w:b/>
                <w:bCs/>
                <w:szCs w:val="20"/>
              </w:rPr>
            </w:pPr>
            <w:r w:rsidRPr="00282CFD">
              <w:rPr>
                <w:b/>
                <w:bCs/>
                <w:szCs w:val="20"/>
              </w:rPr>
              <w:t>N PCV13 =</w:t>
            </w:r>
            <w:r w:rsidR="00627451" w:rsidRPr="00282CFD">
              <w:rPr>
                <w:b/>
                <w:bCs/>
                <w:szCs w:val="20"/>
              </w:rPr>
              <w:t>14</w:t>
            </w:r>
            <w:r w:rsidR="00B82FFD" w:rsidRPr="00282CFD">
              <w:rPr>
                <w:b/>
                <w:bCs/>
                <w:szCs w:val="20"/>
              </w:rPr>
              <w:t>6</w:t>
            </w:r>
            <w:r w:rsidR="00627451" w:rsidRPr="00282CFD">
              <w:rPr>
                <w:b/>
                <w:bCs/>
                <w:szCs w:val="20"/>
              </w:rPr>
              <w:t>)</w:t>
            </w:r>
          </w:p>
          <w:p w14:paraId="6C664860" w14:textId="77777777" w:rsidR="00943F8D" w:rsidRPr="00282CFD" w:rsidRDefault="00943F8D" w:rsidP="00943F8D">
            <w:pPr>
              <w:pStyle w:val="Tabletext"/>
              <w:jc w:val="center"/>
              <w:rPr>
                <w:b/>
                <w:bCs/>
                <w:szCs w:val="20"/>
              </w:rPr>
            </w:pPr>
          </w:p>
        </w:tc>
        <w:tc>
          <w:tcPr>
            <w:tcW w:w="625" w:type="pct"/>
            <w:vAlign w:val="center"/>
          </w:tcPr>
          <w:p w14:paraId="2AF382D6" w14:textId="77777777" w:rsidR="002F0785" w:rsidRPr="005A786C" w:rsidRDefault="002F0785" w:rsidP="00943F8D">
            <w:pPr>
              <w:pStyle w:val="Tabletext"/>
              <w:jc w:val="center"/>
              <w:rPr>
                <w:b/>
                <w:bCs/>
                <w:szCs w:val="20"/>
              </w:rPr>
            </w:pPr>
            <w:r w:rsidRPr="005A786C">
              <w:rPr>
                <w:b/>
                <w:bCs/>
                <w:szCs w:val="20"/>
              </w:rPr>
              <w:t xml:space="preserve">Pooling of participants </w:t>
            </w:r>
            <w:r w:rsidR="00943F8D" w:rsidRPr="005A786C">
              <w:rPr>
                <w:b/>
                <w:bCs/>
                <w:szCs w:val="20"/>
              </w:rPr>
              <w:t>≥</w:t>
            </w:r>
            <w:r w:rsidRPr="005A786C">
              <w:rPr>
                <w:b/>
                <w:bCs/>
                <w:szCs w:val="20"/>
              </w:rPr>
              <w:t>70 year</w:t>
            </w:r>
            <w:r w:rsidR="00943F8D" w:rsidRPr="005A786C">
              <w:rPr>
                <w:b/>
                <w:bCs/>
                <w:szCs w:val="20"/>
              </w:rPr>
              <w:t>s from P019, P020, P016</w:t>
            </w:r>
          </w:p>
          <w:p w14:paraId="5AEF1E3D" w14:textId="77777777" w:rsidR="00943F8D" w:rsidRPr="005A786C" w:rsidRDefault="00943F8D" w:rsidP="00943F8D">
            <w:pPr>
              <w:pStyle w:val="Tabletext"/>
              <w:jc w:val="center"/>
              <w:rPr>
                <w:b/>
                <w:bCs/>
                <w:szCs w:val="20"/>
              </w:rPr>
            </w:pPr>
            <w:r w:rsidRPr="005A786C">
              <w:rPr>
                <w:b/>
                <w:bCs/>
                <w:szCs w:val="20"/>
              </w:rPr>
              <w:t>(N PCV15 =752,</w:t>
            </w:r>
          </w:p>
          <w:p w14:paraId="2267E37A" w14:textId="77777777" w:rsidR="00943F8D" w:rsidRPr="005A786C" w:rsidRDefault="00943F8D" w:rsidP="00943F8D">
            <w:pPr>
              <w:pStyle w:val="Tabletext"/>
              <w:jc w:val="center"/>
              <w:rPr>
                <w:b/>
                <w:bCs/>
                <w:szCs w:val="20"/>
              </w:rPr>
            </w:pPr>
            <w:r w:rsidRPr="005A786C">
              <w:rPr>
                <w:b/>
                <w:bCs/>
                <w:szCs w:val="20"/>
              </w:rPr>
              <w:t>N PCV13 = 305</w:t>
            </w:r>
            <w:r w:rsidR="00F54D81" w:rsidRPr="005A786C">
              <w:rPr>
                <w:b/>
                <w:bCs/>
                <w:szCs w:val="20"/>
              </w:rPr>
              <w:t>)</w:t>
            </w:r>
          </w:p>
        </w:tc>
      </w:tr>
      <w:tr w:rsidR="002F0785" w:rsidRPr="005A786C" w14:paraId="016C110C" w14:textId="77777777" w:rsidTr="002861E7">
        <w:trPr>
          <w:trHeight w:val="308"/>
        </w:trPr>
        <w:tc>
          <w:tcPr>
            <w:tcW w:w="470" w:type="pct"/>
            <w:vAlign w:val="center"/>
          </w:tcPr>
          <w:p w14:paraId="24CDABA4" w14:textId="77777777" w:rsidR="002F0785" w:rsidRPr="005A786C" w:rsidRDefault="002F0785" w:rsidP="00845081">
            <w:pPr>
              <w:pStyle w:val="Tabletext"/>
              <w:jc w:val="center"/>
              <w:rPr>
                <w:b/>
                <w:bCs/>
                <w:szCs w:val="20"/>
              </w:rPr>
            </w:pPr>
            <w:r w:rsidRPr="005A786C">
              <w:rPr>
                <w:b/>
                <w:bCs/>
                <w:szCs w:val="20"/>
              </w:rPr>
              <w:t>1</w:t>
            </w:r>
          </w:p>
        </w:tc>
        <w:tc>
          <w:tcPr>
            <w:tcW w:w="616" w:type="pct"/>
            <w:shd w:val="clear" w:color="auto" w:fill="D9D9D9" w:themeFill="background1" w:themeFillShade="D9"/>
            <w:vAlign w:val="center"/>
          </w:tcPr>
          <w:p w14:paraId="013E7E2F" w14:textId="77777777" w:rsidR="002F0785" w:rsidRPr="005A786C" w:rsidRDefault="002F0785" w:rsidP="00845081">
            <w:pPr>
              <w:pStyle w:val="Tabletext"/>
              <w:jc w:val="center"/>
              <w:rPr>
                <w:bCs/>
                <w:szCs w:val="20"/>
              </w:rPr>
            </w:pPr>
            <w:r w:rsidRPr="005A786C">
              <w:rPr>
                <w:bCs/>
                <w:szCs w:val="20"/>
              </w:rPr>
              <w:t>0.66,</w:t>
            </w:r>
            <w:r w:rsidRPr="005A786C">
              <w:rPr>
                <w:bCs/>
                <w:spacing w:val="-2"/>
                <w:szCs w:val="20"/>
              </w:rPr>
              <w:t xml:space="preserve"> </w:t>
            </w:r>
            <w:r w:rsidRPr="005A786C">
              <w:rPr>
                <w:bCs/>
                <w:szCs w:val="20"/>
              </w:rPr>
              <w:t>0.96</w:t>
            </w:r>
          </w:p>
        </w:tc>
        <w:tc>
          <w:tcPr>
            <w:tcW w:w="660" w:type="pct"/>
            <w:vAlign w:val="center"/>
          </w:tcPr>
          <w:p w14:paraId="557B8F1D" w14:textId="77777777" w:rsidR="002F0785" w:rsidRPr="005A786C" w:rsidRDefault="002F0785" w:rsidP="00845081">
            <w:pPr>
              <w:pStyle w:val="Tabletext"/>
              <w:jc w:val="center"/>
              <w:rPr>
                <w:szCs w:val="20"/>
              </w:rPr>
            </w:pPr>
            <w:r w:rsidRPr="005A786C">
              <w:rPr>
                <w:szCs w:val="20"/>
              </w:rPr>
              <w:t>0.81,</w:t>
            </w:r>
            <w:r w:rsidRPr="005A786C">
              <w:rPr>
                <w:spacing w:val="-2"/>
                <w:szCs w:val="20"/>
              </w:rPr>
              <w:t xml:space="preserve"> </w:t>
            </w:r>
            <w:r w:rsidRPr="005A786C">
              <w:rPr>
                <w:szCs w:val="20"/>
              </w:rPr>
              <w:t>1.28</w:t>
            </w:r>
          </w:p>
        </w:tc>
        <w:tc>
          <w:tcPr>
            <w:tcW w:w="691" w:type="pct"/>
            <w:vAlign w:val="center"/>
          </w:tcPr>
          <w:p w14:paraId="002E34AA" w14:textId="77777777" w:rsidR="002F0785" w:rsidRPr="005A786C" w:rsidRDefault="002F0785" w:rsidP="00845081">
            <w:pPr>
              <w:pStyle w:val="Tabletext"/>
              <w:jc w:val="center"/>
              <w:rPr>
                <w:szCs w:val="20"/>
              </w:rPr>
            </w:pPr>
            <w:r w:rsidRPr="005A786C">
              <w:rPr>
                <w:szCs w:val="20"/>
              </w:rPr>
              <w:t>0.94,</w:t>
            </w:r>
            <w:r w:rsidRPr="005A786C">
              <w:rPr>
                <w:spacing w:val="-2"/>
                <w:szCs w:val="20"/>
              </w:rPr>
              <w:t xml:space="preserve"> </w:t>
            </w:r>
            <w:r w:rsidRPr="005A786C">
              <w:rPr>
                <w:szCs w:val="20"/>
              </w:rPr>
              <w:t>1.58</w:t>
            </w:r>
          </w:p>
        </w:tc>
        <w:tc>
          <w:tcPr>
            <w:tcW w:w="686" w:type="pct"/>
            <w:vAlign w:val="center"/>
          </w:tcPr>
          <w:p w14:paraId="07A716A2" w14:textId="77777777" w:rsidR="002F0785" w:rsidRPr="005A786C" w:rsidRDefault="002F0785" w:rsidP="00845081">
            <w:pPr>
              <w:pStyle w:val="Tabletext"/>
              <w:jc w:val="center"/>
              <w:rPr>
                <w:szCs w:val="20"/>
              </w:rPr>
            </w:pPr>
            <w:r w:rsidRPr="005A786C">
              <w:rPr>
                <w:szCs w:val="20"/>
              </w:rPr>
              <w:t>0.85, 1.25</w:t>
            </w:r>
          </w:p>
        </w:tc>
        <w:tc>
          <w:tcPr>
            <w:tcW w:w="625" w:type="pct"/>
            <w:vAlign w:val="center"/>
          </w:tcPr>
          <w:p w14:paraId="301BF329" w14:textId="77777777" w:rsidR="002F0785" w:rsidRPr="004F5A7D" w:rsidRDefault="002F0785" w:rsidP="004F5A7D">
            <w:pPr>
              <w:pStyle w:val="Tabletext"/>
              <w:jc w:val="center"/>
              <w:rPr>
                <w:color w:val="000000" w:themeColor="text1"/>
                <w:szCs w:val="20"/>
                <w:vertAlign w:val="superscript"/>
              </w:rPr>
            </w:pPr>
            <w:r w:rsidRPr="005A786C">
              <w:rPr>
                <w:color w:val="000000" w:themeColor="text1"/>
                <w:szCs w:val="20"/>
              </w:rPr>
              <w:t>0.72,</w:t>
            </w:r>
            <w:r w:rsidRPr="005A786C">
              <w:rPr>
                <w:color w:val="000000" w:themeColor="text1"/>
                <w:spacing w:val="-2"/>
                <w:szCs w:val="20"/>
              </w:rPr>
              <w:t xml:space="preserve"> 1.71</w:t>
            </w:r>
          </w:p>
        </w:tc>
        <w:tc>
          <w:tcPr>
            <w:tcW w:w="625" w:type="pct"/>
            <w:vAlign w:val="center"/>
          </w:tcPr>
          <w:p w14:paraId="3B4C377D"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vAlign w:val="center"/>
          </w:tcPr>
          <w:p w14:paraId="75F98B90" w14:textId="77777777" w:rsidR="002F0785" w:rsidRPr="005A786C" w:rsidRDefault="002F0785" w:rsidP="002861E7">
            <w:pPr>
              <w:pStyle w:val="Tabletext"/>
              <w:jc w:val="center"/>
              <w:rPr>
                <w:color w:val="000000" w:themeColor="text1"/>
                <w:szCs w:val="20"/>
              </w:rPr>
            </w:pPr>
            <w:r w:rsidRPr="005A786C">
              <w:rPr>
                <w:color w:val="000000" w:themeColor="text1"/>
                <w:szCs w:val="20"/>
              </w:rPr>
              <w:t>0.77, 1.24</w:t>
            </w:r>
          </w:p>
        </w:tc>
      </w:tr>
      <w:tr w:rsidR="002F0785" w:rsidRPr="005A786C" w14:paraId="795F5547" w14:textId="77777777" w:rsidTr="00D265C2">
        <w:trPr>
          <w:trHeight w:val="308"/>
        </w:trPr>
        <w:tc>
          <w:tcPr>
            <w:tcW w:w="470" w:type="pct"/>
            <w:vAlign w:val="center"/>
          </w:tcPr>
          <w:p w14:paraId="29D6A50B" w14:textId="77777777" w:rsidR="002F0785" w:rsidRPr="005A786C" w:rsidRDefault="002F0785" w:rsidP="00845081">
            <w:pPr>
              <w:pStyle w:val="Tabletext"/>
              <w:jc w:val="center"/>
              <w:rPr>
                <w:b/>
                <w:bCs/>
                <w:szCs w:val="20"/>
              </w:rPr>
            </w:pPr>
            <w:r w:rsidRPr="005A786C">
              <w:rPr>
                <w:b/>
                <w:bCs/>
                <w:szCs w:val="20"/>
              </w:rPr>
              <w:t>3</w:t>
            </w:r>
          </w:p>
        </w:tc>
        <w:tc>
          <w:tcPr>
            <w:tcW w:w="616" w:type="pct"/>
            <w:shd w:val="clear" w:color="auto" w:fill="FDE9D9" w:themeFill="accent6" w:themeFillTint="33"/>
            <w:vAlign w:val="center"/>
          </w:tcPr>
          <w:p w14:paraId="2A866CDE" w14:textId="77777777" w:rsidR="002F0785" w:rsidRPr="005A786C" w:rsidRDefault="002F0785" w:rsidP="00845081">
            <w:pPr>
              <w:pStyle w:val="Tabletext"/>
              <w:jc w:val="center"/>
              <w:rPr>
                <w:bCs/>
                <w:szCs w:val="20"/>
              </w:rPr>
            </w:pPr>
            <w:r w:rsidRPr="005A786C">
              <w:rPr>
                <w:bCs/>
                <w:szCs w:val="20"/>
              </w:rPr>
              <w:t>1.38,</w:t>
            </w:r>
            <w:r w:rsidRPr="005A786C">
              <w:rPr>
                <w:bCs/>
                <w:spacing w:val="-2"/>
                <w:szCs w:val="20"/>
              </w:rPr>
              <w:t xml:space="preserve"> </w:t>
            </w:r>
            <w:r w:rsidRPr="005A786C">
              <w:rPr>
                <w:bCs/>
                <w:szCs w:val="20"/>
              </w:rPr>
              <w:t>1.85</w:t>
            </w:r>
          </w:p>
        </w:tc>
        <w:tc>
          <w:tcPr>
            <w:tcW w:w="660" w:type="pct"/>
            <w:shd w:val="clear" w:color="auto" w:fill="FDE9D9" w:themeFill="accent6" w:themeFillTint="33"/>
            <w:vAlign w:val="center"/>
          </w:tcPr>
          <w:p w14:paraId="020B45C6" w14:textId="77777777" w:rsidR="002F0785" w:rsidRPr="005A786C" w:rsidRDefault="002F0785" w:rsidP="00845081">
            <w:pPr>
              <w:pStyle w:val="Tabletext"/>
              <w:jc w:val="center"/>
              <w:rPr>
                <w:szCs w:val="20"/>
              </w:rPr>
            </w:pPr>
            <w:r w:rsidRPr="005A786C">
              <w:rPr>
                <w:szCs w:val="20"/>
              </w:rPr>
              <w:t>1.43,</w:t>
            </w:r>
            <w:r w:rsidRPr="005A786C">
              <w:rPr>
                <w:spacing w:val="-2"/>
                <w:szCs w:val="20"/>
              </w:rPr>
              <w:t xml:space="preserve"> </w:t>
            </w:r>
            <w:r w:rsidRPr="005A786C">
              <w:rPr>
                <w:szCs w:val="20"/>
              </w:rPr>
              <w:t>2.01</w:t>
            </w:r>
          </w:p>
        </w:tc>
        <w:tc>
          <w:tcPr>
            <w:tcW w:w="691" w:type="pct"/>
            <w:shd w:val="clear" w:color="auto" w:fill="FDE9D9" w:themeFill="accent6" w:themeFillTint="33"/>
            <w:vAlign w:val="center"/>
          </w:tcPr>
          <w:p w14:paraId="058072D8" w14:textId="77777777" w:rsidR="002F0785" w:rsidRPr="005A786C" w:rsidRDefault="002F0785" w:rsidP="00845081">
            <w:pPr>
              <w:pStyle w:val="Tabletext"/>
              <w:jc w:val="center"/>
              <w:rPr>
                <w:szCs w:val="20"/>
              </w:rPr>
            </w:pPr>
            <w:r w:rsidRPr="005A786C">
              <w:rPr>
                <w:szCs w:val="20"/>
              </w:rPr>
              <w:t>1.56,</w:t>
            </w:r>
            <w:r w:rsidRPr="005A786C">
              <w:rPr>
                <w:spacing w:val="-2"/>
                <w:szCs w:val="20"/>
              </w:rPr>
              <w:t xml:space="preserve"> </w:t>
            </w:r>
            <w:r w:rsidRPr="005A786C">
              <w:rPr>
                <w:szCs w:val="20"/>
              </w:rPr>
              <w:t>2.30</w:t>
            </w:r>
          </w:p>
        </w:tc>
        <w:tc>
          <w:tcPr>
            <w:tcW w:w="686" w:type="pct"/>
            <w:shd w:val="clear" w:color="auto" w:fill="FDE9D9" w:themeFill="accent6" w:themeFillTint="33"/>
            <w:vAlign w:val="center"/>
          </w:tcPr>
          <w:p w14:paraId="2BC28341" w14:textId="77777777" w:rsidR="002F0785" w:rsidRPr="005A786C" w:rsidRDefault="002F0785" w:rsidP="00845081">
            <w:pPr>
              <w:pStyle w:val="Tabletext"/>
              <w:jc w:val="center"/>
              <w:rPr>
                <w:szCs w:val="20"/>
              </w:rPr>
            </w:pPr>
            <w:r w:rsidRPr="005A786C">
              <w:rPr>
                <w:szCs w:val="20"/>
              </w:rPr>
              <w:t>1.11, 1.47</w:t>
            </w:r>
          </w:p>
        </w:tc>
        <w:tc>
          <w:tcPr>
            <w:tcW w:w="625" w:type="pct"/>
            <w:shd w:val="clear" w:color="auto" w:fill="FDE9D9" w:themeFill="accent6" w:themeFillTint="33"/>
            <w:vAlign w:val="center"/>
          </w:tcPr>
          <w:p w14:paraId="60321EF8" w14:textId="77777777" w:rsidR="002F0785" w:rsidRPr="005A786C" w:rsidRDefault="002F0785" w:rsidP="00845081">
            <w:pPr>
              <w:pStyle w:val="Tabletext"/>
              <w:jc w:val="center"/>
              <w:rPr>
                <w:color w:val="000000" w:themeColor="text1"/>
                <w:szCs w:val="20"/>
              </w:rPr>
            </w:pPr>
            <w:r w:rsidRPr="005A786C">
              <w:rPr>
                <w:color w:val="000000" w:themeColor="text1"/>
                <w:szCs w:val="20"/>
              </w:rPr>
              <w:t>1.17,</w:t>
            </w:r>
            <w:r w:rsidRPr="005A786C">
              <w:rPr>
                <w:color w:val="000000" w:themeColor="text1"/>
                <w:spacing w:val="-2"/>
                <w:szCs w:val="20"/>
              </w:rPr>
              <w:t xml:space="preserve"> </w:t>
            </w:r>
            <w:r w:rsidRPr="005A786C">
              <w:rPr>
                <w:color w:val="000000" w:themeColor="text1"/>
                <w:szCs w:val="20"/>
              </w:rPr>
              <w:t>2.01</w:t>
            </w:r>
          </w:p>
        </w:tc>
        <w:tc>
          <w:tcPr>
            <w:tcW w:w="625" w:type="pct"/>
            <w:vAlign w:val="center"/>
          </w:tcPr>
          <w:p w14:paraId="7DDAF88A"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shd w:val="clear" w:color="auto" w:fill="FDE9D9" w:themeFill="accent6" w:themeFillTint="33"/>
            <w:vAlign w:val="center"/>
          </w:tcPr>
          <w:p w14:paraId="547DCE47" w14:textId="77777777" w:rsidR="002F0785" w:rsidRPr="005A786C" w:rsidRDefault="002F0785" w:rsidP="002861E7">
            <w:pPr>
              <w:pStyle w:val="Tabletext"/>
              <w:jc w:val="center"/>
              <w:rPr>
                <w:color w:val="000000" w:themeColor="text1"/>
                <w:szCs w:val="20"/>
              </w:rPr>
            </w:pPr>
            <w:r w:rsidRPr="005A786C">
              <w:rPr>
                <w:color w:val="000000" w:themeColor="text1"/>
                <w:szCs w:val="20"/>
              </w:rPr>
              <w:t>1.53, 2.16</w:t>
            </w:r>
          </w:p>
        </w:tc>
      </w:tr>
      <w:tr w:rsidR="002861E7" w:rsidRPr="005A786C" w14:paraId="0A4CC49C" w14:textId="77777777" w:rsidTr="002861E7">
        <w:trPr>
          <w:trHeight w:val="308"/>
        </w:trPr>
        <w:tc>
          <w:tcPr>
            <w:tcW w:w="470" w:type="pct"/>
            <w:vAlign w:val="center"/>
          </w:tcPr>
          <w:p w14:paraId="59577CAD" w14:textId="77777777" w:rsidR="002F0785" w:rsidRPr="005A786C" w:rsidRDefault="002F0785" w:rsidP="00845081">
            <w:pPr>
              <w:pStyle w:val="Tabletext"/>
              <w:jc w:val="center"/>
              <w:rPr>
                <w:b/>
                <w:bCs/>
                <w:szCs w:val="20"/>
              </w:rPr>
            </w:pPr>
            <w:r w:rsidRPr="005A786C">
              <w:rPr>
                <w:b/>
                <w:bCs/>
                <w:szCs w:val="20"/>
              </w:rPr>
              <w:t>4</w:t>
            </w:r>
          </w:p>
        </w:tc>
        <w:tc>
          <w:tcPr>
            <w:tcW w:w="616" w:type="pct"/>
            <w:shd w:val="clear" w:color="auto" w:fill="D9D9D9" w:themeFill="background1" w:themeFillShade="D9"/>
            <w:vAlign w:val="center"/>
          </w:tcPr>
          <w:p w14:paraId="0C56EAAB" w14:textId="77777777" w:rsidR="002F0785" w:rsidRPr="005A786C" w:rsidRDefault="002F0785" w:rsidP="00845081">
            <w:pPr>
              <w:pStyle w:val="Tabletext"/>
              <w:jc w:val="center"/>
              <w:rPr>
                <w:bCs/>
                <w:szCs w:val="20"/>
              </w:rPr>
            </w:pPr>
            <w:r w:rsidRPr="005A786C">
              <w:rPr>
                <w:bCs/>
                <w:szCs w:val="20"/>
              </w:rPr>
              <w:t>0.57,</w:t>
            </w:r>
            <w:r w:rsidRPr="005A786C">
              <w:rPr>
                <w:bCs/>
                <w:spacing w:val="-2"/>
                <w:szCs w:val="20"/>
              </w:rPr>
              <w:t xml:space="preserve"> </w:t>
            </w:r>
            <w:r w:rsidRPr="005A786C">
              <w:rPr>
                <w:bCs/>
                <w:szCs w:val="20"/>
              </w:rPr>
              <w:t>0.80</w:t>
            </w:r>
          </w:p>
        </w:tc>
        <w:tc>
          <w:tcPr>
            <w:tcW w:w="660" w:type="pct"/>
            <w:shd w:val="clear" w:color="auto" w:fill="D9D9D9" w:themeFill="background1" w:themeFillShade="D9"/>
            <w:vAlign w:val="center"/>
          </w:tcPr>
          <w:p w14:paraId="7D755239" w14:textId="77777777" w:rsidR="002F0785" w:rsidRPr="005A786C" w:rsidRDefault="002F0785" w:rsidP="00845081">
            <w:pPr>
              <w:pStyle w:val="Tabletext"/>
              <w:jc w:val="center"/>
              <w:rPr>
                <w:szCs w:val="20"/>
              </w:rPr>
            </w:pPr>
            <w:r w:rsidRPr="005A786C">
              <w:rPr>
                <w:szCs w:val="20"/>
              </w:rPr>
              <w:t>0.57,</w:t>
            </w:r>
            <w:r w:rsidRPr="005A786C">
              <w:rPr>
                <w:spacing w:val="-2"/>
                <w:szCs w:val="20"/>
              </w:rPr>
              <w:t xml:space="preserve"> </w:t>
            </w:r>
            <w:r w:rsidRPr="005A786C">
              <w:rPr>
                <w:szCs w:val="20"/>
              </w:rPr>
              <w:t>0.87</w:t>
            </w:r>
          </w:p>
        </w:tc>
        <w:tc>
          <w:tcPr>
            <w:tcW w:w="691" w:type="pct"/>
            <w:shd w:val="clear" w:color="auto" w:fill="D9D9D9" w:themeFill="background1" w:themeFillShade="D9"/>
            <w:vAlign w:val="center"/>
          </w:tcPr>
          <w:p w14:paraId="18E04614" w14:textId="77777777" w:rsidR="002F0785" w:rsidRPr="005A786C" w:rsidRDefault="002F0785" w:rsidP="00845081">
            <w:pPr>
              <w:pStyle w:val="Tabletext"/>
              <w:jc w:val="center"/>
              <w:rPr>
                <w:szCs w:val="20"/>
              </w:rPr>
            </w:pPr>
            <w:r w:rsidRPr="005A786C">
              <w:rPr>
                <w:szCs w:val="20"/>
              </w:rPr>
              <w:t>0.60,</w:t>
            </w:r>
            <w:r w:rsidRPr="005A786C">
              <w:rPr>
                <w:spacing w:val="-2"/>
                <w:szCs w:val="20"/>
              </w:rPr>
              <w:t xml:space="preserve"> </w:t>
            </w:r>
            <w:r w:rsidRPr="005A786C">
              <w:rPr>
                <w:szCs w:val="20"/>
              </w:rPr>
              <w:t>0.97</w:t>
            </w:r>
          </w:p>
        </w:tc>
        <w:tc>
          <w:tcPr>
            <w:tcW w:w="686" w:type="pct"/>
            <w:shd w:val="clear" w:color="auto" w:fill="B8CCE4" w:themeFill="accent1" w:themeFillTint="66"/>
            <w:vAlign w:val="center"/>
          </w:tcPr>
          <w:p w14:paraId="6EED19FF" w14:textId="77777777" w:rsidR="002F0785" w:rsidRPr="005A786C" w:rsidRDefault="002F0785" w:rsidP="00845081">
            <w:pPr>
              <w:pStyle w:val="Tabletext"/>
              <w:jc w:val="center"/>
              <w:rPr>
                <w:szCs w:val="20"/>
              </w:rPr>
            </w:pPr>
            <w:r w:rsidRPr="005A786C">
              <w:rPr>
                <w:szCs w:val="20"/>
              </w:rPr>
              <w:t>0.47, 0.64</w:t>
            </w:r>
          </w:p>
        </w:tc>
        <w:tc>
          <w:tcPr>
            <w:tcW w:w="625" w:type="pct"/>
            <w:shd w:val="clear" w:color="auto" w:fill="B8CCE4" w:themeFill="accent1" w:themeFillTint="66"/>
            <w:vAlign w:val="center"/>
          </w:tcPr>
          <w:p w14:paraId="190B3656" w14:textId="77777777" w:rsidR="002F0785" w:rsidRPr="005A786C" w:rsidRDefault="002F0785" w:rsidP="00845081">
            <w:pPr>
              <w:pStyle w:val="Tabletext"/>
              <w:jc w:val="center"/>
              <w:rPr>
                <w:color w:val="000000" w:themeColor="text1"/>
                <w:szCs w:val="20"/>
              </w:rPr>
            </w:pPr>
            <w:r w:rsidRPr="005A786C">
              <w:rPr>
                <w:color w:val="000000" w:themeColor="text1"/>
                <w:szCs w:val="20"/>
              </w:rPr>
              <w:t>0.38,</w:t>
            </w:r>
            <w:r w:rsidRPr="005A786C">
              <w:rPr>
                <w:color w:val="000000" w:themeColor="text1"/>
                <w:spacing w:val="-2"/>
                <w:szCs w:val="20"/>
              </w:rPr>
              <w:t xml:space="preserve"> </w:t>
            </w:r>
            <w:r w:rsidRPr="005A786C">
              <w:rPr>
                <w:color w:val="000000" w:themeColor="text1"/>
                <w:szCs w:val="20"/>
              </w:rPr>
              <w:t>0.79</w:t>
            </w:r>
          </w:p>
        </w:tc>
        <w:tc>
          <w:tcPr>
            <w:tcW w:w="625" w:type="pct"/>
            <w:shd w:val="clear" w:color="auto" w:fill="D9D9D9" w:themeFill="background1" w:themeFillShade="D9"/>
            <w:vAlign w:val="center"/>
          </w:tcPr>
          <w:p w14:paraId="5E304DE4"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shd w:val="clear" w:color="auto" w:fill="D9D9D9" w:themeFill="background1" w:themeFillShade="D9"/>
            <w:vAlign w:val="center"/>
          </w:tcPr>
          <w:p w14:paraId="7E291D0F" w14:textId="77777777" w:rsidR="002F0785" w:rsidRPr="005A786C" w:rsidRDefault="002F0785" w:rsidP="002861E7">
            <w:pPr>
              <w:pStyle w:val="Tabletext"/>
              <w:jc w:val="center"/>
              <w:rPr>
                <w:color w:val="000000" w:themeColor="text1"/>
                <w:szCs w:val="20"/>
              </w:rPr>
            </w:pPr>
            <w:r w:rsidRPr="005A786C">
              <w:rPr>
                <w:color w:val="000000" w:themeColor="text1"/>
                <w:szCs w:val="20"/>
              </w:rPr>
              <w:t>0.60, 0.93</w:t>
            </w:r>
          </w:p>
        </w:tc>
      </w:tr>
      <w:tr w:rsidR="002F0785" w:rsidRPr="005A786C" w14:paraId="2D6DE915" w14:textId="77777777" w:rsidTr="009D390F">
        <w:trPr>
          <w:trHeight w:val="308"/>
        </w:trPr>
        <w:tc>
          <w:tcPr>
            <w:tcW w:w="470" w:type="pct"/>
            <w:vAlign w:val="center"/>
          </w:tcPr>
          <w:p w14:paraId="3E1F4766" w14:textId="77777777" w:rsidR="002F0785" w:rsidRPr="005A786C" w:rsidRDefault="002F0785" w:rsidP="00845081">
            <w:pPr>
              <w:pStyle w:val="Tabletext"/>
              <w:jc w:val="center"/>
              <w:rPr>
                <w:b/>
                <w:bCs/>
                <w:szCs w:val="20"/>
              </w:rPr>
            </w:pPr>
            <w:r w:rsidRPr="005A786C">
              <w:rPr>
                <w:b/>
                <w:bCs/>
                <w:szCs w:val="20"/>
              </w:rPr>
              <w:t>5</w:t>
            </w:r>
          </w:p>
        </w:tc>
        <w:tc>
          <w:tcPr>
            <w:tcW w:w="616" w:type="pct"/>
            <w:shd w:val="clear" w:color="auto" w:fill="D9D9D9" w:themeFill="background1" w:themeFillShade="D9"/>
            <w:vAlign w:val="center"/>
          </w:tcPr>
          <w:p w14:paraId="5102ECC5" w14:textId="77777777" w:rsidR="002F0785" w:rsidRPr="005A786C" w:rsidRDefault="002F0785" w:rsidP="00845081">
            <w:pPr>
              <w:pStyle w:val="Tabletext"/>
              <w:jc w:val="center"/>
              <w:rPr>
                <w:bCs/>
                <w:szCs w:val="20"/>
              </w:rPr>
            </w:pPr>
            <w:r w:rsidRPr="005A786C">
              <w:rPr>
                <w:bCs/>
                <w:szCs w:val="20"/>
              </w:rPr>
              <w:t>0.64,</w:t>
            </w:r>
            <w:r w:rsidRPr="005A786C">
              <w:rPr>
                <w:bCs/>
                <w:spacing w:val="-2"/>
                <w:szCs w:val="20"/>
              </w:rPr>
              <w:t xml:space="preserve"> </w:t>
            </w:r>
            <w:r w:rsidRPr="005A786C">
              <w:rPr>
                <w:bCs/>
                <w:szCs w:val="20"/>
              </w:rPr>
              <w:t>0.98</w:t>
            </w:r>
          </w:p>
        </w:tc>
        <w:tc>
          <w:tcPr>
            <w:tcW w:w="660" w:type="pct"/>
            <w:vAlign w:val="center"/>
          </w:tcPr>
          <w:p w14:paraId="78421DCD" w14:textId="77777777" w:rsidR="002F0785" w:rsidRPr="005A786C" w:rsidRDefault="002F0785" w:rsidP="00845081">
            <w:pPr>
              <w:pStyle w:val="Tabletext"/>
              <w:jc w:val="center"/>
              <w:rPr>
                <w:szCs w:val="20"/>
              </w:rPr>
            </w:pPr>
            <w:r w:rsidRPr="005A786C">
              <w:rPr>
                <w:szCs w:val="20"/>
              </w:rPr>
              <w:t>0.69,</w:t>
            </w:r>
            <w:r w:rsidRPr="005A786C">
              <w:rPr>
                <w:spacing w:val="-2"/>
                <w:szCs w:val="20"/>
              </w:rPr>
              <w:t xml:space="preserve"> </w:t>
            </w:r>
            <w:r w:rsidRPr="005A786C">
              <w:rPr>
                <w:szCs w:val="20"/>
              </w:rPr>
              <w:t>1.14</w:t>
            </w:r>
          </w:p>
        </w:tc>
        <w:tc>
          <w:tcPr>
            <w:tcW w:w="691" w:type="pct"/>
            <w:vAlign w:val="center"/>
          </w:tcPr>
          <w:p w14:paraId="1B7E3251" w14:textId="77777777" w:rsidR="002F0785" w:rsidRPr="005A786C" w:rsidRDefault="002F0785" w:rsidP="00845081">
            <w:pPr>
              <w:pStyle w:val="Tabletext"/>
              <w:jc w:val="center"/>
              <w:rPr>
                <w:szCs w:val="20"/>
              </w:rPr>
            </w:pPr>
            <w:r w:rsidRPr="005A786C">
              <w:rPr>
                <w:szCs w:val="20"/>
              </w:rPr>
              <w:t>0.81,</w:t>
            </w:r>
            <w:r w:rsidRPr="005A786C">
              <w:rPr>
                <w:spacing w:val="-2"/>
                <w:szCs w:val="20"/>
              </w:rPr>
              <w:t xml:space="preserve"> </w:t>
            </w:r>
            <w:r w:rsidRPr="005A786C">
              <w:rPr>
                <w:szCs w:val="20"/>
              </w:rPr>
              <w:t>1.40</w:t>
            </w:r>
          </w:p>
        </w:tc>
        <w:tc>
          <w:tcPr>
            <w:tcW w:w="686" w:type="pct"/>
            <w:shd w:val="clear" w:color="auto" w:fill="FFFF00"/>
            <w:vAlign w:val="center"/>
          </w:tcPr>
          <w:p w14:paraId="535D162E" w14:textId="77777777" w:rsidR="002F0785" w:rsidRPr="005A786C" w:rsidRDefault="002F0785" w:rsidP="00845081">
            <w:pPr>
              <w:pStyle w:val="Tabletext"/>
              <w:jc w:val="center"/>
              <w:rPr>
                <w:szCs w:val="20"/>
              </w:rPr>
            </w:pPr>
            <w:r w:rsidRPr="005A786C">
              <w:rPr>
                <w:szCs w:val="20"/>
              </w:rPr>
              <w:t>0.79, 0.95</w:t>
            </w:r>
          </w:p>
        </w:tc>
        <w:tc>
          <w:tcPr>
            <w:tcW w:w="625" w:type="pct"/>
            <w:vAlign w:val="center"/>
          </w:tcPr>
          <w:p w14:paraId="3528CADD" w14:textId="77777777" w:rsidR="002F0785" w:rsidRPr="005A786C" w:rsidRDefault="002F0785" w:rsidP="00845081">
            <w:pPr>
              <w:pStyle w:val="Tabletext"/>
              <w:jc w:val="center"/>
              <w:rPr>
                <w:color w:val="000000" w:themeColor="text1"/>
                <w:szCs w:val="20"/>
              </w:rPr>
            </w:pPr>
            <w:r w:rsidRPr="005A786C">
              <w:rPr>
                <w:color w:val="000000" w:themeColor="text1"/>
                <w:szCs w:val="20"/>
              </w:rPr>
              <w:t>0.69,</w:t>
            </w:r>
            <w:r w:rsidRPr="005A786C">
              <w:rPr>
                <w:color w:val="000000" w:themeColor="text1"/>
                <w:spacing w:val="-2"/>
                <w:szCs w:val="20"/>
              </w:rPr>
              <w:t xml:space="preserve"> </w:t>
            </w:r>
            <w:r w:rsidRPr="005A786C">
              <w:rPr>
                <w:color w:val="000000" w:themeColor="text1"/>
                <w:szCs w:val="20"/>
              </w:rPr>
              <w:t>1.63</w:t>
            </w:r>
          </w:p>
        </w:tc>
        <w:tc>
          <w:tcPr>
            <w:tcW w:w="625" w:type="pct"/>
            <w:shd w:val="clear" w:color="auto" w:fill="D9D9D9" w:themeFill="background1" w:themeFillShade="D9"/>
            <w:vAlign w:val="center"/>
          </w:tcPr>
          <w:p w14:paraId="78FB4631"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shd w:val="clear" w:color="auto" w:fill="D9D9D9" w:themeFill="background1" w:themeFillShade="D9"/>
            <w:vAlign w:val="center"/>
          </w:tcPr>
          <w:p w14:paraId="5AC0B1B2" w14:textId="77777777" w:rsidR="002F0785" w:rsidRPr="005A786C" w:rsidRDefault="002F0785" w:rsidP="002861E7">
            <w:pPr>
              <w:pStyle w:val="Tabletext"/>
              <w:jc w:val="center"/>
              <w:rPr>
                <w:color w:val="000000" w:themeColor="text1"/>
                <w:szCs w:val="20"/>
              </w:rPr>
            </w:pPr>
            <w:r w:rsidRPr="005A786C">
              <w:rPr>
                <w:color w:val="000000" w:themeColor="text1"/>
                <w:szCs w:val="20"/>
              </w:rPr>
              <w:t>0.53, 0.86</w:t>
            </w:r>
          </w:p>
        </w:tc>
      </w:tr>
      <w:tr w:rsidR="002F0785" w:rsidRPr="005A786C" w14:paraId="0BA88868" w14:textId="77777777" w:rsidTr="002861E7">
        <w:trPr>
          <w:trHeight w:val="308"/>
        </w:trPr>
        <w:tc>
          <w:tcPr>
            <w:tcW w:w="470" w:type="pct"/>
            <w:vAlign w:val="center"/>
          </w:tcPr>
          <w:p w14:paraId="6C93A849" w14:textId="77777777" w:rsidR="002F0785" w:rsidRPr="005A786C" w:rsidRDefault="002F0785" w:rsidP="00845081">
            <w:pPr>
              <w:pStyle w:val="Tabletext"/>
              <w:jc w:val="center"/>
              <w:rPr>
                <w:b/>
                <w:bCs/>
                <w:szCs w:val="20"/>
              </w:rPr>
            </w:pPr>
            <w:r w:rsidRPr="005A786C">
              <w:rPr>
                <w:b/>
                <w:bCs/>
                <w:szCs w:val="20"/>
              </w:rPr>
              <w:t>6A</w:t>
            </w:r>
          </w:p>
        </w:tc>
        <w:tc>
          <w:tcPr>
            <w:tcW w:w="616" w:type="pct"/>
            <w:vAlign w:val="center"/>
          </w:tcPr>
          <w:p w14:paraId="77ABFAAB" w14:textId="77777777" w:rsidR="002F0785" w:rsidRPr="005A786C" w:rsidRDefault="002F0785" w:rsidP="00845081">
            <w:pPr>
              <w:pStyle w:val="Tabletext"/>
              <w:jc w:val="center"/>
              <w:rPr>
                <w:bCs/>
                <w:szCs w:val="20"/>
              </w:rPr>
            </w:pPr>
            <w:r w:rsidRPr="005A786C">
              <w:rPr>
                <w:bCs/>
                <w:szCs w:val="20"/>
              </w:rPr>
              <w:t>0.84,</w:t>
            </w:r>
            <w:r w:rsidRPr="005A786C">
              <w:rPr>
                <w:bCs/>
                <w:spacing w:val="-2"/>
                <w:szCs w:val="20"/>
              </w:rPr>
              <w:t xml:space="preserve"> </w:t>
            </w:r>
            <w:r w:rsidRPr="005A786C">
              <w:rPr>
                <w:bCs/>
                <w:szCs w:val="20"/>
              </w:rPr>
              <w:t>1.19</w:t>
            </w:r>
          </w:p>
        </w:tc>
        <w:tc>
          <w:tcPr>
            <w:tcW w:w="660" w:type="pct"/>
            <w:vAlign w:val="center"/>
          </w:tcPr>
          <w:p w14:paraId="1BBC5F98" w14:textId="77777777" w:rsidR="002F0785" w:rsidRPr="005A786C" w:rsidRDefault="002F0785" w:rsidP="00845081">
            <w:pPr>
              <w:pStyle w:val="Tabletext"/>
              <w:jc w:val="center"/>
              <w:rPr>
                <w:szCs w:val="20"/>
              </w:rPr>
            </w:pPr>
            <w:r w:rsidRPr="005A786C">
              <w:rPr>
                <w:szCs w:val="20"/>
              </w:rPr>
              <w:t>0.94,</w:t>
            </w:r>
            <w:r w:rsidRPr="005A786C">
              <w:rPr>
                <w:spacing w:val="-2"/>
                <w:szCs w:val="20"/>
              </w:rPr>
              <w:t xml:space="preserve"> </w:t>
            </w:r>
            <w:r w:rsidRPr="005A786C">
              <w:rPr>
                <w:szCs w:val="20"/>
              </w:rPr>
              <w:t>1.41</w:t>
            </w:r>
          </w:p>
        </w:tc>
        <w:tc>
          <w:tcPr>
            <w:tcW w:w="691" w:type="pct"/>
            <w:vAlign w:val="center"/>
          </w:tcPr>
          <w:p w14:paraId="24AC0C3C" w14:textId="77777777" w:rsidR="002F0785" w:rsidRPr="005A786C" w:rsidRDefault="002F0785" w:rsidP="00845081">
            <w:pPr>
              <w:pStyle w:val="Tabletext"/>
              <w:jc w:val="center"/>
              <w:rPr>
                <w:szCs w:val="20"/>
              </w:rPr>
            </w:pPr>
            <w:r w:rsidRPr="005A786C">
              <w:rPr>
                <w:szCs w:val="20"/>
              </w:rPr>
              <w:t>0.92,</w:t>
            </w:r>
            <w:r w:rsidRPr="005A786C">
              <w:rPr>
                <w:spacing w:val="-2"/>
                <w:szCs w:val="20"/>
              </w:rPr>
              <w:t xml:space="preserve"> </w:t>
            </w:r>
            <w:r w:rsidRPr="005A786C">
              <w:rPr>
                <w:szCs w:val="20"/>
              </w:rPr>
              <w:t>1.53</w:t>
            </w:r>
          </w:p>
        </w:tc>
        <w:tc>
          <w:tcPr>
            <w:tcW w:w="686" w:type="pct"/>
            <w:vAlign w:val="center"/>
          </w:tcPr>
          <w:p w14:paraId="775E0E3E" w14:textId="77777777" w:rsidR="002F0785" w:rsidRPr="005A786C" w:rsidRDefault="002F0785" w:rsidP="00845081">
            <w:pPr>
              <w:pStyle w:val="Tabletext"/>
              <w:jc w:val="center"/>
              <w:rPr>
                <w:szCs w:val="20"/>
              </w:rPr>
            </w:pPr>
            <w:r w:rsidRPr="005A786C">
              <w:rPr>
                <w:szCs w:val="20"/>
              </w:rPr>
              <w:t>0.96, 1.31</w:t>
            </w:r>
          </w:p>
        </w:tc>
        <w:tc>
          <w:tcPr>
            <w:tcW w:w="625" w:type="pct"/>
            <w:vAlign w:val="center"/>
          </w:tcPr>
          <w:p w14:paraId="6E55666B" w14:textId="77777777" w:rsidR="002F0785" w:rsidRPr="005A786C" w:rsidRDefault="002F0785" w:rsidP="00845081">
            <w:pPr>
              <w:pStyle w:val="Tabletext"/>
              <w:jc w:val="center"/>
              <w:rPr>
                <w:color w:val="000000" w:themeColor="text1"/>
                <w:szCs w:val="20"/>
              </w:rPr>
            </w:pPr>
            <w:r w:rsidRPr="005A786C">
              <w:rPr>
                <w:color w:val="000000" w:themeColor="text1"/>
                <w:szCs w:val="20"/>
              </w:rPr>
              <w:t>0.77</w:t>
            </w:r>
            <w:r w:rsidRPr="005A786C">
              <w:rPr>
                <w:color w:val="000000" w:themeColor="text1"/>
                <w:spacing w:val="-2"/>
                <w:szCs w:val="20"/>
              </w:rPr>
              <w:t xml:space="preserve"> </w:t>
            </w:r>
            <w:r w:rsidRPr="005A786C">
              <w:rPr>
                <w:color w:val="000000" w:themeColor="text1"/>
                <w:szCs w:val="20"/>
              </w:rPr>
              <w:t>1.60</w:t>
            </w:r>
          </w:p>
        </w:tc>
        <w:tc>
          <w:tcPr>
            <w:tcW w:w="625" w:type="pct"/>
            <w:vAlign w:val="center"/>
          </w:tcPr>
          <w:p w14:paraId="5D47077D"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vAlign w:val="center"/>
          </w:tcPr>
          <w:p w14:paraId="08F7208D" w14:textId="77777777" w:rsidR="002F0785" w:rsidRPr="005A786C" w:rsidRDefault="002F0785" w:rsidP="002861E7">
            <w:pPr>
              <w:pStyle w:val="Tabletext"/>
              <w:jc w:val="center"/>
              <w:rPr>
                <w:color w:val="000000" w:themeColor="text1"/>
                <w:szCs w:val="20"/>
              </w:rPr>
            </w:pPr>
            <w:r w:rsidRPr="005A786C">
              <w:rPr>
                <w:color w:val="000000" w:themeColor="text1"/>
                <w:szCs w:val="20"/>
              </w:rPr>
              <w:t>0.76, 1.16</w:t>
            </w:r>
          </w:p>
        </w:tc>
      </w:tr>
      <w:tr w:rsidR="002F0785" w:rsidRPr="005A786C" w14:paraId="23B5F964" w14:textId="77777777" w:rsidTr="00D265C2">
        <w:trPr>
          <w:trHeight w:val="308"/>
        </w:trPr>
        <w:tc>
          <w:tcPr>
            <w:tcW w:w="470" w:type="pct"/>
            <w:vAlign w:val="center"/>
          </w:tcPr>
          <w:p w14:paraId="5B85C6AF" w14:textId="77777777" w:rsidR="002F0785" w:rsidRPr="005A786C" w:rsidRDefault="002F0785" w:rsidP="00845081">
            <w:pPr>
              <w:pStyle w:val="Tabletext"/>
              <w:jc w:val="center"/>
              <w:rPr>
                <w:b/>
                <w:bCs/>
                <w:szCs w:val="20"/>
              </w:rPr>
            </w:pPr>
            <w:r w:rsidRPr="005A786C">
              <w:rPr>
                <w:b/>
                <w:bCs/>
                <w:szCs w:val="20"/>
              </w:rPr>
              <w:t>6B</w:t>
            </w:r>
          </w:p>
        </w:tc>
        <w:tc>
          <w:tcPr>
            <w:tcW w:w="616" w:type="pct"/>
            <w:shd w:val="clear" w:color="auto" w:fill="FDE9D9" w:themeFill="accent6" w:themeFillTint="33"/>
            <w:vAlign w:val="center"/>
          </w:tcPr>
          <w:p w14:paraId="36241DAA" w14:textId="77777777" w:rsidR="002F0785" w:rsidRPr="005A786C" w:rsidRDefault="002F0785" w:rsidP="00845081">
            <w:pPr>
              <w:pStyle w:val="Tabletext"/>
              <w:jc w:val="center"/>
              <w:rPr>
                <w:bCs/>
                <w:szCs w:val="20"/>
              </w:rPr>
            </w:pPr>
            <w:r w:rsidRPr="005A786C">
              <w:rPr>
                <w:bCs/>
                <w:szCs w:val="20"/>
              </w:rPr>
              <w:t>1.02,</w:t>
            </w:r>
            <w:r w:rsidRPr="005A786C">
              <w:rPr>
                <w:bCs/>
                <w:spacing w:val="-2"/>
                <w:szCs w:val="20"/>
              </w:rPr>
              <w:t xml:space="preserve"> </w:t>
            </w:r>
            <w:r w:rsidRPr="005A786C">
              <w:rPr>
                <w:bCs/>
                <w:szCs w:val="20"/>
              </w:rPr>
              <w:t>1.48</w:t>
            </w:r>
          </w:p>
        </w:tc>
        <w:tc>
          <w:tcPr>
            <w:tcW w:w="660" w:type="pct"/>
            <w:shd w:val="clear" w:color="auto" w:fill="FDE9D9" w:themeFill="accent6" w:themeFillTint="33"/>
            <w:vAlign w:val="center"/>
          </w:tcPr>
          <w:p w14:paraId="2292C06D" w14:textId="77777777" w:rsidR="002F0785" w:rsidRPr="005A786C" w:rsidRDefault="002F0785" w:rsidP="00845081">
            <w:pPr>
              <w:pStyle w:val="Tabletext"/>
              <w:jc w:val="center"/>
              <w:rPr>
                <w:szCs w:val="20"/>
              </w:rPr>
            </w:pPr>
            <w:r w:rsidRPr="005A786C">
              <w:rPr>
                <w:szCs w:val="20"/>
              </w:rPr>
              <w:t>1.16,</w:t>
            </w:r>
            <w:r w:rsidRPr="005A786C">
              <w:rPr>
                <w:spacing w:val="-2"/>
                <w:szCs w:val="20"/>
              </w:rPr>
              <w:t xml:space="preserve"> </w:t>
            </w:r>
            <w:r w:rsidRPr="005A786C">
              <w:rPr>
                <w:szCs w:val="20"/>
              </w:rPr>
              <w:t>1.74</w:t>
            </w:r>
          </w:p>
        </w:tc>
        <w:tc>
          <w:tcPr>
            <w:tcW w:w="691" w:type="pct"/>
            <w:shd w:val="clear" w:color="auto" w:fill="FDE9D9" w:themeFill="accent6" w:themeFillTint="33"/>
            <w:vAlign w:val="center"/>
          </w:tcPr>
          <w:p w14:paraId="72ECDBE1" w14:textId="77777777" w:rsidR="002F0785" w:rsidRPr="005A786C" w:rsidRDefault="002F0785" w:rsidP="00845081">
            <w:pPr>
              <w:pStyle w:val="Tabletext"/>
              <w:jc w:val="center"/>
              <w:rPr>
                <w:szCs w:val="20"/>
              </w:rPr>
            </w:pPr>
            <w:r w:rsidRPr="005A786C">
              <w:rPr>
                <w:szCs w:val="20"/>
              </w:rPr>
              <w:t>1.31,</w:t>
            </w:r>
            <w:r w:rsidRPr="005A786C">
              <w:rPr>
                <w:spacing w:val="-2"/>
                <w:szCs w:val="20"/>
              </w:rPr>
              <w:t xml:space="preserve"> </w:t>
            </w:r>
            <w:r w:rsidRPr="005A786C">
              <w:rPr>
                <w:szCs w:val="20"/>
              </w:rPr>
              <w:t>2.06</w:t>
            </w:r>
          </w:p>
        </w:tc>
        <w:tc>
          <w:tcPr>
            <w:tcW w:w="686" w:type="pct"/>
            <w:shd w:val="clear" w:color="auto" w:fill="FDE9D9" w:themeFill="accent6" w:themeFillTint="33"/>
            <w:vAlign w:val="center"/>
          </w:tcPr>
          <w:p w14:paraId="03BC2F1E" w14:textId="77777777" w:rsidR="002F0785" w:rsidRPr="005A786C" w:rsidRDefault="002F0785" w:rsidP="00845081">
            <w:pPr>
              <w:pStyle w:val="Tabletext"/>
              <w:jc w:val="center"/>
              <w:rPr>
                <w:szCs w:val="20"/>
              </w:rPr>
            </w:pPr>
            <w:r w:rsidRPr="005A786C">
              <w:rPr>
                <w:szCs w:val="20"/>
              </w:rPr>
              <w:t>1.25, 1.66</w:t>
            </w:r>
          </w:p>
        </w:tc>
        <w:tc>
          <w:tcPr>
            <w:tcW w:w="625" w:type="pct"/>
            <w:shd w:val="clear" w:color="auto" w:fill="auto"/>
            <w:vAlign w:val="center"/>
          </w:tcPr>
          <w:p w14:paraId="6568466C" w14:textId="77777777" w:rsidR="002F0785" w:rsidRPr="005A786C" w:rsidRDefault="002F0785" w:rsidP="00845081">
            <w:pPr>
              <w:pStyle w:val="Tabletext"/>
              <w:jc w:val="center"/>
              <w:rPr>
                <w:color w:val="000000" w:themeColor="text1"/>
                <w:szCs w:val="20"/>
              </w:rPr>
            </w:pPr>
            <w:r w:rsidRPr="005A786C">
              <w:rPr>
                <w:color w:val="000000" w:themeColor="text1"/>
                <w:szCs w:val="20"/>
              </w:rPr>
              <w:t>0.90,</w:t>
            </w:r>
            <w:r w:rsidRPr="005A786C">
              <w:rPr>
                <w:color w:val="000000" w:themeColor="text1"/>
                <w:spacing w:val="-2"/>
                <w:szCs w:val="20"/>
              </w:rPr>
              <w:t xml:space="preserve"> </w:t>
            </w:r>
            <w:r w:rsidRPr="005A786C">
              <w:rPr>
                <w:color w:val="000000" w:themeColor="text1"/>
                <w:szCs w:val="20"/>
              </w:rPr>
              <w:t>1.77</w:t>
            </w:r>
          </w:p>
        </w:tc>
        <w:tc>
          <w:tcPr>
            <w:tcW w:w="625" w:type="pct"/>
            <w:shd w:val="clear" w:color="auto" w:fill="FDE9D9" w:themeFill="accent6" w:themeFillTint="33"/>
            <w:vAlign w:val="center"/>
          </w:tcPr>
          <w:p w14:paraId="6C6283BC"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shd w:val="clear" w:color="auto" w:fill="FDE9D9" w:themeFill="accent6" w:themeFillTint="33"/>
            <w:vAlign w:val="center"/>
          </w:tcPr>
          <w:p w14:paraId="1A64AFB9" w14:textId="77777777" w:rsidR="002F0785" w:rsidRPr="005A786C" w:rsidRDefault="002F0785" w:rsidP="002861E7">
            <w:pPr>
              <w:pStyle w:val="Tabletext"/>
              <w:jc w:val="center"/>
              <w:rPr>
                <w:color w:val="000000" w:themeColor="text1"/>
                <w:szCs w:val="20"/>
              </w:rPr>
            </w:pPr>
            <w:r w:rsidRPr="005A786C">
              <w:rPr>
                <w:color w:val="000000" w:themeColor="text1"/>
                <w:szCs w:val="20"/>
              </w:rPr>
              <w:t>1.03, 1.59</w:t>
            </w:r>
          </w:p>
        </w:tc>
      </w:tr>
      <w:tr w:rsidR="002F0785" w:rsidRPr="005A786C" w14:paraId="2071FD31" w14:textId="77777777" w:rsidTr="002861E7">
        <w:trPr>
          <w:trHeight w:val="308"/>
        </w:trPr>
        <w:tc>
          <w:tcPr>
            <w:tcW w:w="470" w:type="pct"/>
            <w:vAlign w:val="center"/>
          </w:tcPr>
          <w:p w14:paraId="172D391D" w14:textId="77777777" w:rsidR="002F0785" w:rsidRPr="005A786C" w:rsidRDefault="002F0785" w:rsidP="00845081">
            <w:pPr>
              <w:pStyle w:val="Tabletext"/>
              <w:jc w:val="center"/>
              <w:rPr>
                <w:b/>
                <w:bCs/>
                <w:szCs w:val="20"/>
              </w:rPr>
            </w:pPr>
            <w:r w:rsidRPr="005A786C">
              <w:rPr>
                <w:b/>
                <w:bCs/>
                <w:szCs w:val="20"/>
              </w:rPr>
              <w:t>7F</w:t>
            </w:r>
          </w:p>
        </w:tc>
        <w:tc>
          <w:tcPr>
            <w:tcW w:w="616" w:type="pct"/>
            <w:shd w:val="clear" w:color="auto" w:fill="FFFF00"/>
            <w:vAlign w:val="center"/>
          </w:tcPr>
          <w:p w14:paraId="3CF4C176" w14:textId="77777777" w:rsidR="002F0785" w:rsidRPr="005A786C" w:rsidRDefault="002F0785" w:rsidP="00845081">
            <w:pPr>
              <w:pStyle w:val="Tabletext"/>
              <w:jc w:val="center"/>
              <w:rPr>
                <w:bCs/>
                <w:szCs w:val="20"/>
              </w:rPr>
            </w:pPr>
            <w:r w:rsidRPr="005A786C">
              <w:rPr>
                <w:bCs/>
                <w:szCs w:val="20"/>
              </w:rPr>
              <w:t>0.68,</w:t>
            </w:r>
            <w:r w:rsidRPr="005A786C">
              <w:rPr>
                <w:bCs/>
                <w:spacing w:val="-2"/>
                <w:szCs w:val="20"/>
              </w:rPr>
              <w:t xml:space="preserve"> </w:t>
            </w:r>
            <w:r w:rsidRPr="005A786C">
              <w:rPr>
                <w:bCs/>
                <w:szCs w:val="20"/>
              </w:rPr>
              <w:t>0.90</w:t>
            </w:r>
          </w:p>
        </w:tc>
        <w:tc>
          <w:tcPr>
            <w:tcW w:w="660" w:type="pct"/>
            <w:vAlign w:val="center"/>
          </w:tcPr>
          <w:p w14:paraId="14AEA0FD" w14:textId="77777777" w:rsidR="002F0785" w:rsidRPr="005A786C" w:rsidRDefault="002F0785" w:rsidP="00845081">
            <w:pPr>
              <w:pStyle w:val="Tabletext"/>
              <w:jc w:val="center"/>
              <w:rPr>
                <w:szCs w:val="20"/>
              </w:rPr>
            </w:pPr>
            <w:r w:rsidRPr="005A786C">
              <w:rPr>
                <w:szCs w:val="20"/>
              </w:rPr>
              <w:t>0.74,</w:t>
            </w:r>
            <w:r w:rsidRPr="005A786C">
              <w:rPr>
                <w:spacing w:val="-2"/>
                <w:szCs w:val="20"/>
              </w:rPr>
              <w:t xml:space="preserve"> </w:t>
            </w:r>
            <w:r w:rsidRPr="005A786C">
              <w:rPr>
                <w:szCs w:val="20"/>
              </w:rPr>
              <w:t>1.04</w:t>
            </w:r>
          </w:p>
        </w:tc>
        <w:tc>
          <w:tcPr>
            <w:tcW w:w="691" w:type="pct"/>
            <w:vAlign w:val="center"/>
          </w:tcPr>
          <w:p w14:paraId="0A62CA94" w14:textId="77777777" w:rsidR="002F0785" w:rsidRPr="005A786C" w:rsidRDefault="002F0785" w:rsidP="00845081">
            <w:pPr>
              <w:pStyle w:val="Tabletext"/>
              <w:jc w:val="center"/>
              <w:rPr>
                <w:szCs w:val="20"/>
              </w:rPr>
            </w:pPr>
            <w:r w:rsidRPr="005A786C">
              <w:rPr>
                <w:szCs w:val="20"/>
              </w:rPr>
              <w:t>0.80,</w:t>
            </w:r>
            <w:r w:rsidRPr="005A786C">
              <w:rPr>
                <w:spacing w:val="-2"/>
                <w:szCs w:val="20"/>
              </w:rPr>
              <w:t xml:space="preserve"> </w:t>
            </w:r>
            <w:r w:rsidRPr="005A786C">
              <w:rPr>
                <w:szCs w:val="20"/>
              </w:rPr>
              <w:t>1.14</w:t>
            </w:r>
          </w:p>
        </w:tc>
        <w:tc>
          <w:tcPr>
            <w:tcW w:w="686" w:type="pct"/>
            <w:shd w:val="clear" w:color="auto" w:fill="D9D9D9" w:themeFill="background1" w:themeFillShade="D9"/>
            <w:vAlign w:val="center"/>
          </w:tcPr>
          <w:p w14:paraId="0B0239E1" w14:textId="77777777" w:rsidR="002F0785" w:rsidRPr="005A786C" w:rsidRDefault="002F0785" w:rsidP="00845081">
            <w:pPr>
              <w:pStyle w:val="Tabletext"/>
              <w:jc w:val="center"/>
              <w:rPr>
                <w:szCs w:val="20"/>
              </w:rPr>
            </w:pPr>
            <w:r w:rsidRPr="005A786C">
              <w:rPr>
                <w:szCs w:val="20"/>
              </w:rPr>
              <w:t>0.66, 0.84</w:t>
            </w:r>
          </w:p>
        </w:tc>
        <w:tc>
          <w:tcPr>
            <w:tcW w:w="625" w:type="pct"/>
            <w:vAlign w:val="center"/>
          </w:tcPr>
          <w:p w14:paraId="6F73235C" w14:textId="77777777" w:rsidR="002F0785" w:rsidRPr="005A786C" w:rsidRDefault="002F0785" w:rsidP="00845081">
            <w:pPr>
              <w:pStyle w:val="Tabletext"/>
              <w:jc w:val="center"/>
              <w:rPr>
                <w:color w:val="000000" w:themeColor="text1"/>
                <w:szCs w:val="20"/>
              </w:rPr>
            </w:pPr>
            <w:r w:rsidRPr="005A786C">
              <w:rPr>
                <w:color w:val="000000" w:themeColor="text1"/>
                <w:szCs w:val="20"/>
              </w:rPr>
              <w:t>0.73,</w:t>
            </w:r>
            <w:r w:rsidRPr="005A786C">
              <w:rPr>
                <w:color w:val="000000" w:themeColor="text1"/>
                <w:spacing w:val="-2"/>
                <w:szCs w:val="20"/>
              </w:rPr>
              <w:t xml:space="preserve"> </w:t>
            </w:r>
            <w:r w:rsidRPr="005A786C">
              <w:rPr>
                <w:color w:val="000000" w:themeColor="text1"/>
                <w:szCs w:val="20"/>
              </w:rPr>
              <w:t>1.29</w:t>
            </w:r>
          </w:p>
        </w:tc>
        <w:tc>
          <w:tcPr>
            <w:tcW w:w="625" w:type="pct"/>
            <w:shd w:val="clear" w:color="auto" w:fill="D9D9D9" w:themeFill="background1" w:themeFillShade="D9"/>
            <w:vAlign w:val="center"/>
          </w:tcPr>
          <w:p w14:paraId="2F206A39"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shd w:val="clear" w:color="auto" w:fill="D9D9D9" w:themeFill="background1" w:themeFillShade="D9"/>
            <w:vAlign w:val="center"/>
          </w:tcPr>
          <w:p w14:paraId="0997D278" w14:textId="77777777" w:rsidR="002F0785" w:rsidRPr="005A786C" w:rsidRDefault="002F0785" w:rsidP="002861E7">
            <w:pPr>
              <w:pStyle w:val="Tabletext"/>
              <w:jc w:val="center"/>
              <w:rPr>
                <w:color w:val="000000" w:themeColor="text1"/>
                <w:szCs w:val="20"/>
              </w:rPr>
            </w:pPr>
            <w:r w:rsidRPr="005A786C">
              <w:rPr>
                <w:color w:val="000000" w:themeColor="text1"/>
                <w:szCs w:val="20"/>
              </w:rPr>
              <w:t>0.66, 0.92</w:t>
            </w:r>
          </w:p>
        </w:tc>
      </w:tr>
      <w:tr w:rsidR="002F0785" w:rsidRPr="005A786C" w14:paraId="6926909C" w14:textId="77777777" w:rsidTr="002861E7">
        <w:trPr>
          <w:trHeight w:val="308"/>
        </w:trPr>
        <w:tc>
          <w:tcPr>
            <w:tcW w:w="470" w:type="pct"/>
            <w:vAlign w:val="center"/>
          </w:tcPr>
          <w:p w14:paraId="500B1219" w14:textId="77777777" w:rsidR="002F0785" w:rsidRPr="005A786C" w:rsidRDefault="002F0785" w:rsidP="00845081">
            <w:pPr>
              <w:pStyle w:val="Tabletext"/>
              <w:jc w:val="center"/>
              <w:rPr>
                <w:b/>
                <w:bCs/>
                <w:szCs w:val="20"/>
              </w:rPr>
            </w:pPr>
            <w:r w:rsidRPr="005A786C">
              <w:rPr>
                <w:b/>
                <w:bCs/>
                <w:szCs w:val="20"/>
              </w:rPr>
              <w:t>9V</w:t>
            </w:r>
          </w:p>
        </w:tc>
        <w:tc>
          <w:tcPr>
            <w:tcW w:w="616" w:type="pct"/>
            <w:shd w:val="clear" w:color="auto" w:fill="FFFF00"/>
            <w:vAlign w:val="center"/>
          </w:tcPr>
          <w:p w14:paraId="53C225FE" w14:textId="77777777" w:rsidR="002F0785" w:rsidRPr="005A786C" w:rsidRDefault="002F0785" w:rsidP="00845081">
            <w:pPr>
              <w:pStyle w:val="Tabletext"/>
              <w:jc w:val="center"/>
              <w:rPr>
                <w:bCs/>
                <w:szCs w:val="20"/>
              </w:rPr>
            </w:pPr>
            <w:r w:rsidRPr="005A786C">
              <w:rPr>
                <w:bCs/>
                <w:szCs w:val="20"/>
              </w:rPr>
              <w:t>0.70,</w:t>
            </w:r>
            <w:r w:rsidRPr="005A786C">
              <w:rPr>
                <w:bCs/>
                <w:spacing w:val="-2"/>
                <w:szCs w:val="20"/>
              </w:rPr>
              <w:t xml:space="preserve"> </w:t>
            </w:r>
            <w:r w:rsidRPr="005A786C">
              <w:rPr>
                <w:bCs/>
                <w:szCs w:val="20"/>
              </w:rPr>
              <w:t>0.94</w:t>
            </w:r>
          </w:p>
        </w:tc>
        <w:tc>
          <w:tcPr>
            <w:tcW w:w="660" w:type="pct"/>
            <w:vAlign w:val="center"/>
          </w:tcPr>
          <w:p w14:paraId="5A38641A" w14:textId="77777777" w:rsidR="002F0785" w:rsidRPr="005A786C" w:rsidRDefault="002F0785" w:rsidP="00845081">
            <w:pPr>
              <w:pStyle w:val="Tabletext"/>
              <w:jc w:val="center"/>
              <w:rPr>
                <w:szCs w:val="20"/>
              </w:rPr>
            </w:pPr>
            <w:r w:rsidRPr="005A786C">
              <w:rPr>
                <w:szCs w:val="20"/>
              </w:rPr>
              <w:t>0.77,</w:t>
            </w:r>
            <w:r w:rsidRPr="005A786C">
              <w:rPr>
                <w:spacing w:val="-2"/>
                <w:szCs w:val="20"/>
              </w:rPr>
              <w:t xml:space="preserve"> </w:t>
            </w:r>
            <w:r w:rsidRPr="005A786C">
              <w:rPr>
                <w:szCs w:val="20"/>
              </w:rPr>
              <w:t>1.09</w:t>
            </w:r>
          </w:p>
        </w:tc>
        <w:tc>
          <w:tcPr>
            <w:tcW w:w="691" w:type="pct"/>
            <w:vAlign w:val="center"/>
          </w:tcPr>
          <w:p w14:paraId="406529B0" w14:textId="77777777" w:rsidR="002F0785" w:rsidRPr="005A786C" w:rsidRDefault="002F0785" w:rsidP="00845081">
            <w:pPr>
              <w:pStyle w:val="Tabletext"/>
              <w:jc w:val="center"/>
              <w:rPr>
                <w:szCs w:val="20"/>
              </w:rPr>
            </w:pPr>
            <w:r w:rsidRPr="005A786C">
              <w:rPr>
                <w:szCs w:val="20"/>
              </w:rPr>
              <w:t>0.83,</w:t>
            </w:r>
            <w:r w:rsidRPr="005A786C">
              <w:rPr>
                <w:spacing w:val="-2"/>
                <w:szCs w:val="20"/>
              </w:rPr>
              <w:t xml:space="preserve"> </w:t>
            </w:r>
            <w:r w:rsidRPr="005A786C">
              <w:rPr>
                <w:szCs w:val="20"/>
              </w:rPr>
              <w:t>1.24</w:t>
            </w:r>
          </w:p>
        </w:tc>
        <w:tc>
          <w:tcPr>
            <w:tcW w:w="686" w:type="pct"/>
            <w:shd w:val="clear" w:color="auto" w:fill="FFFF00"/>
            <w:vAlign w:val="center"/>
          </w:tcPr>
          <w:p w14:paraId="03FD2287" w14:textId="77777777" w:rsidR="002F0785" w:rsidRPr="005A786C" w:rsidRDefault="002F0785" w:rsidP="00845081">
            <w:pPr>
              <w:pStyle w:val="Tabletext"/>
              <w:jc w:val="center"/>
              <w:rPr>
                <w:szCs w:val="20"/>
              </w:rPr>
            </w:pPr>
            <w:r w:rsidRPr="005A786C">
              <w:rPr>
                <w:szCs w:val="20"/>
              </w:rPr>
              <w:t>0.73, 0.93</w:t>
            </w:r>
          </w:p>
        </w:tc>
        <w:tc>
          <w:tcPr>
            <w:tcW w:w="625" w:type="pct"/>
            <w:vAlign w:val="center"/>
          </w:tcPr>
          <w:p w14:paraId="21224380" w14:textId="77777777" w:rsidR="002F0785" w:rsidRPr="005A786C" w:rsidRDefault="002F0785" w:rsidP="00845081">
            <w:pPr>
              <w:pStyle w:val="Tabletext"/>
              <w:jc w:val="center"/>
              <w:rPr>
                <w:color w:val="000000" w:themeColor="text1"/>
                <w:szCs w:val="20"/>
              </w:rPr>
            </w:pPr>
            <w:r w:rsidRPr="005A786C">
              <w:rPr>
                <w:color w:val="000000" w:themeColor="text1"/>
                <w:szCs w:val="20"/>
              </w:rPr>
              <w:t>0.93,</w:t>
            </w:r>
            <w:r w:rsidRPr="005A786C">
              <w:rPr>
                <w:color w:val="000000" w:themeColor="text1"/>
                <w:spacing w:val="-2"/>
                <w:szCs w:val="20"/>
              </w:rPr>
              <w:t xml:space="preserve"> </w:t>
            </w:r>
            <w:r w:rsidRPr="005A786C">
              <w:rPr>
                <w:color w:val="000000" w:themeColor="text1"/>
                <w:szCs w:val="20"/>
              </w:rPr>
              <w:t>1.57</w:t>
            </w:r>
          </w:p>
        </w:tc>
        <w:tc>
          <w:tcPr>
            <w:tcW w:w="625" w:type="pct"/>
            <w:shd w:val="clear" w:color="auto" w:fill="FFFF00"/>
            <w:vAlign w:val="center"/>
          </w:tcPr>
          <w:p w14:paraId="3A8450A7"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vAlign w:val="center"/>
          </w:tcPr>
          <w:p w14:paraId="0116F7A1" w14:textId="77777777" w:rsidR="002F0785" w:rsidRPr="005A786C" w:rsidRDefault="002F0785" w:rsidP="002861E7">
            <w:pPr>
              <w:pStyle w:val="Tabletext"/>
              <w:jc w:val="center"/>
              <w:rPr>
                <w:color w:val="000000" w:themeColor="text1"/>
                <w:szCs w:val="20"/>
              </w:rPr>
            </w:pPr>
            <w:r w:rsidRPr="005A786C">
              <w:rPr>
                <w:color w:val="000000" w:themeColor="text1"/>
                <w:szCs w:val="20"/>
              </w:rPr>
              <w:t>0.70, 1.00</w:t>
            </w:r>
          </w:p>
        </w:tc>
      </w:tr>
      <w:tr w:rsidR="002F0785" w:rsidRPr="005A786C" w14:paraId="3C40072E" w14:textId="77777777" w:rsidTr="002861E7">
        <w:trPr>
          <w:trHeight w:val="308"/>
        </w:trPr>
        <w:tc>
          <w:tcPr>
            <w:tcW w:w="470" w:type="pct"/>
            <w:vAlign w:val="center"/>
          </w:tcPr>
          <w:p w14:paraId="0786A890" w14:textId="77777777" w:rsidR="002F0785" w:rsidRPr="005A786C" w:rsidRDefault="002F0785" w:rsidP="00845081">
            <w:pPr>
              <w:pStyle w:val="Tabletext"/>
              <w:jc w:val="center"/>
              <w:rPr>
                <w:b/>
                <w:bCs/>
                <w:szCs w:val="20"/>
              </w:rPr>
            </w:pPr>
            <w:r w:rsidRPr="005A786C">
              <w:rPr>
                <w:b/>
                <w:bCs/>
                <w:szCs w:val="20"/>
              </w:rPr>
              <w:t>14</w:t>
            </w:r>
          </w:p>
        </w:tc>
        <w:tc>
          <w:tcPr>
            <w:tcW w:w="616" w:type="pct"/>
            <w:shd w:val="clear" w:color="auto" w:fill="D9D9D9" w:themeFill="background1" w:themeFillShade="D9"/>
            <w:vAlign w:val="center"/>
          </w:tcPr>
          <w:p w14:paraId="53FD4CDD" w14:textId="77777777" w:rsidR="002F0785" w:rsidRPr="005A786C" w:rsidRDefault="002F0785" w:rsidP="00845081">
            <w:pPr>
              <w:pStyle w:val="Tabletext"/>
              <w:jc w:val="center"/>
              <w:rPr>
                <w:bCs/>
                <w:szCs w:val="20"/>
              </w:rPr>
            </w:pPr>
            <w:r w:rsidRPr="005A786C">
              <w:rPr>
                <w:bCs/>
                <w:szCs w:val="20"/>
              </w:rPr>
              <w:t>0.64,</w:t>
            </w:r>
            <w:r w:rsidRPr="005A786C">
              <w:rPr>
                <w:bCs/>
                <w:spacing w:val="-2"/>
                <w:szCs w:val="20"/>
              </w:rPr>
              <w:t xml:space="preserve"> </w:t>
            </w:r>
            <w:r w:rsidRPr="005A786C">
              <w:rPr>
                <w:bCs/>
                <w:szCs w:val="20"/>
              </w:rPr>
              <w:t>0.89</w:t>
            </w:r>
          </w:p>
        </w:tc>
        <w:tc>
          <w:tcPr>
            <w:tcW w:w="660" w:type="pct"/>
            <w:vAlign w:val="center"/>
          </w:tcPr>
          <w:p w14:paraId="377AAF19" w14:textId="77777777" w:rsidR="002F0785" w:rsidRPr="005A786C" w:rsidRDefault="002F0785" w:rsidP="00845081">
            <w:pPr>
              <w:pStyle w:val="Tabletext"/>
              <w:jc w:val="center"/>
              <w:rPr>
                <w:szCs w:val="20"/>
              </w:rPr>
            </w:pPr>
            <w:r w:rsidRPr="005A786C">
              <w:rPr>
                <w:szCs w:val="20"/>
              </w:rPr>
              <w:t>0.79,</w:t>
            </w:r>
            <w:r w:rsidRPr="005A786C">
              <w:rPr>
                <w:spacing w:val="-2"/>
                <w:szCs w:val="20"/>
              </w:rPr>
              <w:t xml:space="preserve"> </w:t>
            </w:r>
            <w:r w:rsidRPr="005A786C">
              <w:rPr>
                <w:szCs w:val="20"/>
              </w:rPr>
              <w:t>1.25</w:t>
            </w:r>
          </w:p>
        </w:tc>
        <w:tc>
          <w:tcPr>
            <w:tcW w:w="691" w:type="pct"/>
            <w:vAlign w:val="center"/>
          </w:tcPr>
          <w:p w14:paraId="789C32BD" w14:textId="77777777" w:rsidR="002F0785" w:rsidRPr="005A786C" w:rsidRDefault="002F0785" w:rsidP="00845081">
            <w:pPr>
              <w:pStyle w:val="Tabletext"/>
              <w:jc w:val="center"/>
              <w:rPr>
                <w:szCs w:val="20"/>
              </w:rPr>
            </w:pPr>
            <w:r w:rsidRPr="005A786C">
              <w:rPr>
                <w:szCs w:val="20"/>
              </w:rPr>
              <w:t>0.87,</w:t>
            </w:r>
            <w:r w:rsidRPr="005A786C">
              <w:rPr>
                <w:spacing w:val="-2"/>
                <w:szCs w:val="20"/>
              </w:rPr>
              <w:t xml:space="preserve"> </w:t>
            </w:r>
            <w:r w:rsidRPr="005A786C">
              <w:rPr>
                <w:szCs w:val="20"/>
              </w:rPr>
              <w:t>1.37</w:t>
            </w:r>
          </w:p>
        </w:tc>
        <w:tc>
          <w:tcPr>
            <w:tcW w:w="686" w:type="pct"/>
            <w:vAlign w:val="center"/>
          </w:tcPr>
          <w:p w14:paraId="1B5362A4" w14:textId="77777777" w:rsidR="002F0785" w:rsidRPr="005A786C" w:rsidRDefault="002F0785" w:rsidP="00845081">
            <w:pPr>
              <w:pStyle w:val="Tabletext"/>
              <w:jc w:val="center"/>
              <w:rPr>
                <w:szCs w:val="20"/>
              </w:rPr>
            </w:pPr>
            <w:r w:rsidRPr="005A786C">
              <w:rPr>
                <w:szCs w:val="20"/>
              </w:rPr>
              <w:t>0.77, 1.03</w:t>
            </w:r>
          </w:p>
        </w:tc>
        <w:tc>
          <w:tcPr>
            <w:tcW w:w="625" w:type="pct"/>
            <w:vAlign w:val="center"/>
          </w:tcPr>
          <w:p w14:paraId="68FBE94B" w14:textId="77777777" w:rsidR="002F0785" w:rsidRPr="005A786C" w:rsidRDefault="002F0785" w:rsidP="00845081">
            <w:pPr>
              <w:pStyle w:val="Tabletext"/>
              <w:jc w:val="center"/>
              <w:rPr>
                <w:color w:val="000000" w:themeColor="text1"/>
                <w:szCs w:val="20"/>
              </w:rPr>
            </w:pPr>
            <w:r w:rsidRPr="005A786C">
              <w:rPr>
                <w:color w:val="000000" w:themeColor="text1"/>
                <w:szCs w:val="20"/>
              </w:rPr>
              <w:t>0.83,</w:t>
            </w:r>
            <w:r w:rsidRPr="005A786C">
              <w:rPr>
                <w:color w:val="000000" w:themeColor="text1"/>
                <w:spacing w:val="-2"/>
                <w:szCs w:val="20"/>
              </w:rPr>
              <w:t xml:space="preserve"> </w:t>
            </w:r>
            <w:r w:rsidRPr="005A786C">
              <w:rPr>
                <w:color w:val="000000" w:themeColor="text1"/>
                <w:szCs w:val="20"/>
              </w:rPr>
              <w:t>1.59</w:t>
            </w:r>
          </w:p>
        </w:tc>
        <w:tc>
          <w:tcPr>
            <w:tcW w:w="625" w:type="pct"/>
            <w:vAlign w:val="center"/>
          </w:tcPr>
          <w:p w14:paraId="2331D989"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vAlign w:val="center"/>
          </w:tcPr>
          <w:p w14:paraId="4A7316D7" w14:textId="77777777" w:rsidR="002F0785" w:rsidRPr="005A786C" w:rsidRDefault="002F0785" w:rsidP="002861E7">
            <w:pPr>
              <w:pStyle w:val="Tabletext"/>
              <w:jc w:val="center"/>
              <w:rPr>
                <w:color w:val="000000" w:themeColor="text1"/>
                <w:szCs w:val="20"/>
              </w:rPr>
            </w:pPr>
            <w:r w:rsidRPr="005A786C">
              <w:rPr>
                <w:color w:val="000000" w:themeColor="text1"/>
                <w:szCs w:val="20"/>
              </w:rPr>
              <w:t>0.80, 1.19</w:t>
            </w:r>
          </w:p>
        </w:tc>
      </w:tr>
      <w:tr w:rsidR="002F0785" w:rsidRPr="005A786C" w14:paraId="46523A2A" w14:textId="77777777" w:rsidTr="00D265C2">
        <w:trPr>
          <w:trHeight w:val="308"/>
        </w:trPr>
        <w:tc>
          <w:tcPr>
            <w:tcW w:w="470" w:type="pct"/>
            <w:vAlign w:val="center"/>
          </w:tcPr>
          <w:p w14:paraId="7F6037B7" w14:textId="77777777" w:rsidR="002F0785" w:rsidRPr="005A786C" w:rsidRDefault="002F0785" w:rsidP="00845081">
            <w:pPr>
              <w:pStyle w:val="Tabletext"/>
              <w:jc w:val="center"/>
              <w:rPr>
                <w:b/>
                <w:bCs/>
                <w:szCs w:val="20"/>
              </w:rPr>
            </w:pPr>
            <w:r w:rsidRPr="005A786C">
              <w:rPr>
                <w:b/>
                <w:bCs/>
                <w:szCs w:val="20"/>
              </w:rPr>
              <w:t>18C</w:t>
            </w:r>
          </w:p>
        </w:tc>
        <w:tc>
          <w:tcPr>
            <w:tcW w:w="616" w:type="pct"/>
            <w:vAlign w:val="center"/>
          </w:tcPr>
          <w:p w14:paraId="294656AD" w14:textId="77777777" w:rsidR="002F0785" w:rsidRPr="005A786C" w:rsidRDefault="002F0785" w:rsidP="00845081">
            <w:pPr>
              <w:pStyle w:val="Tabletext"/>
              <w:jc w:val="center"/>
              <w:rPr>
                <w:bCs/>
                <w:szCs w:val="20"/>
              </w:rPr>
            </w:pPr>
            <w:r w:rsidRPr="005A786C">
              <w:rPr>
                <w:bCs/>
                <w:szCs w:val="20"/>
              </w:rPr>
              <w:t>0.91,</w:t>
            </w:r>
            <w:r w:rsidRPr="005A786C">
              <w:rPr>
                <w:bCs/>
                <w:spacing w:val="-2"/>
                <w:szCs w:val="20"/>
              </w:rPr>
              <w:t xml:space="preserve"> </w:t>
            </w:r>
            <w:r w:rsidRPr="005A786C">
              <w:rPr>
                <w:bCs/>
                <w:szCs w:val="20"/>
              </w:rPr>
              <w:t>1.26</w:t>
            </w:r>
          </w:p>
        </w:tc>
        <w:tc>
          <w:tcPr>
            <w:tcW w:w="660" w:type="pct"/>
            <w:shd w:val="clear" w:color="auto" w:fill="FDE9D9" w:themeFill="accent6" w:themeFillTint="33"/>
            <w:vAlign w:val="center"/>
          </w:tcPr>
          <w:p w14:paraId="0A77F39B" w14:textId="77777777" w:rsidR="002F0785" w:rsidRPr="005A786C" w:rsidRDefault="002F0785" w:rsidP="00845081">
            <w:pPr>
              <w:pStyle w:val="Tabletext"/>
              <w:jc w:val="center"/>
              <w:rPr>
                <w:szCs w:val="20"/>
              </w:rPr>
            </w:pPr>
            <w:r w:rsidRPr="005A786C">
              <w:rPr>
                <w:szCs w:val="20"/>
              </w:rPr>
              <w:t>1.16,</w:t>
            </w:r>
            <w:r w:rsidRPr="005A786C">
              <w:rPr>
                <w:spacing w:val="-2"/>
                <w:szCs w:val="20"/>
              </w:rPr>
              <w:t xml:space="preserve"> </w:t>
            </w:r>
            <w:r w:rsidRPr="005A786C">
              <w:rPr>
                <w:szCs w:val="20"/>
              </w:rPr>
              <w:t>1.68</w:t>
            </w:r>
          </w:p>
        </w:tc>
        <w:tc>
          <w:tcPr>
            <w:tcW w:w="691" w:type="pct"/>
            <w:shd w:val="clear" w:color="auto" w:fill="FDE9D9" w:themeFill="accent6" w:themeFillTint="33"/>
            <w:vAlign w:val="center"/>
          </w:tcPr>
          <w:p w14:paraId="36C94319" w14:textId="77777777" w:rsidR="002F0785" w:rsidRPr="005A786C" w:rsidRDefault="002F0785" w:rsidP="00845081">
            <w:pPr>
              <w:pStyle w:val="Tabletext"/>
              <w:jc w:val="center"/>
              <w:rPr>
                <w:szCs w:val="20"/>
              </w:rPr>
            </w:pPr>
            <w:r w:rsidRPr="005A786C">
              <w:rPr>
                <w:szCs w:val="20"/>
              </w:rPr>
              <w:t>1.20,</w:t>
            </w:r>
            <w:r w:rsidRPr="005A786C">
              <w:rPr>
                <w:spacing w:val="-2"/>
                <w:szCs w:val="20"/>
              </w:rPr>
              <w:t xml:space="preserve"> </w:t>
            </w:r>
            <w:r w:rsidRPr="005A786C">
              <w:rPr>
                <w:szCs w:val="20"/>
              </w:rPr>
              <w:t>1.84</w:t>
            </w:r>
          </w:p>
        </w:tc>
        <w:tc>
          <w:tcPr>
            <w:tcW w:w="686" w:type="pct"/>
            <w:shd w:val="clear" w:color="auto" w:fill="FDE9D9" w:themeFill="accent6" w:themeFillTint="33"/>
            <w:vAlign w:val="center"/>
          </w:tcPr>
          <w:p w14:paraId="621FDBFD" w14:textId="77777777" w:rsidR="002F0785" w:rsidRPr="005A786C" w:rsidRDefault="002F0785" w:rsidP="00845081">
            <w:pPr>
              <w:pStyle w:val="Tabletext"/>
              <w:jc w:val="center"/>
              <w:rPr>
                <w:szCs w:val="20"/>
              </w:rPr>
            </w:pPr>
            <w:r w:rsidRPr="005A786C">
              <w:rPr>
                <w:szCs w:val="20"/>
              </w:rPr>
              <w:t>1.62, 2.12</w:t>
            </w:r>
          </w:p>
        </w:tc>
        <w:tc>
          <w:tcPr>
            <w:tcW w:w="625" w:type="pct"/>
            <w:shd w:val="clear" w:color="auto" w:fill="FDE9D9" w:themeFill="accent6" w:themeFillTint="33"/>
            <w:vAlign w:val="center"/>
          </w:tcPr>
          <w:p w14:paraId="7B4764CE" w14:textId="77777777" w:rsidR="002F0785" w:rsidRPr="005A786C" w:rsidRDefault="002F0785" w:rsidP="00845081">
            <w:pPr>
              <w:pStyle w:val="Tabletext"/>
              <w:jc w:val="center"/>
              <w:rPr>
                <w:color w:val="000000" w:themeColor="text1"/>
                <w:szCs w:val="20"/>
              </w:rPr>
            </w:pPr>
            <w:r w:rsidRPr="005A786C">
              <w:rPr>
                <w:color w:val="000000" w:themeColor="text1"/>
                <w:szCs w:val="20"/>
              </w:rPr>
              <w:t>1.33,</w:t>
            </w:r>
            <w:r w:rsidRPr="005A786C">
              <w:rPr>
                <w:color w:val="000000" w:themeColor="text1"/>
                <w:spacing w:val="-2"/>
                <w:szCs w:val="20"/>
              </w:rPr>
              <w:t xml:space="preserve"> </w:t>
            </w:r>
            <w:r w:rsidRPr="005A786C">
              <w:rPr>
                <w:color w:val="000000" w:themeColor="text1"/>
                <w:szCs w:val="20"/>
              </w:rPr>
              <w:t>2.47</w:t>
            </w:r>
          </w:p>
        </w:tc>
        <w:tc>
          <w:tcPr>
            <w:tcW w:w="625" w:type="pct"/>
            <w:shd w:val="clear" w:color="auto" w:fill="FDE9D9" w:themeFill="accent6" w:themeFillTint="33"/>
            <w:vAlign w:val="center"/>
          </w:tcPr>
          <w:p w14:paraId="7CF32240"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vAlign w:val="center"/>
          </w:tcPr>
          <w:p w14:paraId="1675F55A" w14:textId="77777777" w:rsidR="002F0785" w:rsidRPr="005A786C" w:rsidRDefault="002F0785" w:rsidP="002861E7">
            <w:pPr>
              <w:pStyle w:val="Tabletext"/>
              <w:jc w:val="center"/>
              <w:rPr>
                <w:color w:val="000000" w:themeColor="text1"/>
                <w:szCs w:val="20"/>
              </w:rPr>
            </w:pPr>
            <w:r w:rsidRPr="005A786C">
              <w:rPr>
                <w:color w:val="000000" w:themeColor="text1"/>
                <w:szCs w:val="20"/>
              </w:rPr>
              <w:t>0.87, 1.27</w:t>
            </w:r>
          </w:p>
        </w:tc>
      </w:tr>
      <w:tr w:rsidR="002F0785" w:rsidRPr="005A786C" w14:paraId="6A5E5035" w14:textId="77777777" w:rsidTr="00D265C2">
        <w:trPr>
          <w:trHeight w:val="308"/>
        </w:trPr>
        <w:tc>
          <w:tcPr>
            <w:tcW w:w="470" w:type="pct"/>
            <w:vAlign w:val="center"/>
          </w:tcPr>
          <w:p w14:paraId="5B8E2723" w14:textId="77777777" w:rsidR="002F0785" w:rsidRPr="005A786C" w:rsidRDefault="002F0785" w:rsidP="00845081">
            <w:pPr>
              <w:pStyle w:val="Tabletext"/>
              <w:jc w:val="center"/>
              <w:rPr>
                <w:b/>
                <w:bCs/>
                <w:szCs w:val="20"/>
              </w:rPr>
            </w:pPr>
            <w:r w:rsidRPr="005A786C">
              <w:rPr>
                <w:b/>
                <w:bCs/>
                <w:szCs w:val="20"/>
              </w:rPr>
              <w:t>19A</w:t>
            </w:r>
          </w:p>
        </w:tc>
        <w:tc>
          <w:tcPr>
            <w:tcW w:w="616" w:type="pct"/>
            <w:shd w:val="clear" w:color="auto" w:fill="FFFF00"/>
            <w:vAlign w:val="center"/>
          </w:tcPr>
          <w:p w14:paraId="7780474C" w14:textId="77777777" w:rsidR="002F0785" w:rsidRPr="005A786C" w:rsidRDefault="002F0785" w:rsidP="00845081">
            <w:pPr>
              <w:pStyle w:val="Tabletext"/>
              <w:jc w:val="center"/>
              <w:rPr>
                <w:bCs/>
                <w:szCs w:val="20"/>
              </w:rPr>
            </w:pPr>
            <w:r w:rsidRPr="005A786C">
              <w:rPr>
                <w:bCs/>
                <w:szCs w:val="20"/>
              </w:rPr>
              <w:t>0.70,</w:t>
            </w:r>
            <w:r w:rsidRPr="005A786C">
              <w:rPr>
                <w:bCs/>
                <w:spacing w:val="-2"/>
                <w:szCs w:val="20"/>
              </w:rPr>
              <w:t xml:space="preserve"> </w:t>
            </w:r>
            <w:r w:rsidRPr="005A786C">
              <w:rPr>
                <w:bCs/>
                <w:szCs w:val="20"/>
              </w:rPr>
              <w:t>0.93</w:t>
            </w:r>
          </w:p>
        </w:tc>
        <w:tc>
          <w:tcPr>
            <w:tcW w:w="660" w:type="pct"/>
            <w:vAlign w:val="center"/>
          </w:tcPr>
          <w:p w14:paraId="0F3C29CB" w14:textId="77777777" w:rsidR="002F0785" w:rsidRPr="005A786C" w:rsidRDefault="002F0785" w:rsidP="00845081">
            <w:pPr>
              <w:pStyle w:val="Tabletext"/>
              <w:jc w:val="center"/>
              <w:rPr>
                <w:szCs w:val="20"/>
              </w:rPr>
            </w:pPr>
            <w:r w:rsidRPr="005A786C">
              <w:rPr>
                <w:szCs w:val="20"/>
              </w:rPr>
              <w:t>0.87,</w:t>
            </w:r>
            <w:r w:rsidRPr="005A786C">
              <w:rPr>
                <w:spacing w:val="-1"/>
                <w:szCs w:val="20"/>
              </w:rPr>
              <w:t xml:space="preserve"> </w:t>
            </w:r>
            <w:r w:rsidRPr="005A786C">
              <w:rPr>
                <w:szCs w:val="20"/>
              </w:rPr>
              <w:t>1.20</w:t>
            </w:r>
          </w:p>
        </w:tc>
        <w:tc>
          <w:tcPr>
            <w:tcW w:w="691" w:type="pct"/>
            <w:shd w:val="clear" w:color="auto" w:fill="FDE9D9" w:themeFill="accent6" w:themeFillTint="33"/>
            <w:vAlign w:val="center"/>
          </w:tcPr>
          <w:p w14:paraId="121C1BE7" w14:textId="77777777" w:rsidR="002F0785" w:rsidRPr="005A786C" w:rsidRDefault="002F0785" w:rsidP="00845081">
            <w:pPr>
              <w:pStyle w:val="Tabletext"/>
              <w:jc w:val="center"/>
              <w:rPr>
                <w:szCs w:val="20"/>
              </w:rPr>
            </w:pPr>
            <w:r w:rsidRPr="005A786C">
              <w:rPr>
                <w:szCs w:val="20"/>
              </w:rPr>
              <w:t>1.06,</w:t>
            </w:r>
            <w:r w:rsidRPr="005A786C">
              <w:rPr>
                <w:spacing w:val="-2"/>
                <w:szCs w:val="20"/>
              </w:rPr>
              <w:t xml:space="preserve"> </w:t>
            </w:r>
            <w:r w:rsidRPr="005A786C">
              <w:rPr>
                <w:szCs w:val="20"/>
              </w:rPr>
              <w:t>1.55</w:t>
            </w:r>
          </w:p>
        </w:tc>
        <w:tc>
          <w:tcPr>
            <w:tcW w:w="686" w:type="pct"/>
            <w:shd w:val="clear" w:color="auto" w:fill="auto"/>
            <w:vAlign w:val="center"/>
          </w:tcPr>
          <w:p w14:paraId="5B672783" w14:textId="77777777" w:rsidR="002F0785" w:rsidRPr="005A786C" w:rsidRDefault="002F0785" w:rsidP="00845081">
            <w:pPr>
              <w:pStyle w:val="Tabletext"/>
              <w:jc w:val="center"/>
              <w:rPr>
                <w:szCs w:val="20"/>
              </w:rPr>
            </w:pPr>
            <w:r w:rsidRPr="005A786C">
              <w:rPr>
                <w:szCs w:val="20"/>
              </w:rPr>
              <w:t>0.79, 1.03</w:t>
            </w:r>
          </w:p>
        </w:tc>
        <w:tc>
          <w:tcPr>
            <w:tcW w:w="625" w:type="pct"/>
            <w:vAlign w:val="center"/>
          </w:tcPr>
          <w:p w14:paraId="1F63A814" w14:textId="77777777" w:rsidR="002F0785" w:rsidRPr="005A786C" w:rsidRDefault="002F0785" w:rsidP="00845081">
            <w:pPr>
              <w:pStyle w:val="Tabletext"/>
              <w:jc w:val="center"/>
              <w:rPr>
                <w:color w:val="000000" w:themeColor="text1"/>
                <w:szCs w:val="20"/>
              </w:rPr>
            </w:pPr>
            <w:r w:rsidRPr="005A786C">
              <w:rPr>
                <w:color w:val="000000" w:themeColor="text1"/>
                <w:szCs w:val="20"/>
              </w:rPr>
              <w:t>0.87,</w:t>
            </w:r>
            <w:r w:rsidRPr="005A786C">
              <w:rPr>
                <w:color w:val="000000" w:themeColor="text1"/>
                <w:spacing w:val="-2"/>
                <w:szCs w:val="20"/>
              </w:rPr>
              <w:t xml:space="preserve"> </w:t>
            </w:r>
            <w:r w:rsidRPr="005A786C">
              <w:rPr>
                <w:color w:val="000000" w:themeColor="text1"/>
                <w:szCs w:val="20"/>
              </w:rPr>
              <w:t>1.52</w:t>
            </w:r>
          </w:p>
        </w:tc>
        <w:tc>
          <w:tcPr>
            <w:tcW w:w="625" w:type="pct"/>
            <w:vAlign w:val="center"/>
          </w:tcPr>
          <w:p w14:paraId="4D33D8CA"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shd w:val="clear" w:color="auto" w:fill="D9D9D9" w:themeFill="background1" w:themeFillShade="D9"/>
            <w:vAlign w:val="center"/>
          </w:tcPr>
          <w:p w14:paraId="591088D6" w14:textId="77777777" w:rsidR="002F0785" w:rsidRPr="005A786C" w:rsidRDefault="002F0785" w:rsidP="002861E7">
            <w:pPr>
              <w:pStyle w:val="Tabletext"/>
              <w:jc w:val="center"/>
              <w:rPr>
                <w:color w:val="000000" w:themeColor="text1"/>
                <w:szCs w:val="20"/>
              </w:rPr>
            </w:pPr>
            <w:r w:rsidRPr="005A786C">
              <w:rPr>
                <w:color w:val="000000" w:themeColor="text1"/>
                <w:szCs w:val="20"/>
              </w:rPr>
              <w:t>0.63, 0.89</w:t>
            </w:r>
          </w:p>
        </w:tc>
      </w:tr>
      <w:tr w:rsidR="002F0785" w:rsidRPr="005A786C" w14:paraId="499DFB3D" w14:textId="77777777" w:rsidTr="002861E7">
        <w:trPr>
          <w:trHeight w:val="308"/>
        </w:trPr>
        <w:tc>
          <w:tcPr>
            <w:tcW w:w="470" w:type="pct"/>
            <w:vAlign w:val="center"/>
          </w:tcPr>
          <w:p w14:paraId="3F37F29F" w14:textId="77777777" w:rsidR="002F0785" w:rsidRPr="005A786C" w:rsidRDefault="002F0785" w:rsidP="00845081">
            <w:pPr>
              <w:pStyle w:val="Tabletext"/>
              <w:jc w:val="center"/>
              <w:rPr>
                <w:b/>
                <w:bCs/>
                <w:szCs w:val="20"/>
              </w:rPr>
            </w:pPr>
            <w:r w:rsidRPr="005A786C">
              <w:rPr>
                <w:b/>
                <w:bCs/>
                <w:szCs w:val="20"/>
              </w:rPr>
              <w:t>19F</w:t>
            </w:r>
          </w:p>
        </w:tc>
        <w:tc>
          <w:tcPr>
            <w:tcW w:w="616" w:type="pct"/>
            <w:vAlign w:val="center"/>
          </w:tcPr>
          <w:p w14:paraId="606390C8" w14:textId="77777777" w:rsidR="002F0785" w:rsidRPr="005A786C" w:rsidRDefault="002F0785" w:rsidP="00845081">
            <w:pPr>
              <w:pStyle w:val="Tabletext"/>
              <w:jc w:val="center"/>
              <w:rPr>
                <w:bCs/>
                <w:szCs w:val="20"/>
              </w:rPr>
            </w:pPr>
            <w:r w:rsidRPr="005A786C">
              <w:rPr>
                <w:bCs/>
                <w:szCs w:val="20"/>
              </w:rPr>
              <w:t>0.76,</w:t>
            </w:r>
            <w:r w:rsidRPr="005A786C">
              <w:rPr>
                <w:bCs/>
                <w:spacing w:val="-3"/>
                <w:szCs w:val="20"/>
              </w:rPr>
              <w:t xml:space="preserve"> </w:t>
            </w:r>
            <w:r w:rsidRPr="005A786C">
              <w:rPr>
                <w:bCs/>
                <w:szCs w:val="20"/>
              </w:rPr>
              <w:t>1.02</w:t>
            </w:r>
          </w:p>
        </w:tc>
        <w:tc>
          <w:tcPr>
            <w:tcW w:w="660" w:type="pct"/>
            <w:vAlign w:val="center"/>
          </w:tcPr>
          <w:p w14:paraId="66B62C62" w14:textId="77777777" w:rsidR="002F0785" w:rsidRPr="005A786C" w:rsidRDefault="002F0785" w:rsidP="00845081">
            <w:pPr>
              <w:pStyle w:val="Tabletext"/>
              <w:jc w:val="center"/>
              <w:rPr>
                <w:szCs w:val="20"/>
              </w:rPr>
            </w:pPr>
            <w:r w:rsidRPr="005A786C">
              <w:rPr>
                <w:szCs w:val="20"/>
              </w:rPr>
              <w:t>0.85,</w:t>
            </w:r>
            <w:r w:rsidRPr="005A786C">
              <w:rPr>
                <w:spacing w:val="-3"/>
                <w:szCs w:val="20"/>
              </w:rPr>
              <w:t xml:space="preserve"> </w:t>
            </w:r>
            <w:r w:rsidRPr="005A786C">
              <w:rPr>
                <w:szCs w:val="20"/>
              </w:rPr>
              <w:t>1.19</w:t>
            </w:r>
          </w:p>
        </w:tc>
        <w:tc>
          <w:tcPr>
            <w:tcW w:w="691" w:type="pct"/>
            <w:vAlign w:val="center"/>
          </w:tcPr>
          <w:p w14:paraId="75D1A2BC" w14:textId="77777777" w:rsidR="002F0785" w:rsidRPr="005A786C" w:rsidRDefault="002F0785" w:rsidP="00845081">
            <w:pPr>
              <w:pStyle w:val="Tabletext"/>
              <w:jc w:val="center"/>
              <w:rPr>
                <w:szCs w:val="20"/>
              </w:rPr>
            </w:pPr>
            <w:r w:rsidRPr="005A786C">
              <w:rPr>
                <w:szCs w:val="20"/>
              </w:rPr>
              <w:t>0.92,</w:t>
            </w:r>
            <w:r w:rsidRPr="005A786C">
              <w:rPr>
                <w:spacing w:val="-3"/>
                <w:szCs w:val="20"/>
              </w:rPr>
              <w:t xml:space="preserve"> </w:t>
            </w:r>
            <w:r w:rsidRPr="005A786C">
              <w:rPr>
                <w:szCs w:val="20"/>
              </w:rPr>
              <w:t>1.32</w:t>
            </w:r>
          </w:p>
        </w:tc>
        <w:tc>
          <w:tcPr>
            <w:tcW w:w="686" w:type="pct"/>
            <w:vAlign w:val="center"/>
          </w:tcPr>
          <w:p w14:paraId="065CFF29" w14:textId="77777777" w:rsidR="002F0785" w:rsidRPr="005A786C" w:rsidRDefault="002F0785" w:rsidP="00845081">
            <w:pPr>
              <w:pStyle w:val="Tabletext"/>
              <w:jc w:val="center"/>
              <w:rPr>
                <w:szCs w:val="20"/>
              </w:rPr>
            </w:pPr>
            <w:r w:rsidRPr="005A786C">
              <w:rPr>
                <w:szCs w:val="20"/>
              </w:rPr>
              <w:t>0.88, 1.12</w:t>
            </w:r>
          </w:p>
        </w:tc>
        <w:tc>
          <w:tcPr>
            <w:tcW w:w="625" w:type="pct"/>
            <w:vAlign w:val="center"/>
          </w:tcPr>
          <w:p w14:paraId="38B57AEC" w14:textId="77777777" w:rsidR="002F0785" w:rsidRPr="005A786C" w:rsidRDefault="002F0785" w:rsidP="00845081">
            <w:pPr>
              <w:pStyle w:val="Tabletext"/>
              <w:jc w:val="center"/>
              <w:rPr>
                <w:color w:val="000000" w:themeColor="text1"/>
                <w:szCs w:val="20"/>
              </w:rPr>
            </w:pPr>
            <w:r w:rsidRPr="005A786C">
              <w:rPr>
                <w:color w:val="000000" w:themeColor="text1"/>
                <w:szCs w:val="20"/>
              </w:rPr>
              <w:t>0.90,</w:t>
            </w:r>
            <w:r w:rsidRPr="005A786C">
              <w:rPr>
                <w:color w:val="000000" w:themeColor="text1"/>
                <w:spacing w:val="-3"/>
                <w:szCs w:val="20"/>
              </w:rPr>
              <w:t xml:space="preserve"> </w:t>
            </w:r>
            <w:r w:rsidRPr="005A786C">
              <w:rPr>
                <w:color w:val="000000" w:themeColor="text1"/>
                <w:szCs w:val="20"/>
              </w:rPr>
              <w:t>1.57</w:t>
            </w:r>
          </w:p>
        </w:tc>
        <w:tc>
          <w:tcPr>
            <w:tcW w:w="625" w:type="pct"/>
            <w:vAlign w:val="center"/>
          </w:tcPr>
          <w:p w14:paraId="25397DF6"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vAlign w:val="center"/>
          </w:tcPr>
          <w:p w14:paraId="29A2121F" w14:textId="77777777" w:rsidR="002F0785" w:rsidRPr="005A786C" w:rsidRDefault="002F0785" w:rsidP="002861E7">
            <w:pPr>
              <w:pStyle w:val="Tabletext"/>
              <w:jc w:val="center"/>
              <w:rPr>
                <w:color w:val="000000" w:themeColor="text1"/>
                <w:szCs w:val="20"/>
              </w:rPr>
            </w:pPr>
            <w:r w:rsidRPr="005A786C">
              <w:rPr>
                <w:color w:val="000000" w:themeColor="text1"/>
                <w:szCs w:val="20"/>
              </w:rPr>
              <w:t>0.79, 1.11</w:t>
            </w:r>
          </w:p>
        </w:tc>
      </w:tr>
      <w:tr w:rsidR="002F0785" w:rsidRPr="005A786C" w14:paraId="55DDB553" w14:textId="77777777" w:rsidTr="00D265C2">
        <w:trPr>
          <w:trHeight w:val="308"/>
        </w:trPr>
        <w:tc>
          <w:tcPr>
            <w:tcW w:w="470" w:type="pct"/>
            <w:vAlign w:val="center"/>
          </w:tcPr>
          <w:p w14:paraId="4CBC340B" w14:textId="77777777" w:rsidR="002F0785" w:rsidRPr="005A786C" w:rsidRDefault="002F0785" w:rsidP="00845081">
            <w:pPr>
              <w:pStyle w:val="Tabletext"/>
              <w:jc w:val="center"/>
              <w:rPr>
                <w:b/>
                <w:bCs/>
                <w:szCs w:val="20"/>
              </w:rPr>
            </w:pPr>
            <w:r w:rsidRPr="005A786C">
              <w:rPr>
                <w:b/>
                <w:bCs/>
                <w:szCs w:val="20"/>
              </w:rPr>
              <w:t>23F</w:t>
            </w:r>
          </w:p>
        </w:tc>
        <w:tc>
          <w:tcPr>
            <w:tcW w:w="616" w:type="pct"/>
            <w:vAlign w:val="center"/>
          </w:tcPr>
          <w:p w14:paraId="6B255E83" w14:textId="77777777" w:rsidR="002F0785" w:rsidRPr="005A786C" w:rsidRDefault="002F0785" w:rsidP="00845081">
            <w:pPr>
              <w:pStyle w:val="Tabletext"/>
              <w:jc w:val="center"/>
              <w:rPr>
                <w:bCs/>
                <w:szCs w:val="20"/>
              </w:rPr>
            </w:pPr>
            <w:r w:rsidRPr="005A786C">
              <w:rPr>
                <w:bCs/>
                <w:szCs w:val="20"/>
              </w:rPr>
              <w:t>0.96,</w:t>
            </w:r>
            <w:r w:rsidRPr="005A786C">
              <w:rPr>
                <w:bCs/>
                <w:spacing w:val="-3"/>
                <w:szCs w:val="20"/>
              </w:rPr>
              <w:t xml:space="preserve"> </w:t>
            </w:r>
            <w:r w:rsidRPr="005A786C">
              <w:rPr>
                <w:bCs/>
                <w:szCs w:val="20"/>
              </w:rPr>
              <w:t>1.44</w:t>
            </w:r>
          </w:p>
        </w:tc>
        <w:tc>
          <w:tcPr>
            <w:tcW w:w="660" w:type="pct"/>
            <w:shd w:val="clear" w:color="auto" w:fill="FDE9D9" w:themeFill="accent6" w:themeFillTint="33"/>
            <w:vAlign w:val="center"/>
          </w:tcPr>
          <w:p w14:paraId="13A7C399" w14:textId="77777777" w:rsidR="002F0785" w:rsidRPr="005A786C" w:rsidRDefault="002F0785" w:rsidP="00845081">
            <w:pPr>
              <w:pStyle w:val="Tabletext"/>
              <w:jc w:val="center"/>
              <w:rPr>
                <w:szCs w:val="20"/>
              </w:rPr>
            </w:pPr>
            <w:r w:rsidRPr="005A786C">
              <w:rPr>
                <w:szCs w:val="20"/>
              </w:rPr>
              <w:t>1.13,</w:t>
            </w:r>
            <w:r w:rsidRPr="005A786C">
              <w:rPr>
                <w:spacing w:val="-3"/>
                <w:szCs w:val="20"/>
              </w:rPr>
              <w:t xml:space="preserve"> </w:t>
            </w:r>
            <w:r w:rsidRPr="005A786C">
              <w:rPr>
                <w:szCs w:val="20"/>
              </w:rPr>
              <w:t>1.77</w:t>
            </w:r>
          </w:p>
        </w:tc>
        <w:tc>
          <w:tcPr>
            <w:tcW w:w="691" w:type="pct"/>
            <w:shd w:val="clear" w:color="auto" w:fill="FDE9D9" w:themeFill="accent6" w:themeFillTint="33"/>
            <w:vAlign w:val="center"/>
          </w:tcPr>
          <w:p w14:paraId="26078FBD" w14:textId="77777777" w:rsidR="002F0785" w:rsidRPr="005A786C" w:rsidRDefault="002F0785" w:rsidP="00845081">
            <w:pPr>
              <w:pStyle w:val="Tabletext"/>
              <w:jc w:val="center"/>
              <w:rPr>
                <w:szCs w:val="20"/>
              </w:rPr>
            </w:pPr>
            <w:r w:rsidRPr="005A786C">
              <w:rPr>
                <w:szCs w:val="20"/>
              </w:rPr>
              <w:t>1.18,</w:t>
            </w:r>
            <w:r w:rsidRPr="005A786C">
              <w:rPr>
                <w:spacing w:val="-3"/>
                <w:szCs w:val="20"/>
              </w:rPr>
              <w:t xml:space="preserve"> </w:t>
            </w:r>
            <w:r w:rsidRPr="005A786C">
              <w:rPr>
                <w:szCs w:val="20"/>
              </w:rPr>
              <w:t>2.00</w:t>
            </w:r>
          </w:p>
        </w:tc>
        <w:tc>
          <w:tcPr>
            <w:tcW w:w="686" w:type="pct"/>
            <w:shd w:val="clear" w:color="auto" w:fill="FDE9D9" w:themeFill="accent6" w:themeFillTint="33"/>
            <w:vAlign w:val="center"/>
          </w:tcPr>
          <w:p w14:paraId="0B220042" w14:textId="77777777" w:rsidR="002F0785" w:rsidRPr="005A786C" w:rsidRDefault="002F0785" w:rsidP="00845081">
            <w:pPr>
              <w:pStyle w:val="Tabletext"/>
              <w:jc w:val="center"/>
              <w:rPr>
                <w:szCs w:val="20"/>
              </w:rPr>
            </w:pPr>
            <w:r w:rsidRPr="005A786C">
              <w:rPr>
                <w:szCs w:val="20"/>
              </w:rPr>
              <w:t>1.06, 1.47</w:t>
            </w:r>
          </w:p>
        </w:tc>
        <w:tc>
          <w:tcPr>
            <w:tcW w:w="625" w:type="pct"/>
            <w:shd w:val="clear" w:color="auto" w:fill="D9D9D9" w:themeFill="background1" w:themeFillShade="D9"/>
            <w:vAlign w:val="center"/>
          </w:tcPr>
          <w:p w14:paraId="3270991A" w14:textId="77777777" w:rsidR="002F0785" w:rsidRPr="005A786C" w:rsidRDefault="002F0785" w:rsidP="00845081">
            <w:pPr>
              <w:pStyle w:val="Tabletext"/>
              <w:jc w:val="center"/>
              <w:rPr>
                <w:color w:val="000000" w:themeColor="text1"/>
                <w:szCs w:val="20"/>
              </w:rPr>
            </w:pPr>
            <w:r w:rsidRPr="005A786C">
              <w:rPr>
                <w:color w:val="000000" w:themeColor="text1"/>
                <w:szCs w:val="20"/>
              </w:rPr>
              <w:t>0.66,</w:t>
            </w:r>
            <w:r w:rsidRPr="005A786C">
              <w:rPr>
                <w:color w:val="000000" w:themeColor="text1"/>
                <w:spacing w:val="-3"/>
                <w:szCs w:val="20"/>
              </w:rPr>
              <w:t xml:space="preserve"> </w:t>
            </w:r>
            <w:r w:rsidRPr="005A786C">
              <w:rPr>
                <w:color w:val="000000" w:themeColor="text1"/>
                <w:szCs w:val="20"/>
              </w:rPr>
              <w:t>1.54</w:t>
            </w:r>
          </w:p>
        </w:tc>
        <w:tc>
          <w:tcPr>
            <w:tcW w:w="625" w:type="pct"/>
            <w:vAlign w:val="center"/>
          </w:tcPr>
          <w:p w14:paraId="24AE4BF8" w14:textId="77777777" w:rsidR="002F0785" w:rsidRPr="00382618" w:rsidRDefault="00382618" w:rsidP="002861E7">
            <w:pPr>
              <w:pStyle w:val="Tabletext"/>
              <w:jc w:val="center"/>
              <w:rPr>
                <w:color w:val="000000" w:themeColor="text1"/>
                <w:szCs w:val="20"/>
              </w:rPr>
            </w:pPr>
            <w:r>
              <w:rPr>
                <w:noProof/>
                <w:color w:val="000000"/>
                <w:szCs w:val="20"/>
                <w:highlight w:val="black"/>
              </w:rPr>
              <w:t>'''''''''''' ''''''''''''</w:t>
            </w:r>
            <w:r w:rsidR="004F5A7D">
              <w:rPr>
                <w:color w:val="000000" w:themeColor="text1"/>
                <w:spacing w:val="-2"/>
                <w:szCs w:val="20"/>
                <w:vertAlign w:val="superscript"/>
              </w:rPr>
              <w:t>1</w:t>
            </w:r>
          </w:p>
        </w:tc>
        <w:tc>
          <w:tcPr>
            <w:tcW w:w="625" w:type="pct"/>
            <w:vAlign w:val="center"/>
          </w:tcPr>
          <w:p w14:paraId="4DA5348C" w14:textId="77777777" w:rsidR="002F0785" w:rsidRPr="005A786C" w:rsidRDefault="002F0785" w:rsidP="002861E7">
            <w:pPr>
              <w:pStyle w:val="Tabletext"/>
              <w:jc w:val="center"/>
              <w:rPr>
                <w:color w:val="000000" w:themeColor="text1"/>
                <w:szCs w:val="20"/>
              </w:rPr>
            </w:pPr>
            <w:r w:rsidRPr="005A786C">
              <w:rPr>
                <w:color w:val="000000" w:themeColor="text1"/>
                <w:szCs w:val="20"/>
              </w:rPr>
              <w:t>0.94, 1.52</w:t>
            </w:r>
          </w:p>
        </w:tc>
      </w:tr>
    </w:tbl>
    <w:p w14:paraId="35822285" w14:textId="77777777" w:rsidR="00456B74" w:rsidRPr="005221B6" w:rsidRDefault="00456B74" w:rsidP="00456B74">
      <w:pPr>
        <w:pStyle w:val="Default"/>
        <w:ind w:right="-154"/>
        <w:jc w:val="both"/>
        <w:rPr>
          <w:rFonts w:ascii="Arial Narrow" w:hAnsi="Arial Narrow"/>
          <w:bCs/>
          <w:sz w:val="18"/>
          <w:szCs w:val="18"/>
          <w:lang w:val="en-AU"/>
        </w:rPr>
      </w:pPr>
      <w:r w:rsidRPr="005221B6">
        <w:rPr>
          <w:rFonts w:ascii="Arial Narrow" w:hAnsi="Arial Narrow"/>
          <w:bCs/>
          <w:sz w:val="18"/>
          <w:szCs w:val="18"/>
          <w:lang w:val="en-AU"/>
        </w:rPr>
        <w:t xml:space="preserve">Source: Table 2.5-1, p79; </w:t>
      </w:r>
      <w:r w:rsidR="009F711B" w:rsidRPr="005221B6">
        <w:rPr>
          <w:rFonts w:ascii="Arial Narrow" w:hAnsi="Arial Narrow"/>
          <w:bCs/>
          <w:sz w:val="18"/>
          <w:szCs w:val="18"/>
          <w:lang w:val="en-AU"/>
        </w:rPr>
        <w:t xml:space="preserve">Figure 2.5-4, p94; Table 2.5-11, pp99-100; </w:t>
      </w:r>
      <w:r w:rsidRPr="005221B6">
        <w:rPr>
          <w:rFonts w:ascii="Arial Narrow" w:hAnsi="Arial Narrow"/>
          <w:bCs/>
          <w:sz w:val="18"/>
          <w:szCs w:val="18"/>
          <w:lang w:val="en-AU"/>
        </w:rPr>
        <w:t>Figure 2.5-12, p110</w:t>
      </w:r>
      <w:r w:rsidR="00627451" w:rsidRPr="005221B6">
        <w:rPr>
          <w:rFonts w:ascii="Arial Narrow" w:hAnsi="Arial Narrow"/>
          <w:bCs/>
          <w:sz w:val="18"/>
          <w:szCs w:val="18"/>
          <w:lang w:val="en-AU"/>
        </w:rPr>
        <w:t>;</w:t>
      </w:r>
      <w:r w:rsidR="00B82FFD" w:rsidRPr="005221B6">
        <w:rPr>
          <w:rFonts w:ascii="Arial Narrow" w:hAnsi="Arial Narrow"/>
          <w:bCs/>
          <w:sz w:val="18"/>
          <w:szCs w:val="18"/>
          <w:lang w:val="en-AU"/>
        </w:rPr>
        <w:t xml:space="preserve"> Figure 2.6-1, p151;</w:t>
      </w:r>
      <w:r w:rsidR="009F711B" w:rsidRPr="005221B6">
        <w:rPr>
          <w:rFonts w:ascii="Arial Narrow" w:hAnsi="Arial Narrow"/>
          <w:bCs/>
          <w:sz w:val="18"/>
          <w:szCs w:val="18"/>
          <w:lang w:val="en-AU"/>
        </w:rPr>
        <w:t xml:space="preserve"> and</w:t>
      </w:r>
      <w:r w:rsidR="00B82FFD" w:rsidRPr="005221B6">
        <w:rPr>
          <w:rFonts w:ascii="Arial Narrow" w:hAnsi="Arial Narrow"/>
          <w:bCs/>
          <w:sz w:val="18"/>
          <w:szCs w:val="18"/>
          <w:lang w:val="en-AU"/>
        </w:rPr>
        <w:t xml:space="preserve"> Figure 2.6-3, p154 of the submission.</w:t>
      </w:r>
      <w:r w:rsidR="00627451" w:rsidRPr="005221B6">
        <w:rPr>
          <w:rFonts w:ascii="Arial Narrow" w:hAnsi="Arial Narrow"/>
          <w:bCs/>
          <w:sz w:val="18"/>
          <w:szCs w:val="18"/>
          <w:lang w:val="en-AU"/>
        </w:rPr>
        <w:t xml:space="preserve"> </w:t>
      </w:r>
    </w:p>
    <w:p w14:paraId="5C731B56" w14:textId="77777777" w:rsidR="00456B74" w:rsidRPr="005221B6" w:rsidRDefault="00456B74" w:rsidP="00456B74">
      <w:pPr>
        <w:pStyle w:val="Default"/>
        <w:ind w:right="-154"/>
        <w:jc w:val="both"/>
        <w:rPr>
          <w:rFonts w:ascii="Arial Narrow" w:hAnsi="Arial Narrow"/>
          <w:bCs/>
          <w:sz w:val="18"/>
          <w:szCs w:val="18"/>
          <w:lang w:val="en-AU"/>
        </w:rPr>
      </w:pPr>
      <w:r w:rsidRPr="005221B6">
        <w:rPr>
          <w:rFonts w:ascii="Arial Narrow" w:hAnsi="Arial Narrow"/>
          <w:bCs/>
          <w:sz w:val="18"/>
          <w:szCs w:val="18"/>
          <w:lang w:val="en-AU"/>
        </w:rPr>
        <w:t>CI = confidence interval; GMT = geometric mean titre; N = number of population size; OPA = opsonophagocytic activity titre; PCV13 = 13-valent pneumococcal conjugate vaccine; PCV15 = 15-valent pneumococcal conjugate vaccine</w:t>
      </w:r>
    </w:p>
    <w:p w14:paraId="46EC95F9" w14:textId="77777777" w:rsidR="00F54D81" w:rsidRPr="005221B6" w:rsidRDefault="00627451" w:rsidP="00456B74">
      <w:pPr>
        <w:pStyle w:val="Default"/>
        <w:ind w:right="-154"/>
        <w:jc w:val="both"/>
        <w:rPr>
          <w:rFonts w:ascii="Arial Narrow" w:hAnsi="Arial Narrow"/>
          <w:bCs/>
          <w:sz w:val="18"/>
          <w:szCs w:val="18"/>
          <w:lang w:val="en-AU"/>
        </w:rPr>
      </w:pPr>
      <w:r w:rsidRPr="005221B6">
        <w:rPr>
          <w:rFonts w:ascii="Arial Narrow" w:hAnsi="Arial Narrow"/>
          <w:bCs/>
          <w:sz w:val="18"/>
          <w:szCs w:val="18"/>
          <w:lang w:val="en-AU"/>
        </w:rPr>
        <w:t>Grey highlighting indicates those with lower bounds below 0.67, blue below 0.50, yellow highlight indicates the upper 95%</w:t>
      </w:r>
      <w:r w:rsidR="009F711B" w:rsidRPr="005221B6">
        <w:rPr>
          <w:rFonts w:ascii="Arial Narrow" w:hAnsi="Arial Narrow"/>
          <w:bCs/>
          <w:sz w:val="18"/>
          <w:szCs w:val="18"/>
          <w:lang w:val="en-AU"/>
        </w:rPr>
        <w:t xml:space="preserve"> below 1.0</w:t>
      </w:r>
      <w:r w:rsidR="001B13BA" w:rsidRPr="005221B6">
        <w:rPr>
          <w:rFonts w:ascii="Arial Narrow" w:hAnsi="Arial Narrow"/>
          <w:bCs/>
          <w:sz w:val="18"/>
          <w:szCs w:val="18"/>
          <w:lang w:val="en-AU"/>
        </w:rPr>
        <w:t xml:space="preserve"> (and not already highlighted blue or grey)</w:t>
      </w:r>
      <w:r w:rsidR="009F711B" w:rsidRPr="005221B6">
        <w:rPr>
          <w:rFonts w:ascii="Arial Narrow" w:hAnsi="Arial Narrow"/>
          <w:bCs/>
          <w:sz w:val="18"/>
          <w:szCs w:val="18"/>
          <w:lang w:val="en-AU"/>
        </w:rPr>
        <w:t>. Light orange indicates intervals above 1.0 (favouring PCV15).</w:t>
      </w:r>
    </w:p>
    <w:p w14:paraId="7D42423A" w14:textId="77777777" w:rsidR="00F54D81" w:rsidRDefault="00F54D81" w:rsidP="00F54D81">
      <w:pPr>
        <w:pStyle w:val="Default"/>
        <w:ind w:right="-154"/>
        <w:jc w:val="both"/>
        <w:rPr>
          <w:rFonts w:ascii="Arial Narrow" w:hAnsi="Arial Narrow"/>
          <w:bCs/>
          <w:sz w:val="18"/>
          <w:szCs w:val="18"/>
          <w:lang w:val="en-AU"/>
        </w:rPr>
      </w:pPr>
      <w:r w:rsidRPr="005221B6">
        <w:rPr>
          <w:spacing w:val="-1"/>
          <w:sz w:val="18"/>
          <w:szCs w:val="18"/>
          <w:vertAlign w:val="superscript"/>
        </w:rPr>
        <w:t>a</w:t>
      </w:r>
      <w:r w:rsidR="001B13BA" w:rsidRPr="005221B6">
        <w:rPr>
          <w:rFonts w:ascii="Arial Narrow" w:hAnsi="Arial Narrow"/>
          <w:bCs/>
          <w:sz w:val="18"/>
          <w:szCs w:val="18"/>
          <w:lang w:val="en-AU"/>
        </w:rPr>
        <w:t xml:space="preserve"> </w:t>
      </w:r>
      <w:r w:rsidRPr="005221B6">
        <w:rPr>
          <w:rFonts w:ascii="Arial Narrow" w:hAnsi="Arial Narrow"/>
          <w:bCs/>
          <w:sz w:val="18"/>
          <w:szCs w:val="18"/>
          <w:lang w:val="en-AU"/>
        </w:rPr>
        <w:t>The submission presented incorrect results for P017 (originally referring to the results from P016) for all 13 shared serotypes (these were corrected in the evaluation).</w:t>
      </w:r>
    </w:p>
    <w:p w14:paraId="71F3A3ED" w14:textId="77777777" w:rsidR="004F5A7D" w:rsidRPr="00D77347" w:rsidRDefault="004F5A7D" w:rsidP="004F5A7D">
      <w:pPr>
        <w:pStyle w:val="Default"/>
        <w:ind w:right="-154"/>
        <w:jc w:val="both"/>
        <w:rPr>
          <w:rFonts w:ascii="Arial Narrow" w:hAnsi="Arial Narrow"/>
          <w:bCs/>
          <w:i/>
          <w:sz w:val="18"/>
          <w:szCs w:val="18"/>
          <w:lang w:val="en-AU"/>
        </w:rPr>
      </w:pPr>
      <w:r>
        <w:rPr>
          <w:rFonts w:ascii="Arial Narrow" w:hAnsi="Arial Narrow"/>
          <w:bCs/>
          <w:i/>
          <w:sz w:val="18"/>
          <w:szCs w:val="18"/>
          <w:vertAlign w:val="superscript"/>
          <w:lang w:val="en-AU"/>
        </w:rPr>
        <w:t>1</w:t>
      </w:r>
      <w:r>
        <w:rPr>
          <w:rFonts w:ascii="Arial Narrow" w:hAnsi="Arial Narrow"/>
          <w:bCs/>
          <w:i/>
          <w:sz w:val="18"/>
          <w:szCs w:val="18"/>
          <w:lang w:val="en-AU"/>
        </w:rPr>
        <w:t xml:space="preserve"> </w:t>
      </w:r>
      <w:r w:rsidRPr="00D77347">
        <w:rPr>
          <w:rFonts w:ascii="Arial Narrow" w:hAnsi="Arial Narrow"/>
          <w:bCs/>
          <w:i/>
          <w:sz w:val="18"/>
          <w:szCs w:val="18"/>
          <w:lang w:val="en-AU"/>
        </w:rPr>
        <w:t>The redacted information above contains unpublished data pertaining to the North American Indian First Nations subpopulation within trial P017 (referred to as the P017 subgroup). In accordance with established procedures, publication of these data require approval from the Independent Tribal Review Board (ITRB). As this process was ongoing at the time of finalising the PSD, these data are redacted in order to respect cultural sensitivities and adhere to the established protocols. It is currently estimated to be available in the later part of 2022.</w:t>
      </w:r>
    </w:p>
    <w:p w14:paraId="2AE4BADA" w14:textId="77777777" w:rsidR="004F5A7D" w:rsidRPr="005221B6" w:rsidRDefault="004F5A7D" w:rsidP="00F54D81">
      <w:pPr>
        <w:pStyle w:val="Default"/>
        <w:ind w:right="-154"/>
        <w:jc w:val="both"/>
        <w:rPr>
          <w:rFonts w:ascii="Arial Narrow" w:hAnsi="Arial Narrow"/>
          <w:bCs/>
          <w:sz w:val="18"/>
          <w:szCs w:val="18"/>
          <w:lang w:val="en-AU"/>
        </w:rPr>
      </w:pPr>
    </w:p>
    <w:p w14:paraId="23E10B7F" w14:textId="77777777" w:rsidR="00011FDC" w:rsidRPr="00A27F80" w:rsidRDefault="00011FDC" w:rsidP="00B05E32">
      <w:pPr>
        <w:pStyle w:val="5-SubsectionSubheading"/>
      </w:pPr>
      <w:bookmarkStart w:id="30" w:name="_Toc82613941"/>
      <w:r w:rsidRPr="00A27F80">
        <w:t>Subgroups analys</w:t>
      </w:r>
      <w:r>
        <w:t xml:space="preserve">es conducted </w:t>
      </w:r>
      <w:r w:rsidRPr="00A27F80">
        <w:t xml:space="preserve">for non-Indigenous aged </w:t>
      </w:r>
      <w:r w:rsidR="00437DB8">
        <w:rPr>
          <w:rFonts w:cstheme="minorHAnsi"/>
        </w:rPr>
        <w:t>≥</w:t>
      </w:r>
      <w:r w:rsidRPr="00A27F80">
        <w:t>70 years</w:t>
      </w:r>
      <w:bookmarkEnd w:id="30"/>
    </w:p>
    <w:p w14:paraId="0B82D9DC" w14:textId="77777777" w:rsidR="00011FDC" w:rsidRPr="00F93A3C" w:rsidRDefault="00011FDC" w:rsidP="00011FDC">
      <w:pPr>
        <w:pStyle w:val="3-BodyText"/>
        <w:rPr>
          <w:color w:val="0066FF"/>
        </w:rPr>
      </w:pPr>
      <w:r w:rsidRPr="00F93A3C">
        <w:t xml:space="preserve">A subgroup analysis of pooled participants aged </w:t>
      </w:r>
      <w:r w:rsidR="00437DB8" w:rsidRPr="00F93A3C">
        <w:rPr>
          <w:rFonts w:cstheme="minorHAnsi"/>
        </w:rPr>
        <w:t>≥</w:t>
      </w:r>
      <w:r w:rsidRPr="00F93A3C">
        <w:t xml:space="preserve">70 years </w:t>
      </w:r>
      <w:r w:rsidR="00193EF5" w:rsidRPr="00F93A3C">
        <w:t xml:space="preserve">from </w:t>
      </w:r>
      <w:r w:rsidRPr="00F93A3C">
        <w:t xml:space="preserve">P019, P020 and P016 </w:t>
      </w:r>
      <w:r w:rsidR="00A2206C" w:rsidRPr="00F93A3C">
        <w:t xml:space="preserve">was </w:t>
      </w:r>
      <w:r w:rsidRPr="00F93A3C">
        <w:t xml:space="preserve">presented in the submission to support the listing </w:t>
      </w:r>
      <w:r w:rsidR="003A0EFE" w:rsidRPr="00F93A3C">
        <w:t xml:space="preserve">for </w:t>
      </w:r>
      <w:r w:rsidRPr="00F93A3C">
        <w:t xml:space="preserve">non-Indigenous </w:t>
      </w:r>
      <w:r w:rsidR="0043361A" w:rsidRPr="00F93A3C">
        <w:t xml:space="preserve">adults </w:t>
      </w:r>
      <w:r w:rsidRPr="00F93A3C">
        <w:t xml:space="preserve">aged </w:t>
      </w:r>
      <w:r w:rsidR="00437DB8" w:rsidRPr="00F93A3C">
        <w:rPr>
          <w:rFonts w:cstheme="minorHAnsi"/>
        </w:rPr>
        <w:t>≥</w:t>
      </w:r>
      <w:r w:rsidRPr="00F93A3C">
        <w:t>70 years. A summary of the OPA GMT ratios results in th</w:t>
      </w:r>
      <w:r w:rsidR="00A2206C" w:rsidRPr="00F93A3C">
        <w:t>is</w:t>
      </w:r>
      <w:r w:rsidRPr="00F93A3C">
        <w:t xml:space="preserve"> subgroup analysis is presented in Figure 2. The results suggest that the </w:t>
      </w:r>
      <w:r w:rsidR="00437DB8" w:rsidRPr="00F93A3C">
        <w:t>noninferior</w:t>
      </w:r>
      <w:r w:rsidRPr="00F93A3C">
        <w:t>ity criteri</w:t>
      </w:r>
      <w:r w:rsidR="00282374" w:rsidRPr="00F93A3C">
        <w:t>on</w:t>
      </w:r>
      <w:r w:rsidRPr="00F93A3C">
        <w:t xml:space="preserve"> was met for the 13-shared serotypes and that the superiority criteri</w:t>
      </w:r>
      <w:r w:rsidR="00282374" w:rsidRPr="00F93A3C">
        <w:t>on</w:t>
      </w:r>
      <w:r w:rsidRPr="00F93A3C">
        <w:t xml:space="preserve"> was met for serotype 3, 22F and 33F. </w:t>
      </w:r>
      <w:r w:rsidR="006D59B6">
        <w:t xml:space="preserve">However, </w:t>
      </w:r>
      <w:r w:rsidR="00F123E1" w:rsidRPr="00F93A3C">
        <w:t xml:space="preserve">these results </w:t>
      </w:r>
      <w:r w:rsidR="00561827">
        <w:t>were</w:t>
      </w:r>
      <w:r w:rsidR="00561827" w:rsidRPr="00F93A3C">
        <w:t xml:space="preserve"> </w:t>
      </w:r>
      <w:r w:rsidR="00516DF6" w:rsidRPr="00F93A3C">
        <w:t xml:space="preserve">also subject to the concerns raised for the primary analysis regarding the </w:t>
      </w:r>
      <w:r w:rsidR="00437DB8" w:rsidRPr="00F93A3C">
        <w:t>noninferior</w:t>
      </w:r>
      <w:r w:rsidR="00516DF6" w:rsidRPr="00F93A3C">
        <w:t>ity</w:t>
      </w:r>
      <w:r w:rsidR="006D59B6">
        <w:t xml:space="preserve"> and superiority</w:t>
      </w:r>
      <w:r w:rsidR="00516DF6" w:rsidRPr="00F93A3C">
        <w:t xml:space="preserve"> margin</w:t>
      </w:r>
      <w:r w:rsidR="006D59B6">
        <w:t>s</w:t>
      </w:r>
      <w:r w:rsidR="00516DF6" w:rsidRPr="00F93A3C">
        <w:t>.</w:t>
      </w:r>
    </w:p>
    <w:p w14:paraId="35EC94C7" w14:textId="77777777" w:rsidR="00011FDC" w:rsidRPr="00275384" w:rsidRDefault="00011FDC" w:rsidP="003B7F5E">
      <w:pPr>
        <w:keepNext/>
        <w:rPr>
          <w:rFonts w:ascii="Arial Narrow" w:hAnsi="Arial Narrow"/>
          <w:b/>
          <w:bCs/>
          <w:sz w:val="20"/>
          <w:szCs w:val="20"/>
        </w:rPr>
      </w:pPr>
      <w:r w:rsidRPr="00B13A07">
        <w:rPr>
          <w:rFonts w:ascii="Arial Narrow" w:hAnsi="Arial Narrow"/>
          <w:b/>
          <w:bCs/>
          <w:sz w:val="20"/>
          <w:szCs w:val="20"/>
        </w:rPr>
        <w:t xml:space="preserve">Figure 2: Forest plot of OPA GMT ratios </w:t>
      </w:r>
      <w:r>
        <w:rPr>
          <w:rFonts w:ascii="Arial Narrow" w:hAnsi="Arial Narrow"/>
          <w:b/>
          <w:bCs/>
          <w:sz w:val="20"/>
          <w:szCs w:val="20"/>
        </w:rPr>
        <w:t xml:space="preserve">at Day 30 </w:t>
      </w:r>
      <w:r w:rsidRPr="00B13A07">
        <w:rPr>
          <w:rFonts w:ascii="Arial Narrow" w:hAnsi="Arial Narrow"/>
          <w:b/>
          <w:bCs/>
          <w:sz w:val="20"/>
          <w:szCs w:val="20"/>
        </w:rPr>
        <w:t xml:space="preserve">of age group </w:t>
      </w:r>
      <w:r w:rsidR="00437DB8">
        <w:rPr>
          <w:rFonts w:ascii="Arial Narrow" w:hAnsi="Arial Narrow"/>
          <w:b/>
          <w:bCs/>
          <w:sz w:val="20"/>
          <w:szCs w:val="20"/>
        </w:rPr>
        <w:t>≥</w:t>
      </w:r>
      <w:r w:rsidRPr="00B13A07">
        <w:rPr>
          <w:rFonts w:ascii="Arial Narrow" w:hAnsi="Arial Narrow"/>
          <w:b/>
          <w:bCs/>
          <w:sz w:val="20"/>
          <w:szCs w:val="20"/>
        </w:rPr>
        <w:t xml:space="preserve">70 years old (exploratory </w:t>
      </w:r>
      <w:r w:rsidR="00F53A4D">
        <w:rPr>
          <w:rFonts w:ascii="Arial Narrow" w:hAnsi="Arial Narrow"/>
          <w:b/>
          <w:bCs/>
          <w:sz w:val="20"/>
          <w:szCs w:val="20"/>
        </w:rPr>
        <w:t xml:space="preserve">subgroup </w:t>
      </w:r>
      <w:r w:rsidRPr="00B13A07">
        <w:rPr>
          <w:rFonts w:ascii="Arial Narrow" w:hAnsi="Arial Narrow"/>
          <w:b/>
          <w:bCs/>
          <w:sz w:val="20"/>
          <w:szCs w:val="20"/>
        </w:rPr>
        <w:t>analysis of</w:t>
      </w:r>
      <w:r w:rsidR="00F53A4D">
        <w:rPr>
          <w:rFonts w:ascii="Arial Narrow" w:hAnsi="Arial Narrow"/>
          <w:b/>
          <w:bCs/>
          <w:sz w:val="20"/>
          <w:szCs w:val="20"/>
        </w:rPr>
        <w:t xml:space="preserve"> participants from</w:t>
      </w:r>
      <w:r w:rsidRPr="00B13A07">
        <w:rPr>
          <w:rFonts w:ascii="Arial Narrow" w:hAnsi="Arial Narrow"/>
          <w:b/>
          <w:bCs/>
          <w:sz w:val="20"/>
          <w:szCs w:val="20"/>
        </w:rPr>
        <w:t xml:space="preserve"> P019, P020, P016)</w:t>
      </w:r>
    </w:p>
    <w:p w14:paraId="5014778D" w14:textId="77777777" w:rsidR="00011FDC" w:rsidRDefault="00011FDC" w:rsidP="003B7F5E">
      <w:pPr>
        <w:keepNext/>
        <w:jc w:val="left"/>
      </w:pPr>
      <w:r w:rsidRPr="003724A8">
        <w:rPr>
          <w:noProof/>
        </w:rPr>
        <w:drawing>
          <wp:inline distT="0" distB="0" distL="0" distR="0" wp14:anchorId="2ED4B358" wp14:editId="30F0F05D">
            <wp:extent cx="4579154" cy="4705350"/>
            <wp:effectExtent l="0" t="0" r="0" b="0"/>
            <wp:docPr id="18" name="Picture 18"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8231" cy="4735228"/>
                    </a:xfrm>
                    <a:prstGeom prst="rect">
                      <a:avLst/>
                    </a:prstGeom>
                    <a:noFill/>
                    <a:ln>
                      <a:noFill/>
                    </a:ln>
                  </pic:spPr>
                </pic:pic>
              </a:graphicData>
            </a:graphic>
          </wp:inline>
        </w:drawing>
      </w:r>
    </w:p>
    <w:p w14:paraId="3C3B2D38" w14:textId="77777777" w:rsidR="00011FDC" w:rsidRDefault="00011FDC" w:rsidP="003B7F5E">
      <w:pPr>
        <w:pStyle w:val="Default"/>
        <w:keepNext/>
        <w:ind w:right="-154"/>
        <w:jc w:val="both"/>
        <w:rPr>
          <w:rFonts w:ascii="Arial Narrow" w:hAnsi="Arial Narrow"/>
          <w:bCs/>
          <w:sz w:val="18"/>
          <w:szCs w:val="18"/>
          <w:lang w:val="en-AU"/>
        </w:rPr>
      </w:pPr>
      <w:r w:rsidRPr="00974F3E">
        <w:rPr>
          <w:rFonts w:ascii="Arial Narrow" w:hAnsi="Arial Narrow"/>
          <w:bCs/>
          <w:sz w:val="18"/>
          <w:szCs w:val="18"/>
          <w:lang w:val="en-AU"/>
        </w:rPr>
        <w:t>Source:</w:t>
      </w:r>
      <w:r>
        <w:rPr>
          <w:rFonts w:ascii="Arial Narrow" w:hAnsi="Arial Narrow"/>
          <w:bCs/>
          <w:sz w:val="18"/>
          <w:szCs w:val="18"/>
          <w:lang w:val="en-AU"/>
        </w:rPr>
        <w:t xml:space="preserve"> Figure 2.6.1, p151 of the submission</w:t>
      </w:r>
    </w:p>
    <w:p w14:paraId="4542A4BF" w14:textId="77777777" w:rsidR="00011FDC" w:rsidRPr="00F657DC" w:rsidRDefault="00011FDC" w:rsidP="009204B5">
      <w:pPr>
        <w:pStyle w:val="TableFigureFooter"/>
      </w:pPr>
      <w:r>
        <w:t xml:space="preserve">CI = confidence interval; GMT = </w:t>
      </w:r>
      <w:r w:rsidRPr="00645761">
        <w:t>geometric mean</w:t>
      </w:r>
      <w:r>
        <w:t xml:space="preserve"> titre; n = number of sample size; OPA = </w:t>
      </w:r>
      <w:r w:rsidRPr="00645761">
        <w:t>opsonophagocytic activity</w:t>
      </w:r>
      <w:r>
        <w:t>;</w:t>
      </w:r>
      <w:r w:rsidRPr="00000FB1">
        <w:t xml:space="preserve"> </w:t>
      </w:r>
      <w:r w:rsidR="00EA45BC">
        <w:t>V114</w:t>
      </w:r>
      <w:r w:rsidR="00EA45BC" w:rsidRPr="00000FB1">
        <w:t xml:space="preserve"> </w:t>
      </w:r>
      <w:r w:rsidRPr="00000FB1">
        <w:t xml:space="preserve">= </w:t>
      </w:r>
      <w:r>
        <w:t>15-valent pneumococcal conjugate vaccine</w:t>
      </w:r>
    </w:p>
    <w:p w14:paraId="28B70057" w14:textId="77777777" w:rsidR="00011FDC" w:rsidRPr="00F93A3C" w:rsidRDefault="00011FDC" w:rsidP="00011FDC">
      <w:pPr>
        <w:pStyle w:val="3-BodyText"/>
      </w:pPr>
      <w:r w:rsidRPr="00F93A3C">
        <w:t xml:space="preserve">The subgroup analysis of pooled participants aged </w:t>
      </w:r>
      <w:r w:rsidR="00437DB8" w:rsidRPr="00F93A3C">
        <w:rPr>
          <w:rFonts w:cstheme="minorHAnsi"/>
        </w:rPr>
        <w:t>≥</w:t>
      </w:r>
      <w:r w:rsidRPr="00F93A3C">
        <w:t xml:space="preserve">70 years </w:t>
      </w:r>
      <w:r w:rsidR="00A2206C" w:rsidRPr="00F93A3C">
        <w:t xml:space="preserve">from </w:t>
      </w:r>
      <w:r w:rsidRPr="00F93A3C">
        <w:t xml:space="preserve">P019, P020 and P016 </w:t>
      </w:r>
      <w:r w:rsidR="00781EE6" w:rsidRPr="00F93A3C">
        <w:t>was</w:t>
      </w:r>
      <w:r w:rsidRPr="00F93A3C">
        <w:t xml:space="preserve"> an exploratory analysis. Such age group stratification was not pre-specified in these trials. </w:t>
      </w:r>
      <w:r w:rsidR="00A2206C" w:rsidRPr="00F93A3C">
        <w:t xml:space="preserve">Moreover, </w:t>
      </w:r>
      <w:r w:rsidR="00F9296C" w:rsidRPr="00F93A3C">
        <w:t xml:space="preserve">P020 and P016 were not designed to assess comparative </w:t>
      </w:r>
      <w:r w:rsidR="005C613F" w:rsidRPr="00F93A3C">
        <w:t xml:space="preserve">efficacy </w:t>
      </w:r>
      <w:r w:rsidR="00924427" w:rsidRPr="00F93A3C">
        <w:t xml:space="preserve">of OPA GMT </w:t>
      </w:r>
      <w:r w:rsidR="00F9296C" w:rsidRPr="00F93A3C">
        <w:t xml:space="preserve">at Day 30. </w:t>
      </w:r>
      <w:r w:rsidR="00D8083E" w:rsidRPr="00F93A3C">
        <w:t xml:space="preserve">The </w:t>
      </w:r>
      <w:r w:rsidR="00BD780B" w:rsidRPr="00F93A3C">
        <w:t>numbers of participants in each arm was</w:t>
      </w:r>
      <w:r w:rsidRPr="00F93A3C">
        <w:t xml:space="preserve"> unbalanced </w:t>
      </w:r>
      <w:r w:rsidR="00A00651" w:rsidRPr="00F93A3C">
        <w:t>with</w:t>
      </w:r>
      <w:r w:rsidRPr="00F93A3C">
        <w:t xml:space="preserve"> higher number of participants receiving PCV15 compared to PCV13</w:t>
      </w:r>
      <w:r w:rsidR="00F9296C" w:rsidRPr="00F93A3C">
        <w:t xml:space="preserve">, </w:t>
      </w:r>
      <w:r w:rsidRPr="00F93A3C">
        <w:t>752 versus 305</w:t>
      </w:r>
      <w:r w:rsidR="00F9296C" w:rsidRPr="00F93A3C">
        <w:t>, respectively</w:t>
      </w:r>
      <w:r w:rsidRPr="00F93A3C">
        <w:t xml:space="preserve">. This </w:t>
      </w:r>
      <w:r w:rsidR="0003253A" w:rsidRPr="00F93A3C">
        <w:t>was</w:t>
      </w:r>
      <w:r w:rsidRPr="00F93A3C">
        <w:t xml:space="preserve"> </w:t>
      </w:r>
      <w:r w:rsidR="007F34D3" w:rsidRPr="00F93A3C">
        <w:t>due to</w:t>
      </w:r>
      <w:r w:rsidRPr="00F93A3C">
        <w:t xml:space="preserve"> the inclusion of participants from P020</w:t>
      </w:r>
      <w:r w:rsidR="007F34D3" w:rsidRPr="00F93A3C">
        <w:t xml:space="preserve">, a study designed </w:t>
      </w:r>
      <w:r w:rsidR="00A00651" w:rsidRPr="00F93A3C">
        <w:t xml:space="preserve">to assess safety and tolerability across three different lots of PCV15 compared to PCV13 </w:t>
      </w:r>
      <w:r w:rsidR="007168C9" w:rsidRPr="00F93A3C">
        <w:t xml:space="preserve">and </w:t>
      </w:r>
      <w:r w:rsidR="00793B6D" w:rsidRPr="00F93A3C">
        <w:t xml:space="preserve">with a randomisation </w:t>
      </w:r>
      <w:r w:rsidR="009F148B" w:rsidRPr="00F93A3C">
        <w:t>ratio of 3:3:3:1</w:t>
      </w:r>
      <w:r w:rsidRPr="00F93A3C">
        <w:t>.</w:t>
      </w:r>
    </w:p>
    <w:p w14:paraId="0F94D1FD" w14:textId="77777777" w:rsidR="007F34D3" w:rsidRPr="00F93A3C" w:rsidRDefault="00011FDC" w:rsidP="00011FDC">
      <w:pPr>
        <w:pStyle w:val="3-BodyText"/>
        <w:rPr>
          <w:color w:val="0066FF"/>
        </w:rPr>
      </w:pPr>
      <w:r w:rsidRPr="00F93A3C">
        <w:t>Two relevant subgroup analyses were identified during the evaluation</w:t>
      </w:r>
      <w:r w:rsidR="00786A32" w:rsidRPr="00F93A3C">
        <w:t>;</w:t>
      </w:r>
      <w:r w:rsidRPr="00F93A3C">
        <w:t xml:space="preserve"> a subgroup analysis of participants aged </w:t>
      </w:r>
      <w:r w:rsidR="00437DB8" w:rsidRPr="00F93A3C">
        <w:rPr>
          <w:rFonts w:cstheme="minorHAnsi"/>
        </w:rPr>
        <w:t>≥</w:t>
      </w:r>
      <w:r w:rsidRPr="00F93A3C">
        <w:t xml:space="preserve">70 </w:t>
      </w:r>
      <w:r w:rsidR="007F34D3" w:rsidRPr="00F93A3C">
        <w:t xml:space="preserve">and </w:t>
      </w:r>
      <w:r w:rsidR="00E2112C" w:rsidRPr="00F93A3C">
        <w:t>of participants aged</w:t>
      </w:r>
      <w:r w:rsidR="007F34D3" w:rsidRPr="00F93A3C">
        <w:t xml:space="preserve"> </w:t>
      </w:r>
      <w:r w:rsidR="00437DB8" w:rsidRPr="00F93A3C">
        <w:rPr>
          <w:rFonts w:cstheme="minorHAnsi"/>
        </w:rPr>
        <w:t>≥</w:t>
      </w:r>
      <w:r w:rsidR="007F34D3" w:rsidRPr="00F93A3C">
        <w:t xml:space="preserve">75 </w:t>
      </w:r>
      <w:r w:rsidRPr="00F93A3C">
        <w:t>in P019.</w:t>
      </w:r>
    </w:p>
    <w:p w14:paraId="5B489C38" w14:textId="77777777" w:rsidR="00011FDC" w:rsidRPr="00F93A3C" w:rsidRDefault="00011FDC" w:rsidP="00584CEB">
      <w:pPr>
        <w:pStyle w:val="3-BodyText"/>
        <w:numPr>
          <w:ilvl w:val="4"/>
          <w:numId w:val="39"/>
        </w:numPr>
        <w:ind w:hanging="371"/>
        <w:rPr>
          <w:color w:val="0066FF"/>
        </w:rPr>
      </w:pPr>
      <w:r w:rsidRPr="00F93A3C">
        <w:t xml:space="preserve">The subgroup analysis of participants aged </w:t>
      </w:r>
      <w:r w:rsidR="00437DB8" w:rsidRPr="00F93A3C">
        <w:rPr>
          <w:rFonts w:cstheme="minorHAnsi"/>
        </w:rPr>
        <w:t>≥</w:t>
      </w:r>
      <w:r w:rsidRPr="00F93A3C">
        <w:t xml:space="preserve">70 was an exploratory analysis and had consistent results with the </w:t>
      </w:r>
      <w:r w:rsidR="006A4DDE">
        <w:t xml:space="preserve">exploratory </w:t>
      </w:r>
      <w:r w:rsidR="00CC6CFD" w:rsidRPr="00F93A3C">
        <w:t>subgroup analysis of</w:t>
      </w:r>
      <w:r w:rsidRPr="00F93A3C">
        <w:t xml:space="preserve"> pooled participants </w:t>
      </w:r>
      <w:r w:rsidR="00CC6CFD" w:rsidRPr="00F93A3C">
        <w:t>from</w:t>
      </w:r>
      <w:r w:rsidRPr="00F93A3C">
        <w:t xml:space="preserve"> P019, P020 and P016.</w:t>
      </w:r>
    </w:p>
    <w:p w14:paraId="0B9DEADC" w14:textId="77777777" w:rsidR="00011FDC" w:rsidRPr="00F93A3C" w:rsidRDefault="00011FDC" w:rsidP="00584CEB">
      <w:pPr>
        <w:pStyle w:val="3-BodyText"/>
        <w:numPr>
          <w:ilvl w:val="4"/>
          <w:numId w:val="39"/>
        </w:numPr>
        <w:ind w:hanging="371"/>
      </w:pPr>
      <w:r w:rsidRPr="00F93A3C">
        <w:t xml:space="preserve">The subgroup analysis of participants aged </w:t>
      </w:r>
      <w:r w:rsidR="00437DB8" w:rsidRPr="00F93A3C">
        <w:t>≥</w:t>
      </w:r>
      <w:r w:rsidRPr="00F93A3C">
        <w:t xml:space="preserve">75 </w:t>
      </w:r>
      <w:r w:rsidR="00CD0224" w:rsidRPr="00F93A3C">
        <w:t>was a</w:t>
      </w:r>
      <w:r w:rsidRPr="00F93A3C">
        <w:t xml:space="preserve"> pre-specified analysis. A summary of the OPA GMT ratios results in this subgroup analysis is presented in Figure 3. </w:t>
      </w:r>
      <w:r w:rsidR="002C0740" w:rsidRPr="00F93A3C">
        <w:t xml:space="preserve">P019 was not powered to determine </w:t>
      </w:r>
      <w:r w:rsidR="00437DB8" w:rsidRPr="00F93A3C">
        <w:t>noninferior</w:t>
      </w:r>
      <w:r w:rsidR="002C0740" w:rsidRPr="00F93A3C">
        <w:t>ity of the outcomes in this subgroup and that the sample size was small</w:t>
      </w:r>
      <w:r w:rsidR="00EA5693">
        <w:t xml:space="preserve"> with</w:t>
      </w:r>
      <w:r w:rsidR="002C0740" w:rsidRPr="00F93A3C">
        <w:t xml:space="preserve"> 68 and 67 participants receiv</w:t>
      </w:r>
      <w:r w:rsidR="00EA5693">
        <w:t>ing</w:t>
      </w:r>
      <w:r w:rsidR="002C0740" w:rsidRPr="00F93A3C">
        <w:t xml:space="preserve"> PCV15 and PCV13, respectively.</w:t>
      </w:r>
    </w:p>
    <w:p w14:paraId="4447BD95" w14:textId="77777777" w:rsidR="00011FDC" w:rsidRPr="003D7142" w:rsidRDefault="00011FDC" w:rsidP="00B0235A">
      <w:pPr>
        <w:jc w:val="left"/>
        <w:rPr>
          <w:rFonts w:ascii="Arial Narrow" w:hAnsi="Arial Narrow"/>
          <w:b/>
          <w:bCs/>
          <w:sz w:val="20"/>
          <w:szCs w:val="20"/>
        </w:rPr>
      </w:pPr>
      <w:r w:rsidRPr="003D7142">
        <w:rPr>
          <w:rFonts w:ascii="Arial Narrow" w:hAnsi="Arial Narrow"/>
          <w:b/>
          <w:bCs/>
          <w:sz w:val="20"/>
          <w:szCs w:val="20"/>
        </w:rPr>
        <w:t xml:space="preserve">Figure </w:t>
      </w:r>
      <w:r>
        <w:rPr>
          <w:rFonts w:ascii="Arial Narrow" w:hAnsi="Arial Narrow"/>
          <w:b/>
          <w:bCs/>
          <w:sz w:val="20"/>
          <w:szCs w:val="20"/>
        </w:rPr>
        <w:t>3</w:t>
      </w:r>
      <w:r w:rsidRPr="003D7142">
        <w:rPr>
          <w:rFonts w:ascii="Arial Narrow" w:hAnsi="Arial Narrow"/>
          <w:b/>
          <w:bCs/>
          <w:sz w:val="20"/>
          <w:szCs w:val="20"/>
        </w:rPr>
        <w:t xml:space="preserve">: </w:t>
      </w:r>
      <w:r w:rsidR="00EE623B">
        <w:rPr>
          <w:rFonts w:ascii="Arial Narrow" w:hAnsi="Arial Narrow"/>
          <w:b/>
          <w:bCs/>
          <w:sz w:val="20"/>
          <w:szCs w:val="20"/>
        </w:rPr>
        <w:t>S</w:t>
      </w:r>
      <w:r w:rsidRPr="003D7142">
        <w:rPr>
          <w:rFonts w:ascii="Arial Narrow" w:hAnsi="Arial Narrow"/>
          <w:b/>
          <w:bCs/>
          <w:sz w:val="20"/>
          <w:szCs w:val="20"/>
        </w:rPr>
        <w:t xml:space="preserve">ubgroup analysis of participants aged </w:t>
      </w:r>
      <w:r w:rsidRPr="003D7142">
        <w:rPr>
          <w:rFonts w:ascii="Arial Narrow" w:hAnsi="Arial Narrow" w:cs="Calibri"/>
          <w:b/>
          <w:bCs/>
          <w:sz w:val="20"/>
          <w:szCs w:val="20"/>
        </w:rPr>
        <w:t>≥</w:t>
      </w:r>
      <w:r w:rsidRPr="003D7142">
        <w:rPr>
          <w:rFonts w:ascii="Arial Narrow" w:hAnsi="Arial Narrow"/>
          <w:b/>
          <w:bCs/>
          <w:sz w:val="20"/>
          <w:szCs w:val="20"/>
        </w:rPr>
        <w:t>75</w:t>
      </w:r>
      <w:r>
        <w:rPr>
          <w:rFonts w:ascii="Arial Narrow" w:hAnsi="Arial Narrow"/>
          <w:b/>
          <w:bCs/>
          <w:sz w:val="20"/>
          <w:szCs w:val="20"/>
        </w:rPr>
        <w:t xml:space="preserve"> years</w:t>
      </w:r>
      <w:r w:rsidRPr="003D7142">
        <w:rPr>
          <w:rFonts w:ascii="Arial Narrow" w:hAnsi="Arial Narrow"/>
          <w:b/>
          <w:bCs/>
          <w:sz w:val="20"/>
          <w:szCs w:val="20"/>
        </w:rPr>
        <w:t xml:space="preserve"> (</w:t>
      </w:r>
      <w:r>
        <w:rPr>
          <w:rFonts w:ascii="Arial Narrow" w:hAnsi="Arial Narrow"/>
          <w:b/>
          <w:bCs/>
          <w:sz w:val="20"/>
          <w:szCs w:val="20"/>
        </w:rPr>
        <w:t>right)</w:t>
      </w:r>
      <w:r w:rsidRPr="003D7142">
        <w:rPr>
          <w:rFonts w:ascii="Arial Narrow" w:hAnsi="Arial Narrow"/>
          <w:b/>
          <w:bCs/>
          <w:sz w:val="20"/>
          <w:szCs w:val="20"/>
        </w:rPr>
        <w:t xml:space="preserve"> </w:t>
      </w:r>
      <w:r>
        <w:rPr>
          <w:rFonts w:ascii="Arial Narrow" w:hAnsi="Arial Narrow"/>
          <w:b/>
          <w:bCs/>
          <w:sz w:val="20"/>
          <w:szCs w:val="20"/>
        </w:rPr>
        <w:t xml:space="preserve">and its complement </w:t>
      </w:r>
      <w:r w:rsidR="00701436">
        <w:rPr>
          <w:rFonts w:ascii="Arial Narrow" w:hAnsi="Arial Narrow"/>
          <w:b/>
          <w:bCs/>
          <w:sz w:val="20"/>
          <w:szCs w:val="20"/>
        </w:rPr>
        <w:t xml:space="preserve">age groups </w:t>
      </w:r>
      <w:r>
        <w:rPr>
          <w:rFonts w:ascii="Arial Narrow" w:hAnsi="Arial Narrow"/>
          <w:b/>
          <w:bCs/>
          <w:sz w:val="20"/>
          <w:szCs w:val="20"/>
        </w:rPr>
        <w:t>(</w:t>
      </w:r>
      <w:r w:rsidR="00507CC1">
        <w:rPr>
          <w:rFonts w:ascii="Arial Narrow" w:hAnsi="Arial Narrow"/>
          <w:b/>
          <w:bCs/>
          <w:sz w:val="20"/>
          <w:szCs w:val="20"/>
        </w:rPr>
        <w:t xml:space="preserve">65 to 74 years at </w:t>
      </w:r>
      <w:r>
        <w:rPr>
          <w:rFonts w:ascii="Arial Narrow" w:hAnsi="Arial Narrow"/>
          <w:b/>
          <w:bCs/>
          <w:sz w:val="20"/>
          <w:szCs w:val="20"/>
        </w:rPr>
        <w:t>centre and</w:t>
      </w:r>
      <w:r w:rsidR="00507CC1">
        <w:rPr>
          <w:rFonts w:ascii="Arial Narrow" w:hAnsi="Arial Narrow"/>
          <w:b/>
          <w:bCs/>
          <w:sz w:val="20"/>
          <w:szCs w:val="20"/>
        </w:rPr>
        <w:t xml:space="preserve"> </w:t>
      </w:r>
      <w:r w:rsidR="002B531C">
        <w:rPr>
          <w:rFonts w:ascii="Arial Narrow" w:hAnsi="Arial Narrow"/>
          <w:b/>
          <w:bCs/>
          <w:sz w:val="20"/>
          <w:szCs w:val="20"/>
        </w:rPr>
        <w:t>50 to 64 years at</w:t>
      </w:r>
      <w:r>
        <w:rPr>
          <w:rFonts w:ascii="Arial Narrow" w:hAnsi="Arial Narrow"/>
          <w:b/>
          <w:bCs/>
          <w:sz w:val="20"/>
          <w:szCs w:val="20"/>
        </w:rPr>
        <w:t xml:space="preserve"> left) </w:t>
      </w:r>
      <w:r w:rsidRPr="003D7142">
        <w:rPr>
          <w:rFonts w:ascii="Arial Narrow" w:hAnsi="Arial Narrow"/>
          <w:b/>
          <w:bCs/>
          <w:sz w:val="20"/>
          <w:szCs w:val="20"/>
        </w:rPr>
        <w:t>from P019</w:t>
      </w:r>
      <w:r>
        <w:rPr>
          <w:rFonts w:ascii="Arial Narrow" w:hAnsi="Arial Narrow"/>
          <w:b/>
          <w:bCs/>
          <w:sz w:val="20"/>
          <w:szCs w:val="20"/>
        </w:rPr>
        <w:t xml:space="preserve"> (per pre-specified protocol)</w:t>
      </w:r>
      <w:r w:rsidR="00FB3A24" w:rsidRPr="00FB3A24">
        <w:rPr>
          <w:noProof/>
        </w:rPr>
        <w:t xml:space="preserve"> </w:t>
      </w:r>
    </w:p>
    <w:p w14:paraId="0F40D7CC" w14:textId="77777777" w:rsidR="00011FDC" w:rsidRDefault="00683EDF" w:rsidP="00011FDC">
      <w:pPr>
        <w:jc w:val="center"/>
      </w:pPr>
      <w:r>
        <w:rPr>
          <w:noProof/>
        </w:rPr>
        <w:drawing>
          <wp:inline distT="0" distB="0" distL="0" distR="0" wp14:anchorId="2641FEDF" wp14:editId="075AB922">
            <wp:extent cx="5725795" cy="2644775"/>
            <wp:effectExtent l="0" t="0" r="8255" b="3175"/>
            <wp:docPr id="17" name="Picture 17" descr="Figure 3: Subgroup analysis of participants aged ≥75 years (right) and its complement age groups (65 to 74 years at centre and 50 to 64 years at left) from P019 (per pre-specified protoc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3: Subgroup analysis of participants aged ≥75 years (right) and its complement age groups (65 to 74 years at centre and 50 to 64 years at left) from P019 (per pre-specified protoco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795" cy="2644775"/>
                    </a:xfrm>
                    <a:prstGeom prst="rect">
                      <a:avLst/>
                    </a:prstGeom>
                    <a:noFill/>
                    <a:ln>
                      <a:noFill/>
                    </a:ln>
                  </pic:spPr>
                </pic:pic>
              </a:graphicData>
            </a:graphic>
          </wp:inline>
        </w:drawing>
      </w:r>
    </w:p>
    <w:p w14:paraId="45A35858" w14:textId="77777777" w:rsidR="00011FDC" w:rsidRPr="003D7142" w:rsidRDefault="00011FDC" w:rsidP="00502D3F">
      <w:pPr>
        <w:pStyle w:val="TableFigureFooter"/>
      </w:pPr>
      <w:r w:rsidRPr="003D7142">
        <w:t>Source Figure 14.2-13, p268 of P019 CSR</w:t>
      </w:r>
    </w:p>
    <w:p w14:paraId="2680FA64" w14:textId="77777777" w:rsidR="00011FDC" w:rsidRPr="00F657DC" w:rsidRDefault="00011FDC" w:rsidP="00502D3F">
      <w:pPr>
        <w:pStyle w:val="TableFigureFooter"/>
        <w:rPr>
          <w:bCs/>
        </w:rPr>
      </w:pPr>
      <w:r>
        <w:rPr>
          <w:bCs/>
        </w:rPr>
        <w:t xml:space="preserve">CI = confidence interval; GMT = </w:t>
      </w:r>
      <w:r w:rsidRPr="00645761">
        <w:rPr>
          <w:bCs/>
        </w:rPr>
        <w:t>geometric mean</w:t>
      </w:r>
      <w:r>
        <w:rPr>
          <w:bCs/>
        </w:rPr>
        <w:t xml:space="preserve"> titre; n = number of sample size; OPA = </w:t>
      </w:r>
      <w:r w:rsidRPr="00645761">
        <w:rPr>
          <w:bCs/>
        </w:rPr>
        <w:t>opsonophagocytic activity</w:t>
      </w:r>
      <w:r>
        <w:rPr>
          <w:bCs/>
        </w:rPr>
        <w:t>;</w:t>
      </w:r>
      <w:r w:rsidRPr="00000FB1">
        <w:rPr>
          <w:bCs/>
        </w:rPr>
        <w:t xml:space="preserve"> </w:t>
      </w:r>
      <w:r w:rsidR="00BD4533">
        <w:rPr>
          <w:bCs/>
        </w:rPr>
        <w:t>V114</w:t>
      </w:r>
      <w:r w:rsidR="00BD4533" w:rsidRPr="00000FB1">
        <w:rPr>
          <w:bCs/>
        </w:rPr>
        <w:t xml:space="preserve"> </w:t>
      </w:r>
      <w:r w:rsidRPr="00000FB1">
        <w:rPr>
          <w:bCs/>
        </w:rPr>
        <w:t xml:space="preserve">= </w:t>
      </w:r>
      <w:r>
        <w:rPr>
          <w:bCs/>
        </w:rPr>
        <w:t>15-valent pneumococcal conjugate vaccine</w:t>
      </w:r>
    </w:p>
    <w:p w14:paraId="3D12A0AD" w14:textId="77777777" w:rsidR="0072575F" w:rsidRPr="002C39BC" w:rsidRDefault="00011FDC" w:rsidP="00011FDC">
      <w:pPr>
        <w:pStyle w:val="3-BodyText"/>
        <w:rPr>
          <w:color w:val="0066FF"/>
        </w:rPr>
      </w:pPr>
      <w:r w:rsidRPr="002C39BC">
        <w:t xml:space="preserve">The results </w:t>
      </w:r>
      <w:r w:rsidR="00CD0224" w:rsidRPr="002C39BC">
        <w:t>from Figure 3</w:t>
      </w:r>
      <w:r w:rsidRPr="002C39BC">
        <w:t xml:space="preserve"> suggest that </w:t>
      </w:r>
      <w:r w:rsidR="004C10A8" w:rsidRPr="002C39BC">
        <w:t xml:space="preserve">the OPA response </w:t>
      </w:r>
      <w:r w:rsidR="009F06C3" w:rsidRPr="002C39BC">
        <w:t xml:space="preserve">in the </w:t>
      </w:r>
      <w:r w:rsidRPr="002C39BC">
        <w:t xml:space="preserve">subgroup </w:t>
      </w:r>
      <w:r w:rsidR="00C176AA" w:rsidRPr="002C39BC">
        <w:t xml:space="preserve">aged </w:t>
      </w:r>
      <w:r w:rsidRPr="002C39BC">
        <w:t>≥75 years</w:t>
      </w:r>
      <w:r w:rsidR="00C176AA" w:rsidRPr="002C39BC">
        <w:t xml:space="preserve"> </w:t>
      </w:r>
      <w:r w:rsidR="007F3895" w:rsidRPr="002C39BC">
        <w:t>was</w:t>
      </w:r>
      <w:r w:rsidR="006839AC" w:rsidRPr="002C39BC">
        <w:t xml:space="preserve"> less consistent to the whole population</w:t>
      </w:r>
      <w:r w:rsidR="00C176AA" w:rsidRPr="002C39BC">
        <w:t xml:space="preserve"> </w:t>
      </w:r>
      <w:r w:rsidRPr="002C39BC">
        <w:t xml:space="preserve">compared to its complement age groups. </w:t>
      </w:r>
      <w:r w:rsidR="00CA48E5" w:rsidRPr="002C39BC">
        <w:t>The results show</w:t>
      </w:r>
      <w:r w:rsidR="008F7C9E" w:rsidRPr="002C39BC">
        <w:t xml:space="preserve"> that t</w:t>
      </w:r>
      <w:r w:rsidR="00934468" w:rsidRPr="002C39BC">
        <w:t xml:space="preserve">he </w:t>
      </w:r>
      <w:r w:rsidR="00CA48E5" w:rsidRPr="002C39BC">
        <w:t xml:space="preserve">OPA GMT ratios </w:t>
      </w:r>
      <w:r w:rsidR="00AD0F85" w:rsidRPr="002C39BC">
        <w:t>for the</w:t>
      </w:r>
      <w:r w:rsidR="00CA48E5" w:rsidRPr="002C39BC">
        <w:t xml:space="preserve"> subgroup aged </w:t>
      </w:r>
      <w:r w:rsidR="008F7C9E" w:rsidRPr="002C39BC">
        <w:t xml:space="preserve">≥75 years were </w:t>
      </w:r>
      <w:r w:rsidR="00B60712">
        <w:t xml:space="preserve">generally </w:t>
      </w:r>
      <w:r w:rsidR="008F7C9E" w:rsidRPr="002C39BC">
        <w:t xml:space="preserve">numerically </w:t>
      </w:r>
      <w:r w:rsidR="00AD0F85" w:rsidRPr="002C39BC">
        <w:t>lower</w:t>
      </w:r>
      <w:r w:rsidR="008F7C9E" w:rsidRPr="002C39BC">
        <w:t xml:space="preserve"> than its complement age group</w:t>
      </w:r>
      <w:r w:rsidR="00557B78" w:rsidRPr="002C39BC">
        <w:t>s</w:t>
      </w:r>
      <w:r w:rsidR="008F7C9E" w:rsidRPr="002C39BC">
        <w:t xml:space="preserve"> and the whole population</w:t>
      </w:r>
      <w:r w:rsidR="00A1497F" w:rsidRPr="002C39BC">
        <w:t xml:space="preserve">. </w:t>
      </w:r>
      <w:r w:rsidR="003D0CD8" w:rsidRPr="002C39BC">
        <w:t>The ESC noted that o</w:t>
      </w:r>
      <w:r w:rsidR="0081613B" w:rsidRPr="002C39BC">
        <w:t>nly</w:t>
      </w:r>
      <w:r w:rsidRPr="002C39BC">
        <w:t xml:space="preserve"> 3 of the 13 shared serotypes met the 0.5 </w:t>
      </w:r>
      <w:r w:rsidR="00437DB8" w:rsidRPr="002C39BC">
        <w:t>noninferior</w:t>
      </w:r>
      <w:r w:rsidRPr="002C39BC">
        <w:t>ity criteri</w:t>
      </w:r>
      <w:r w:rsidR="00A519DD" w:rsidRPr="002C39BC">
        <w:t>on</w:t>
      </w:r>
      <w:r w:rsidR="003D0CD8" w:rsidRPr="002C39BC">
        <w:t xml:space="preserve"> (and only 2 met the 0.67 noninferiority criterion),</w:t>
      </w:r>
      <w:r w:rsidRPr="002C39BC">
        <w:t xml:space="preserve"> while serotype 3, 22F and 33F met the superiority criteri</w:t>
      </w:r>
      <w:r w:rsidR="003D0CD8" w:rsidRPr="002C39BC">
        <w:t>a</w:t>
      </w:r>
      <w:r w:rsidRPr="002C39BC">
        <w:t xml:space="preserve">. </w:t>
      </w:r>
    </w:p>
    <w:p w14:paraId="0EAAD83B" w14:textId="77777777" w:rsidR="00011FDC" w:rsidRPr="00F93A3C" w:rsidRDefault="0072575F" w:rsidP="00011FDC">
      <w:pPr>
        <w:pStyle w:val="3-BodyText"/>
        <w:rPr>
          <w:color w:val="0066FF"/>
        </w:rPr>
      </w:pPr>
      <w:r w:rsidRPr="00F93A3C">
        <w:t xml:space="preserve">The subgroup analysis </w:t>
      </w:r>
      <w:r w:rsidR="000850FD" w:rsidRPr="00F93A3C">
        <w:t xml:space="preserve">for </w:t>
      </w:r>
      <w:r w:rsidRPr="00F93A3C">
        <w:t xml:space="preserve">participants </w:t>
      </w:r>
      <w:r w:rsidR="00011FDC" w:rsidRPr="00F93A3C">
        <w:t>age</w:t>
      </w:r>
      <w:r w:rsidRPr="00F93A3C">
        <w:t>d</w:t>
      </w:r>
      <w:r w:rsidR="00011FDC" w:rsidRPr="00F93A3C">
        <w:t xml:space="preserve"> 6</w:t>
      </w:r>
      <w:r w:rsidR="004E47DD" w:rsidRPr="00F93A3C">
        <w:t>5</w:t>
      </w:r>
      <w:r w:rsidR="00011FDC" w:rsidRPr="00F93A3C">
        <w:t xml:space="preserve">-74 years </w:t>
      </w:r>
      <w:r w:rsidR="00016CB1" w:rsidRPr="00F93A3C">
        <w:t>show</w:t>
      </w:r>
      <w:r w:rsidR="0096499D" w:rsidRPr="00F93A3C">
        <w:t>ed</w:t>
      </w:r>
      <w:r w:rsidR="00016CB1" w:rsidRPr="00F93A3C">
        <w:t xml:space="preserve"> that</w:t>
      </w:r>
      <w:r w:rsidR="00011FDC" w:rsidRPr="00F93A3C">
        <w:t xml:space="preserve"> the </w:t>
      </w:r>
      <w:r w:rsidR="00437DB8" w:rsidRPr="00F93A3C">
        <w:t>noninferior</w:t>
      </w:r>
      <w:r w:rsidR="00011FDC" w:rsidRPr="00F93A3C">
        <w:t>ity criteri</w:t>
      </w:r>
      <w:r w:rsidR="00D60EAF" w:rsidRPr="00F93A3C">
        <w:t>on</w:t>
      </w:r>
      <w:r w:rsidR="00011FDC" w:rsidRPr="00F93A3C">
        <w:t xml:space="preserve"> was met for the 13 shared serotypes and that the superiority criteri</w:t>
      </w:r>
      <w:r w:rsidR="00A63E0A" w:rsidRPr="00F93A3C">
        <w:t>on</w:t>
      </w:r>
      <w:r w:rsidR="00011FDC" w:rsidRPr="00F93A3C">
        <w:t xml:space="preserve"> was met for serotype</w:t>
      </w:r>
      <w:r w:rsidR="00C612A5" w:rsidRPr="00F93A3C">
        <w:t>s</w:t>
      </w:r>
      <w:r w:rsidR="00011FDC" w:rsidRPr="00F93A3C">
        <w:t xml:space="preserve"> 3, 22F and 33F.</w:t>
      </w:r>
    </w:p>
    <w:p w14:paraId="4B35F892" w14:textId="77777777" w:rsidR="00011FDC" w:rsidRPr="00A45729" w:rsidRDefault="00011FDC" w:rsidP="00B05E32">
      <w:pPr>
        <w:pStyle w:val="5-SubsectionSubheading"/>
      </w:pPr>
      <w:bookmarkStart w:id="31" w:name="_Toc82613942"/>
      <w:r w:rsidRPr="00A45729">
        <w:t xml:space="preserve">Subgroup analysis </w:t>
      </w:r>
      <w:r w:rsidRPr="00B60712">
        <w:t xml:space="preserve">conducted </w:t>
      </w:r>
      <w:r w:rsidR="001F5560" w:rsidRPr="009204B5">
        <w:rPr>
          <w:u w:val="single"/>
        </w:rPr>
        <w:t>to support efficacy in</w:t>
      </w:r>
      <w:r w:rsidRPr="00B60712">
        <w:t xml:space="preserve"> Indigenous </w:t>
      </w:r>
      <w:r w:rsidR="001D294F" w:rsidRPr="003B7F5E">
        <w:t>adults</w:t>
      </w:r>
      <w:r w:rsidRPr="00676906">
        <w:t xml:space="preserve"> </w:t>
      </w:r>
      <w:r w:rsidRPr="00A45729">
        <w:t xml:space="preserve">aged </w:t>
      </w:r>
      <w:r w:rsidR="00437DB8">
        <w:rPr>
          <w:rFonts w:cstheme="minorHAnsi"/>
        </w:rPr>
        <w:t>≥</w:t>
      </w:r>
      <w:r w:rsidRPr="00A45729">
        <w:t>50 years</w:t>
      </w:r>
      <w:bookmarkEnd w:id="31"/>
    </w:p>
    <w:p w14:paraId="708DC829" w14:textId="77777777" w:rsidR="00011FDC" w:rsidRPr="00A57AA4" w:rsidRDefault="00011FDC" w:rsidP="00011FDC">
      <w:pPr>
        <w:pStyle w:val="3-BodyText"/>
      </w:pPr>
      <w:r>
        <w:t xml:space="preserve">A subgroup analysis of </w:t>
      </w:r>
      <w:r w:rsidR="000850FD">
        <w:t xml:space="preserve">North American Indian </w:t>
      </w:r>
      <w:r>
        <w:t xml:space="preserve">participants </w:t>
      </w:r>
      <w:r w:rsidR="000850FD">
        <w:t>from</w:t>
      </w:r>
      <w:r>
        <w:t xml:space="preserve"> P017 </w:t>
      </w:r>
      <w:r w:rsidR="000850FD">
        <w:t xml:space="preserve">was </w:t>
      </w:r>
      <w:r>
        <w:t xml:space="preserve">presented in the submission </w:t>
      </w:r>
      <w:r w:rsidR="00892C55">
        <w:t>to</w:t>
      </w:r>
      <w:r>
        <w:t xml:space="preserve"> </w:t>
      </w:r>
      <w:r w:rsidRPr="00282CFD">
        <w:t xml:space="preserve">support the listing </w:t>
      </w:r>
      <w:r w:rsidR="00D245DE" w:rsidRPr="00282CFD">
        <w:t>for</w:t>
      </w:r>
      <w:r w:rsidRPr="00282CFD">
        <w:t xml:space="preserve"> Indigenous </w:t>
      </w:r>
      <w:r w:rsidR="00134770" w:rsidRPr="00282CFD">
        <w:t xml:space="preserve">adults </w:t>
      </w:r>
      <w:r w:rsidRPr="00282CFD">
        <w:t xml:space="preserve">aged </w:t>
      </w:r>
      <w:r w:rsidR="00437DB8" w:rsidRPr="00282CFD">
        <w:rPr>
          <w:rFonts w:cstheme="minorHAnsi"/>
        </w:rPr>
        <w:t>≥</w:t>
      </w:r>
      <w:r w:rsidRPr="00282CFD">
        <w:t xml:space="preserve">50 years. </w:t>
      </w:r>
      <w:r w:rsidR="00382618">
        <w:rPr>
          <w:noProof/>
          <w:color w:val="000000"/>
          <w:highlight w:val="black"/>
        </w:rPr>
        <w:t>''''''' ''''''''' ''''''''' ''''''''''' '''''''''' '''''' '''''''''''''' ''''''''''''''''''' '''''''' '''''' '''''''''''''''''''''''' ''''''''''''''''' ''''''' '''''''' '''''' ''''' '''' '''''' '''''''''''''''''''' ''''''''''''''''''' '''''''' '''''''' '''' '''''''''''''''' '''' '''''''' ''''''' ''''''''''''''''''''' ''''''''''''''''' '''''''' ''''''''' '''''' ''''''''''''''''' '''' '''''' ''''''' ''''''''</w:t>
      </w:r>
      <w:r w:rsidRPr="00282CFD">
        <w:t>.</w:t>
      </w:r>
      <w:r w:rsidR="004F5A7D">
        <w:rPr>
          <w:rStyle w:val="FootnoteReference"/>
        </w:rPr>
        <w:footnoteReference w:id="2"/>
      </w:r>
    </w:p>
    <w:p w14:paraId="0A44C5E8" w14:textId="77777777" w:rsidR="00011FDC" w:rsidRPr="002C39BC" w:rsidRDefault="00011FDC" w:rsidP="00011FDC">
      <w:pPr>
        <w:pStyle w:val="3-BodyText"/>
      </w:pPr>
      <w:r w:rsidRPr="002C39BC">
        <w:t>The subgroup analysis of North American Indian</w:t>
      </w:r>
      <w:r w:rsidR="00892C55">
        <w:t xml:space="preserve"> participants</w:t>
      </w:r>
      <w:r w:rsidRPr="002C39BC">
        <w:t xml:space="preserve"> </w:t>
      </w:r>
      <w:r w:rsidR="00892C55">
        <w:t xml:space="preserve">from </w:t>
      </w:r>
      <w:r w:rsidRPr="002C39BC">
        <w:t xml:space="preserve">P017 </w:t>
      </w:r>
      <w:r w:rsidR="000850FD" w:rsidRPr="002C39BC">
        <w:t xml:space="preserve">was </w:t>
      </w:r>
      <w:r w:rsidRPr="002C39BC">
        <w:t>an exploratory analysis</w:t>
      </w:r>
      <w:r w:rsidR="00980C16" w:rsidRPr="002C39BC">
        <w:t xml:space="preserve"> as</w:t>
      </w:r>
      <w:r w:rsidRPr="002C39BC">
        <w:t xml:space="preserve"> P017 was not designed </w:t>
      </w:r>
      <w:r w:rsidR="000850FD" w:rsidRPr="002C39BC">
        <w:t xml:space="preserve">to </w:t>
      </w:r>
      <w:r w:rsidRPr="002C39BC">
        <w:t xml:space="preserve">evaluate comparative </w:t>
      </w:r>
      <w:r w:rsidR="00891B20" w:rsidRPr="002C39BC">
        <w:t>efficacy</w:t>
      </w:r>
      <w:r w:rsidRPr="002C39BC">
        <w:t xml:space="preserve">. </w:t>
      </w:r>
      <w:r w:rsidR="00F86C1C" w:rsidRPr="002C39BC">
        <w:t xml:space="preserve">P017 </w:t>
      </w:r>
      <w:r w:rsidR="00603856" w:rsidRPr="002C39BC">
        <w:t>had an unequal randomisation by design</w:t>
      </w:r>
      <w:r w:rsidR="005C198E" w:rsidRPr="002C39BC">
        <w:t xml:space="preserve"> (3:1)</w:t>
      </w:r>
      <w:r w:rsidR="00603856" w:rsidRPr="002C39BC">
        <w:t xml:space="preserve"> and had higher numbers of participants receiving PCV15</w:t>
      </w:r>
      <w:r w:rsidR="00F86C1C" w:rsidRPr="002C39BC">
        <w:t xml:space="preserve"> (n=445)</w:t>
      </w:r>
      <w:r w:rsidR="00603856" w:rsidRPr="002C39BC">
        <w:t xml:space="preserve"> compared to PCV13</w:t>
      </w:r>
      <w:r w:rsidR="00F86C1C" w:rsidRPr="002C39BC">
        <w:t xml:space="preserve"> (n=146).</w:t>
      </w:r>
      <w:r w:rsidRPr="002C39BC">
        <w:t xml:space="preserve"> </w:t>
      </w:r>
      <w:r w:rsidR="00892C55">
        <w:t>Further, t</w:t>
      </w:r>
      <w:r w:rsidRPr="002C39BC">
        <w:t xml:space="preserve">he trial included participants aged </w:t>
      </w:r>
      <w:r w:rsidR="00E51697" w:rsidRPr="002C39BC">
        <w:rPr>
          <w:rFonts w:cstheme="minorHAnsi"/>
        </w:rPr>
        <w:t>18</w:t>
      </w:r>
      <w:r w:rsidR="00300E1A" w:rsidRPr="002C39BC">
        <w:rPr>
          <w:rFonts w:cstheme="minorHAnsi"/>
        </w:rPr>
        <w:t xml:space="preserve"> to 49</w:t>
      </w:r>
      <w:r w:rsidRPr="002C39BC">
        <w:rPr>
          <w:rFonts w:cstheme="minorHAnsi"/>
        </w:rPr>
        <w:t xml:space="preserve"> years </w:t>
      </w:r>
      <w:r w:rsidR="00980C16" w:rsidRPr="002C39BC">
        <w:t xml:space="preserve">at </w:t>
      </w:r>
      <w:r w:rsidRPr="002C39BC">
        <w:t>increased risk of pneumococcal disease</w:t>
      </w:r>
      <w:r w:rsidR="00A616F3" w:rsidRPr="002C39BC">
        <w:t>,</w:t>
      </w:r>
      <w:r w:rsidRPr="002C39BC">
        <w:t xml:space="preserve"> which </w:t>
      </w:r>
      <w:r w:rsidR="00757800" w:rsidRPr="002C39BC">
        <w:t xml:space="preserve">may </w:t>
      </w:r>
      <w:r w:rsidRPr="002C39BC">
        <w:t xml:space="preserve">not represent the proposed listing </w:t>
      </w:r>
      <w:r w:rsidR="00A616F3" w:rsidRPr="002C39BC">
        <w:t>for</w:t>
      </w:r>
      <w:r w:rsidRPr="002C39BC">
        <w:t xml:space="preserve"> Indigenous </w:t>
      </w:r>
      <w:r w:rsidR="00A27393" w:rsidRPr="002C39BC">
        <w:t xml:space="preserve">adults </w:t>
      </w:r>
      <w:r w:rsidRPr="002C39BC">
        <w:t xml:space="preserve">aged </w:t>
      </w:r>
      <w:r w:rsidR="00437DB8" w:rsidRPr="002C39BC">
        <w:rPr>
          <w:rFonts w:cstheme="minorHAnsi"/>
        </w:rPr>
        <w:t>≥</w:t>
      </w:r>
      <w:r w:rsidRPr="002C39BC">
        <w:t>50 years.</w:t>
      </w:r>
      <w:r w:rsidR="00997744" w:rsidRPr="002C39BC">
        <w:t xml:space="preserve"> ATAGI</w:t>
      </w:r>
      <w:r w:rsidR="003E62EB" w:rsidRPr="002C39BC">
        <w:t xml:space="preserve"> advised</w:t>
      </w:r>
      <w:r w:rsidR="005D6162" w:rsidRPr="002C39BC">
        <w:t xml:space="preserve"> that it was </w:t>
      </w:r>
      <w:r w:rsidR="00676906" w:rsidRPr="002C39BC">
        <w:t>unclear whether</w:t>
      </w:r>
      <w:r w:rsidR="005A0903" w:rsidRPr="002C39BC">
        <w:t xml:space="preserve"> </w:t>
      </w:r>
      <w:r w:rsidR="00997744" w:rsidRPr="002C39BC">
        <w:t xml:space="preserve">First Nations people </w:t>
      </w:r>
      <w:r w:rsidR="004548E9" w:rsidRPr="002C39BC">
        <w:t xml:space="preserve">in North America </w:t>
      </w:r>
      <w:r w:rsidR="009C0E15">
        <w:t>could</w:t>
      </w:r>
      <w:r w:rsidR="009C0E15" w:rsidRPr="002C39BC">
        <w:t xml:space="preserve"> </w:t>
      </w:r>
      <w:r w:rsidR="00ED01CD" w:rsidRPr="002C39BC">
        <w:t xml:space="preserve">be a proxy for other </w:t>
      </w:r>
      <w:r w:rsidR="00B72398" w:rsidRPr="002C39BC">
        <w:t>Indigenous populations</w:t>
      </w:r>
      <w:r w:rsidR="003E5560" w:rsidRPr="002C39BC">
        <w:t xml:space="preserve"> (</w:t>
      </w:r>
      <w:r w:rsidR="00E04CF3" w:rsidRPr="002C39BC">
        <w:t xml:space="preserve">although </w:t>
      </w:r>
      <w:r w:rsidR="003E5560" w:rsidRPr="002C39BC">
        <w:t xml:space="preserve">they </w:t>
      </w:r>
      <w:r w:rsidR="00535224" w:rsidRPr="002C39BC">
        <w:t>might share some similarities in historical, social and health background)</w:t>
      </w:r>
      <w:r w:rsidR="00E04CF3" w:rsidRPr="002C39BC">
        <w:t>.</w:t>
      </w:r>
      <w:r w:rsidR="00BD6452" w:rsidRPr="002C39BC">
        <w:t xml:space="preserve"> The PSCR noted that PCV13 is subsidised under the NIP for Indigenous populations despite </w:t>
      </w:r>
      <w:r w:rsidR="00EB6A19" w:rsidRPr="002C39BC">
        <w:t xml:space="preserve">there being </w:t>
      </w:r>
      <w:r w:rsidR="00BD6452" w:rsidRPr="002C39BC">
        <w:t xml:space="preserve">no </w:t>
      </w:r>
      <w:r w:rsidR="00213251" w:rsidRPr="002C39BC">
        <w:t>direct</w:t>
      </w:r>
      <w:r w:rsidR="00EB6A19" w:rsidRPr="002C39BC">
        <w:t xml:space="preserve"> </w:t>
      </w:r>
      <w:r w:rsidR="00BD6452" w:rsidRPr="002C39BC">
        <w:t xml:space="preserve">evidence for PCV13 </w:t>
      </w:r>
      <w:r w:rsidR="00EB6A19" w:rsidRPr="002C39BC">
        <w:t>in these populations.</w:t>
      </w:r>
      <w:r w:rsidR="005815F9" w:rsidRPr="002C39BC">
        <w:t xml:space="preserve"> The ESC was uncertain whether </w:t>
      </w:r>
      <w:r w:rsidR="00213251" w:rsidRPr="002C39BC">
        <w:t>the P017 subgroup comparison was more informative than the primary comparison in P019, as it was unclear whether the subgroup from P017 would be more representative of Australian Indigenous populations than the participants in P019</w:t>
      </w:r>
      <w:r w:rsidR="00BA6E2F" w:rsidRPr="002C39BC">
        <w:t>.</w:t>
      </w:r>
    </w:p>
    <w:p w14:paraId="0B69163F" w14:textId="77777777" w:rsidR="00011FDC" w:rsidRPr="00A57AA4" w:rsidRDefault="00011FDC" w:rsidP="00B05E32">
      <w:pPr>
        <w:pStyle w:val="5-SubsectionSubheading"/>
        <w:rPr>
          <w:color w:val="auto"/>
        </w:rPr>
      </w:pPr>
      <w:bookmarkStart w:id="32" w:name="_Toc82613943"/>
      <w:r w:rsidRPr="00A57AA4">
        <w:rPr>
          <w:color w:val="auto"/>
        </w:rPr>
        <w:t>Results from P017 and P018 for individuals at increased risk of pneumococcal disease aged ≥18 years</w:t>
      </w:r>
      <w:bookmarkEnd w:id="32"/>
    </w:p>
    <w:p w14:paraId="598734DE" w14:textId="77777777" w:rsidR="00011FDC" w:rsidRPr="00A57AA4" w:rsidRDefault="00011FDC" w:rsidP="00011FDC">
      <w:pPr>
        <w:pStyle w:val="3-BodyText"/>
      </w:pPr>
      <w:r w:rsidRPr="00A57AA4">
        <w:t>The submission present</w:t>
      </w:r>
      <w:r w:rsidR="00B05E32">
        <w:t>ed</w:t>
      </w:r>
      <w:r w:rsidRPr="00A57AA4">
        <w:t xml:space="preserve"> results from P017 and P018 to support the listing of individuals at increased risk of pneumococcal disease aged ≥18 years. A summary of the OPA G</w:t>
      </w:r>
      <w:r w:rsidRPr="002D00E9">
        <w:t xml:space="preserve">MT ratios results from P017 and P018 is presented in Figure 4. </w:t>
      </w:r>
      <w:r w:rsidR="00B143F2" w:rsidRPr="002D00E9">
        <w:t>These</w:t>
      </w:r>
      <w:r w:rsidRPr="002D00E9">
        <w:t xml:space="preserve"> results su</w:t>
      </w:r>
      <w:r w:rsidRPr="00920454">
        <w:t xml:space="preserve">ggest that the </w:t>
      </w:r>
      <w:r w:rsidR="00437DB8" w:rsidRPr="00920454">
        <w:t>noninferior</w:t>
      </w:r>
      <w:r w:rsidRPr="00126065">
        <w:t>ity criteri</w:t>
      </w:r>
      <w:r w:rsidR="006E60AF" w:rsidRPr="00126065">
        <w:t>on</w:t>
      </w:r>
      <w:r w:rsidRPr="00A57AA4">
        <w:t xml:space="preserve"> was met for 12 of the 13</w:t>
      </w:r>
      <w:r w:rsidRPr="00BB1EEF">
        <w:t>-shared serotypes (</w:t>
      </w:r>
      <w:r w:rsidR="00B143F2" w:rsidRPr="00207836">
        <w:t xml:space="preserve">it was </w:t>
      </w:r>
      <w:r w:rsidRPr="00207836">
        <w:t xml:space="preserve">not met in serotype 4) and the superiority criteria </w:t>
      </w:r>
      <w:r w:rsidR="009C0E15">
        <w:t>were</w:t>
      </w:r>
      <w:r w:rsidR="009C0E15" w:rsidRPr="00207836">
        <w:t xml:space="preserve"> </w:t>
      </w:r>
      <w:r w:rsidRPr="00207836">
        <w:t>met for serotype</w:t>
      </w:r>
      <w:r w:rsidR="006E60AF" w:rsidRPr="00207836">
        <w:t>s</w:t>
      </w:r>
      <w:r w:rsidRPr="00207836">
        <w:t xml:space="preserve"> 3, 22F and </w:t>
      </w:r>
      <w:r w:rsidRPr="00345427">
        <w:t>33F.</w:t>
      </w:r>
    </w:p>
    <w:p w14:paraId="33041B84" w14:textId="77777777" w:rsidR="00011FDC" w:rsidRPr="00AE08B4" w:rsidRDefault="00011FDC" w:rsidP="00584CEB">
      <w:pPr>
        <w:pStyle w:val="Caption"/>
        <w:keepNext/>
        <w:numPr>
          <w:ilvl w:val="0"/>
          <w:numId w:val="9"/>
        </w:numPr>
        <w:tabs>
          <w:tab w:val="right" w:pos="9639"/>
        </w:tabs>
        <w:spacing w:before="240" w:after="60" w:line="360" w:lineRule="auto"/>
        <w:jc w:val="left"/>
        <w:rPr>
          <w:rFonts w:ascii="Arial Narrow" w:hAnsi="Arial Narrow"/>
          <w:sz w:val="20"/>
          <w:szCs w:val="20"/>
        </w:rPr>
      </w:pPr>
      <w:r w:rsidRPr="004A2B2F">
        <w:rPr>
          <w:rFonts w:ascii="Arial Narrow" w:hAnsi="Arial Narrow"/>
          <w:color w:val="auto"/>
          <w:sz w:val="20"/>
          <w:szCs w:val="20"/>
        </w:rPr>
        <w:t>Figure</w:t>
      </w:r>
      <w:r>
        <w:rPr>
          <w:rFonts w:ascii="Arial Narrow" w:hAnsi="Arial Narrow"/>
          <w:color w:val="auto"/>
          <w:sz w:val="20"/>
          <w:szCs w:val="20"/>
        </w:rPr>
        <w:t xml:space="preserve"> 4</w:t>
      </w:r>
      <w:r w:rsidRPr="004A2B2F">
        <w:rPr>
          <w:rFonts w:ascii="Arial Narrow" w:hAnsi="Arial Narrow"/>
          <w:color w:val="auto"/>
          <w:sz w:val="20"/>
          <w:szCs w:val="20"/>
        </w:rPr>
        <w:t xml:space="preserve">:  Forest </w:t>
      </w:r>
      <w:r>
        <w:rPr>
          <w:rFonts w:ascii="Arial Narrow" w:hAnsi="Arial Narrow"/>
          <w:color w:val="auto"/>
          <w:sz w:val="20"/>
          <w:szCs w:val="20"/>
        </w:rPr>
        <w:t>p</w:t>
      </w:r>
      <w:r w:rsidRPr="004A2B2F">
        <w:rPr>
          <w:rFonts w:ascii="Arial Narrow" w:hAnsi="Arial Narrow"/>
          <w:color w:val="auto"/>
          <w:sz w:val="20"/>
          <w:szCs w:val="20"/>
        </w:rPr>
        <w:t xml:space="preserve">lot of OPA GMT </w:t>
      </w:r>
      <w:r>
        <w:rPr>
          <w:rFonts w:ascii="Arial Narrow" w:hAnsi="Arial Narrow"/>
          <w:color w:val="auto"/>
          <w:sz w:val="20"/>
          <w:szCs w:val="20"/>
        </w:rPr>
        <w:t>r</w:t>
      </w:r>
      <w:r w:rsidRPr="004A2B2F">
        <w:rPr>
          <w:rFonts w:ascii="Arial Narrow" w:hAnsi="Arial Narrow"/>
          <w:color w:val="auto"/>
          <w:sz w:val="20"/>
          <w:szCs w:val="20"/>
        </w:rPr>
        <w:t xml:space="preserve">atios at Day 30 (pre </w:t>
      </w:r>
      <w:r>
        <w:rPr>
          <w:rFonts w:ascii="Arial Narrow" w:hAnsi="Arial Narrow"/>
          <w:color w:val="auto"/>
          <w:sz w:val="20"/>
          <w:szCs w:val="20"/>
        </w:rPr>
        <w:t>p</w:t>
      </w:r>
      <w:r w:rsidRPr="004A2B2F">
        <w:rPr>
          <w:rFonts w:ascii="Arial Narrow" w:hAnsi="Arial Narrow"/>
          <w:color w:val="auto"/>
          <w:sz w:val="20"/>
          <w:szCs w:val="20"/>
        </w:rPr>
        <w:t xml:space="preserve">rotocol </w:t>
      </w:r>
      <w:r>
        <w:rPr>
          <w:rFonts w:ascii="Arial Narrow" w:hAnsi="Arial Narrow"/>
          <w:color w:val="auto"/>
          <w:sz w:val="20"/>
          <w:szCs w:val="20"/>
        </w:rPr>
        <w:t>p</w:t>
      </w:r>
      <w:r w:rsidRPr="004A2B2F">
        <w:rPr>
          <w:rFonts w:ascii="Arial Narrow" w:hAnsi="Arial Narrow"/>
          <w:color w:val="auto"/>
          <w:sz w:val="20"/>
          <w:szCs w:val="20"/>
        </w:rPr>
        <w:t>opulation) in P017</w:t>
      </w:r>
      <w:r>
        <w:rPr>
          <w:rFonts w:ascii="Arial Narrow" w:hAnsi="Arial Narrow"/>
          <w:color w:val="auto"/>
          <w:sz w:val="20"/>
          <w:szCs w:val="20"/>
        </w:rPr>
        <w:t xml:space="preserve"> (left) and P018 (right)</w:t>
      </w:r>
    </w:p>
    <w:p w14:paraId="3FA05BE3" w14:textId="77777777" w:rsidR="00011FDC" w:rsidRPr="00AE08B4" w:rsidRDefault="797D0605" w:rsidP="00584CEB">
      <w:pPr>
        <w:numPr>
          <w:ilvl w:val="0"/>
          <w:numId w:val="9"/>
        </w:numPr>
        <w:spacing w:after="240" w:line="360" w:lineRule="auto"/>
        <w:jc w:val="center"/>
        <w:rPr>
          <w:rFonts w:ascii="Arial Narrow" w:hAnsi="Arial Narrow"/>
          <w:sz w:val="20"/>
          <w:szCs w:val="20"/>
        </w:rPr>
      </w:pPr>
      <w:r>
        <w:rPr>
          <w:noProof/>
        </w:rPr>
        <w:drawing>
          <wp:inline distT="0" distB="0" distL="0" distR="0" wp14:anchorId="1A8D9FD9" wp14:editId="463A09EB">
            <wp:extent cx="2802089" cy="3053420"/>
            <wp:effectExtent l="0" t="0" r="0" b="0"/>
            <wp:docPr id="22" name="Picture 2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1">
                      <a:extLst>
                        <a:ext uri="{28A0092B-C50C-407E-A947-70E740481C1C}">
                          <a14:useLocalDpi xmlns:a14="http://schemas.microsoft.com/office/drawing/2010/main" val="0"/>
                        </a:ext>
                      </a:extLst>
                    </a:blip>
                    <a:stretch>
                      <a:fillRect/>
                    </a:stretch>
                  </pic:blipFill>
                  <pic:spPr>
                    <a:xfrm>
                      <a:off x="0" y="0"/>
                      <a:ext cx="2802089" cy="3053420"/>
                    </a:xfrm>
                    <a:prstGeom prst="rect">
                      <a:avLst/>
                    </a:prstGeom>
                  </pic:spPr>
                </pic:pic>
              </a:graphicData>
            </a:graphic>
          </wp:inline>
        </w:drawing>
      </w:r>
      <w:r>
        <w:rPr>
          <w:noProof/>
        </w:rPr>
        <w:drawing>
          <wp:inline distT="0" distB="0" distL="0" distR="0" wp14:anchorId="3B9B5E27" wp14:editId="5277D994">
            <wp:extent cx="2877543" cy="3087565"/>
            <wp:effectExtent l="0" t="0" r="0" b="0"/>
            <wp:docPr id="23" name="Picture 2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2">
                      <a:extLst>
                        <a:ext uri="{28A0092B-C50C-407E-A947-70E740481C1C}">
                          <a14:useLocalDpi xmlns:a14="http://schemas.microsoft.com/office/drawing/2010/main" val="0"/>
                        </a:ext>
                      </a:extLst>
                    </a:blip>
                    <a:stretch>
                      <a:fillRect/>
                    </a:stretch>
                  </pic:blipFill>
                  <pic:spPr>
                    <a:xfrm>
                      <a:off x="0" y="0"/>
                      <a:ext cx="2877543" cy="3087565"/>
                    </a:xfrm>
                    <a:prstGeom prst="rect">
                      <a:avLst/>
                    </a:prstGeom>
                  </pic:spPr>
                </pic:pic>
              </a:graphicData>
            </a:graphic>
          </wp:inline>
        </w:drawing>
      </w:r>
    </w:p>
    <w:p w14:paraId="05F1F181" w14:textId="77777777" w:rsidR="00011FDC" w:rsidRDefault="00011FDC" w:rsidP="00584CEB">
      <w:pPr>
        <w:numPr>
          <w:ilvl w:val="0"/>
          <w:numId w:val="9"/>
        </w:numPr>
        <w:jc w:val="left"/>
        <w:rPr>
          <w:rFonts w:ascii="Arial Narrow" w:hAnsi="Arial Narrow"/>
          <w:sz w:val="18"/>
          <w:szCs w:val="18"/>
        </w:rPr>
      </w:pPr>
      <w:r w:rsidRPr="00563596">
        <w:rPr>
          <w:rFonts w:ascii="Arial Narrow" w:hAnsi="Arial Narrow"/>
          <w:sz w:val="18"/>
          <w:szCs w:val="18"/>
        </w:rPr>
        <w:t>Source:</w:t>
      </w:r>
      <w:r>
        <w:rPr>
          <w:rFonts w:ascii="Arial Narrow" w:hAnsi="Arial Narrow"/>
          <w:sz w:val="18"/>
          <w:szCs w:val="18"/>
        </w:rPr>
        <w:t xml:space="preserve"> Figure 2.5-12, p110; Figure 2.5-13, p123 of the submission</w:t>
      </w:r>
    </w:p>
    <w:p w14:paraId="2DCA93C4" w14:textId="77777777" w:rsidR="00011FDC" w:rsidRPr="000E04F9" w:rsidRDefault="00011FDC" w:rsidP="000E04F9">
      <w:pPr>
        <w:pStyle w:val="Default"/>
        <w:numPr>
          <w:ilvl w:val="0"/>
          <w:numId w:val="9"/>
        </w:numPr>
        <w:ind w:right="-154"/>
        <w:jc w:val="both"/>
        <w:rPr>
          <w:rFonts w:ascii="Arial Narrow" w:hAnsi="Arial Narrow"/>
          <w:bCs/>
          <w:sz w:val="18"/>
          <w:szCs w:val="18"/>
          <w:lang w:val="en-AU"/>
        </w:rPr>
      </w:pPr>
      <w:r>
        <w:rPr>
          <w:rFonts w:ascii="Arial Narrow" w:hAnsi="Arial Narrow"/>
          <w:bCs/>
          <w:sz w:val="18"/>
          <w:szCs w:val="18"/>
          <w:lang w:val="en-AU"/>
        </w:rPr>
        <w:t xml:space="preserve">CI = confidence interval; GMT = </w:t>
      </w:r>
      <w:r w:rsidRPr="00645761">
        <w:rPr>
          <w:rFonts w:ascii="Arial Narrow" w:hAnsi="Arial Narrow"/>
          <w:bCs/>
          <w:sz w:val="18"/>
          <w:szCs w:val="18"/>
          <w:lang w:val="en-AU"/>
        </w:rPr>
        <w:t>geometric mean</w:t>
      </w:r>
      <w:r>
        <w:rPr>
          <w:rFonts w:ascii="Arial Narrow" w:hAnsi="Arial Narrow"/>
          <w:bCs/>
          <w:sz w:val="18"/>
          <w:szCs w:val="18"/>
          <w:lang w:val="en-AU"/>
        </w:rPr>
        <w:t xml:space="preserve"> titre; n = number of sample size; OPA = </w:t>
      </w:r>
      <w:r w:rsidRPr="00645761">
        <w:rPr>
          <w:rFonts w:ascii="Arial Narrow" w:hAnsi="Arial Narrow"/>
          <w:bCs/>
          <w:sz w:val="18"/>
          <w:szCs w:val="18"/>
          <w:lang w:val="en-AU"/>
        </w:rPr>
        <w:t>opsonophagocytic activity titre</w:t>
      </w:r>
      <w:r>
        <w:rPr>
          <w:rFonts w:ascii="Arial Narrow" w:hAnsi="Arial Narrow"/>
          <w:bCs/>
          <w:sz w:val="18"/>
          <w:szCs w:val="18"/>
          <w:lang w:val="en-AU"/>
        </w:rPr>
        <w:t>;</w:t>
      </w:r>
      <w:r w:rsidRPr="00000FB1">
        <w:rPr>
          <w:rFonts w:ascii="Arial Narrow" w:hAnsi="Arial Narrow"/>
          <w:bCs/>
          <w:sz w:val="18"/>
          <w:szCs w:val="18"/>
          <w:lang w:val="en-AU"/>
        </w:rPr>
        <w:t xml:space="preserve"> PCV13 = </w:t>
      </w:r>
      <w:r>
        <w:rPr>
          <w:rFonts w:ascii="Arial Narrow" w:hAnsi="Arial Narrow"/>
          <w:bCs/>
          <w:sz w:val="18"/>
          <w:szCs w:val="18"/>
          <w:lang w:val="en-AU"/>
        </w:rPr>
        <w:t>13-valent pneumococcal conjugate vaccine</w:t>
      </w:r>
      <w:r w:rsidRPr="00000FB1">
        <w:rPr>
          <w:rFonts w:ascii="Arial Narrow" w:hAnsi="Arial Narrow"/>
          <w:bCs/>
          <w:sz w:val="18"/>
          <w:szCs w:val="18"/>
          <w:lang w:val="en-AU"/>
        </w:rPr>
        <w:t xml:space="preserve">; PCV15 = </w:t>
      </w:r>
      <w:r>
        <w:rPr>
          <w:rFonts w:ascii="Arial Narrow" w:hAnsi="Arial Narrow"/>
          <w:bCs/>
          <w:sz w:val="18"/>
          <w:szCs w:val="18"/>
          <w:lang w:val="en-AU"/>
        </w:rPr>
        <w:t>15-valent pneumococcal conjugate vaccine</w:t>
      </w:r>
    </w:p>
    <w:p w14:paraId="4F939EFE" w14:textId="77777777" w:rsidR="002E7C15" w:rsidRPr="002C39BC" w:rsidRDefault="00963D17" w:rsidP="000E04F9">
      <w:pPr>
        <w:pStyle w:val="3-BodyText"/>
        <w:spacing w:before="240"/>
      </w:pPr>
      <w:r w:rsidRPr="002C39BC">
        <w:t>P017 and P018 were not designed to evaluate comparative efficacy between PCV15 and PCV13</w:t>
      </w:r>
      <w:r w:rsidR="0089448E" w:rsidRPr="002C39BC">
        <w:t xml:space="preserve"> (</w:t>
      </w:r>
      <w:r w:rsidR="009C0E15">
        <w:t xml:space="preserve">and </w:t>
      </w:r>
      <w:r w:rsidR="00A01FBB" w:rsidRPr="002C39BC">
        <w:t xml:space="preserve">as noted above, </w:t>
      </w:r>
      <w:r w:rsidR="0089448E" w:rsidRPr="002C39BC">
        <w:t xml:space="preserve">P017 had an unequal randomisation </w:t>
      </w:r>
      <w:r w:rsidR="003242D1" w:rsidRPr="002C39BC">
        <w:t xml:space="preserve">by design and </w:t>
      </w:r>
      <w:r w:rsidR="0089448E" w:rsidRPr="002C39BC">
        <w:t>h</w:t>
      </w:r>
      <w:r w:rsidR="003242D1" w:rsidRPr="002C39BC">
        <w:t>ad</w:t>
      </w:r>
      <w:r w:rsidR="0089448E" w:rsidRPr="002C39BC">
        <w:t xml:space="preserve"> high</w:t>
      </w:r>
      <w:r w:rsidR="003242D1" w:rsidRPr="002C39BC">
        <w:t>er numbers of</w:t>
      </w:r>
      <w:r w:rsidR="0089448E" w:rsidRPr="002C39BC">
        <w:t xml:space="preserve"> participants receiving PCV15 compared to PCV13)</w:t>
      </w:r>
      <w:r w:rsidRPr="002C39BC">
        <w:t xml:space="preserve">. </w:t>
      </w:r>
      <w:r w:rsidR="00B02701" w:rsidRPr="002C39BC">
        <w:t>N</w:t>
      </w:r>
      <w:r w:rsidR="00011FDC" w:rsidRPr="002C39BC">
        <w:t>one of the risk factors in P017</w:t>
      </w:r>
      <w:r w:rsidR="00B02701" w:rsidRPr="002C39BC">
        <w:t xml:space="preserve"> (</w:t>
      </w:r>
      <w:r w:rsidR="004452CD" w:rsidRPr="002C39BC">
        <w:t>diabetes mellitus, chronic liver disease, chronic lung disease including asthma, chronic heart disease, current smoker, increased alcohol use</w:t>
      </w:r>
      <w:r w:rsidR="00B02701" w:rsidRPr="002C39BC">
        <w:t>)</w:t>
      </w:r>
      <w:r w:rsidR="00011FDC" w:rsidRPr="002C39BC">
        <w:t xml:space="preserve"> </w:t>
      </w:r>
      <w:r w:rsidR="00CB4A8E" w:rsidRPr="002C39BC">
        <w:t xml:space="preserve">are subsidised for pneumococcal vaccines </w:t>
      </w:r>
      <w:r w:rsidR="007319A8" w:rsidRPr="002C39BC">
        <w:t xml:space="preserve">under </w:t>
      </w:r>
      <w:r w:rsidR="00011FDC" w:rsidRPr="002C39BC">
        <w:t>the NIP. P018</w:t>
      </w:r>
      <w:r w:rsidR="00A14B8D">
        <w:t xml:space="preserve"> was a trial consisting of</w:t>
      </w:r>
      <w:r w:rsidR="00011FDC" w:rsidRPr="002C39BC">
        <w:t xml:space="preserve"> participants with HIV</w:t>
      </w:r>
      <w:r w:rsidR="009C0E15">
        <w:t>,</w:t>
      </w:r>
      <w:r w:rsidR="00011FDC" w:rsidRPr="002C39BC">
        <w:t xml:space="preserve"> </w:t>
      </w:r>
      <w:r w:rsidR="002A75A1" w:rsidRPr="002C39BC">
        <w:t>which is</w:t>
      </w:r>
      <w:r w:rsidR="00011FDC" w:rsidRPr="002C39BC">
        <w:t xml:space="preserve"> one of </w:t>
      </w:r>
      <w:r w:rsidR="00A14B8D">
        <w:t xml:space="preserve">the </w:t>
      </w:r>
      <w:r w:rsidR="00011FDC" w:rsidRPr="002C39BC">
        <w:t>risk condition</w:t>
      </w:r>
      <w:r w:rsidR="002A75A1" w:rsidRPr="002C39BC">
        <w:t>s</w:t>
      </w:r>
      <w:r w:rsidR="00011FDC" w:rsidRPr="002C39BC">
        <w:t xml:space="preserve"> </w:t>
      </w:r>
      <w:r w:rsidR="00903F21" w:rsidRPr="002C39BC">
        <w:t xml:space="preserve">subsidised for pneumococcal vaccines </w:t>
      </w:r>
      <w:r w:rsidR="00A14B8D">
        <w:t>under</w:t>
      </w:r>
      <w:r w:rsidR="00A14B8D" w:rsidRPr="002C39BC">
        <w:t xml:space="preserve"> </w:t>
      </w:r>
      <w:r w:rsidR="00011FDC" w:rsidRPr="002C39BC">
        <w:t>the NIP.</w:t>
      </w:r>
      <w:r w:rsidR="00BA6E2F" w:rsidRPr="002C39BC">
        <w:t xml:space="preserve"> </w:t>
      </w:r>
      <w:r w:rsidR="00CA1A03" w:rsidRPr="002C39BC">
        <w:t>The ESC noted that</w:t>
      </w:r>
      <w:r w:rsidR="008775E2" w:rsidRPr="002C39BC">
        <w:t xml:space="preserve"> the PBAC </w:t>
      </w:r>
      <w:bookmarkStart w:id="33" w:name="_Hlk87961125"/>
      <w:r w:rsidR="008775E2" w:rsidRPr="002C39BC">
        <w:t>previously recommended inclusion of</w:t>
      </w:r>
      <w:r w:rsidR="00213251" w:rsidRPr="002C39BC">
        <w:t xml:space="preserve"> pneumococcal vaccines on the NIP for</w:t>
      </w:r>
      <w:r w:rsidR="008775E2" w:rsidRPr="002C39BC">
        <w:t xml:space="preserve"> </w:t>
      </w:r>
      <w:r w:rsidR="00213251" w:rsidRPr="002C39BC">
        <w:t xml:space="preserve">patients with </w:t>
      </w:r>
      <w:r w:rsidR="009C56B6">
        <w:t>certain</w:t>
      </w:r>
      <w:r w:rsidR="009C56B6" w:rsidRPr="002C39BC">
        <w:t xml:space="preserve"> </w:t>
      </w:r>
      <w:r w:rsidR="008775E2" w:rsidRPr="002C39BC">
        <w:t xml:space="preserve">risk conditions </w:t>
      </w:r>
      <w:r w:rsidR="00AC7B65" w:rsidRPr="002C39BC">
        <w:t xml:space="preserve">in the absence of direct evidence of pneumococcal vaccines </w:t>
      </w:r>
      <w:r w:rsidR="00850105" w:rsidRPr="002C39BC">
        <w:t xml:space="preserve">specifically </w:t>
      </w:r>
      <w:r w:rsidR="00AC7B65" w:rsidRPr="002C39BC">
        <w:t xml:space="preserve">in these </w:t>
      </w:r>
      <w:r w:rsidR="00D265C2" w:rsidRPr="002C39BC">
        <w:t>at-risk</w:t>
      </w:r>
      <w:r w:rsidR="00AC7B65" w:rsidRPr="002C39BC">
        <w:t xml:space="preserve"> populations. </w:t>
      </w:r>
      <w:bookmarkEnd w:id="33"/>
    </w:p>
    <w:p w14:paraId="6D47597A" w14:textId="77777777" w:rsidR="00011FDC" w:rsidRPr="00C9624D" w:rsidRDefault="00011FDC" w:rsidP="00011FDC">
      <w:pPr>
        <w:pStyle w:val="4-SubsectionHeading"/>
      </w:pPr>
      <w:bookmarkStart w:id="34" w:name="_Toc22897642"/>
      <w:bookmarkStart w:id="35" w:name="_Toc82613945"/>
      <w:r w:rsidRPr="00C9624D">
        <w:t>Comparative harms</w:t>
      </w:r>
      <w:bookmarkEnd w:id="34"/>
      <w:bookmarkEnd w:id="35"/>
    </w:p>
    <w:p w14:paraId="65408A0A" w14:textId="77777777" w:rsidR="00011FDC" w:rsidRPr="00C436CF" w:rsidRDefault="00011FDC" w:rsidP="00011FDC">
      <w:pPr>
        <w:pStyle w:val="3-BodyText"/>
      </w:pPr>
      <w:r w:rsidRPr="00C436CF">
        <w:t>A summary of the adverse events</w:t>
      </w:r>
      <w:r w:rsidR="00B6702A">
        <w:t xml:space="preserve"> (AEs)</w:t>
      </w:r>
      <w:r w:rsidRPr="00C436CF">
        <w:t xml:space="preserve"> for PCV15 versus PCV13 in P019 is presented in Table </w:t>
      </w:r>
      <w:r w:rsidR="00F52B83">
        <w:t>6</w:t>
      </w:r>
      <w:r>
        <w:t>.</w:t>
      </w:r>
    </w:p>
    <w:p w14:paraId="77FC910C" w14:textId="77777777" w:rsidR="00011FDC" w:rsidRDefault="00011FDC" w:rsidP="008B588F">
      <w:pPr>
        <w:pStyle w:val="TableFigureHeading"/>
        <w:keepLines/>
      </w:pPr>
      <w:r w:rsidRPr="001A398F">
        <w:t xml:space="preserve">Table </w:t>
      </w:r>
      <w:r w:rsidR="00F52B83">
        <w:t>6</w:t>
      </w:r>
      <w:r w:rsidRPr="001A398F">
        <w:t xml:space="preserve">: Analysis of </w:t>
      </w:r>
      <w:r>
        <w:t>a</w:t>
      </w:r>
      <w:r w:rsidRPr="001A398F">
        <w:t xml:space="preserve">dverse </w:t>
      </w:r>
      <w:r>
        <w:t>e</w:t>
      </w:r>
      <w:r w:rsidRPr="001A398F">
        <w:t xml:space="preserve">vent </w:t>
      </w:r>
      <w:r>
        <w:t>s</w:t>
      </w:r>
      <w:r w:rsidRPr="001A398F">
        <w:t>ummary (</w:t>
      </w:r>
      <w:r>
        <w:t>a</w:t>
      </w:r>
      <w:r w:rsidRPr="001A398F">
        <w:t xml:space="preserve">ll </w:t>
      </w:r>
      <w:r>
        <w:t>p</w:t>
      </w:r>
      <w:r w:rsidRPr="001A398F">
        <w:t xml:space="preserve">articipants as </w:t>
      </w:r>
      <w:r>
        <w:t>t</w:t>
      </w:r>
      <w:r w:rsidRPr="001A398F">
        <w:t xml:space="preserve">reated </w:t>
      </w:r>
      <w:r>
        <w:t>p</w:t>
      </w:r>
      <w:r w:rsidRPr="001A398F">
        <w:t>opulation) (</w:t>
      </w:r>
      <w:r>
        <w:t>f</w:t>
      </w:r>
      <w:r w:rsidRPr="001A398F">
        <w:t>ollowing PCV)</w:t>
      </w:r>
    </w:p>
    <w:tbl>
      <w:tblPr>
        <w:tblStyle w:val="TableGrid"/>
        <w:tblW w:w="5000" w:type="pct"/>
        <w:tblLook w:val="04A0" w:firstRow="1" w:lastRow="0" w:firstColumn="1" w:lastColumn="0" w:noHBand="0" w:noVBand="1"/>
        <w:tblCaption w:val="Table 6: Analysis of adverse event summary (all participants as treated population) (following PCV)"/>
      </w:tblPr>
      <w:tblGrid>
        <w:gridCol w:w="3874"/>
        <w:gridCol w:w="1327"/>
        <w:gridCol w:w="1327"/>
        <w:gridCol w:w="2489"/>
      </w:tblGrid>
      <w:tr w:rsidR="00011FDC" w:rsidRPr="00051D04" w14:paraId="7AD11610" w14:textId="77777777" w:rsidTr="0064478F">
        <w:trPr>
          <w:trHeight w:val="227"/>
          <w:tblHeader/>
        </w:trPr>
        <w:tc>
          <w:tcPr>
            <w:tcW w:w="2148" w:type="pct"/>
            <w:vMerge w:val="restart"/>
          </w:tcPr>
          <w:p w14:paraId="2F557D62" w14:textId="77777777" w:rsidR="00011FDC" w:rsidRPr="003724A8" w:rsidRDefault="00011FDC" w:rsidP="008B588F">
            <w:pPr>
              <w:pStyle w:val="Tabletext"/>
              <w:keepNext/>
              <w:keepLines/>
            </w:pPr>
          </w:p>
        </w:tc>
        <w:tc>
          <w:tcPr>
            <w:tcW w:w="736" w:type="pct"/>
          </w:tcPr>
          <w:p w14:paraId="7DB7F489" w14:textId="77777777" w:rsidR="00011FDC" w:rsidRPr="00D47ACE" w:rsidRDefault="00011FDC" w:rsidP="008B588F">
            <w:pPr>
              <w:pStyle w:val="Tabletext"/>
              <w:keepNext/>
              <w:keepLines/>
              <w:jc w:val="center"/>
              <w:rPr>
                <w:b/>
                <w:bCs/>
              </w:rPr>
            </w:pPr>
            <w:r w:rsidRPr="00D47ACE">
              <w:rPr>
                <w:b/>
                <w:bCs/>
              </w:rPr>
              <w:t>PCV15</w:t>
            </w:r>
          </w:p>
        </w:tc>
        <w:tc>
          <w:tcPr>
            <w:tcW w:w="736" w:type="pct"/>
          </w:tcPr>
          <w:p w14:paraId="152D271B" w14:textId="77777777" w:rsidR="00011FDC" w:rsidRPr="00D47ACE" w:rsidRDefault="00011FDC" w:rsidP="008B588F">
            <w:pPr>
              <w:pStyle w:val="Tabletext"/>
              <w:keepNext/>
              <w:keepLines/>
              <w:jc w:val="center"/>
              <w:rPr>
                <w:b/>
                <w:bCs/>
              </w:rPr>
            </w:pPr>
            <w:r w:rsidRPr="00D47ACE">
              <w:rPr>
                <w:b/>
                <w:bCs/>
              </w:rPr>
              <w:t>PCV13</w:t>
            </w:r>
          </w:p>
        </w:tc>
        <w:tc>
          <w:tcPr>
            <w:tcW w:w="1380" w:type="pct"/>
            <w:vMerge w:val="restart"/>
          </w:tcPr>
          <w:p w14:paraId="0041E9B0" w14:textId="77777777" w:rsidR="00011FDC" w:rsidRPr="00D47ACE" w:rsidRDefault="00011FDC" w:rsidP="008B588F">
            <w:pPr>
              <w:pStyle w:val="Tabletext"/>
              <w:keepNext/>
              <w:keepLines/>
              <w:jc w:val="center"/>
              <w:rPr>
                <w:b/>
                <w:bCs/>
              </w:rPr>
            </w:pPr>
            <w:r w:rsidRPr="00D47ACE">
              <w:rPr>
                <w:b/>
                <w:bCs/>
              </w:rPr>
              <w:t>Difference in % vs PCV13</w:t>
            </w:r>
          </w:p>
          <w:p w14:paraId="7BAEC539" w14:textId="77777777" w:rsidR="00011FDC" w:rsidRPr="00D47ACE" w:rsidRDefault="00011FDC" w:rsidP="008B588F">
            <w:pPr>
              <w:pStyle w:val="Tabletext"/>
              <w:keepNext/>
              <w:keepLines/>
              <w:jc w:val="center"/>
              <w:rPr>
                <w:b/>
                <w:bCs/>
              </w:rPr>
            </w:pPr>
            <w:r w:rsidRPr="00D47ACE">
              <w:rPr>
                <w:b/>
                <w:bCs/>
              </w:rPr>
              <w:t>Estimate (95% CI)</w:t>
            </w:r>
          </w:p>
        </w:tc>
      </w:tr>
      <w:tr w:rsidR="00011FDC" w:rsidRPr="00051D04" w14:paraId="3636336E" w14:textId="77777777" w:rsidTr="0064478F">
        <w:trPr>
          <w:trHeight w:val="227"/>
          <w:tblHeader/>
        </w:trPr>
        <w:tc>
          <w:tcPr>
            <w:tcW w:w="0" w:type="auto"/>
            <w:vMerge/>
            <w:hideMark/>
          </w:tcPr>
          <w:p w14:paraId="424863DD" w14:textId="77777777" w:rsidR="00011FDC" w:rsidRPr="00051D04" w:rsidRDefault="00011FDC" w:rsidP="008B588F">
            <w:pPr>
              <w:pStyle w:val="Tabletext"/>
              <w:keepNext/>
              <w:keepLines/>
            </w:pPr>
          </w:p>
        </w:tc>
        <w:tc>
          <w:tcPr>
            <w:tcW w:w="736" w:type="pct"/>
            <w:hideMark/>
          </w:tcPr>
          <w:p w14:paraId="6E2BFF75" w14:textId="77777777" w:rsidR="00011FDC" w:rsidRPr="00D47ACE" w:rsidRDefault="00011FDC" w:rsidP="008B588F">
            <w:pPr>
              <w:pStyle w:val="Tabletext"/>
              <w:keepNext/>
              <w:keepLines/>
              <w:jc w:val="center"/>
              <w:rPr>
                <w:b/>
                <w:bCs/>
              </w:rPr>
            </w:pPr>
            <w:r w:rsidRPr="00D47ACE">
              <w:rPr>
                <w:b/>
                <w:bCs/>
              </w:rPr>
              <w:t>n</w:t>
            </w:r>
            <w:r>
              <w:rPr>
                <w:b/>
                <w:bCs/>
              </w:rPr>
              <w:t xml:space="preserve"> </w:t>
            </w:r>
            <w:r w:rsidRPr="00D47ACE">
              <w:rPr>
                <w:b/>
                <w:bCs/>
              </w:rPr>
              <w:t>(%)</w:t>
            </w:r>
          </w:p>
        </w:tc>
        <w:tc>
          <w:tcPr>
            <w:tcW w:w="736" w:type="pct"/>
            <w:hideMark/>
          </w:tcPr>
          <w:p w14:paraId="28F4141B" w14:textId="77777777" w:rsidR="00011FDC" w:rsidRPr="00D47ACE" w:rsidRDefault="00011FDC" w:rsidP="008B588F">
            <w:pPr>
              <w:pStyle w:val="Tabletext"/>
              <w:keepNext/>
              <w:keepLines/>
              <w:jc w:val="center"/>
              <w:rPr>
                <w:b/>
                <w:bCs/>
              </w:rPr>
            </w:pPr>
            <w:r w:rsidRPr="00D47ACE">
              <w:rPr>
                <w:b/>
                <w:bCs/>
              </w:rPr>
              <w:t>n</w:t>
            </w:r>
            <w:r>
              <w:rPr>
                <w:b/>
                <w:bCs/>
              </w:rPr>
              <w:t xml:space="preserve"> </w:t>
            </w:r>
            <w:r w:rsidRPr="00D47ACE">
              <w:rPr>
                <w:b/>
                <w:bCs/>
              </w:rPr>
              <w:t>(%)</w:t>
            </w:r>
          </w:p>
        </w:tc>
        <w:tc>
          <w:tcPr>
            <w:tcW w:w="0" w:type="auto"/>
            <w:vMerge/>
            <w:hideMark/>
          </w:tcPr>
          <w:p w14:paraId="36B4192A" w14:textId="77777777" w:rsidR="00011FDC" w:rsidRPr="00D47ACE" w:rsidRDefault="00011FDC" w:rsidP="008B588F">
            <w:pPr>
              <w:pStyle w:val="Tabletext"/>
              <w:keepNext/>
              <w:keepLines/>
              <w:jc w:val="center"/>
              <w:rPr>
                <w:b/>
                <w:bCs/>
              </w:rPr>
            </w:pPr>
          </w:p>
        </w:tc>
      </w:tr>
      <w:tr w:rsidR="00011FDC" w:rsidRPr="00051D04" w14:paraId="0AADB75A" w14:textId="77777777" w:rsidTr="00C27E59">
        <w:trPr>
          <w:trHeight w:val="227"/>
        </w:trPr>
        <w:tc>
          <w:tcPr>
            <w:tcW w:w="2148" w:type="pct"/>
            <w:hideMark/>
          </w:tcPr>
          <w:p w14:paraId="585FCE43" w14:textId="77777777" w:rsidR="00011FDC" w:rsidRPr="00051D04" w:rsidRDefault="00011FDC" w:rsidP="008B588F">
            <w:pPr>
              <w:pStyle w:val="Tabletext"/>
              <w:keepNext/>
              <w:keepLines/>
            </w:pPr>
            <w:r w:rsidRPr="00051D04">
              <w:t>Subjects in population</w:t>
            </w:r>
          </w:p>
        </w:tc>
        <w:tc>
          <w:tcPr>
            <w:tcW w:w="736" w:type="pct"/>
            <w:hideMark/>
          </w:tcPr>
          <w:p w14:paraId="6E78CF3B" w14:textId="77777777" w:rsidR="00011FDC" w:rsidRPr="00051D04" w:rsidRDefault="00011FDC" w:rsidP="008B588F">
            <w:pPr>
              <w:pStyle w:val="Tabletext"/>
              <w:keepNext/>
              <w:keepLines/>
              <w:jc w:val="center"/>
            </w:pPr>
            <w:r w:rsidRPr="00051D04">
              <w:t>602</w:t>
            </w:r>
          </w:p>
        </w:tc>
        <w:tc>
          <w:tcPr>
            <w:tcW w:w="736" w:type="pct"/>
            <w:hideMark/>
          </w:tcPr>
          <w:p w14:paraId="2BB3040B" w14:textId="77777777" w:rsidR="00011FDC" w:rsidRPr="00051D04" w:rsidRDefault="00011FDC" w:rsidP="008B588F">
            <w:pPr>
              <w:pStyle w:val="Tabletext"/>
              <w:keepNext/>
              <w:keepLines/>
              <w:jc w:val="center"/>
            </w:pPr>
            <w:r w:rsidRPr="00051D04">
              <w:t>600</w:t>
            </w:r>
          </w:p>
        </w:tc>
        <w:tc>
          <w:tcPr>
            <w:tcW w:w="1380" w:type="pct"/>
          </w:tcPr>
          <w:p w14:paraId="0DAEEC58" w14:textId="77777777" w:rsidR="00011FDC" w:rsidRPr="00051D04" w:rsidRDefault="00011FDC" w:rsidP="008B588F">
            <w:pPr>
              <w:pStyle w:val="Tabletext"/>
              <w:keepNext/>
              <w:keepLines/>
              <w:jc w:val="center"/>
            </w:pPr>
          </w:p>
        </w:tc>
      </w:tr>
      <w:tr w:rsidR="00011FDC" w:rsidRPr="00051D04" w14:paraId="4A19B433" w14:textId="77777777" w:rsidTr="00C27E59">
        <w:trPr>
          <w:trHeight w:val="227"/>
        </w:trPr>
        <w:tc>
          <w:tcPr>
            <w:tcW w:w="2148" w:type="pct"/>
            <w:hideMark/>
          </w:tcPr>
          <w:p w14:paraId="455FA0D5" w14:textId="77777777" w:rsidR="00011FDC" w:rsidRPr="00051D04" w:rsidRDefault="00011FDC" w:rsidP="008B588F">
            <w:pPr>
              <w:pStyle w:val="Tabletext"/>
              <w:keepNext/>
              <w:keepLines/>
              <w:ind w:left="284"/>
            </w:pPr>
            <w:r w:rsidRPr="00051D04">
              <w:t>with one or more adverse events</w:t>
            </w:r>
          </w:p>
        </w:tc>
        <w:tc>
          <w:tcPr>
            <w:tcW w:w="736" w:type="pct"/>
            <w:hideMark/>
          </w:tcPr>
          <w:p w14:paraId="00A9DA82" w14:textId="77777777" w:rsidR="00011FDC" w:rsidRPr="00051D04" w:rsidRDefault="00011FDC" w:rsidP="008B588F">
            <w:pPr>
              <w:pStyle w:val="Tabletext"/>
              <w:keepNext/>
              <w:keepLines/>
              <w:jc w:val="center"/>
            </w:pPr>
            <w:r w:rsidRPr="00051D04">
              <w:t>409 (67.9)</w:t>
            </w:r>
          </w:p>
        </w:tc>
        <w:tc>
          <w:tcPr>
            <w:tcW w:w="736" w:type="pct"/>
            <w:hideMark/>
          </w:tcPr>
          <w:p w14:paraId="0F305983" w14:textId="77777777" w:rsidR="00011FDC" w:rsidRPr="00051D04" w:rsidRDefault="00011FDC" w:rsidP="008B588F">
            <w:pPr>
              <w:pStyle w:val="Tabletext"/>
              <w:keepNext/>
              <w:keepLines/>
              <w:jc w:val="center"/>
            </w:pPr>
            <w:r w:rsidRPr="00051D04">
              <w:t>349 (58.2)</w:t>
            </w:r>
          </w:p>
        </w:tc>
        <w:tc>
          <w:tcPr>
            <w:tcW w:w="1380" w:type="pct"/>
            <w:hideMark/>
          </w:tcPr>
          <w:p w14:paraId="4CE6B77A" w14:textId="77777777" w:rsidR="00011FDC" w:rsidRPr="00024748" w:rsidRDefault="00011FDC" w:rsidP="008B588F">
            <w:pPr>
              <w:pStyle w:val="Tabletext"/>
              <w:keepNext/>
              <w:keepLines/>
              <w:jc w:val="center"/>
              <w:rPr>
                <w:b/>
                <w:bCs/>
              </w:rPr>
            </w:pPr>
            <w:r w:rsidRPr="00024748">
              <w:rPr>
                <w:b/>
                <w:bCs/>
              </w:rPr>
              <w:t>9.8 (4.3, 15.2)</w:t>
            </w:r>
          </w:p>
        </w:tc>
      </w:tr>
      <w:tr w:rsidR="00011FDC" w:rsidRPr="00051D04" w14:paraId="7B86191D" w14:textId="77777777" w:rsidTr="00C27E59">
        <w:trPr>
          <w:trHeight w:val="227"/>
        </w:trPr>
        <w:tc>
          <w:tcPr>
            <w:tcW w:w="2148" w:type="pct"/>
            <w:hideMark/>
          </w:tcPr>
          <w:p w14:paraId="5722E7D6" w14:textId="77777777" w:rsidR="00011FDC" w:rsidRPr="00051D04" w:rsidRDefault="00011FDC" w:rsidP="008B588F">
            <w:pPr>
              <w:pStyle w:val="Tabletext"/>
              <w:keepNext/>
              <w:keepLines/>
              <w:ind w:left="567"/>
            </w:pPr>
            <w:r w:rsidRPr="00051D04">
              <w:t xml:space="preserve">  injection-site</w:t>
            </w:r>
          </w:p>
        </w:tc>
        <w:tc>
          <w:tcPr>
            <w:tcW w:w="736" w:type="pct"/>
            <w:hideMark/>
          </w:tcPr>
          <w:p w14:paraId="7124D860" w14:textId="77777777" w:rsidR="00011FDC" w:rsidRPr="00051D04" w:rsidRDefault="00011FDC" w:rsidP="008B588F">
            <w:pPr>
              <w:pStyle w:val="Tabletext"/>
              <w:keepNext/>
              <w:keepLines/>
              <w:jc w:val="center"/>
            </w:pPr>
            <w:r w:rsidRPr="00051D04">
              <w:t>362 (60.1)</w:t>
            </w:r>
          </w:p>
        </w:tc>
        <w:tc>
          <w:tcPr>
            <w:tcW w:w="736" w:type="pct"/>
            <w:hideMark/>
          </w:tcPr>
          <w:p w14:paraId="2D8DE0B3" w14:textId="77777777" w:rsidR="00011FDC" w:rsidRPr="00051D04" w:rsidRDefault="00011FDC" w:rsidP="008B588F">
            <w:pPr>
              <w:pStyle w:val="Tabletext"/>
              <w:keepNext/>
              <w:keepLines/>
              <w:jc w:val="center"/>
            </w:pPr>
            <w:r w:rsidRPr="00051D04">
              <w:t>293 (48.8)</w:t>
            </w:r>
          </w:p>
        </w:tc>
        <w:tc>
          <w:tcPr>
            <w:tcW w:w="1380" w:type="pct"/>
          </w:tcPr>
          <w:p w14:paraId="36F1F664" w14:textId="77777777" w:rsidR="00011FDC" w:rsidRPr="00051D04" w:rsidRDefault="00011FDC" w:rsidP="008B588F">
            <w:pPr>
              <w:pStyle w:val="Tabletext"/>
              <w:keepNext/>
              <w:keepLines/>
              <w:jc w:val="center"/>
            </w:pPr>
          </w:p>
        </w:tc>
      </w:tr>
      <w:tr w:rsidR="00011FDC" w:rsidRPr="00051D04" w14:paraId="123BCBDE" w14:textId="77777777" w:rsidTr="00C27E59">
        <w:trPr>
          <w:trHeight w:val="227"/>
        </w:trPr>
        <w:tc>
          <w:tcPr>
            <w:tcW w:w="2148" w:type="pct"/>
            <w:hideMark/>
          </w:tcPr>
          <w:p w14:paraId="627E75FA" w14:textId="77777777" w:rsidR="00011FDC" w:rsidRPr="00051D04" w:rsidRDefault="00011FDC" w:rsidP="008B588F">
            <w:pPr>
              <w:pStyle w:val="Tabletext"/>
              <w:keepNext/>
              <w:keepLines/>
              <w:ind w:left="567"/>
            </w:pPr>
            <w:r w:rsidRPr="00051D04">
              <w:t xml:space="preserve">  systemic</w:t>
            </w:r>
          </w:p>
        </w:tc>
        <w:tc>
          <w:tcPr>
            <w:tcW w:w="736" w:type="pct"/>
            <w:hideMark/>
          </w:tcPr>
          <w:p w14:paraId="2880EF2F" w14:textId="77777777" w:rsidR="00011FDC" w:rsidRPr="00051D04" w:rsidRDefault="00011FDC" w:rsidP="008B588F">
            <w:pPr>
              <w:pStyle w:val="Tabletext"/>
              <w:keepNext/>
              <w:keepLines/>
              <w:jc w:val="center"/>
            </w:pPr>
            <w:r w:rsidRPr="00051D04">
              <w:t>231 (38.4)</w:t>
            </w:r>
          </w:p>
        </w:tc>
        <w:tc>
          <w:tcPr>
            <w:tcW w:w="736" w:type="pct"/>
            <w:hideMark/>
          </w:tcPr>
          <w:p w14:paraId="75649F1C" w14:textId="77777777" w:rsidR="00011FDC" w:rsidRPr="00051D04" w:rsidRDefault="00011FDC" w:rsidP="008B588F">
            <w:pPr>
              <w:pStyle w:val="Tabletext"/>
              <w:keepNext/>
              <w:keepLines/>
              <w:jc w:val="center"/>
            </w:pPr>
            <w:r w:rsidRPr="00051D04">
              <w:t>208 (34.7)</w:t>
            </w:r>
          </w:p>
        </w:tc>
        <w:tc>
          <w:tcPr>
            <w:tcW w:w="1380" w:type="pct"/>
          </w:tcPr>
          <w:p w14:paraId="3038E87D" w14:textId="77777777" w:rsidR="00011FDC" w:rsidRPr="00051D04" w:rsidRDefault="00011FDC" w:rsidP="008B588F">
            <w:pPr>
              <w:pStyle w:val="Tabletext"/>
              <w:keepNext/>
              <w:keepLines/>
              <w:jc w:val="center"/>
            </w:pPr>
          </w:p>
        </w:tc>
      </w:tr>
      <w:tr w:rsidR="00011FDC" w:rsidRPr="00051D04" w14:paraId="3A1626F6" w14:textId="77777777" w:rsidTr="00C27E59">
        <w:trPr>
          <w:trHeight w:val="227"/>
        </w:trPr>
        <w:tc>
          <w:tcPr>
            <w:tcW w:w="2148" w:type="pct"/>
            <w:hideMark/>
          </w:tcPr>
          <w:p w14:paraId="1B08CFEE" w14:textId="77777777" w:rsidR="00011FDC" w:rsidRPr="00051D04" w:rsidRDefault="00011FDC" w:rsidP="008B588F">
            <w:pPr>
              <w:pStyle w:val="Tabletext"/>
              <w:keepNext/>
              <w:keepLines/>
              <w:ind w:left="284"/>
            </w:pPr>
            <w:r w:rsidRPr="00051D04">
              <w:t>with no adverse event</w:t>
            </w:r>
          </w:p>
        </w:tc>
        <w:tc>
          <w:tcPr>
            <w:tcW w:w="736" w:type="pct"/>
            <w:hideMark/>
          </w:tcPr>
          <w:p w14:paraId="3C1D8D7E" w14:textId="77777777" w:rsidR="00011FDC" w:rsidRPr="00051D04" w:rsidRDefault="00011FDC" w:rsidP="008B588F">
            <w:pPr>
              <w:pStyle w:val="Tabletext"/>
              <w:keepNext/>
              <w:keepLines/>
              <w:jc w:val="center"/>
            </w:pPr>
            <w:r w:rsidRPr="00051D04">
              <w:t>193 (32.1)</w:t>
            </w:r>
          </w:p>
        </w:tc>
        <w:tc>
          <w:tcPr>
            <w:tcW w:w="736" w:type="pct"/>
            <w:hideMark/>
          </w:tcPr>
          <w:p w14:paraId="54C9DECF" w14:textId="77777777" w:rsidR="00011FDC" w:rsidRPr="00051D04" w:rsidRDefault="00011FDC" w:rsidP="008B588F">
            <w:pPr>
              <w:pStyle w:val="Tabletext"/>
              <w:keepNext/>
              <w:keepLines/>
              <w:jc w:val="center"/>
            </w:pPr>
            <w:r w:rsidRPr="00051D04">
              <w:t>251 (41.8)</w:t>
            </w:r>
          </w:p>
        </w:tc>
        <w:tc>
          <w:tcPr>
            <w:tcW w:w="1380" w:type="pct"/>
          </w:tcPr>
          <w:p w14:paraId="5F758257" w14:textId="77777777" w:rsidR="00011FDC" w:rsidRPr="00051D04" w:rsidRDefault="00011FDC" w:rsidP="008B588F">
            <w:pPr>
              <w:pStyle w:val="Tabletext"/>
              <w:keepNext/>
              <w:keepLines/>
              <w:jc w:val="center"/>
            </w:pPr>
          </w:p>
        </w:tc>
      </w:tr>
      <w:tr w:rsidR="00011FDC" w:rsidRPr="00051D04" w14:paraId="41AC20D0" w14:textId="77777777" w:rsidTr="00C27E59">
        <w:trPr>
          <w:trHeight w:val="227"/>
        </w:trPr>
        <w:tc>
          <w:tcPr>
            <w:tcW w:w="2148" w:type="pct"/>
            <w:hideMark/>
          </w:tcPr>
          <w:p w14:paraId="7EE17FA8" w14:textId="77777777" w:rsidR="00011FDC" w:rsidRPr="00051D04" w:rsidRDefault="00011FDC" w:rsidP="008B588F">
            <w:pPr>
              <w:pStyle w:val="Tabletext"/>
              <w:keepNext/>
              <w:keepLines/>
              <w:ind w:left="284"/>
            </w:pPr>
            <w:r w:rsidRPr="00051D04">
              <w:t>with vaccine-related</w:t>
            </w:r>
            <w:r>
              <w:t xml:space="preserve"> </w:t>
            </w:r>
            <w:r w:rsidRPr="00051D04">
              <w:t>adverse events</w:t>
            </w:r>
          </w:p>
        </w:tc>
        <w:tc>
          <w:tcPr>
            <w:tcW w:w="736" w:type="pct"/>
            <w:hideMark/>
          </w:tcPr>
          <w:p w14:paraId="2BEB5D7F" w14:textId="77777777" w:rsidR="00011FDC" w:rsidRPr="00051D04" w:rsidRDefault="00011FDC" w:rsidP="008B588F">
            <w:pPr>
              <w:pStyle w:val="Tabletext"/>
              <w:keepNext/>
              <w:keepLines/>
              <w:jc w:val="center"/>
            </w:pPr>
            <w:r w:rsidRPr="00051D04">
              <w:t>385 (64.0)</w:t>
            </w:r>
          </w:p>
        </w:tc>
        <w:tc>
          <w:tcPr>
            <w:tcW w:w="736" w:type="pct"/>
            <w:hideMark/>
          </w:tcPr>
          <w:p w14:paraId="7F6EA893" w14:textId="77777777" w:rsidR="00011FDC" w:rsidRPr="00051D04" w:rsidRDefault="00011FDC" w:rsidP="008B588F">
            <w:pPr>
              <w:pStyle w:val="Tabletext"/>
              <w:keepNext/>
              <w:keepLines/>
              <w:jc w:val="center"/>
            </w:pPr>
            <w:r w:rsidRPr="00051D04">
              <w:t>329 (54.8)</w:t>
            </w:r>
          </w:p>
        </w:tc>
        <w:tc>
          <w:tcPr>
            <w:tcW w:w="1380" w:type="pct"/>
            <w:hideMark/>
          </w:tcPr>
          <w:p w14:paraId="53460EA1" w14:textId="77777777" w:rsidR="00011FDC" w:rsidRPr="00024748" w:rsidRDefault="00011FDC" w:rsidP="008B588F">
            <w:pPr>
              <w:pStyle w:val="Tabletext"/>
              <w:keepNext/>
              <w:keepLines/>
              <w:jc w:val="center"/>
              <w:rPr>
                <w:b/>
                <w:bCs/>
              </w:rPr>
            </w:pPr>
            <w:r w:rsidRPr="00024748">
              <w:rPr>
                <w:b/>
                <w:bCs/>
              </w:rPr>
              <w:t>9.1 (3.6, 14.6)</w:t>
            </w:r>
          </w:p>
        </w:tc>
      </w:tr>
      <w:tr w:rsidR="00011FDC" w:rsidRPr="00051D04" w14:paraId="2A9E4230" w14:textId="77777777" w:rsidTr="00C27E59">
        <w:trPr>
          <w:trHeight w:val="227"/>
        </w:trPr>
        <w:tc>
          <w:tcPr>
            <w:tcW w:w="2148" w:type="pct"/>
            <w:hideMark/>
          </w:tcPr>
          <w:p w14:paraId="03739BBD" w14:textId="77777777" w:rsidR="00011FDC" w:rsidRPr="00051D04" w:rsidRDefault="00011FDC" w:rsidP="008B588F">
            <w:pPr>
              <w:pStyle w:val="Tabletext"/>
              <w:keepNext/>
              <w:keepLines/>
              <w:ind w:left="567"/>
            </w:pPr>
            <w:r w:rsidRPr="00051D04">
              <w:t xml:space="preserve">  injection-site</w:t>
            </w:r>
          </w:p>
        </w:tc>
        <w:tc>
          <w:tcPr>
            <w:tcW w:w="736" w:type="pct"/>
            <w:hideMark/>
          </w:tcPr>
          <w:p w14:paraId="052A62C7" w14:textId="77777777" w:rsidR="00011FDC" w:rsidRPr="00051D04" w:rsidRDefault="00011FDC" w:rsidP="008B588F">
            <w:pPr>
              <w:pStyle w:val="Tabletext"/>
              <w:keepNext/>
              <w:keepLines/>
              <w:jc w:val="center"/>
            </w:pPr>
            <w:r w:rsidRPr="00051D04">
              <w:t>362 (60.1)</w:t>
            </w:r>
          </w:p>
        </w:tc>
        <w:tc>
          <w:tcPr>
            <w:tcW w:w="736" w:type="pct"/>
            <w:hideMark/>
          </w:tcPr>
          <w:p w14:paraId="461C19D9" w14:textId="77777777" w:rsidR="00011FDC" w:rsidRPr="00051D04" w:rsidRDefault="00011FDC" w:rsidP="008B588F">
            <w:pPr>
              <w:pStyle w:val="Tabletext"/>
              <w:keepNext/>
              <w:keepLines/>
              <w:jc w:val="center"/>
            </w:pPr>
            <w:r w:rsidRPr="00051D04">
              <w:t>293 (48.8)</w:t>
            </w:r>
          </w:p>
        </w:tc>
        <w:tc>
          <w:tcPr>
            <w:tcW w:w="1380" w:type="pct"/>
          </w:tcPr>
          <w:p w14:paraId="3F188475" w14:textId="77777777" w:rsidR="00011FDC" w:rsidRPr="00051D04" w:rsidRDefault="00011FDC" w:rsidP="008B588F">
            <w:pPr>
              <w:pStyle w:val="Tabletext"/>
              <w:keepNext/>
              <w:keepLines/>
              <w:jc w:val="center"/>
            </w:pPr>
          </w:p>
        </w:tc>
      </w:tr>
      <w:tr w:rsidR="00011FDC" w:rsidRPr="00051D04" w14:paraId="0DB91684" w14:textId="77777777" w:rsidTr="00C27E59">
        <w:trPr>
          <w:trHeight w:val="227"/>
        </w:trPr>
        <w:tc>
          <w:tcPr>
            <w:tcW w:w="2148" w:type="pct"/>
            <w:hideMark/>
          </w:tcPr>
          <w:p w14:paraId="145E026F" w14:textId="77777777" w:rsidR="00011FDC" w:rsidRPr="00051D04" w:rsidRDefault="00011FDC" w:rsidP="008B588F">
            <w:pPr>
              <w:pStyle w:val="Tabletext"/>
              <w:keepNext/>
              <w:keepLines/>
              <w:ind w:left="567"/>
            </w:pPr>
            <w:r w:rsidRPr="00051D04">
              <w:t xml:space="preserve">  systemic</w:t>
            </w:r>
          </w:p>
        </w:tc>
        <w:tc>
          <w:tcPr>
            <w:tcW w:w="736" w:type="pct"/>
            <w:hideMark/>
          </w:tcPr>
          <w:p w14:paraId="75900B60" w14:textId="77777777" w:rsidR="00011FDC" w:rsidRPr="00051D04" w:rsidRDefault="00011FDC" w:rsidP="008B588F">
            <w:pPr>
              <w:pStyle w:val="Tabletext"/>
              <w:keepNext/>
              <w:keepLines/>
              <w:jc w:val="center"/>
            </w:pPr>
            <w:r w:rsidRPr="00051D04">
              <w:t>169 (28.1)</w:t>
            </w:r>
          </w:p>
        </w:tc>
        <w:tc>
          <w:tcPr>
            <w:tcW w:w="736" w:type="pct"/>
            <w:hideMark/>
          </w:tcPr>
          <w:p w14:paraId="321164C7" w14:textId="77777777" w:rsidR="00011FDC" w:rsidRPr="00051D04" w:rsidRDefault="00011FDC" w:rsidP="008B588F">
            <w:pPr>
              <w:pStyle w:val="Tabletext"/>
              <w:keepNext/>
              <w:keepLines/>
              <w:jc w:val="center"/>
            </w:pPr>
            <w:r w:rsidRPr="00051D04">
              <w:t>156 (26.0)</w:t>
            </w:r>
          </w:p>
        </w:tc>
        <w:tc>
          <w:tcPr>
            <w:tcW w:w="1380" w:type="pct"/>
          </w:tcPr>
          <w:p w14:paraId="6053E65B" w14:textId="77777777" w:rsidR="00011FDC" w:rsidRPr="00051D04" w:rsidRDefault="00011FDC" w:rsidP="008B588F">
            <w:pPr>
              <w:pStyle w:val="Tabletext"/>
              <w:keepNext/>
              <w:keepLines/>
              <w:jc w:val="center"/>
            </w:pPr>
          </w:p>
        </w:tc>
      </w:tr>
      <w:tr w:rsidR="00011FDC" w:rsidRPr="00051D04" w14:paraId="19EA7696" w14:textId="77777777" w:rsidTr="00C27E59">
        <w:trPr>
          <w:trHeight w:val="227"/>
        </w:trPr>
        <w:tc>
          <w:tcPr>
            <w:tcW w:w="2148" w:type="pct"/>
            <w:hideMark/>
          </w:tcPr>
          <w:p w14:paraId="10A1772F" w14:textId="77777777" w:rsidR="00011FDC" w:rsidRPr="00051D04" w:rsidRDefault="00011FDC" w:rsidP="008B588F">
            <w:pPr>
              <w:pStyle w:val="Tabletext"/>
              <w:keepNext/>
              <w:keepLines/>
              <w:ind w:left="284"/>
            </w:pPr>
            <w:r w:rsidRPr="00051D04">
              <w:t>with serious adverse events</w:t>
            </w:r>
          </w:p>
        </w:tc>
        <w:tc>
          <w:tcPr>
            <w:tcW w:w="736" w:type="pct"/>
            <w:hideMark/>
          </w:tcPr>
          <w:p w14:paraId="1D660684" w14:textId="77777777" w:rsidR="00011FDC" w:rsidRPr="00051D04" w:rsidRDefault="00011FDC" w:rsidP="008B588F">
            <w:pPr>
              <w:pStyle w:val="Tabletext"/>
              <w:keepNext/>
              <w:keepLines/>
              <w:jc w:val="center"/>
            </w:pPr>
            <w:r w:rsidRPr="00051D04">
              <w:t>9</w:t>
            </w:r>
            <w:r>
              <w:t xml:space="preserve"> </w:t>
            </w:r>
            <w:r w:rsidRPr="00051D04">
              <w:t>(1.5)</w:t>
            </w:r>
          </w:p>
        </w:tc>
        <w:tc>
          <w:tcPr>
            <w:tcW w:w="736" w:type="pct"/>
            <w:hideMark/>
          </w:tcPr>
          <w:p w14:paraId="6E14B185" w14:textId="77777777" w:rsidR="00011FDC" w:rsidRPr="00051D04" w:rsidRDefault="00011FDC" w:rsidP="008B588F">
            <w:pPr>
              <w:pStyle w:val="Tabletext"/>
              <w:keepNext/>
              <w:keepLines/>
              <w:jc w:val="center"/>
            </w:pPr>
            <w:r w:rsidRPr="00051D04">
              <w:t>13</w:t>
            </w:r>
            <w:r>
              <w:t xml:space="preserve"> </w:t>
            </w:r>
            <w:r w:rsidRPr="00051D04">
              <w:t>(2.2)</w:t>
            </w:r>
          </w:p>
        </w:tc>
        <w:tc>
          <w:tcPr>
            <w:tcW w:w="1380" w:type="pct"/>
            <w:hideMark/>
          </w:tcPr>
          <w:p w14:paraId="2AEB24AB" w14:textId="77777777" w:rsidR="00011FDC" w:rsidRPr="00051D04" w:rsidRDefault="00011FDC" w:rsidP="008B588F">
            <w:pPr>
              <w:pStyle w:val="Tabletext"/>
              <w:keepNext/>
              <w:keepLines/>
              <w:jc w:val="center"/>
            </w:pPr>
            <w:r w:rsidRPr="00051D04">
              <w:t>-0.7 (-2.3, 0.9)</w:t>
            </w:r>
          </w:p>
        </w:tc>
      </w:tr>
      <w:tr w:rsidR="00011FDC" w:rsidRPr="00051D04" w14:paraId="52547EF0" w14:textId="77777777" w:rsidTr="00C27E59">
        <w:trPr>
          <w:trHeight w:val="227"/>
        </w:trPr>
        <w:tc>
          <w:tcPr>
            <w:tcW w:w="2148" w:type="pct"/>
            <w:hideMark/>
          </w:tcPr>
          <w:p w14:paraId="52D41063" w14:textId="77777777" w:rsidR="00011FDC" w:rsidRPr="00051D04" w:rsidRDefault="00011FDC" w:rsidP="008B588F">
            <w:pPr>
              <w:pStyle w:val="Tabletext"/>
              <w:keepNext/>
              <w:keepLines/>
              <w:ind w:left="284"/>
            </w:pPr>
            <w:r w:rsidRPr="00051D04">
              <w:t>with serious vaccine-related adverse events</w:t>
            </w:r>
          </w:p>
        </w:tc>
        <w:tc>
          <w:tcPr>
            <w:tcW w:w="736" w:type="pct"/>
            <w:hideMark/>
          </w:tcPr>
          <w:p w14:paraId="2C859323" w14:textId="77777777" w:rsidR="00011FDC" w:rsidRPr="00051D04" w:rsidRDefault="00011FDC" w:rsidP="008B588F">
            <w:pPr>
              <w:pStyle w:val="Tabletext"/>
              <w:keepNext/>
              <w:keepLines/>
              <w:jc w:val="center"/>
            </w:pPr>
            <w:r w:rsidRPr="00051D04">
              <w:t>0</w:t>
            </w:r>
            <w:r>
              <w:t xml:space="preserve"> </w:t>
            </w:r>
            <w:r w:rsidRPr="00051D04">
              <w:t>(0.0)</w:t>
            </w:r>
          </w:p>
        </w:tc>
        <w:tc>
          <w:tcPr>
            <w:tcW w:w="736" w:type="pct"/>
            <w:hideMark/>
          </w:tcPr>
          <w:p w14:paraId="1B6A7225" w14:textId="77777777" w:rsidR="00011FDC" w:rsidRPr="00051D04" w:rsidRDefault="00011FDC" w:rsidP="008B588F">
            <w:pPr>
              <w:pStyle w:val="Tabletext"/>
              <w:keepNext/>
              <w:keepLines/>
              <w:jc w:val="center"/>
            </w:pPr>
            <w:r w:rsidRPr="00051D04">
              <w:t>0</w:t>
            </w:r>
            <w:r>
              <w:t xml:space="preserve"> </w:t>
            </w:r>
            <w:r w:rsidRPr="00051D04">
              <w:t>(0.0)</w:t>
            </w:r>
          </w:p>
        </w:tc>
        <w:tc>
          <w:tcPr>
            <w:tcW w:w="1380" w:type="pct"/>
            <w:hideMark/>
          </w:tcPr>
          <w:p w14:paraId="5DA9B368" w14:textId="77777777" w:rsidR="00011FDC" w:rsidRPr="00051D04" w:rsidRDefault="00011FDC" w:rsidP="008B588F">
            <w:pPr>
              <w:pStyle w:val="Tabletext"/>
              <w:keepNext/>
              <w:keepLines/>
              <w:jc w:val="center"/>
            </w:pPr>
            <w:r w:rsidRPr="00051D04">
              <w:t>0.0 (-0.6, 0.6)</w:t>
            </w:r>
          </w:p>
        </w:tc>
      </w:tr>
      <w:tr w:rsidR="00011FDC" w:rsidRPr="003724A8" w14:paraId="00138CD3" w14:textId="77777777" w:rsidTr="00C27E59">
        <w:trPr>
          <w:trHeight w:val="227"/>
        </w:trPr>
        <w:tc>
          <w:tcPr>
            <w:tcW w:w="2148" w:type="pct"/>
            <w:hideMark/>
          </w:tcPr>
          <w:p w14:paraId="0E969515" w14:textId="77777777" w:rsidR="00011FDC" w:rsidRPr="00051D04" w:rsidRDefault="00011FDC" w:rsidP="008B588F">
            <w:pPr>
              <w:pStyle w:val="Tabletext"/>
              <w:keepNext/>
              <w:keepLines/>
              <w:ind w:left="284"/>
            </w:pPr>
            <w:r w:rsidRPr="00051D04">
              <w:t>who died</w:t>
            </w:r>
          </w:p>
        </w:tc>
        <w:tc>
          <w:tcPr>
            <w:tcW w:w="736" w:type="pct"/>
            <w:hideMark/>
          </w:tcPr>
          <w:p w14:paraId="41E1FC94" w14:textId="77777777" w:rsidR="00011FDC" w:rsidRPr="00051D04" w:rsidRDefault="00011FDC" w:rsidP="008B588F">
            <w:pPr>
              <w:pStyle w:val="Tabletext"/>
              <w:keepNext/>
              <w:keepLines/>
              <w:jc w:val="center"/>
            </w:pPr>
            <w:r w:rsidRPr="00051D04">
              <w:t>1</w:t>
            </w:r>
            <w:r>
              <w:t xml:space="preserve"> </w:t>
            </w:r>
            <w:r w:rsidRPr="00051D04">
              <w:t>(0.2)</w:t>
            </w:r>
          </w:p>
        </w:tc>
        <w:tc>
          <w:tcPr>
            <w:tcW w:w="736" w:type="pct"/>
            <w:hideMark/>
          </w:tcPr>
          <w:p w14:paraId="15A38B37" w14:textId="77777777" w:rsidR="00011FDC" w:rsidRPr="00051D04" w:rsidRDefault="00011FDC" w:rsidP="008B588F">
            <w:pPr>
              <w:pStyle w:val="Tabletext"/>
              <w:keepNext/>
              <w:keepLines/>
              <w:jc w:val="center"/>
            </w:pPr>
            <w:r w:rsidRPr="00051D04">
              <w:t>1</w:t>
            </w:r>
            <w:r>
              <w:t xml:space="preserve"> </w:t>
            </w:r>
            <w:r w:rsidRPr="00051D04">
              <w:t>(0.2)</w:t>
            </w:r>
          </w:p>
        </w:tc>
        <w:tc>
          <w:tcPr>
            <w:tcW w:w="1380" w:type="pct"/>
            <w:hideMark/>
          </w:tcPr>
          <w:p w14:paraId="3E208177" w14:textId="77777777" w:rsidR="00011FDC" w:rsidRPr="003724A8" w:rsidRDefault="00011FDC" w:rsidP="008B588F">
            <w:pPr>
              <w:pStyle w:val="Tabletext"/>
              <w:keepNext/>
              <w:keepLines/>
              <w:jc w:val="center"/>
            </w:pPr>
            <w:r w:rsidRPr="00051D04">
              <w:t>-0.0 (-0.8, 0.8)</w:t>
            </w:r>
          </w:p>
        </w:tc>
      </w:tr>
      <w:tr w:rsidR="00011FDC" w:rsidRPr="003724A8" w14:paraId="662F8135" w14:textId="77777777" w:rsidTr="00742275">
        <w:trPr>
          <w:trHeight w:val="227"/>
        </w:trPr>
        <w:tc>
          <w:tcPr>
            <w:tcW w:w="2148" w:type="pct"/>
            <w:vAlign w:val="center"/>
          </w:tcPr>
          <w:p w14:paraId="090E1EEC" w14:textId="77777777" w:rsidR="00011FDC" w:rsidRPr="00051D04" w:rsidRDefault="00011FDC" w:rsidP="008B588F">
            <w:pPr>
              <w:pStyle w:val="Tabletext"/>
              <w:keepNext/>
              <w:keepLines/>
            </w:pPr>
            <w:r w:rsidRPr="004C353E">
              <w:rPr>
                <w:rFonts w:cs="Calibri"/>
                <w:color w:val="000000"/>
                <w:szCs w:val="20"/>
              </w:rPr>
              <w:t>Solicited injection site adverse events</w:t>
            </w:r>
          </w:p>
        </w:tc>
        <w:tc>
          <w:tcPr>
            <w:tcW w:w="736" w:type="pct"/>
            <w:vAlign w:val="center"/>
          </w:tcPr>
          <w:p w14:paraId="7DC4F3E9" w14:textId="77777777" w:rsidR="00011FDC" w:rsidRPr="00051D04" w:rsidRDefault="00011FDC" w:rsidP="008B588F">
            <w:pPr>
              <w:pStyle w:val="Tabletext"/>
              <w:keepNext/>
              <w:keepLines/>
              <w:jc w:val="center"/>
            </w:pPr>
            <w:r w:rsidRPr="004C353E">
              <w:rPr>
                <w:rFonts w:cs="Calibri"/>
                <w:color w:val="000000"/>
                <w:szCs w:val="20"/>
              </w:rPr>
              <w:t>355 (59.0)</w:t>
            </w:r>
          </w:p>
        </w:tc>
        <w:tc>
          <w:tcPr>
            <w:tcW w:w="736" w:type="pct"/>
            <w:vAlign w:val="center"/>
          </w:tcPr>
          <w:p w14:paraId="07CE37A4" w14:textId="77777777" w:rsidR="00011FDC" w:rsidRPr="00051D04" w:rsidRDefault="00011FDC" w:rsidP="008B588F">
            <w:pPr>
              <w:pStyle w:val="Tabletext"/>
              <w:keepNext/>
              <w:keepLines/>
              <w:jc w:val="center"/>
            </w:pPr>
            <w:r w:rsidRPr="004C353E">
              <w:rPr>
                <w:rFonts w:cs="Calibri"/>
                <w:color w:val="000000"/>
                <w:szCs w:val="20"/>
              </w:rPr>
              <w:t>284 (47.3)</w:t>
            </w:r>
          </w:p>
        </w:tc>
        <w:tc>
          <w:tcPr>
            <w:tcW w:w="1380" w:type="pct"/>
            <w:vAlign w:val="center"/>
          </w:tcPr>
          <w:p w14:paraId="0D393193" w14:textId="77777777" w:rsidR="00011FDC" w:rsidRPr="00051D04" w:rsidRDefault="00011FDC" w:rsidP="008B588F">
            <w:pPr>
              <w:pStyle w:val="Tabletext"/>
              <w:keepNext/>
              <w:keepLines/>
              <w:jc w:val="center"/>
            </w:pPr>
            <w:r w:rsidRPr="004C353E">
              <w:rPr>
                <w:rFonts w:cs="Calibri"/>
                <w:color w:val="000000"/>
                <w:szCs w:val="20"/>
              </w:rPr>
              <w:t> </w:t>
            </w:r>
          </w:p>
        </w:tc>
      </w:tr>
      <w:tr w:rsidR="00011FDC" w:rsidRPr="003724A8" w14:paraId="2F86B9A2" w14:textId="77777777" w:rsidTr="00742275">
        <w:trPr>
          <w:trHeight w:val="227"/>
        </w:trPr>
        <w:tc>
          <w:tcPr>
            <w:tcW w:w="2148" w:type="pct"/>
            <w:vAlign w:val="center"/>
          </w:tcPr>
          <w:p w14:paraId="477CBFEC" w14:textId="77777777" w:rsidR="00011FDC" w:rsidRPr="00051D04" w:rsidRDefault="00011FDC" w:rsidP="008B588F">
            <w:pPr>
              <w:pStyle w:val="Tabletext"/>
              <w:keepNext/>
              <w:keepLines/>
            </w:pPr>
            <w:r>
              <w:rPr>
                <w:rFonts w:cs="Calibri"/>
                <w:color w:val="000000"/>
                <w:szCs w:val="20"/>
              </w:rPr>
              <w:t xml:space="preserve">   </w:t>
            </w:r>
            <w:r w:rsidRPr="004C353E">
              <w:rPr>
                <w:rFonts w:cs="Calibri"/>
                <w:color w:val="000000"/>
                <w:szCs w:val="20"/>
              </w:rPr>
              <w:t xml:space="preserve">Injection site erythema </w:t>
            </w:r>
          </w:p>
        </w:tc>
        <w:tc>
          <w:tcPr>
            <w:tcW w:w="736" w:type="pct"/>
            <w:vAlign w:val="center"/>
          </w:tcPr>
          <w:p w14:paraId="17DB8945" w14:textId="77777777" w:rsidR="00011FDC" w:rsidRPr="00051D04" w:rsidRDefault="00011FDC" w:rsidP="008B588F">
            <w:pPr>
              <w:pStyle w:val="Tabletext"/>
              <w:keepNext/>
              <w:keepLines/>
              <w:jc w:val="center"/>
            </w:pPr>
            <w:r w:rsidRPr="004C353E">
              <w:rPr>
                <w:rFonts w:cs="Calibri"/>
                <w:color w:val="000000"/>
                <w:szCs w:val="20"/>
              </w:rPr>
              <w:t>54 (9.0)</w:t>
            </w:r>
          </w:p>
        </w:tc>
        <w:tc>
          <w:tcPr>
            <w:tcW w:w="736" w:type="pct"/>
            <w:vAlign w:val="center"/>
          </w:tcPr>
          <w:p w14:paraId="5C2DC8F2" w14:textId="77777777" w:rsidR="00011FDC" w:rsidRPr="00051D04" w:rsidRDefault="00011FDC" w:rsidP="008B588F">
            <w:pPr>
              <w:pStyle w:val="Tabletext"/>
              <w:keepNext/>
              <w:keepLines/>
              <w:jc w:val="center"/>
            </w:pPr>
            <w:r w:rsidRPr="004C353E">
              <w:rPr>
                <w:rFonts w:cs="Calibri"/>
                <w:color w:val="000000"/>
                <w:szCs w:val="20"/>
              </w:rPr>
              <w:t>68 (11.3)</w:t>
            </w:r>
          </w:p>
        </w:tc>
        <w:tc>
          <w:tcPr>
            <w:tcW w:w="1380" w:type="pct"/>
            <w:vAlign w:val="center"/>
          </w:tcPr>
          <w:p w14:paraId="6382E48C" w14:textId="77777777" w:rsidR="00011FDC" w:rsidRPr="00051D04" w:rsidRDefault="00011FDC" w:rsidP="008B588F">
            <w:pPr>
              <w:pStyle w:val="Tabletext"/>
              <w:keepNext/>
              <w:keepLines/>
              <w:jc w:val="center"/>
            </w:pPr>
            <w:r w:rsidRPr="004C353E">
              <w:rPr>
                <w:rFonts w:cs="Calibri"/>
                <w:color w:val="000000"/>
                <w:szCs w:val="20"/>
              </w:rPr>
              <w:t>-2.4 (-5.8, 1.1)</w:t>
            </w:r>
          </w:p>
        </w:tc>
      </w:tr>
      <w:tr w:rsidR="00011FDC" w:rsidRPr="003724A8" w14:paraId="47DAA793" w14:textId="77777777" w:rsidTr="00742275">
        <w:trPr>
          <w:trHeight w:val="227"/>
        </w:trPr>
        <w:tc>
          <w:tcPr>
            <w:tcW w:w="2148" w:type="pct"/>
            <w:vAlign w:val="center"/>
          </w:tcPr>
          <w:p w14:paraId="5E8C4F78" w14:textId="77777777" w:rsidR="00011FDC" w:rsidRPr="00051D04" w:rsidRDefault="00011FDC" w:rsidP="008B588F">
            <w:pPr>
              <w:pStyle w:val="Tabletext"/>
              <w:keepNext/>
              <w:keepLines/>
            </w:pPr>
            <w:r>
              <w:rPr>
                <w:rFonts w:cs="Calibri"/>
                <w:color w:val="000000"/>
                <w:szCs w:val="20"/>
              </w:rPr>
              <w:t xml:space="preserve">   </w:t>
            </w:r>
            <w:r w:rsidRPr="004C353E">
              <w:rPr>
                <w:rFonts w:cs="Calibri"/>
                <w:color w:val="000000"/>
                <w:szCs w:val="20"/>
              </w:rPr>
              <w:t xml:space="preserve">Injection site pain </w:t>
            </w:r>
          </w:p>
        </w:tc>
        <w:tc>
          <w:tcPr>
            <w:tcW w:w="736" w:type="pct"/>
            <w:vAlign w:val="center"/>
          </w:tcPr>
          <w:p w14:paraId="47D1A3B5" w14:textId="77777777" w:rsidR="00011FDC" w:rsidRPr="00051D04" w:rsidRDefault="00011FDC" w:rsidP="008B588F">
            <w:pPr>
              <w:pStyle w:val="Tabletext"/>
              <w:keepNext/>
              <w:keepLines/>
              <w:jc w:val="center"/>
            </w:pPr>
            <w:r w:rsidRPr="004C353E">
              <w:rPr>
                <w:rFonts w:cs="Calibri"/>
                <w:color w:val="000000"/>
                <w:szCs w:val="20"/>
              </w:rPr>
              <w:t>325 (54.0)</w:t>
            </w:r>
          </w:p>
        </w:tc>
        <w:tc>
          <w:tcPr>
            <w:tcW w:w="736" w:type="pct"/>
            <w:vAlign w:val="center"/>
          </w:tcPr>
          <w:p w14:paraId="50822CEC" w14:textId="77777777" w:rsidR="00011FDC" w:rsidRPr="00051D04" w:rsidRDefault="00011FDC" w:rsidP="008B588F">
            <w:pPr>
              <w:pStyle w:val="Tabletext"/>
              <w:keepNext/>
              <w:keepLines/>
              <w:jc w:val="center"/>
            </w:pPr>
            <w:r w:rsidRPr="004C353E">
              <w:rPr>
                <w:rFonts w:cs="Calibri"/>
                <w:color w:val="000000"/>
                <w:szCs w:val="20"/>
              </w:rPr>
              <w:t>254 (42.3)</w:t>
            </w:r>
          </w:p>
        </w:tc>
        <w:tc>
          <w:tcPr>
            <w:tcW w:w="1380" w:type="pct"/>
            <w:vAlign w:val="center"/>
          </w:tcPr>
          <w:p w14:paraId="2D022F3B" w14:textId="77777777" w:rsidR="00011FDC" w:rsidRPr="00051D04" w:rsidRDefault="00011FDC" w:rsidP="008B588F">
            <w:pPr>
              <w:pStyle w:val="Tabletext"/>
              <w:keepNext/>
              <w:keepLines/>
              <w:jc w:val="center"/>
            </w:pPr>
            <w:r w:rsidRPr="004C353E">
              <w:rPr>
                <w:rFonts w:cs="Calibri"/>
                <w:b/>
                <w:bCs/>
                <w:color w:val="000000"/>
                <w:szCs w:val="20"/>
              </w:rPr>
              <w:t>11.7 (6.0, 17.2)</w:t>
            </w:r>
          </w:p>
        </w:tc>
      </w:tr>
      <w:tr w:rsidR="008E4136" w:rsidRPr="003724A8" w14:paraId="679CF8A4" w14:textId="77777777" w:rsidTr="00742275">
        <w:trPr>
          <w:trHeight w:val="227"/>
        </w:trPr>
        <w:tc>
          <w:tcPr>
            <w:tcW w:w="2148" w:type="pct"/>
            <w:vAlign w:val="center"/>
          </w:tcPr>
          <w:p w14:paraId="2A5B94A3" w14:textId="77777777" w:rsidR="00827615" w:rsidRDefault="005546AC" w:rsidP="008B588F">
            <w:pPr>
              <w:pStyle w:val="Tabletext"/>
              <w:keepNext/>
              <w:keepLines/>
              <w:rPr>
                <w:rFonts w:cs="Calibri"/>
                <w:color w:val="000000"/>
                <w:szCs w:val="20"/>
              </w:rPr>
            </w:pPr>
            <w:r>
              <w:rPr>
                <w:rFonts w:cs="Calibri"/>
                <w:color w:val="000000"/>
                <w:szCs w:val="20"/>
              </w:rPr>
              <w:t xml:space="preserve">       Grade 3</w:t>
            </w:r>
          </w:p>
        </w:tc>
        <w:tc>
          <w:tcPr>
            <w:tcW w:w="736" w:type="pct"/>
            <w:vAlign w:val="center"/>
          </w:tcPr>
          <w:p w14:paraId="1661E9B7" w14:textId="77777777" w:rsidR="00827615" w:rsidRPr="004C353E" w:rsidRDefault="004C2C48" w:rsidP="008B588F">
            <w:pPr>
              <w:pStyle w:val="Tabletext"/>
              <w:keepNext/>
              <w:keepLines/>
              <w:jc w:val="center"/>
              <w:rPr>
                <w:rFonts w:cs="Calibri"/>
                <w:color w:val="000000"/>
                <w:szCs w:val="20"/>
              </w:rPr>
            </w:pPr>
            <w:r>
              <w:rPr>
                <w:rFonts w:cs="Calibri"/>
                <w:color w:val="000000"/>
                <w:szCs w:val="20"/>
              </w:rPr>
              <w:t>1 (0.2)</w:t>
            </w:r>
          </w:p>
        </w:tc>
        <w:tc>
          <w:tcPr>
            <w:tcW w:w="736" w:type="pct"/>
            <w:vAlign w:val="center"/>
          </w:tcPr>
          <w:p w14:paraId="454FC34F" w14:textId="77777777" w:rsidR="00827615" w:rsidRPr="004C353E" w:rsidRDefault="004C2C48" w:rsidP="008B588F">
            <w:pPr>
              <w:pStyle w:val="Tabletext"/>
              <w:keepNext/>
              <w:keepLines/>
              <w:jc w:val="center"/>
              <w:rPr>
                <w:rFonts w:cs="Calibri"/>
                <w:color w:val="000000"/>
                <w:szCs w:val="20"/>
              </w:rPr>
            </w:pPr>
            <w:r>
              <w:rPr>
                <w:rFonts w:cs="Calibri"/>
                <w:color w:val="000000"/>
                <w:szCs w:val="20"/>
              </w:rPr>
              <w:t>2 (0.3)</w:t>
            </w:r>
          </w:p>
        </w:tc>
        <w:tc>
          <w:tcPr>
            <w:tcW w:w="1380" w:type="pct"/>
            <w:vAlign w:val="center"/>
          </w:tcPr>
          <w:p w14:paraId="20047F86" w14:textId="77777777" w:rsidR="00827615" w:rsidRPr="009C0E15" w:rsidRDefault="004C2C48" w:rsidP="008B588F">
            <w:pPr>
              <w:pStyle w:val="Tabletext"/>
              <w:keepNext/>
              <w:keepLines/>
              <w:jc w:val="center"/>
              <w:rPr>
                <w:rFonts w:cs="Calibri"/>
                <w:color w:val="000000"/>
                <w:szCs w:val="20"/>
              </w:rPr>
            </w:pPr>
            <w:r w:rsidRPr="00CA1FEB">
              <w:t>0.00 (-0.01, 0.00)</w:t>
            </w:r>
          </w:p>
        </w:tc>
      </w:tr>
      <w:tr w:rsidR="00011FDC" w:rsidRPr="003724A8" w14:paraId="6B6A1445" w14:textId="77777777" w:rsidTr="00742275">
        <w:trPr>
          <w:trHeight w:val="227"/>
        </w:trPr>
        <w:tc>
          <w:tcPr>
            <w:tcW w:w="2148" w:type="pct"/>
            <w:vAlign w:val="center"/>
          </w:tcPr>
          <w:p w14:paraId="0BFB97EE" w14:textId="77777777" w:rsidR="00011FDC" w:rsidRPr="00051D04" w:rsidRDefault="00011FDC" w:rsidP="008B588F">
            <w:pPr>
              <w:pStyle w:val="Tabletext"/>
              <w:keepNext/>
              <w:keepLines/>
            </w:pPr>
            <w:r>
              <w:rPr>
                <w:rFonts w:cs="Calibri"/>
                <w:color w:val="000000"/>
                <w:szCs w:val="20"/>
              </w:rPr>
              <w:t xml:space="preserve">   </w:t>
            </w:r>
            <w:r w:rsidRPr="004C353E">
              <w:rPr>
                <w:rFonts w:cs="Calibri"/>
                <w:color w:val="000000"/>
                <w:szCs w:val="20"/>
              </w:rPr>
              <w:t>Injection site swelling</w:t>
            </w:r>
          </w:p>
        </w:tc>
        <w:tc>
          <w:tcPr>
            <w:tcW w:w="736" w:type="pct"/>
            <w:vAlign w:val="center"/>
          </w:tcPr>
          <w:p w14:paraId="4E002B99" w14:textId="77777777" w:rsidR="00011FDC" w:rsidRPr="00051D04" w:rsidRDefault="00011FDC" w:rsidP="008B588F">
            <w:pPr>
              <w:pStyle w:val="Tabletext"/>
              <w:keepNext/>
              <w:keepLines/>
              <w:jc w:val="center"/>
            </w:pPr>
            <w:r w:rsidRPr="004C353E">
              <w:rPr>
                <w:rFonts w:cs="Calibri"/>
                <w:color w:val="000000"/>
                <w:szCs w:val="20"/>
              </w:rPr>
              <w:t>75 (12.5)</w:t>
            </w:r>
          </w:p>
        </w:tc>
        <w:tc>
          <w:tcPr>
            <w:tcW w:w="736" w:type="pct"/>
            <w:vAlign w:val="center"/>
          </w:tcPr>
          <w:p w14:paraId="779577E0" w14:textId="77777777" w:rsidR="00011FDC" w:rsidRPr="00051D04" w:rsidRDefault="00011FDC" w:rsidP="008B588F">
            <w:pPr>
              <w:pStyle w:val="Tabletext"/>
              <w:keepNext/>
              <w:keepLines/>
              <w:jc w:val="center"/>
            </w:pPr>
            <w:r w:rsidRPr="004C353E">
              <w:rPr>
                <w:rFonts w:cs="Calibri"/>
                <w:color w:val="000000"/>
                <w:szCs w:val="20"/>
              </w:rPr>
              <w:t>67 (11.2)</w:t>
            </w:r>
          </w:p>
        </w:tc>
        <w:tc>
          <w:tcPr>
            <w:tcW w:w="1380" w:type="pct"/>
            <w:vAlign w:val="center"/>
          </w:tcPr>
          <w:p w14:paraId="3C24D0C6" w14:textId="77777777" w:rsidR="00011FDC" w:rsidRPr="009C0E15" w:rsidRDefault="00011FDC" w:rsidP="008B588F">
            <w:pPr>
              <w:pStyle w:val="Tabletext"/>
              <w:keepNext/>
              <w:keepLines/>
              <w:jc w:val="center"/>
            </w:pPr>
            <w:r w:rsidRPr="009C0E15">
              <w:rPr>
                <w:rFonts w:cs="Calibri"/>
                <w:color w:val="000000"/>
                <w:szCs w:val="20"/>
              </w:rPr>
              <w:t>1.3 (-2.4, 5.0)</w:t>
            </w:r>
          </w:p>
        </w:tc>
      </w:tr>
      <w:tr w:rsidR="00011FDC" w:rsidRPr="003724A8" w14:paraId="6615EE66" w14:textId="77777777" w:rsidTr="00742275">
        <w:trPr>
          <w:trHeight w:val="227"/>
        </w:trPr>
        <w:tc>
          <w:tcPr>
            <w:tcW w:w="2148" w:type="pct"/>
            <w:vAlign w:val="center"/>
          </w:tcPr>
          <w:p w14:paraId="5F987AD3" w14:textId="77777777" w:rsidR="00011FDC" w:rsidRPr="00051D04" w:rsidRDefault="00011FDC" w:rsidP="008B588F">
            <w:pPr>
              <w:pStyle w:val="Tabletext"/>
              <w:keepNext/>
              <w:keepLines/>
            </w:pPr>
            <w:r w:rsidRPr="004C353E">
              <w:rPr>
                <w:rFonts w:cs="Calibri"/>
                <w:color w:val="000000"/>
                <w:szCs w:val="20"/>
              </w:rPr>
              <w:t>Solicited systemic adverse events</w:t>
            </w:r>
          </w:p>
        </w:tc>
        <w:tc>
          <w:tcPr>
            <w:tcW w:w="736" w:type="pct"/>
            <w:vAlign w:val="center"/>
          </w:tcPr>
          <w:p w14:paraId="77ACCFE2" w14:textId="77777777" w:rsidR="00011FDC" w:rsidRPr="00051D04" w:rsidRDefault="00011FDC" w:rsidP="008B588F">
            <w:pPr>
              <w:pStyle w:val="Tabletext"/>
              <w:keepNext/>
              <w:keepLines/>
              <w:jc w:val="center"/>
            </w:pPr>
            <w:r w:rsidRPr="004C353E">
              <w:rPr>
                <w:rFonts w:cs="Calibri"/>
                <w:color w:val="000000"/>
                <w:szCs w:val="20"/>
              </w:rPr>
              <w:t>200 (33.2)</w:t>
            </w:r>
          </w:p>
        </w:tc>
        <w:tc>
          <w:tcPr>
            <w:tcW w:w="736" w:type="pct"/>
            <w:vAlign w:val="center"/>
          </w:tcPr>
          <w:p w14:paraId="3BB00C22" w14:textId="77777777" w:rsidR="00011FDC" w:rsidRPr="00051D04" w:rsidRDefault="00011FDC" w:rsidP="008B588F">
            <w:pPr>
              <w:pStyle w:val="Tabletext"/>
              <w:keepNext/>
              <w:keepLines/>
              <w:jc w:val="center"/>
            </w:pPr>
            <w:r w:rsidRPr="004C353E">
              <w:rPr>
                <w:rFonts w:cs="Calibri"/>
                <w:color w:val="000000"/>
                <w:szCs w:val="20"/>
              </w:rPr>
              <w:t>182 (30.3)</w:t>
            </w:r>
          </w:p>
        </w:tc>
        <w:tc>
          <w:tcPr>
            <w:tcW w:w="1380" w:type="pct"/>
            <w:vAlign w:val="center"/>
          </w:tcPr>
          <w:p w14:paraId="6BCE5814" w14:textId="77777777" w:rsidR="00011FDC" w:rsidRPr="009C0E15" w:rsidRDefault="00011FDC" w:rsidP="008B588F">
            <w:pPr>
              <w:pStyle w:val="Tabletext"/>
              <w:keepNext/>
              <w:keepLines/>
              <w:jc w:val="center"/>
            </w:pPr>
            <w:r w:rsidRPr="009C0E15">
              <w:rPr>
                <w:rFonts w:cs="Calibri"/>
                <w:color w:val="000000"/>
                <w:szCs w:val="20"/>
              </w:rPr>
              <w:t> </w:t>
            </w:r>
          </w:p>
        </w:tc>
      </w:tr>
      <w:tr w:rsidR="00011FDC" w:rsidRPr="003724A8" w14:paraId="5E7711F0" w14:textId="77777777" w:rsidTr="00742275">
        <w:trPr>
          <w:trHeight w:val="227"/>
        </w:trPr>
        <w:tc>
          <w:tcPr>
            <w:tcW w:w="2148" w:type="pct"/>
            <w:vAlign w:val="center"/>
          </w:tcPr>
          <w:p w14:paraId="7267B810" w14:textId="77777777" w:rsidR="00011FDC" w:rsidRPr="00051D04" w:rsidRDefault="00011FDC" w:rsidP="008B588F">
            <w:pPr>
              <w:pStyle w:val="Tabletext"/>
              <w:keepNext/>
              <w:keepLines/>
            </w:pPr>
            <w:r>
              <w:rPr>
                <w:rFonts w:cs="Calibri"/>
                <w:color w:val="000000"/>
                <w:szCs w:val="20"/>
              </w:rPr>
              <w:t xml:space="preserve">   </w:t>
            </w:r>
            <w:r w:rsidRPr="004C353E">
              <w:rPr>
                <w:rFonts w:cs="Calibri"/>
                <w:color w:val="000000"/>
                <w:szCs w:val="20"/>
              </w:rPr>
              <w:t xml:space="preserve">Arthralgia </w:t>
            </w:r>
          </w:p>
        </w:tc>
        <w:tc>
          <w:tcPr>
            <w:tcW w:w="736" w:type="pct"/>
            <w:vAlign w:val="center"/>
          </w:tcPr>
          <w:p w14:paraId="100D2511" w14:textId="77777777" w:rsidR="00011FDC" w:rsidRPr="00051D04" w:rsidRDefault="00011FDC" w:rsidP="008B588F">
            <w:pPr>
              <w:pStyle w:val="Tabletext"/>
              <w:keepNext/>
              <w:keepLines/>
              <w:jc w:val="center"/>
            </w:pPr>
            <w:r w:rsidRPr="004C353E">
              <w:rPr>
                <w:rFonts w:cs="Calibri"/>
                <w:color w:val="000000"/>
                <w:szCs w:val="20"/>
              </w:rPr>
              <w:t>32 (5.3)</w:t>
            </w:r>
          </w:p>
        </w:tc>
        <w:tc>
          <w:tcPr>
            <w:tcW w:w="736" w:type="pct"/>
            <w:vAlign w:val="center"/>
          </w:tcPr>
          <w:p w14:paraId="6353BC57" w14:textId="77777777" w:rsidR="00011FDC" w:rsidRPr="00051D04" w:rsidRDefault="00011FDC" w:rsidP="008B588F">
            <w:pPr>
              <w:pStyle w:val="Tabletext"/>
              <w:keepNext/>
              <w:keepLines/>
              <w:jc w:val="center"/>
            </w:pPr>
            <w:r w:rsidRPr="004C353E">
              <w:rPr>
                <w:rFonts w:cs="Calibri"/>
                <w:color w:val="000000"/>
                <w:szCs w:val="20"/>
              </w:rPr>
              <w:t>33 (5.5)</w:t>
            </w:r>
          </w:p>
        </w:tc>
        <w:tc>
          <w:tcPr>
            <w:tcW w:w="1380" w:type="pct"/>
            <w:vAlign w:val="center"/>
          </w:tcPr>
          <w:p w14:paraId="1E6D342B" w14:textId="77777777" w:rsidR="00011FDC" w:rsidRPr="009C0E15" w:rsidRDefault="00011FDC" w:rsidP="008B588F">
            <w:pPr>
              <w:pStyle w:val="Tabletext"/>
              <w:keepNext/>
              <w:keepLines/>
              <w:jc w:val="center"/>
            </w:pPr>
            <w:r w:rsidRPr="009C0E15">
              <w:rPr>
                <w:rFonts w:cs="Calibri"/>
                <w:color w:val="000000"/>
                <w:szCs w:val="20"/>
              </w:rPr>
              <w:t>-0.2 (-2.8, 2.4)</w:t>
            </w:r>
          </w:p>
        </w:tc>
      </w:tr>
      <w:tr w:rsidR="008E4136" w:rsidRPr="003724A8" w14:paraId="236453DA" w14:textId="77777777" w:rsidTr="00742275">
        <w:trPr>
          <w:trHeight w:val="227"/>
        </w:trPr>
        <w:tc>
          <w:tcPr>
            <w:tcW w:w="2148" w:type="pct"/>
            <w:vAlign w:val="center"/>
          </w:tcPr>
          <w:p w14:paraId="18F8067F" w14:textId="77777777" w:rsidR="00245B89" w:rsidRDefault="00245B89" w:rsidP="008B588F">
            <w:pPr>
              <w:pStyle w:val="Tabletext"/>
              <w:keepNext/>
              <w:keepLines/>
              <w:rPr>
                <w:rFonts w:cs="Calibri"/>
                <w:color w:val="000000"/>
                <w:szCs w:val="20"/>
              </w:rPr>
            </w:pPr>
            <w:r>
              <w:rPr>
                <w:rFonts w:cs="Calibri"/>
                <w:color w:val="000000"/>
                <w:szCs w:val="20"/>
              </w:rPr>
              <w:t xml:space="preserve">        Grade 3</w:t>
            </w:r>
          </w:p>
        </w:tc>
        <w:tc>
          <w:tcPr>
            <w:tcW w:w="736" w:type="pct"/>
            <w:vAlign w:val="center"/>
          </w:tcPr>
          <w:p w14:paraId="7E1DF599" w14:textId="77777777" w:rsidR="00245B89" w:rsidRPr="004C353E" w:rsidRDefault="00260774" w:rsidP="008B588F">
            <w:pPr>
              <w:pStyle w:val="Tabletext"/>
              <w:keepNext/>
              <w:keepLines/>
              <w:jc w:val="center"/>
              <w:rPr>
                <w:rFonts w:cs="Calibri"/>
                <w:color w:val="000000"/>
                <w:szCs w:val="20"/>
              </w:rPr>
            </w:pPr>
            <w:r>
              <w:rPr>
                <w:rFonts w:cs="Calibri"/>
                <w:color w:val="000000"/>
                <w:szCs w:val="20"/>
              </w:rPr>
              <w:t>0 (0.0)</w:t>
            </w:r>
          </w:p>
        </w:tc>
        <w:tc>
          <w:tcPr>
            <w:tcW w:w="736" w:type="pct"/>
            <w:vAlign w:val="center"/>
          </w:tcPr>
          <w:p w14:paraId="5E63E903" w14:textId="77777777" w:rsidR="00245B89" w:rsidRPr="004C353E" w:rsidRDefault="00260774" w:rsidP="008B588F">
            <w:pPr>
              <w:pStyle w:val="Tabletext"/>
              <w:keepNext/>
              <w:keepLines/>
              <w:jc w:val="center"/>
              <w:rPr>
                <w:rFonts w:cs="Calibri"/>
                <w:color w:val="000000"/>
                <w:szCs w:val="20"/>
              </w:rPr>
            </w:pPr>
            <w:r>
              <w:rPr>
                <w:rFonts w:cs="Calibri"/>
                <w:color w:val="000000"/>
                <w:szCs w:val="20"/>
              </w:rPr>
              <w:t>0 (0.0)</w:t>
            </w:r>
          </w:p>
        </w:tc>
        <w:tc>
          <w:tcPr>
            <w:tcW w:w="1380" w:type="pct"/>
            <w:vAlign w:val="center"/>
          </w:tcPr>
          <w:p w14:paraId="39EF10CD" w14:textId="77777777" w:rsidR="00245B89" w:rsidRPr="009C0E15" w:rsidRDefault="00260774" w:rsidP="008B588F">
            <w:pPr>
              <w:pStyle w:val="Tabletext"/>
              <w:keepNext/>
              <w:keepLines/>
              <w:jc w:val="center"/>
              <w:rPr>
                <w:rFonts w:cs="Calibri"/>
                <w:color w:val="000000"/>
                <w:szCs w:val="20"/>
              </w:rPr>
            </w:pPr>
            <w:r w:rsidRPr="00CA1FEB">
              <w:t>0.0 (0.0, 0.0)</w:t>
            </w:r>
          </w:p>
        </w:tc>
      </w:tr>
      <w:tr w:rsidR="00245B89" w:rsidRPr="003724A8" w14:paraId="66C55F20" w14:textId="77777777" w:rsidTr="00742275">
        <w:trPr>
          <w:trHeight w:val="227"/>
        </w:trPr>
        <w:tc>
          <w:tcPr>
            <w:tcW w:w="2148" w:type="pct"/>
            <w:vAlign w:val="center"/>
          </w:tcPr>
          <w:p w14:paraId="5AF1A1B1" w14:textId="77777777" w:rsidR="00245B89" w:rsidRPr="00051D04" w:rsidRDefault="00245B89" w:rsidP="008B588F">
            <w:pPr>
              <w:pStyle w:val="Tabletext"/>
              <w:keepNext/>
              <w:keepLines/>
            </w:pPr>
            <w:r>
              <w:rPr>
                <w:rFonts w:cs="Calibri"/>
                <w:color w:val="000000"/>
                <w:szCs w:val="20"/>
              </w:rPr>
              <w:t xml:space="preserve">   </w:t>
            </w:r>
            <w:r w:rsidRPr="004C353E">
              <w:rPr>
                <w:rFonts w:cs="Calibri"/>
                <w:color w:val="000000"/>
                <w:szCs w:val="20"/>
              </w:rPr>
              <w:t xml:space="preserve">Fatigue </w:t>
            </w:r>
          </w:p>
        </w:tc>
        <w:tc>
          <w:tcPr>
            <w:tcW w:w="736" w:type="pct"/>
            <w:vAlign w:val="center"/>
          </w:tcPr>
          <w:p w14:paraId="02D4F8CB" w14:textId="77777777" w:rsidR="00245B89" w:rsidRPr="00026966" w:rsidRDefault="00245B89" w:rsidP="008B588F">
            <w:pPr>
              <w:pStyle w:val="Tabletext"/>
              <w:keepNext/>
              <w:keepLines/>
              <w:jc w:val="center"/>
              <w:rPr>
                <w:rFonts w:cs="Calibri"/>
                <w:color w:val="000000"/>
                <w:szCs w:val="20"/>
              </w:rPr>
            </w:pPr>
            <w:r w:rsidRPr="004C353E">
              <w:rPr>
                <w:rFonts w:cs="Calibri"/>
                <w:color w:val="000000"/>
                <w:szCs w:val="20"/>
              </w:rPr>
              <w:t>105 (17.4)</w:t>
            </w:r>
          </w:p>
        </w:tc>
        <w:tc>
          <w:tcPr>
            <w:tcW w:w="736" w:type="pct"/>
            <w:vAlign w:val="center"/>
          </w:tcPr>
          <w:p w14:paraId="3F593007" w14:textId="77777777" w:rsidR="00245B89" w:rsidRPr="00026966" w:rsidRDefault="00245B89" w:rsidP="008B588F">
            <w:pPr>
              <w:pStyle w:val="Tabletext"/>
              <w:keepNext/>
              <w:keepLines/>
              <w:jc w:val="center"/>
              <w:rPr>
                <w:rFonts w:cs="Calibri"/>
                <w:color w:val="000000"/>
                <w:szCs w:val="20"/>
              </w:rPr>
            </w:pPr>
            <w:r w:rsidRPr="004C353E">
              <w:rPr>
                <w:rFonts w:cs="Calibri"/>
                <w:color w:val="000000"/>
                <w:szCs w:val="20"/>
              </w:rPr>
              <w:t>104 (17.3)</w:t>
            </w:r>
          </w:p>
        </w:tc>
        <w:tc>
          <w:tcPr>
            <w:tcW w:w="1380" w:type="pct"/>
            <w:vAlign w:val="center"/>
          </w:tcPr>
          <w:p w14:paraId="5B9463CC" w14:textId="77777777" w:rsidR="00245B89" w:rsidRPr="009C0E15" w:rsidRDefault="00245B89" w:rsidP="008B588F">
            <w:pPr>
              <w:pStyle w:val="Tabletext"/>
              <w:keepNext/>
              <w:keepLines/>
              <w:jc w:val="center"/>
            </w:pPr>
            <w:r w:rsidRPr="009C0E15">
              <w:rPr>
                <w:rFonts w:cs="Calibri"/>
                <w:color w:val="000000"/>
                <w:szCs w:val="20"/>
              </w:rPr>
              <w:t>0.1 (-4.2, 4.4)</w:t>
            </w:r>
          </w:p>
        </w:tc>
      </w:tr>
      <w:tr w:rsidR="008E4136" w:rsidRPr="003724A8" w14:paraId="7E8DAFBD" w14:textId="77777777" w:rsidTr="00676906">
        <w:trPr>
          <w:trHeight w:val="227"/>
        </w:trPr>
        <w:tc>
          <w:tcPr>
            <w:tcW w:w="2148" w:type="pct"/>
            <w:vAlign w:val="center"/>
          </w:tcPr>
          <w:p w14:paraId="3CDF3C8C" w14:textId="77777777" w:rsidR="00E3445A" w:rsidRDefault="00E3445A" w:rsidP="008B588F">
            <w:pPr>
              <w:pStyle w:val="Tabletext"/>
              <w:keepNext/>
              <w:keepLines/>
              <w:rPr>
                <w:rFonts w:cs="Calibri"/>
                <w:color w:val="000000"/>
                <w:szCs w:val="20"/>
              </w:rPr>
            </w:pPr>
            <w:r>
              <w:rPr>
                <w:rFonts w:cs="Calibri"/>
                <w:color w:val="000000"/>
                <w:szCs w:val="20"/>
              </w:rPr>
              <w:t xml:space="preserve">        Grade 3</w:t>
            </w:r>
          </w:p>
        </w:tc>
        <w:tc>
          <w:tcPr>
            <w:tcW w:w="736" w:type="pct"/>
          </w:tcPr>
          <w:p w14:paraId="5B228C3E" w14:textId="77777777" w:rsidR="00E3445A" w:rsidRPr="004C353E" w:rsidRDefault="00E3445A" w:rsidP="008B588F">
            <w:pPr>
              <w:pStyle w:val="Tabletext"/>
              <w:keepNext/>
              <w:keepLines/>
              <w:jc w:val="center"/>
              <w:rPr>
                <w:rFonts w:cs="Calibri"/>
                <w:color w:val="000000"/>
                <w:szCs w:val="20"/>
              </w:rPr>
            </w:pPr>
            <w:r w:rsidRPr="00026966">
              <w:rPr>
                <w:rFonts w:cs="Calibri"/>
                <w:color w:val="000000"/>
                <w:szCs w:val="20"/>
              </w:rPr>
              <w:t>1 (0.2)</w:t>
            </w:r>
          </w:p>
        </w:tc>
        <w:tc>
          <w:tcPr>
            <w:tcW w:w="736" w:type="pct"/>
          </w:tcPr>
          <w:p w14:paraId="576B0801" w14:textId="77777777" w:rsidR="00E3445A" w:rsidRPr="004C353E" w:rsidRDefault="00E3445A" w:rsidP="008B588F">
            <w:pPr>
              <w:pStyle w:val="Tabletext"/>
              <w:keepNext/>
              <w:keepLines/>
              <w:jc w:val="center"/>
              <w:rPr>
                <w:rFonts w:cs="Calibri"/>
                <w:color w:val="000000"/>
                <w:szCs w:val="20"/>
              </w:rPr>
            </w:pPr>
            <w:r w:rsidRPr="00026966">
              <w:rPr>
                <w:rFonts w:cs="Calibri"/>
                <w:color w:val="000000"/>
                <w:szCs w:val="20"/>
              </w:rPr>
              <w:t>1 (0.2)</w:t>
            </w:r>
          </w:p>
        </w:tc>
        <w:tc>
          <w:tcPr>
            <w:tcW w:w="1380" w:type="pct"/>
          </w:tcPr>
          <w:p w14:paraId="401EF444" w14:textId="77777777" w:rsidR="00E3445A" w:rsidRPr="009C0E15" w:rsidRDefault="00E3445A" w:rsidP="008B588F">
            <w:pPr>
              <w:pStyle w:val="Tabletext"/>
              <w:keepNext/>
              <w:keepLines/>
              <w:jc w:val="center"/>
              <w:rPr>
                <w:rFonts w:cs="Calibri"/>
                <w:color w:val="000000"/>
                <w:szCs w:val="20"/>
              </w:rPr>
            </w:pPr>
            <w:r w:rsidRPr="00CA1FEB">
              <w:t>0.00 (0.0, 0.0)</w:t>
            </w:r>
          </w:p>
        </w:tc>
      </w:tr>
      <w:tr w:rsidR="0052389F" w:rsidRPr="003724A8" w14:paraId="0D2B6E9A" w14:textId="77777777" w:rsidTr="00742275">
        <w:trPr>
          <w:trHeight w:val="227"/>
        </w:trPr>
        <w:tc>
          <w:tcPr>
            <w:tcW w:w="2148" w:type="pct"/>
            <w:vAlign w:val="center"/>
          </w:tcPr>
          <w:p w14:paraId="1C9BDA1A" w14:textId="77777777" w:rsidR="0052389F" w:rsidRPr="00051D04" w:rsidRDefault="0052389F" w:rsidP="008B588F">
            <w:pPr>
              <w:pStyle w:val="Tabletext"/>
              <w:keepNext/>
              <w:keepLines/>
            </w:pPr>
            <w:r>
              <w:rPr>
                <w:rFonts w:cs="Calibri"/>
                <w:color w:val="000000"/>
                <w:szCs w:val="20"/>
              </w:rPr>
              <w:t xml:space="preserve">   </w:t>
            </w:r>
            <w:r w:rsidRPr="004C353E">
              <w:rPr>
                <w:rFonts w:cs="Calibri"/>
                <w:color w:val="000000"/>
                <w:szCs w:val="20"/>
              </w:rPr>
              <w:t>Headache</w:t>
            </w:r>
          </w:p>
        </w:tc>
        <w:tc>
          <w:tcPr>
            <w:tcW w:w="736" w:type="pct"/>
            <w:vAlign w:val="center"/>
          </w:tcPr>
          <w:p w14:paraId="220AD56A" w14:textId="77777777" w:rsidR="0052389F" w:rsidRPr="00026966" w:rsidRDefault="0052389F" w:rsidP="008B588F">
            <w:pPr>
              <w:pStyle w:val="Tabletext"/>
              <w:keepNext/>
              <w:keepLines/>
              <w:jc w:val="center"/>
              <w:rPr>
                <w:rFonts w:cs="Calibri"/>
                <w:color w:val="000000"/>
                <w:szCs w:val="20"/>
              </w:rPr>
            </w:pPr>
            <w:r w:rsidRPr="004C353E">
              <w:rPr>
                <w:rFonts w:cs="Calibri"/>
                <w:color w:val="000000"/>
                <w:szCs w:val="20"/>
              </w:rPr>
              <w:t>70 (11.6)</w:t>
            </w:r>
          </w:p>
        </w:tc>
        <w:tc>
          <w:tcPr>
            <w:tcW w:w="736" w:type="pct"/>
            <w:vAlign w:val="center"/>
          </w:tcPr>
          <w:p w14:paraId="14A9FF4E" w14:textId="77777777" w:rsidR="0052389F" w:rsidRPr="00026966" w:rsidRDefault="0052389F" w:rsidP="008B588F">
            <w:pPr>
              <w:pStyle w:val="Tabletext"/>
              <w:keepNext/>
              <w:keepLines/>
              <w:jc w:val="center"/>
              <w:rPr>
                <w:rFonts w:cs="Calibri"/>
                <w:color w:val="000000"/>
                <w:szCs w:val="20"/>
              </w:rPr>
            </w:pPr>
            <w:r w:rsidRPr="004C353E">
              <w:rPr>
                <w:rFonts w:cs="Calibri"/>
                <w:color w:val="000000"/>
                <w:szCs w:val="20"/>
              </w:rPr>
              <w:t>78 (13.0)</w:t>
            </w:r>
          </w:p>
        </w:tc>
        <w:tc>
          <w:tcPr>
            <w:tcW w:w="1380" w:type="pct"/>
            <w:vAlign w:val="center"/>
          </w:tcPr>
          <w:p w14:paraId="58B404DD" w14:textId="77777777" w:rsidR="0052389F" w:rsidRPr="009C0E15" w:rsidRDefault="0052389F" w:rsidP="008B588F">
            <w:pPr>
              <w:pStyle w:val="Tabletext"/>
              <w:keepNext/>
              <w:keepLines/>
              <w:jc w:val="center"/>
            </w:pPr>
            <w:r w:rsidRPr="009C0E15">
              <w:rPr>
                <w:rFonts w:cs="Calibri"/>
                <w:color w:val="000000"/>
                <w:szCs w:val="20"/>
              </w:rPr>
              <w:t>-1.4 (-5.1, 2.4)</w:t>
            </w:r>
          </w:p>
        </w:tc>
      </w:tr>
      <w:tr w:rsidR="008E4136" w:rsidRPr="003724A8" w14:paraId="64E52E8A" w14:textId="77777777" w:rsidTr="00676906">
        <w:trPr>
          <w:trHeight w:val="227"/>
        </w:trPr>
        <w:tc>
          <w:tcPr>
            <w:tcW w:w="2148" w:type="pct"/>
            <w:vAlign w:val="center"/>
          </w:tcPr>
          <w:p w14:paraId="563EB507" w14:textId="77777777" w:rsidR="002A1AC9" w:rsidRDefault="002A1AC9" w:rsidP="008B588F">
            <w:pPr>
              <w:pStyle w:val="Tabletext"/>
              <w:keepNext/>
              <w:keepLines/>
              <w:rPr>
                <w:rFonts w:cs="Calibri"/>
                <w:color w:val="000000"/>
                <w:szCs w:val="20"/>
              </w:rPr>
            </w:pPr>
            <w:r>
              <w:rPr>
                <w:rFonts w:cs="Calibri"/>
                <w:color w:val="000000"/>
                <w:szCs w:val="20"/>
              </w:rPr>
              <w:t xml:space="preserve">        Grade 3</w:t>
            </w:r>
          </w:p>
        </w:tc>
        <w:tc>
          <w:tcPr>
            <w:tcW w:w="736" w:type="pct"/>
          </w:tcPr>
          <w:p w14:paraId="3EB3B864" w14:textId="77777777" w:rsidR="002A1AC9" w:rsidRPr="00026966" w:rsidRDefault="002A1AC9" w:rsidP="008B588F">
            <w:pPr>
              <w:pStyle w:val="Tabletext"/>
              <w:keepNext/>
              <w:keepLines/>
              <w:jc w:val="center"/>
              <w:rPr>
                <w:rFonts w:cs="Calibri"/>
                <w:color w:val="000000"/>
                <w:szCs w:val="20"/>
              </w:rPr>
            </w:pPr>
            <w:r w:rsidRPr="00026966">
              <w:rPr>
                <w:rFonts w:cs="Calibri"/>
                <w:color w:val="000000"/>
                <w:szCs w:val="20"/>
              </w:rPr>
              <w:t>1 (0.2)</w:t>
            </w:r>
          </w:p>
        </w:tc>
        <w:tc>
          <w:tcPr>
            <w:tcW w:w="736" w:type="pct"/>
          </w:tcPr>
          <w:p w14:paraId="0FB5AEEB" w14:textId="77777777" w:rsidR="002A1AC9" w:rsidRPr="00026966" w:rsidRDefault="002A1AC9" w:rsidP="008B588F">
            <w:pPr>
              <w:pStyle w:val="Tabletext"/>
              <w:keepNext/>
              <w:keepLines/>
              <w:jc w:val="center"/>
              <w:rPr>
                <w:rFonts w:cs="Calibri"/>
                <w:color w:val="000000"/>
                <w:szCs w:val="20"/>
              </w:rPr>
            </w:pPr>
            <w:r w:rsidRPr="00026966">
              <w:rPr>
                <w:rFonts w:cs="Calibri"/>
                <w:color w:val="000000"/>
                <w:szCs w:val="20"/>
              </w:rPr>
              <w:t>2 (0.3)</w:t>
            </w:r>
          </w:p>
        </w:tc>
        <w:tc>
          <w:tcPr>
            <w:tcW w:w="1380" w:type="pct"/>
          </w:tcPr>
          <w:p w14:paraId="48043800" w14:textId="77777777" w:rsidR="002A1AC9" w:rsidRPr="009C0E15" w:rsidRDefault="002A1AC9" w:rsidP="008B588F">
            <w:pPr>
              <w:pStyle w:val="Tabletext"/>
              <w:keepNext/>
              <w:keepLines/>
              <w:jc w:val="center"/>
              <w:rPr>
                <w:rFonts w:cs="Calibri"/>
                <w:color w:val="000000"/>
                <w:szCs w:val="20"/>
              </w:rPr>
            </w:pPr>
            <w:r w:rsidRPr="00CA1FEB">
              <w:t>0.0 (0.0, 0.0)</w:t>
            </w:r>
          </w:p>
        </w:tc>
      </w:tr>
      <w:tr w:rsidR="008E4136" w:rsidRPr="003724A8" w14:paraId="1BB37D3E" w14:textId="77777777" w:rsidTr="00742275">
        <w:trPr>
          <w:trHeight w:val="227"/>
        </w:trPr>
        <w:tc>
          <w:tcPr>
            <w:tcW w:w="2148" w:type="pct"/>
            <w:vAlign w:val="center"/>
          </w:tcPr>
          <w:p w14:paraId="47375C78" w14:textId="77777777" w:rsidR="0052389F" w:rsidRDefault="0052389F" w:rsidP="008B588F">
            <w:pPr>
              <w:pStyle w:val="Tabletext"/>
              <w:keepNext/>
              <w:keepLines/>
              <w:rPr>
                <w:rFonts w:cs="Calibri"/>
                <w:color w:val="000000"/>
                <w:szCs w:val="20"/>
              </w:rPr>
            </w:pPr>
            <w:r>
              <w:rPr>
                <w:rFonts w:cs="Calibri"/>
                <w:color w:val="000000"/>
                <w:szCs w:val="20"/>
              </w:rPr>
              <w:t xml:space="preserve">   Myalgia</w:t>
            </w:r>
          </w:p>
        </w:tc>
        <w:tc>
          <w:tcPr>
            <w:tcW w:w="736" w:type="pct"/>
            <w:vAlign w:val="center"/>
          </w:tcPr>
          <w:p w14:paraId="31E3367F" w14:textId="77777777" w:rsidR="0052389F" w:rsidRPr="004C353E" w:rsidRDefault="0052389F" w:rsidP="008B588F">
            <w:pPr>
              <w:pStyle w:val="Tabletext"/>
              <w:keepNext/>
              <w:keepLines/>
              <w:jc w:val="center"/>
              <w:rPr>
                <w:rFonts w:cs="Calibri"/>
                <w:color w:val="000000"/>
                <w:szCs w:val="20"/>
              </w:rPr>
            </w:pPr>
            <w:r>
              <w:rPr>
                <w:rFonts w:cs="Calibri"/>
                <w:color w:val="000000"/>
                <w:szCs w:val="20"/>
              </w:rPr>
              <w:t>93 (15.4)</w:t>
            </w:r>
          </w:p>
        </w:tc>
        <w:tc>
          <w:tcPr>
            <w:tcW w:w="736" w:type="pct"/>
            <w:vAlign w:val="center"/>
          </w:tcPr>
          <w:p w14:paraId="74AE63E0" w14:textId="77777777" w:rsidR="0052389F" w:rsidRPr="004C353E" w:rsidRDefault="0052389F" w:rsidP="008B588F">
            <w:pPr>
              <w:pStyle w:val="Tabletext"/>
              <w:keepNext/>
              <w:keepLines/>
              <w:jc w:val="center"/>
              <w:rPr>
                <w:rFonts w:cs="Calibri"/>
                <w:color w:val="000000"/>
                <w:szCs w:val="20"/>
              </w:rPr>
            </w:pPr>
            <w:r>
              <w:rPr>
                <w:rFonts w:cs="Calibri"/>
                <w:color w:val="000000"/>
                <w:szCs w:val="20"/>
              </w:rPr>
              <w:t>72 (12.0)</w:t>
            </w:r>
          </w:p>
        </w:tc>
        <w:tc>
          <w:tcPr>
            <w:tcW w:w="1380" w:type="pct"/>
            <w:vAlign w:val="center"/>
          </w:tcPr>
          <w:p w14:paraId="613A7BFD" w14:textId="77777777" w:rsidR="0052389F" w:rsidRPr="009C0E15" w:rsidRDefault="0052389F" w:rsidP="008B588F">
            <w:pPr>
              <w:pStyle w:val="Tabletext"/>
              <w:keepNext/>
              <w:keepLines/>
              <w:jc w:val="center"/>
              <w:rPr>
                <w:rFonts w:cs="Calibri"/>
                <w:color w:val="000000"/>
                <w:szCs w:val="20"/>
              </w:rPr>
            </w:pPr>
            <w:r w:rsidRPr="009C0E15">
              <w:rPr>
                <w:rFonts w:cs="Calibri"/>
                <w:color w:val="000000"/>
                <w:szCs w:val="20"/>
              </w:rPr>
              <w:t>3.</w:t>
            </w:r>
            <w:r w:rsidRPr="00AE7538">
              <w:rPr>
                <w:rFonts w:cs="Calibri"/>
                <w:color w:val="000000"/>
                <w:szCs w:val="20"/>
              </w:rPr>
              <w:t>4 (-0</w:t>
            </w:r>
            <w:r w:rsidRPr="00726262">
              <w:rPr>
                <w:rFonts w:cs="Calibri"/>
                <w:color w:val="000000"/>
                <w:szCs w:val="20"/>
              </w:rPr>
              <w:t>.4, 7.</w:t>
            </w:r>
            <w:r w:rsidRPr="009C0E15">
              <w:rPr>
                <w:rFonts w:cs="Calibri"/>
                <w:color w:val="000000"/>
                <w:szCs w:val="20"/>
              </w:rPr>
              <w:t>4)</w:t>
            </w:r>
          </w:p>
        </w:tc>
      </w:tr>
      <w:tr w:rsidR="008E4136" w:rsidRPr="003724A8" w14:paraId="212EC7BC" w14:textId="77777777" w:rsidTr="00676906">
        <w:trPr>
          <w:trHeight w:val="227"/>
        </w:trPr>
        <w:tc>
          <w:tcPr>
            <w:tcW w:w="2148" w:type="pct"/>
            <w:vAlign w:val="center"/>
          </w:tcPr>
          <w:p w14:paraId="4FD86F51" w14:textId="77777777" w:rsidR="002A1AC9" w:rsidRDefault="002A1AC9" w:rsidP="008B588F">
            <w:pPr>
              <w:pStyle w:val="Tabletext"/>
              <w:keepNext/>
              <w:keepLines/>
              <w:rPr>
                <w:rFonts w:cs="Calibri"/>
                <w:color w:val="000000"/>
                <w:szCs w:val="20"/>
              </w:rPr>
            </w:pPr>
            <w:r>
              <w:rPr>
                <w:rFonts w:cs="Calibri"/>
                <w:color w:val="000000"/>
                <w:szCs w:val="20"/>
              </w:rPr>
              <w:t xml:space="preserve">        Grade 3</w:t>
            </w:r>
          </w:p>
        </w:tc>
        <w:tc>
          <w:tcPr>
            <w:tcW w:w="736" w:type="pct"/>
          </w:tcPr>
          <w:p w14:paraId="3D334E51" w14:textId="77777777" w:rsidR="002A1AC9" w:rsidRDefault="002A1AC9" w:rsidP="008B588F">
            <w:pPr>
              <w:pStyle w:val="Tabletext"/>
              <w:keepNext/>
              <w:keepLines/>
              <w:jc w:val="center"/>
              <w:rPr>
                <w:rFonts w:cs="Calibri"/>
                <w:color w:val="000000"/>
                <w:szCs w:val="20"/>
              </w:rPr>
            </w:pPr>
            <w:r w:rsidRPr="00026966">
              <w:rPr>
                <w:rFonts w:cs="Calibri"/>
                <w:color w:val="000000"/>
                <w:szCs w:val="20"/>
              </w:rPr>
              <w:t>0 (0.0)</w:t>
            </w:r>
          </w:p>
        </w:tc>
        <w:tc>
          <w:tcPr>
            <w:tcW w:w="736" w:type="pct"/>
          </w:tcPr>
          <w:p w14:paraId="745055BC" w14:textId="77777777" w:rsidR="002A1AC9" w:rsidRDefault="002A1AC9" w:rsidP="008B588F">
            <w:pPr>
              <w:pStyle w:val="Tabletext"/>
              <w:keepNext/>
              <w:keepLines/>
              <w:jc w:val="center"/>
              <w:rPr>
                <w:rFonts w:cs="Calibri"/>
                <w:color w:val="000000"/>
                <w:szCs w:val="20"/>
              </w:rPr>
            </w:pPr>
            <w:r w:rsidRPr="00026966">
              <w:rPr>
                <w:rFonts w:cs="Calibri"/>
                <w:color w:val="000000"/>
                <w:szCs w:val="20"/>
              </w:rPr>
              <w:t>0 (0.0)</w:t>
            </w:r>
          </w:p>
        </w:tc>
        <w:tc>
          <w:tcPr>
            <w:tcW w:w="1380" w:type="pct"/>
          </w:tcPr>
          <w:p w14:paraId="48F6051B" w14:textId="77777777" w:rsidR="002A1AC9" w:rsidRPr="009C0E15" w:rsidRDefault="002A1AC9" w:rsidP="008B588F">
            <w:pPr>
              <w:pStyle w:val="Tabletext"/>
              <w:keepNext/>
              <w:keepLines/>
              <w:jc w:val="center"/>
              <w:rPr>
                <w:rFonts w:cs="Calibri"/>
                <w:color w:val="000000"/>
                <w:szCs w:val="20"/>
              </w:rPr>
            </w:pPr>
            <w:r w:rsidRPr="00CA1FEB">
              <w:t>0.00 (0.0, 0.0)</w:t>
            </w:r>
          </w:p>
        </w:tc>
      </w:tr>
    </w:tbl>
    <w:p w14:paraId="1AB1327E" w14:textId="77777777" w:rsidR="00011FDC" w:rsidRDefault="00011FDC" w:rsidP="008B588F">
      <w:pPr>
        <w:pStyle w:val="Tabletext"/>
        <w:keepNext/>
        <w:keepLines/>
        <w:rPr>
          <w:sz w:val="18"/>
          <w:szCs w:val="18"/>
        </w:rPr>
      </w:pPr>
      <w:r>
        <w:rPr>
          <w:sz w:val="18"/>
          <w:szCs w:val="18"/>
        </w:rPr>
        <w:t>Source: Table 2.5-30, p134; Table 2.5-31, p135 of the submission</w:t>
      </w:r>
      <w:r w:rsidR="009C0E15">
        <w:rPr>
          <w:sz w:val="18"/>
          <w:szCs w:val="18"/>
        </w:rPr>
        <w:t>;</w:t>
      </w:r>
      <w:r w:rsidR="00026966" w:rsidRPr="00026966">
        <w:t xml:space="preserve"> </w:t>
      </w:r>
      <w:r w:rsidR="00026966" w:rsidRPr="00026966">
        <w:rPr>
          <w:sz w:val="18"/>
          <w:szCs w:val="18"/>
        </w:rPr>
        <w:t>Table 2.5-32, p135-136 of the submission</w:t>
      </w:r>
    </w:p>
    <w:p w14:paraId="1AEAD249" w14:textId="77777777" w:rsidR="00011FDC" w:rsidRDefault="00011FDC" w:rsidP="008B588F">
      <w:pPr>
        <w:pStyle w:val="Tabletext"/>
        <w:keepNext/>
        <w:keepLines/>
        <w:rPr>
          <w:bCs/>
          <w:sz w:val="18"/>
          <w:szCs w:val="18"/>
        </w:rPr>
      </w:pPr>
      <w:r>
        <w:rPr>
          <w:sz w:val="18"/>
          <w:szCs w:val="18"/>
        </w:rPr>
        <w:t xml:space="preserve">CI = confidence interval; </w:t>
      </w:r>
      <w:r>
        <w:rPr>
          <w:bCs/>
          <w:sz w:val="18"/>
          <w:szCs w:val="18"/>
        </w:rPr>
        <w:t>n = number of sample size;</w:t>
      </w:r>
      <w:r>
        <w:rPr>
          <w:sz w:val="18"/>
          <w:szCs w:val="18"/>
        </w:rPr>
        <w:t xml:space="preserve"> PCV13 = </w:t>
      </w:r>
      <w:r>
        <w:rPr>
          <w:bCs/>
          <w:sz w:val="18"/>
          <w:szCs w:val="18"/>
        </w:rPr>
        <w:t>13-valent pneumococcal conjugate vaccine</w:t>
      </w:r>
      <w:r w:rsidRPr="00000FB1">
        <w:rPr>
          <w:bCs/>
          <w:sz w:val="18"/>
          <w:szCs w:val="18"/>
        </w:rPr>
        <w:t xml:space="preserve">; PCV15 = </w:t>
      </w:r>
      <w:r>
        <w:rPr>
          <w:bCs/>
          <w:sz w:val="18"/>
          <w:szCs w:val="18"/>
        </w:rPr>
        <w:t>15-valent pneumococcal conjugate vaccine</w:t>
      </w:r>
    </w:p>
    <w:p w14:paraId="3D91EB13" w14:textId="77777777" w:rsidR="00011FDC" w:rsidRDefault="00011FDC" w:rsidP="008B588F">
      <w:pPr>
        <w:pStyle w:val="Tabletext"/>
        <w:keepNext/>
        <w:keepLines/>
        <w:rPr>
          <w:sz w:val="18"/>
          <w:szCs w:val="18"/>
        </w:rPr>
      </w:pPr>
      <w:r>
        <w:rPr>
          <w:bCs/>
          <w:sz w:val="18"/>
          <w:szCs w:val="18"/>
        </w:rPr>
        <w:t xml:space="preserve">Bold text indicates statistically significant differences. </w:t>
      </w:r>
    </w:p>
    <w:p w14:paraId="21F4065B" w14:textId="77777777" w:rsidR="00011FDC" w:rsidRPr="002C39BC" w:rsidRDefault="00B6702A" w:rsidP="00011FDC">
      <w:pPr>
        <w:pStyle w:val="3-BodyText"/>
        <w:spacing w:before="240"/>
      </w:pPr>
      <w:r w:rsidRPr="002C39BC">
        <w:t>N</w:t>
      </w:r>
      <w:r w:rsidR="00011FDC" w:rsidRPr="002C39BC">
        <w:t xml:space="preserve">o statistical difference in serious </w:t>
      </w:r>
      <w:r w:rsidRPr="002C39BC">
        <w:t>AEs</w:t>
      </w:r>
      <w:r w:rsidR="00011FDC" w:rsidRPr="002C39BC">
        <w:t xml:space="preserve"> between the two vaccines was observed</w:t>
      </w:r>
      <w:r w:rsidR="003250ED" w:rsidRPr="002C39BC">
        <w:t xml:space="preserve">, and the incidence of Grade 3 AEs was low and similar </w:t>
      </w:r>
      <w:r w:rsidR="002D1382" w:rsidRPr="002C39BC">
        <w:t>in both arms</w:t>
      </w:r>
      <w:r w:rsidR="00011FDC" w:rsidRPr="002C39BC">
        <w:t>.</w:t>
      </w:r>
      <w:r w:rsidR="008837CA" w:rsidRPr="002C39BC">
        <w:t xml:space="preserve"> </w:t>
      </w:r>
      <w:r w:rsidR="00011FDC" w:rsidRPr="002C39BC">
        <w:t>However, injection site pain was statistically higher in PCV15 compared to PCV13 (11.7%; 95%CI</w:t>
      </w:r>
      <w:r w:rsidR="00AE7538">
        <w:t>:</w:t>
      </w:r>
      <w:r w:rsidR="00011FDC" w:rsidRPr="002C39BC">
        <w:t xml:space="preserve"> 6.0, 17.2). The supplementary trials </w:t>
      </w:r>
      <w:r w:rsidR="00392A12" w:rsidRPr="002C39BC">
        <w:t>reported similar</w:t>
      </w:r>
      <w:r w:rsidR="00011FDC" w:rsidRPr="002C39BC">
        <w:t xml:space="preserve"> results </w:t>
      </w:r>
      <w:r w:rsidR="003903CA" w:rsidRPr="002C39BC">
        <w:t>for AEs</w:t>
      </w:r>
      <w:r w:rsidR="00011FDC" w:rsidRPr="002C39BC">
        <w:t xml:space="preserve"> </w:t>
      </w:r>
      <w:r w:rsidR="00502D69" w:rsidRPr="002C39BC">
        <w:t>to</w:t>
      </w:r>
      <w:r w:rsidR="00213BC0" w:rsidRPr="002C39BC">
        <w:t xml:space="preserve"> </w:t>
      </w:r>
      <w:r w:rsidR="00011FDC" w:rsidRPr="002C39BC">
        <w:t xml:space="preserve">P019. ATAGI considered that while an overall claim of </w:t>
      </w:r>
      <w:r w:rsidR="00437DB8" w:rsidRPr="002C39BC">
        <w:t>noninferior</w:t>
      </w:r>
      <w:r w:rsidR="00011FDC" w:rsidRPr="002C39BC">
        <w:t xml:space="preserve">ity with respect to safety is reasonable, tolerability of PCV15 should be considered inferior to PCV13. However, ATAGI </w:t>
      </w:r>
      <w:r w:rsidR="000A7BE3" w:rsidRPr="002C39BC">
        <w:t xml:space="preserve">considered </w:t>
      </w:r>
      <w:r w:rsidR="00011FDC" w:rsidRPr="002C39BC">
        <w:t xml:space="preserve">that from a programmatic perspective, this </w:t>
      </w:r>
      <w:r w:rsidR="00AE7538">
        <w:t>was</w:t>
      </w:r>
      <w:r w:rsidR="00011FDC" w:rsidRPr="002C39BC">
        <w:t xml:space="preserve"> unlikely to be an issue for use in adults</w:t>
      </w:r>
      <w:r w:rsidR="006E6CCC" w:rsidRPr="002C39BC">
        <w:t xml:space="preserve">, </w:t>
      </w:r>
      <w:r w:rsidR="00011FDC" w:rsidRPr="002C39BC">
        <w:t>though may impact future use in children, for whom PCV13 injection site pain is already considered problematic (p5 of the ATAGI advice).</w:t>
      </w:r>
      <w:r w:rsidR="002D30EA" w:rsidRPr="002C39BC">
        <w:t xml:space="preserve"> The ESC considered that the safety of P</w:t>
      </w:r>
      <w:r w:rsidR="0011665E" w:rsidRPr="002C39BC">
        <w:t xml:space="preserve">CV15 was comparable to that of PCV13. </w:t>
      </w:r>
    </w:p>
    <w:p w14:paraId="29A48B5B" w14:textId="77777777" w:rsidR="00011FDC" w:rsidRPr="00C9624D" w:rsidRDefault="00011FDC" w:rsidP="00011FDC">
      <w:pPr>
        <w:pStyle w:val="4-SubsectionHeading"/>
      </w:pPr>
      <w:bookmarkStart w:id="36" w:name="_Toc22897643"/>
      <w:bookmarkStart w:id="37" w:name="_Toc82613946"/>
      <w:r w:rsidRPr="00C9624D">
        <w:t>Benefits/harms</w:t>
      </w:r>
      <w:bookmarkEnd w:id="36"/>
      <w:bookmarkEnd w:id="37"/>
    </w:p>
    <w:p w14:paraId="2882E1AD" w14:textId="77777777" w:rsidR="00011FDC" w:rsidRPr="00F93A3C" w:rsidRDefault="00011FDC" w:rsidP="00011FDC">
      <w:pPr>
        <w:pStyle w:val="3-BodyText"/>
      </w:pPr>
      <w:r w:rsidRPr="00F93A3C">
        <w:t xml:space="preserve">A benefits/harms </w:t>
      </w:r>
      <w:r w:rsidR="00920FF6" w:rsidRPr="00F93A3C">
        <w:t xml:space="preserve">statement has </w:t>
      </w:r>
      <w:r w:rsidRPr="00F93A3C">
        <w:t xml:space="preserve">not </w:t>
      </w:r>
      <w:r w:rsidR="0068025C" w:rsidRPr="00F93A3C">
        <w:t xml:space="preserve">been </w:t>
      </w:r>
      <w:r w:rsidRPr="00F93A3C">
        <w:t>presented as the</w:t>
      </w:r>
      <w:r w:rsidR="00A643F0" w:rsidRPr="00F93A3C">
        <w:t xml:space="preserve"> overarching</w:t>
      </w:r>
      <w:r w:rsidRPr="00F93A3C">
        <w:t xml:space="preserve"> clinical claim </w:t>
      </w:r>
      <w:r w:rsidR="006C24EE" w:rsidRPr="00F93A3C">
        <w:t>was</w:t>
      </w:r>
      <w:r w:rsidRPr="00F93A3C">
        <w:t xml:space="preserve"> one of </w:t>
      </w:r>
      <w:r w:rsidR="00437DB8" w:rsidRPr="00F93A3C">
        <w:t>noninferior</w:t>
      </w:r>
      <w:r w:rsidRPr="00F93A3C">
        <w:t>ity.</w:t>
      </w:r>
      <w:r w:rsidR="000A7BE3" w:rsidRPr="00F93A3C">
        <w:t xml:space="preserve">  </w:t>
      </w:r>
    </w:p>
    <w:p w14:paraId="4018657E" w14:textId="77777777" w:rsidR="00011FDC" w:rsidRPr="00C9624D" w:rsidRDefault="00011FDC" w:rsidP="00011FDC">
      <w:pPr>
        <w:pStyle w:val="4-SubsectionHeading"/>
      </w:pPr>
      <w:bookmarkStart w:id="38" w:name="_Toc22897644"/>
      <w:bookmarkStart w:id="39" w:name="_Toc82613947"/>
      <w:r w:rsidRPr="00C9624D">
        <w:t>Clinical claim</w:t>
      </w:r>
      <w:bookmarkEnd w:id="38"/>
      <w:bookmarkEnd w:id="39"/>
    </w:p>
    <w:p w14:paraId="02FA5CBB" w14:textId="77777777" w:rsidR="00272264" w:rsidRPr="00F93A3C" w:rsidRDefault="00011FDC" w:rsidP="00833BAC">
      <w:pPr>
        <w:pStyle w:val="3-BodyText"/>
      </w:pPr>
      <w:r w:rsidRPr="00F93A3C">
        <w:t xml:space="preserve">The submission </w:t>
      </w:r>
      <w:r w:rsidR="003E1B75" w:rsidRPr="00F93A3C">
        <w:t xml:space="preserve">claimed </w:t>
      </w:r>
      <w:r w:rsidRPr="00F93A3C">
        <w:t xml:space="preserve">that PCV15 was </w:t>
      </w:r>
      <w:r w:rsidR="00437DB8" w:rsidRPr="00F93A3C">
        <w:t>noninferior</w:t>
      </w:r>
      <w:r w:rsidRPr="00F93A3C">
        <w:t xml:space="preserve"> in terms of </w:t>
      </w:r>
      <w:r w:rsidR="005E6B77" w:rsidRPr="00F93A3C">
        <w:t xml:space="preserve">efficacy </w:t>
      </w:r>
      <w:r w:rsidRPr="00F93A3C">
        <w:t>compared with PCV13 for 12 of the 13 share</w:t>
      </w:r>
      <w:r w:rsidR="003E1B75" w:rsidRPr="00F93A3C">
        <w:t>d</w:t>
      </w:r>
      <w:r w:rsidRPr="00F93A3C">
        <w:t xml:space="preserve"> serotypes and superior for serotype 3 and for the unique additional serotypes 22F and 33F. </w:t>
      </w:r>
      <w:r w:rsidR="00437DB8" w:rsidRPr="00F93A3C">
        <w:t>Noninferior</w:t>
      </w:r>
      <w:r w:rsidR="001C4853" w:rsidRPr="00F93A3C">
        <w:t>ity was demonstrated in terms of OPA GMT for all shared serotypes</w:t>
      </w:r>
      <w:r w:rsidR="007F3A95" w:rsidRPr="00F93A3C">
        <w:t xml:space="preserve"> however</w:t>
      </w:r>
      <w:r w:rsidR="00F47F9B" w:rsidRPr="00F93A3C">
        <w:t xml:space="preserve">, </w:t>
      </w:r>
      <w:r w:rsidR="00AE7538">
        <w:t xml:space="preserve">the evaluation </w:t>
      </w:r>
      <w:r w:rsidR="00502D3F">
        <w:t>raised concerns it</w:t>
      </w:r>
      <w:r w:rsidR="00AE7538" w:rsidRPr="00F93A3C">
        <w:t xml:space="preserve"> </w:t>
      </w:r>
      <w:r w:rsidR="00502D3F">
        <w:t>may not have been</w:t>
      </w:r>
      <w:r w:rsidR="007C5D35" w:rsidRPr="00F93A3C">
        <w:t xml:space="preserve"> demonstrated for </w:t>
      </w:r>
      <w:r w:rsidR="001C4853" w:rsidRPr="00F93A3C">
        <w:t>all the requested populations</w:t>
      </w:r>
      <w:r w:rsidR="00520C51" w:rsidRPr="00F93A3C">
        <w:t xml:space="preserve">. </w:t>
      </w:r>
      <w:r w:rsidR="00584CEB" w:rsidRPr="00F93A3C">
        <w:t xml:space="preserve">A subgroup analysis of pooled participants aged </w:t>
      </w:r>
      <w:r w:rsidR="00437DB8" w:rsidRPr="00F93A3C">
        <w:t>≥</w:t>
      </w:r>
      <w:r w:rsidR="00584CEB" w:rsidRPr="00F93A3C">
        <w:t>70 years in P019, P020 and P016 support</w:t>
      </w:r>
      <w:r w:rsidR="00F878F2" w:rsidRPr="00F93A3C">
        <w:t>ed</w:t>
      </w:r>
      <w:r w:rsidR="00584CEB" w:rsidRPr="00F93A3C">
        <w:t xml:space="preserve"> the </w:t>
      </w:r>
      <w:r w:rsidR="00437DB8" w:rsidRPr="00F93A3C">
        <w:t>noninferior</w:t>
      </w:r>
      <w:r w:rsidR="00584CEB" w:rsidRPr="00F93A3C">
        <w:t xml:space="preserve">ity claim </w:t>
      </w:r>
      <w:r w:rsidR="00DE449B" w:rsidRPr="00F93A3C">
        <w:t xml:space="preserve">in terms </w:t>
      </w:r>
      <w:r w:rsidR="00584CEB" w:rsidRPr="00F93A3C">
        <w:t>of immuno</w:t>
      </w:r>
      <w:r w:rsidR="00F116EA" w:rsidRPr="00F93A3C">
        <w:t>genicity</w:t>
      </w:r>
      <w:r w:rsidR="00584CEB" w:rsidRPr="00F93A3C">
        <w:t xml:space="preserve"> outcomes for this population, </w:t>
      </w:r>
      <w:r w:rsidR="00176E42" w:rsidRPr="00F93A3C">
        <w:t xml:space="preserve">however </w:t>
      </w:r>
      <w:r w:rsidR="007C5D35" w:rsidRPr="00F93A3C">
        <w:t>this analysis</w:t>
      </w:r>
      <w:r w:rsidR="00176E42" w:rsidRPr="00F93A3C">
        <w:t xml:space="preserve"> </w:t>
      </w:r>
      <w:r w:rsidR="00EB3606" w:rsidRPr="00F93A3C">
        <w:t xml:space="preserve">was </w:t>
      </w:r>
      <w:r w:rsidR="00584CEB" w:rsidRPr="00F93A3C">
        <w:t>exploratory.</w:t>
      </w:r>
      <w:r w:rsidR="00EE3748" w:rsidRPr="00F93A3C">
        <w:t xml:space="preserve"> Older participants in P019 (</w:t>
      </w:r>
      <w:r w:rsidR="00EE3748" w:rsidRPr="00F93A3C">
        <w:rPr>
          <w:rFonts w:cs="Calibri"/>
        </w:rPr>
        <w:t>≥</w:t>
      </w:r>
      <w:r w:rsidR="00EE3748" w:rsidRPr="00F93A3C">
        <w:t xml:space="preserve">75 years) </w:t>
      </w:r>
      <w:r w:rsidR="00B57A02" w:rsidRPr="00F93A3C">
        <w:t>show</w:t>
      </w:r>
      <w:r w:rsidR="0079538D" w:rsidRPr="00F93A3C">
        <w:t>ed</w:t>
      </w:r>
      <w:r w:rsidR="00EE3748" w:rsidRPr="00F93A3C">
        <w:t xml:space="preserve"> less </w:t>
      </w:r>
      <w:r w:rsidR="007E2F43" w:rsidRPr="00F93A3C">
        <w:t>consistent immunogenicity</w:t>
      </w:r>
      <w:r w:rsidR="00B53DE8" w:rsidRPr="00F93A3C">
        <w:t xml:space="preserve"> outcomes </w:t>
      </w:r>
      <w:r w:rsidR="00EE3748" w:rsidRPr="00F93A3C">
        <w:t xml:space="preserve">compared to the whole trial or </w:t>
      </w:r>
      <w:r w:rsidR="00F27344">
        <w:t>its</w:t>
      </w:r>
      <w:r w:rsidR="00EE3748" w:rsidRPr="00F93A3C">
        <w:t xml:space="preserve"> complement groups</w:t>
      </w:r>
      <w:r w:rsidR="00857D03" w:rsidRPr="00F93A3C">
        <w:t>, though</w:t>
      </w:r>
      <w:r w:rsidR="0042572C" w:rsidRPr="00F93A3C">
        <w:t xml:space="preserve"> </w:t>
      </w:r>
      <w:r w:rsidR="00857D03" w:rsidRPr="00F93A3C">
        <w:t>the</w:t>
      </w:r>
      <w:r w:rsidR="00F035A5" w:rsidRPr="00F93A3C">
        <w:t xml:space="preserve">se </w:t>
      </w:r>
      <w:r w:rsidR="009210C7" w:rsidRPr="00F93A3C">
        <w:t>subgroups</w:t>
      </w:r>
      <w:r w:rsidR="00857D03" w:rsidRPr="00F93A3C">
        <w:t xml:space="preserve"> were not powered to detect a treatment difference</w:t>
      </w:r>
      <w:r w:rsidR="0042572C" w:rsidRPr="00F93A3C">
        <w:t>.</w:t>
      </w:r>
    </w:p>
    <w:p w14:paraId="59C4301F" w14:textId="77777777" w:rsidR="00272264" w:rsidRPr="002C39BC" w:rsidRDefault="00272264" w:rsidP="00272264">
      <w:pPr>
        <w:pStyle w:val="3-BodyText"/>
      </w:pPr>
      <w:r w:rsidRPr="002C39BC">
        <w:t xml:space="preserve">While superiority was demonstrated in terms of OPA and IgG for serotypes 3, 22F and 33F, the magnitude </w:t>
      </w:r>
      <w:r w:rsidR="00AE7538">
        <w:t xml:space="preserve">and </w:t>
      </w:r>
      <w:r w:rsidRPr="002C39BC">
        <w:t xml:space="preserve">clinical benefit </w:t>
      </w:r>
      <w:r w:rsidR="00AE7538">
        <w:t xml:space="preserve">of this </w:t>
      </w:r>
      <w:r w:rsidRPr="002C39BC">
        <w:t xml:space="preserve">remains uncertain. There is </w:t>
      </w:r>
      <w:r w:rsidR="00EA41EF" w:rsidRPr="002C39BC">
        <w:t>in</w:t>
      </w:r>
      <w:r w:rsidRPr="002C39BC">
        <w:t xml:space="preserve">sufficient evidence regarding the minimum OPA/IgG threshold required in </w:t>
      </w:r>
      <w:r w:rsidR="008E1673">
        <w:t xml:space="preserve">the requested </w:t>
      </w:r>
      <w:r w:rsidRPr="002C39BC">
        <w:t>population</w:t>
      </w:r>
      <w:r w:rsidR="00565B62" w:rsidRPr="002C39BC">
        <w:t>s</w:t>
      </w:r>
      <w:r w:rsidRPr="002C39BC">
        <w:t xml:space="preserve"> that </w:t>
      </w:r>
      <w:r w:rsidR="00B86BE8" w:rsidRPr="002C39BC">
        <w:t xml:space="preserve">would </w:t>
      </w:r>
      <w:r w:rsidRPr="002C39BC">
        <w:t>ensure these immunological endpoints are also clinically meaningful. The superiority criteri</w:t>
      </w:r>
      <w:r w:rsidR="00F7279E" w:rsidRPr="002C39BC">
        <w:t>on</w:t>
      </w:r>
      <w:r w:rsidRPr="002C39BC">
        <w:t xml:space="preserve"> for serotype 3 of 1.2 used in P019 was not pre-specified</w:t>
      </w:r>
      <w:r w:rsidR="00B92FE8" w:rsidRPr="002C39BC">
        <w:t xml:space="preserve"> in the original study protocol</w:t>
      </w:r>
      <w:r w:rsidRPr="002C39BC">
        <w:t xml:space="preserve"> and </w:t>
      </w:r>
      <w:r w:rsidR="00B86BE8" w:rsidRPr="002C39BC">
        <w:t xml:space="preserve">was </w:t>
      </w:r>
      <w:r w:rsidRPr="002C39BC">
        <w:t xml:space="preserve">poorly justified. </w:t>
      </w:r>
      <w:r w:rsidR="00BC7B0C" w:rsidRPr="002C39BC">
        <w:t xml:space="preserve">The ESC considered that while </w:t>
      </w:r>
      <w:bookmarkStart w:id="40" w:name="_Hlk88139295"/>
      <w:r w:rsidR="00BC7B0C" w:rsidRPr="002C39BC">
        <w:t xml:space="preserve">it was reasonable to conclude </w:t>
      </w:r>
      <w:bookmarkStart w:id="41" w:name="_Hlk88134679"/>
      <w:r w:rsidR="00BC7B0C" w:rsidRPr="002C39BC">
        <w:t>that PCV15 will provide expanded coverage to serotypes 22F and 33F</w:t>
      </w:r>
      <w:bookmarkEnd w:id="40"/>
      <w:bookmarkEnd w:id="41"/>
      <w:r w:rsidR="00BC7B0C" w:rsidRPr="002C39BC">
        <w:t>,</w:t>
      </w:r>
      <w:r w:rsidR="00845081" w:rsidRPr="002C39BC">
        <w:t xml:space="preserve"> </w:t>
      </w:r>
      <w:r w:rsidR="00BC7B0C" w:rsidRPr="002C39BC">
        <w:t xml:space="preserve">the claim of superiority for serotype 3 was not adequately supported. </w:t>
      </w:r>
    </w:p>
    <w:p w14:paraId="56770C53" w14:textId="77777777" w:rsidR="00011FDC" w:rsidRPr="002C39BC" w:rsidRDefault="00011FDC" w:rsidP="00011FDC">
      <w:pPr>
        <w:pStyle w:val="3-BodyText"/>
      </w:pPr>
      <w:r w:rsidRPr="002C39BC">
        <w:t xml:space="preserve">The submission </w:t>
      </w:r>
      <w:r w:rsidR="003E4D57" w:rsidRPr="002C39BC">
        <w:t xml:space="preserve">stated that </w:t>
      </w:r>
      <w:r w:rsidRPr="002C39BC">
        <w:t xml:space="preserve">PCV15 was </w:t>
      </w:r>
      <w:r w:rsidR="00437DB8" w:rsidRPr="002C39BC">
        <w:t>noninferior</w:t>
      </w:r>
      <w:r w:rsidRPr="002C39BC">
        <w:t xml:space="preserve"> in terms of safety compared to PCV13.</w:t>
      </w:r>
      <w:r w:rsidR="002064FB" w:rsidRPr="002C39BC">
        <w:t xml:space="preserve"> The ESC considered th</w:t>
      </w:r>
      <w:r w:rsidR="00B86BE8" w:rsidRPr="002C39BC">
        <w:t>is</w:t>
      </w:r>
      <w:r w:rsidR="002064FB" w:rsidRPr="002C39BC">
        <w:t xml:space="preserve"> claim </w:t>
      </w:r>
      <w:r w:rsidR="006F2932" w:rsidRPr="002C39BC">
        <w:t xml:space="preserve">was </w:t>
      </w:r>
      <w:r w:rsidR="003E4D57" w:rsidRPr="002C39BC">
        <w:t>appropriate</w:t>
      </w:r>
      <w:r w:rsidR="00B86BE8" w:rsidRPr="002C39BC">
        <w:t xml:space="preserve"> </w:t>
      </w:r>
      <w:bookmarkStart w:id="42" w:name="_Hlk88134866"/>
      <w:r w:rsidR="00B86BE8" w:rsidRPr="002C39BC">
        <w:t>(</w:t>
      </w:r>
      <w:r w:rsidR="0010435C" w:rsidRPr="002C39BC">
        <w:t xml:space="preserve">although </w:t>
      </w:r>
      <w:r w:rsidR="00B86BE8" w:rsidRPr="002C39BC">
        <w:t xml:space="preserve">also noted </w:t>
      </w:r>
      <w:r w:rsidR="0010435C" w:rsidRPr="002C39BC">
        <w:t>ATAGI’s concerns regarding tolerability</w:t>
      </w:r>
      <w:r w:rsidR="00B86BE8" w:rsidRPr="002C39BC">
        <w:t>)</w:t>
      </w:r>
      <w:r w:rsidRPr="002C39BC">
        <w:t xml:space="preserve">. </w:t>
      </w:r>
      <w:bookmarkEnd w:id="42"/>
    </w:p>
    <w:p w14:paraId="3020AEAF" w14:textId="77777777" w:rsidR="00D65D6F" w:rsidRPr="00B85497" w:rsidRDefault="00D65D6F" w:rsidP="00934AB0">
      <w:pPr>
        <w:widowControl w:val="0"/>
        <w:numPr>
          <w:ilvl w:val="1"/>
          <w:numId w:val="1"/>
        </w:numPr>
        <w:spacing w:after="120"/>
        <w:rPr>
          <w:rFonts w:asciiTheme="minorHAnsi" w:hAnsiTheme="minorHAnsi"/>
          <w:snapToGrid w:val="0"/>
          <w:szCs w:val="20"/>
        </w:rPr>
      </w:pPr>
      <w:bookmarkStart w:id="43" w:name="_Hlk76376200"/>
      <w:r w:rsidRPr="00B85497">
        <w:rPr>
          <w:rFonts w:asciiTheme="minorHAnsi" w:hAnsiTheme="minorHAnsi"/>
          <w:snapToGrid w:val="0"/>
          <w:szCs w:val="20"/>
        </w:rPr>
        <w:t>The PBAC considere</w:t>
      </w:r>
      <w:r w:rsidR="00917514" w:rsidRPr="00B85497">
        <w:rPr>
          <w:rFonts w:asciiTheme="minorHAnsi" w:hAnsiTheme="minorHAnsi"/>
          <w:snapToGrid w:val="0"/>
          <w:szCs w:val="20"/>
        </w:rPr>
        <w:t>d that a claim of</w:t>
      </w:r>
      <w:r w:rsidRPr="00B85497">
        <w:rPr>
          <w:rFonts w:asciiTheme="minorHAnsi" w:hAnsiTheme="minorHAnsi"/>
          <w:snapToGrid w:val="0"/>
          <w:szCs w:val="20"/>
        </w:rPr>
        <w:t xml:space="preserve"> noninferior comparative effectiveness (based on immunogenicity data) </w:t>
      </w:r>
      <w:r w:rsidR="00917514" w:rsidRPr="00B85497">
        <w:rPr>
          <w:rFonts w:asciiTheme="minorHAnsi" w:hAnsiTheme="minorHAnsi"/>
          <w:snapToGrid w:val="0"/>
          <w:szCs w:val="20"/>
        </w:rPr>
        <w:t>for the 13 shared serotypes would be reasonable</w:t>
      </w:r>
      <w:r w:rsidR="009C2B2B">
        <w:rPr>
          <w:rFonts w:asciiTheme="minorHAnsi" w:hAnsiTheme="minorHAnsi"/>
          <w:snapToGrid w:val="0"/>
          <w:szCs w:val="20"/>
        </w:rPr>
        <w:t>, noting that the subgroup analyses presented to support listing in specific populations on the NIP were largely consistent overall with the evidence shown in the key comparative trial P019</w:t>
      </w:r>
      <w:r w:rsidR="00917514" w:rsidRPr="00B85497">
        <w:rPr>
          <w:rFonts w:asciiTheme="minorHAnsi" w:hAnsiTheme="minorHAnsi"/>
          <w:snapToGrid w:val="0"/>
          <w:szCs w:val="20"/>
        </w:rPr>
        <w:t xml:space="preserve">. The </w:t>
      </w:r>
      <w:r w:rsidR="00066365" w:rsidRPr="00B85497">
        <w:rPr>
          <w:rFonts w:asciiTheme="minorHAnsi" w:hAnsiTheme="minorHAnsi"/>
          <w:snapToGrid w:val="0"/>
          <w:szCs w:val="20"/>
        </w:rPr>
        <w:t xml:space="preserve">PBAC considered </w:t>
      </w:r>
      <w:r w:rsidR="00E25C05" w:rsidRPr="00B85497">
        <w:rPr>
          <w:rFonts w:asciiTheme="minorHAnsi" w:hAnsiTheme="minorHAnsi"/>
          <w:snapToGrid w:val="0"/>
          <w:szCs w:val="20"/>
        </w:rPr>
        <w:t xml:space="preserve">that the available evidence did not adequately support superior comparative effectiveness of serotype 3 in PCV15 compared to PCV13. </w:t>
      </w:r>
    </w:p>
    <w:p w14:paraId="70DA43F1" w14:textId="77777777" w:rsidR="001C5557" w:rsidRPr="00B85497" w:rsidRDefault="001C5557" w:rsidP="00934AB0">
      <w:pPr>
        <w:widowControl w:val="0"/>
        <w:numPr>
          <w:ilvl w:val="1"/>
          <w:numId w:val="1"/>
        </w:numPr>
        <w:spacing w:after="120"/>
        <w:rPr>
          <w:rFonts w:asciiTheme="minorHAnsi" w:hAnsiTheme="minorHAnsi"/>
          <w:snapToGrid w:val="0"/>
          <w:szCs w:val="20"/>
        </w:rPr>
      </w:pPr>
      <w:r w:rsidRPr="00B85497">
        <w:rPr>
          <w:rFonts w:asciiTheme="minorHAnsi" w:hAnsiTheme="minorHAnsi"/>
          <w:snapToGrid w:val="0"/>
          <w:szCs w:val="20"/>
        </w:rPr>
        <w:t xml:space="preserve">The PBAC </w:t>
      </w:r>
      <w:r w:rsidR="009C2B2B">
        <w:rPr>
          <w:rFonts w:asciiTheme="minorHAnsi" w:hAnsiTheme="minorHAnsi"/>
          <w:snapToGrid w:val="0"/>
          <w:szCs w:val="20"/>
        </w:rPr>
        <w:t xml:space="preserve">agreed with the ESC that </w:t>
      </w:r>
      <w:r w:rsidR="009C2B2B" w:rsidRPr="009C2B2B">
        <w:rPr>
          <w:rFonts w:asciiTheme="minorHAnsi" w:hAnsiTheme="minorHAnsi"/>
          <w:snapToGrid w:val="0"/>
          <w:szCs w:val="20"/>
        </w:rPr>
        <w:t>it was reasonable to conclude that PCV15 will provide expanded coverage to serotypes 22F and 33F</w:t>
      </w:r>
      <w:r w:rsidR="00B85497" w:rsidRPr="00B85497">
        <w:rPr>
          <w:rFonts w:asciiTheme="minorHAnsi" w:hAnsiTheme="minorHAnsi"/>
          <w:snapToGrid w:val="0"/>
          <w:szCs w:val="20"/>
        </w:rPr>
        <w:t xml:space="preserve">. </w:t>
      </w:r>
    </w:p>
    <w:p w14:paraId="006D62A0" w14:textId="77777777" w:rsidR="00E25C05" w:rsidRPr="00B85497" w:rsidRDefault="00E25C05" w:rsidP="00934AB0">
      <w:pPr>
        <w:widowControl w:val="0"/>
        <w:numPr>
          <w:ilvl w:val="1"/>
          <w:numId w:val="1"/>
        </w:numPr>
        <w:spacing w:after="120"/>
        <w:rPr>
          <w:rFonts w:asciiTheme="minorHAnsi" w:hAnsiTheme="minorHAnsi"/>
          <w:snapToGrid w:val="0"/>
          <w:szCs w:val="20"/>
        </w:rPr>
      </w:pPr>
      <w:r w:rsidRPr="00B85497">
        <w:rPr>
          <w:rFonts w:asciiTheme="minorHAnsi" w:hAnsiTheme="minorHAnsi"/>
          <w:snapToGrid w:val="0"/>
          <w:szCs w:val="20"/>
        </w:rPr>
        <w:t xml:space="preserve">The PBAC considered </w:t>
      </w:r>
      <w:r w:rsidR="001C5557" w:rsidRPr="00B85497">
        <w:rPr>
          <w:rFonts w:asciiTheme="minorHAnsi" w:hAnsiTheme="minorHAnsi"/>
          <w:snapToGrid w:val="0"/>
          <w:szCs w:val="20"/>
        </w:rPr>
        <w:t>that the claim of noninferior comparative safety was reasonable.</w:t>
      </w:r>
    </w:p>
    <w:p w14:paraId="7F6D4127" w14:textId="77777777" w:rsidR="00011FDC" w:rsidRPr="00C9624D" w:rsidRDefault="00011FDC" w:rsidP="00011FDC">
      <w:pPr>
        <w:pStyle w:val="4-SubsectionHeading"/>
      </w:pPr>
      <w:bookmarkStart w:id="44" w:name="_Toc22897645"/>
      <w:bookmarkStart w:id="45" w:name="_Toc82613948"/>
      <w:bookmarkEnd w:id="43"/>
      <w:r w:rsidRPr="00C9624D">
        <w:t>Economic analysis</w:t>
      </w:r>
      <w:bookmarkEnd w:id="44"/>
      <w:bookmarkEnd w:id="45"/>
      <w:r w:rsidRPr="00C9624D">
        <w:t xml:space="preserve"> </w:t>
      </w:r>
    </w:p>
    <w:p w14:paraId="1D697BBE" w14:textId="77777777" w:rsidR="00011FDC" w:rsidRPr="00F93A3C" w:rsidRDefault="00011FDC" w:rsidP="00011FDC">
      <w:pPr>
        <w:pStyle w:val="3-BodyText"/>
        <w:rPr>
          <w:b/>
          <w:bCs/>
          <w:color w:val="0066FF"/>
          <w:lang w:val="en-US"/>
        </w:rPr>
      </w:pPr>
      <w:r w:rsidRPr="00F93A3C">
        <w:rPr>
          <w:lang w:val="en-US"/>
        </w:rPr>
        <w:t xml:space="preserve">The submission presented a cost-minimisation </w:t>
      </w:r>
      <w:r w:rsidR="00AE7538">
        <w:rPr>
          <w:lang w:val="en-US"/>
        </w:rPr>
        <w:t>approach between</w:t>
      </w:r>
      <w:r w:rsidRPr="00F93A3C">
        <w:rPr>
          <w:lang w:val="en-US"/>
        </w:rPr>
        <w:t xml:space="preserve"> PCV15 </w:t>
      </w:r>
      <w:r w:rsidR="00AE7538">
        <w:rPr>
          <w:lang w:val="en-US"/>
        </w:rPr>
        <w:t>and</w:t>
      </w:r>
      <w:r w:rsidR="00AE7538" w:rsidRPr="00F93A3C">
        <w:rPr>
          <w:lang w:val="en-US"/>
        </w:rPr>
        <w:t xml:space="preserve"> </w:t>
      </w:r>
      <w:r w:rsidRPr="00F93A3C">
        <w:rPr>
          <w:lang w:val="en-US"/>
        </w:rPr>
        <w:t xml:space="preserve">PCV13. A summary of </w:t>
      </w:r>
      <w:r w:rsidR="00AE7538">
        <w:rPr>
          <w:lang w:val="en-US"/>
        </w:rPr>
        <w:t>this</w:t>
      </w:r>
      <w:r w:rsidRPr="00F93A3C">
        <w:rPr>
          <w:lang w:val="en-US"/>
        </w:rPr>
        <w:t xml:space="preserve"> approach is presented in Table </w:t>
      </w:r>
      <w:r w:rsidR="00F52B83">
        <w:rPr>
          <w:lang w:val="en-US"/>
        </w:rPr>
        <w:t>7</w:t>
      </w:r>
      <w:r w:rsidRPr="00F93A3C">
        <w:rPr>
          <w:lang w:val="en-US"/>
        </w:rPr>
        <w:t>.</w:t>
      </w:r>
      <w:r w:rsidR="00392323" w:rsidRPr="00F93A3C">
        <w:rPr>
          <w:lang w:val="en-US"/>
        </w:rPr>
        <w:t xml:space="preserve"> </w:t>
      </w:r>
      <w:r w:rsidR="004B36ED" w:rsidRPr="00F93A3C">
        <w:rPr>
          <w:lang w:val="en-US"/>
        </w:rPr>
        <w:t xml:space="preserve">The submission claimed that PCV15 was noninferior in terms of efficacy and safety compared to PCV13. </w:t>
      </w:r>
      <w:r w:rsidR="00C60CEF" w:rsidRPr="00F93A3C">
        <w:rPr>
          <w:lang w:val="en-US"/>
        </w:rPr>
        <w:t xml:space="preserve">The submission’s </w:t>
      </w:r>
      <w:r w:rsidR="00392323" w:rsidRPr="00F93A3C">
        <w:rPr>
          <w:lang w:val="en-US"/>
        </w:rPr>
        <w:t xml:space="preserve">superiority </w:t>
      </w:r>
      <w:r w:rsidR="00C60CEF" w:rsidRPr="00F93A3C">
        <w:rPr>
          <w:lang w:val="en-US"/>
        </w:rPr>
        <w:t xml:space="preserve">claim </w:t>
      </w:r>
      <w:r w:rsidR="00392323" w:rsidRPr="00F93A3C">
        <w:rPr>
          <w:lang w:val="en-US"/>
        </w:rPr>
        <w:t>for serotype</w:t>
      </w:r>
      <w:r w:rsidR="00C60CEF" w:rsidRPr="00F93A3C">
        <w:rPr>
          <w:lang w:val="en-US"/>
        </w:rPr>
        <w:t>s</w:t>
      </w:r>
      <w:r w:rsidR="00392323" w:rsidRPr="00F93A3C">
        <w:rPr>
          <w:lang w:val="en-US"/>
        </w:rPr>
        <w:t xml:space="preserve"> 3, 22F and 33F</w:t>
      </w:r>
      <w:r w:rsidR="002B3D85" w:rsidRPr="00F93A3C">
        <w:rPr>
          <w:lang w:val="en-US"/>
        </w:rPr>
        <w:t xml:space="preserve"> was not </w:t>
      </w:r>
      <w:r w:rsidR="00C60CEF" w:rsidRPr="00F93A3C">
        <w:rPr>
          <w:lang w:val="en-US"/>
        </w:rPr>
        <w:t xml:space="preserve">considered in the </w:t>
      </w:r>
      <w:r w:rsidR="00392323" w:rsidRPr="00F93A3C">
        <w:rPr>
          <w:lang w:val="en-US"/>
        </w:rPr>
        <w:t xml:space="preserve">economic </w:t>
      </w:r>
      <w:r w:rsidR="00C60CEF" w:rsidRPr="00F93A3C">
        <w:rPr>
          <w:lang w:val="en-US"/>
        </w:rPr>
        <w:t>analysis</w:t>
      </w:r>
      <w:r w:rsidR="000B46F6" w:rsidRPr="00F93A3C">
        <w:rPr>
          <w:lang w:val="en-US"/>
        </w:rPr>
        <w:t>.</w:t>
      </w:r>
    </w:p>
    <w:p w14:paraId="72BCEFBA" w14:textId="77777777" w:rsidR="00011FDC" w:rsidRPr="00656188" w:rsidRDefault="00011FDC" w:rsidP="00011FDC">
      <w:pPr>
        <w:pStyle w:val="TableFigureHeading"/>
        <w:rPr>
          <w:rStyle w:val="CommentReference"/>
          <w:b/>
          <w:szCs w:val="24"/>
        </w:rPr>
      </w:pPr>
      <w:r w:rsidRPr="00656188">
        <w:rPr>
          <w:rStyle w:val="CommentReference"/>
          <w:b/>
          <w:szCs w:val="24"/>
        </w:rPr>
        <w:t xml:space="preserve">Table </w:t>
      </w:r>
      <w:r w:rsidR="00F52B83">
        <w:rPr>
          <w:rStyle w:val="CommentReference"/>
          <w:b/>
          <w:szCs w:val="24"/>
        </w:rPr>
        <w:t>7</w:t>
      </w:r>
      <w:r w:rsidRPr="00656188">
        <w:rPr>
          <w:rStyle w:val="CommentReference"/>
          <w:b/>
          <w:szCs w:val="24"/>
        </w:rPr>
        <w:t>: 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011FDC" w:rsidRPr="00431E55" w14:paraId="04561BDA" w14:textId="77777777" w:rsidTr="00C27E59">
        <w:tc>
          <w:tcPr>
            <w:tcW w:w="2660" w:type="dxa"/>
          </w:tcPr>
          <w:p w14:paraId="5545AC41" w14:textId="77777777" w:rsidR="00011FDC" w:rsidRPr="00431E55" w:rsidRDefault="00011FDC" w:rsidP="00C27E59">
            <w:pPr>
              <w:pStyle w:val="In-tableHeading"/>
            </w:pPr>
            <w:r w:rsidRPr="003724A8">
              <w:t>Component</w:t>
            </w:r>
          </w:p>
        </w:tc>
        <w:tc>
          <w:tcPr>
            <w:tcW w:w="6520" w:type="dxa"/>
          </w:tcPr>
          <w:p w14:paraId="6CEE12DA" w14:textId="77777777" w:rsidR="00011FDC" w:rsidRPr="00431E55" w:rsidRDefault="00011FDC" w:rsidP="00C27E59">
            <w:pPr>
              <w:pStyle w:val="In-tableHeading"/>
            </w:pPr>
            <w:r w:rsidRPr="003724A8">
              <w:t>Claim or assumption</w:t>
            </w:r>
          </w:p>
        </w:tc>
      </w:tr>
      <w:tr w:rsidR="00011FDC" w14:paraId="088BF562" w14:textId="77777777" w:rsidTr="00C27E59">
        <w:tc>
          <w:tcPr>
            <w:tcW w:w="2660" w:type="dxa"/>
          </w:tcPr>
          <w:p w14:paraId="767727F9" w14:textId="77777777" w:rsidR="00011FDC" w:rsidRDefault="00011FDC" w:rsidP="00C27E59">
            <w:pPr>
              <w:pStyle w:val="TableText0"/>
            </w:pPr>
            <w:r w:rsidRPr="003724A8">
              <w:t>Therapeutic claim: effectiveness</w:t>
            </w:r>
          </w:p>
        </w:tc>
        <w:tc>
          <w:tcPr>
            <w:tcW w:w="6520" w:type="dxa"/>
          </w:tcPr>
          <w:p w14:paraId="54457AFC" w14:textId="77777777" w:rsidR="00011FDC" w:rsidRDefault="00011FDC" w:rsidP="00C27E59">
            <w:pPr>
              <w:pStyle w:val="TableText0"/>
            </w:pPr>
            <w:r w:rsidRPr="003724A8">
              <w:t xml:space="preserve">Based on </w:t>
            </w:r>
            <w:r w:rsidR="00AE7538">
              <w:t xml:space="preserve">clinical </w:t>
            </w:r>
            <w:r w:rsidRPr="003724A8">
              <w:t xml:space="preserve">evidence presented in </w:t>
            </w:r>
            <w:r w:rsidR="00AE7538">
              <w:t>the submission</w:t>
            </w:r>
            <w:r w:rsidRPr="003724A8">
              <w:t xml:space="preserve">, effectiveness is assumed to be </w:t>
            </w:r>
            <w:r w:rsidR="00437DB8">
              <w:t>noninferior</w:t>
            </w:r>
          </w:p>
        </w:tc>
      </w:tr>
      <w:tr w:rsidR="00011FDC" w14:paraId="4E6050D4" w14:textId="77777777" w:rsidTr="00C27E59">
        <w:tc>
          <w:tcPr>
            <w:tcW w:w="2660" w:type="dxa"/>
          </w:tcPr>
          <w:p w14:paraId="7C51704A" w14:textId="77777777" w:rsidR="00011FDC" w:rsidRDefault="00011FDC" w:rsidP="00C27E59">
            <w:pPr>
              <w:pStyle w:val="TableText0"/>
            </w:pPr>
            <w:r w:rsidRPr="003724A8">
              <w:t>Therapeutic claim: safety</w:t>
            </w:r>
          </w:p>
        </w:tc>
        <w:tc>
          <w:tcPr>
            <w:tcW w:w="6520" w:type="dxa"/>
          </w:tcPr>
          <w:p w14:paraId="5B4DAFDB" w14:textId="77777777" w:rsidR="00011FDC" w:rsidRDefault="00011FDC" w:rsidP="00C27E59">
            <w:pPr>
              <w:pStyle w:val="TableText0"/>
            </w:pPr>
            <w:r w:rsidRPr="003724A8">
              <w:t xml:space="preserve">Based on </w:t>
            </w:r>
            <w:r w:rsidR="00AE7538">
              <w:t xml:space="preserve">clinical </w:t>
            </w:r>
            <w:r w:rsidRPr="003724A8">
              <w:t xml:space="preserve">evidence presented in </w:t>
            </w:r>
            <w:r w:rsidR="00AE7538">
              <w:t>the submission</w:t>
            </w:r>
            <w:r w:rsidRPr="003724A8">
              <w:t xml:space="preserve">, safety is assumed to be </w:t>
            </w:r>
            <w:r w:rsidR="00437DB8">
              <w:t>noninferior</w:t>
            </w:r>
          </w:p>
        </w:tc>
      </w:tr>
      <w:tr w:rsidR="00011FDC" w14:paraId="70353578" w14:textId="77777777" w:rsidTr="00C27E59">
        <w:tc>
          <w:tcPr>
            <w:tcW w:w="2660" w:type="dxa"/>
          </w:tcPr>
          <w:p w14:paraId="6009C0E9" w14:textId="77777777" w:rsidR="00011FDC" w:rsidRDefault="00011FDC" w:rsidP="00C27E59">
            <w:pPr>
              <w:pStyle w:val="TableText0"/>
            </w:pPr>
            <w:r w:rsidRPr="003724A8">
              <w:t>Evidence base</w:t>
            </w:r>
          </w:p>
        </w:tc>
        <w:tc>
          <w:tcPr>
            <w:tcW w:w="6520" w:type="dxa"/>
          </w:tcPr>
          <w:p w14:paraId="713A9A0F" w14:textId="77777777" w:rsidR="00011FDC" w:rsidRDefault="00011FDC" w:rsidP="00C27E59">
            <w:pPr>
              <w:pStyle w:val="TableText0"/>
            </w:pPr>
            <w:r w:rsidRPr="003724A8">
              <w:t xml:space="preserve">Direct comparison to PCV13 based on five phase III and two phase II comparative trials and subgroup analysis in those age 70+ and an </w:t>
            </w:r>
            <w:r w:rsidR="00210153">
              <w:t>I</w:t>
            </w:r>
            <w:r w:rsidRPr="003724A8">
              <w:t xml:space="preserve">ndigenous population </w:t>
            </w:r>
          </w:p>
        </w:tc>
      </w:tr>
      <w:tr w:rsidR="00011FDC" w14:paraId="658337E7" w14:textId="77777777" w:rsidTr="00C27E59">
        <w:tc>
          <w:tcPr>
            <w:tcW w:w="2660" w:type="dxa"/>
          </w:tcPr>
          <w:p w14:paraId="44513EE5" w14:textId="77777777" w:rsidR="00011FDC" w:rsidRDefault="00011FDC" w:rsidP="00C27E59">
            <w:pPr>
              <w:pStyle w:val="TableText0"/>
            </w:pPr>
            <w:r w:rsidRPr="003724A8">
              <w:t>Equi-effective doses</w:t>
            </w:r>
          </w:p>
        </w:tc>
        <w:tc>
          <w:tcPr>
            <w:tcW w:w="6520" w:type="dxa"/>
          </w:tcPr>
          <w:p w14:paraId="7BE6AC3B" w14:textId="77777777" w:rsidR="00011FDC" w:rsidRPr="003724A8" w:rsidRDefault="00011FDC" w:rsidP="00C27E59">
            <w:pPr>
              <w:pStyle w:val="TableText0"/>
              <w:rPr>
                <w:u w:val="single"/>
              </w:rPr>
            </w:pPr>
            <w:r w:rsidRPr="003724A8">
              <w:rPr>
                <w:u w:val="single"/>
              </w:rPr>
              <w:t>Non-</w:t>
            </w:r>
            <w:r w:rsidR="003175D4">
              <w:rPr>
                <w:u w:val="single"/>
              </w:rPr>
              <w:t>I</w:t>
            </w:r>
            <w:r w:rsidRPr="003724A8">
              <w:rPr>
                <w:u w:val="single"/>
              </w:rPr>
              <w:t xml:space="preserve">ndigenous adults aged </w:t>
            </w:r>
            <w:r>
              <w:rPr>
                <w:u w:val="single"/>
              </w:rPr>
              <w:t>≥</w:t>
            </w:r>
            <w:r w:rsidRPr="003724A8">
              <w:rPr>
                <w:u w:val="single"/>
              </w:rPr>
              <w:t>70</w:t>
            </w:r>
          </w:p>
          <w:p w14:paraId="5B6A59DB" w14:textId="77777777" w:rsidR="00011FDC" w:rsidRPr="003724A8" w:rsidRDefault="00011FDC" w:rsidP="00C27E59">
            <w:pPr>
              <w:pStyle w:val="TableText0"/>
            </w:pPr>
            <w:r w:rsidRPr="003724A8">
              <w:t>1 dose (0.5 m</w:t>
            </w:r>
            <w:r w:rsidR="00210153">
              <w:t>L</w:t>
            </w:r>
            <w:r w:rsidRPr="003724A8">
              <w:t>) PCV15 = 1 dose (0.5 m</w:t>
            </w:r>
            <w:r w:rsidR="00210153">
              <w:t>L</w:t>
            </w:r>
            <w:r w:rsidRPr="003724A8">
              <w:t>) PCV13</w:t>
            </w:r>
          </w:p>
          <w:p w14:paraId="1A05FB4E" w14:textId="77777777" w:rsidR="00011FDC" w:rsidRPr="003724A8" w:rsidRDefault="00011FDC" w:rsidP="00C27E59">
            <w:pPr>
              <w:pStyle w:val="TableText0"/>
            </w:pPr>
          </w:p>
          <w:p w14:paraId="7286A385" w14:textId="77777777" w:rsidR="00011FDC" w:rsidRPr="003724A8" w:rsidRDefault="00011FDC" w:rsidP="00C27E59">
            <w:pPr>
              <w:pStyle w:val="TableText0"/>
              <w:rPr>
                <w:u w:val="single"/>
              </w:rPr>
            </w:pPr>
            <w:r w:rsidRPr="003724A8">
              <w:rPr>
                <w:u w:val="single"/>
              </w:rPr>
              <w:t xml:space="preserve">Indigenous adults aged </w:t>
            </w:r>
            <w:r>
              <w:rPr>
                <w:u w:val="single"/>
              </w:rPr>
              <w:t>≥</w:t>
            </w:r>
            <w:r w:rsidRPr="003724A8">
              <w:rPr>
                <w:u w:val="single"/>
              </w:rPr>
              <w:t>50</w:t>
            </w:r>
          </w:p>
          <w:p w14:paraId="323C0A65" w14:textId="77777777" w:rsidR="00011FDC" w:rsidRPr="003724A8" w:rsidRDefault="00011FDC" w:rsidP="00C27E59">
            <w:pPr>
              <w:pStyle w:val="TableText0"/>
            </w:pPr>
            <w:r w:rsidRPr="003724A8">
              <w:t>1 dose (0.5 m</w:t>
            </w:r>
            <w:r w:rsidR="00210153">
              <w:t>L</w:t>
            </w:r>
            <w:r w:rsidRPr="003724A8">
              <w:t>) PCV15 followed by 1 dose PPV23 (2-12 months later), followed by 1</w:t>
            </w:r>
            <w:r w:rsidR="00C802AD">
              <w:t> </w:t>
            </w:r>
            <w:r w:rsidRPr="003724A8">
              <w:t>dose PPV23 (5 years later) = 1 dose (0.5 m</w:t>
            </w:r>
            <w:r w:rsidR="00C802AD">
              <w:t>L</w:t>
            </w:r>
            <w:r w:rsidRPr="003724A8">
              <w:t xml:space="preserve">) PCV15 followed by 1 dose PPV23 (2-12 months later), followed by 1 dose PPV23 (5 years later)  </w:t>
            </w:r>
          </w:p>
          <w:p w14:paraId="44679FE1" w14:textId="77777777" w:rsidR="00011FDC" w:rsidRPr="003724A8" w:rsidRDefault="00011FDC" w:rsidP="00C27E59">
            <w:pPr>
              <w:pStyle w:val="TableText0"/>
            </w:pPr>
          </w:p>
          <w:p w14:paraId="566D56C0" w14:textId="77777777" w:rsidR="00011FDC" w:rsidRPr="003724A8" w:rsidRDefault="00011FDC" w:rsidP="00C27E59">
            <w:pPr>
              <w:pStyle w:val="TableText0"/>
              <w:rPr>
                <w:u w:val="single"/>
              </w:rPr>
            </w:pPr>
            <w:r w:rsidRPr="003724A8">
              <w:rPr>
                <w:u w:val="single"/>
              </w:rPr>
              <w:t xml:space="preserve">Medically at-risk individuals aged </w:t>
            </w:r>
            <w:r>
              <w:rPr>
                <w:u w:val="single"/>
              </w:rPr>
              <w:t>≥</w:t>
            </w:r>
            <w:r w:rsidRPr="003724A8">
              <w:rPr>
                <w:u w:val="single"/>
              </w:rPr>
              <w:t>18</w:t>
            </w:r>
          </w:p>
          <w:p w14:paraId="3BA5DFB0" w14:textId="77777777" w:rsidR="00011FDC" w:rsidRDefault="00011FDC" w:rsidP="00C27E59">
            <w:pPr>
              <w:pStyle w:val="TableText0"/>
            </w:pPr>
            <w:r w:rsidRPr="003724A8">
              <w:t>1 dose (0.5 m</w:t>
            </w:r>
            <w:r w:rsidR="00A748AA">
              <w:t>L</w:t>
            </w:r>
            <w:r w:rsidRPr="003724A8">
              <w:t>) PCV15 followed by 1 dose PPV23 (2-12 months later), followed by 1</w:t>
            </w:r>
            <w:r w:rsidR="00A748AA">
              <w:t> </w:t>
            </w:r>
            <w:r w:rsidRPr="003724A8">
              <w:t>dose PPV23 (5 years later) = 1 dose (0.5 m</w:t>
            </w:r>
            <w:r w:rsidR="00A748AA">
              <w:t>L</w:t>
            </w:r>
            <w:r w:rsidRPr="003724A8">
              <w:t xml:space="preserve">) PCV15 followed by 1 dose PPV23 (2-12 months later), followed by 1 dose PPV23 (5 years later)  </w:t>
            </w:r>
          </w:p>
        </w:tc>
      </w:tr>
      <w:tr w:rsidR="00011FDC" w14:paraId="6EDD864E" w14:textId="77777777" w:rsidTr="00C27E59">
        <w:tc>
          <w:tcPr>
            <w:tcW w:w="2660" w:type="dxa"/>
          </w:tcPr>
          <w:p w14:paraId="7604985E" w14:textId="77777777" w:rsidR="00011FDC" w:rsidRDefault="00011FDC" w:rsidP="00C27E59">
            <w:pPr>
              <w:pStyle w:val="TableText0"/>
            </w:pPr>
            <w:r w:rsidRPr="003724A8">
              <w:t>Direct medicine costs</w:t>
            </w:r>
          </w:p>
        </w:tc>
        <w:tc>
          <w:tcPr>
            <w:tcW w:w="6520" w:type="dxa"/>
          </w:tcPr>
          <w:p w14:paraId="29564D3B" w14:textId="77777777" w:rsidR="00011FDC" w:rsidRPr="00223F42" w:rsidRDefault="00F0350D" w:rsidP="00C27E59">
            <w:pPr>
              <w:pStyle w:val="TableText0"/>
              <w:rPr>
                <w:i/>
                <w:iCs/>
              </w:rPr>
            </w:pPr>
            <w:r>
              <w:t xml:space="preserve">In the absence of </w:t>
            </w:r>
            <w:r w:rsidR="003B69B1">
              <w:t xml:space="preserve">public </w:t>
            </w:r>
            <w:r>
              <w:t>information about the NNP, t</w:t>
            </w:r>
            <w:r w:rsidR="006574F4">
              <w:t>he sponsor</w:t>
            </w:r>
            <w:r w:rsidR="00011FDC" w:rsidRPr="003724A8">
              <w:t xml:space="preserve"> </w:t>
            </w:r>
            <w:r w:rsidR="00BB1102">
              <w:t>assumed</w:t>
            </w:r>
            <w:r w:rsidR="00011FDC" w:rsidRPr="003724A8">
              <w:t xml:space="preserve"> that 1 dose of PCV13 costs $114.9</w:t>
            </w:r>
            <w:r w:rsidR="00011FDC">
              <w:t>9</w:t>
            </w:r>
            <w:r w:rsidR="00011FDC" w:rsidRPr="003724A8">
              <w:t xml:space="preserve">, based on the publicly available private market price on the Chemist Warehouse website. </w:t>
            </w:r>
            <w:r w:rsidR="00815B00">
              <w:t xml:space="preserve">The sponsor </w:t>
            </w:r>
            <w:r w:rsidR="004F4B45">
              <w:t>indicated it</w:t>
            </w:r>
            <w:r w:rsidR="00011FDC" w:rsidRPr="003724A8">
              <w:t xml:space="preserve"> </w:t>
            </w:r>
            <w:r w:rsidR="00815B00">
              <w:t>would</w:t>
            </w:r>
            <w:r w:rsidR="00815B00" w:rsidRPr="003724A8">
              <w:t xml:space="preserve"> </w:t>
            </w:r>
            <w:r w:rsidR="00011FDC" w:rsidRPr="003724A8">
              <w:t xml:space="preserve">match the </w:t>
            </w:r>
            <w:r w:rsidR="00F6667D">
              <w:t>NNP</w:t>
            </w:r>
            <w:r w:rsidR="00011FDC" w:rsidRPr="003724A8">
              <w:t xml:space="preserve"> of PV13 in adults, once recommended for listing</w:t>
            </w:r>
            <w:r w:rsidR="00011FDC">
              <w:t>.</w:t>
            </w:r>
            <w:r w:rsidR="00815B00">
              <w:t xml:space="preserve"> </w:t>
            </w:r>
            <w:r w:rsidR="00224173" w:rsidRPr="001D4E31">
              <w:t>The actual price</w:t>
            </w:r>
            <w:r w:rsidR="00815B00" w:rsidRPr="001D4E31">
              <w:t xml:space="preserve"> paid fo</w:t>
            </w:r>
            <w:r w:rsidR="00224173" w:rsidRPr="001D4E31">
              <w:t>r</w:t>
            </w:r>
            <w:r w:rsidR="00815B00" w:rsidRPr="001D4E31">
              <w:t xml:space="preserve"> </w:t>
            </w:r>
            <w:r w:rsidR="007F7FAA" w:rsidRPr="001D4E31">
              <w:t xml:space="preserve">PCV15 would depend on the outcome of a competitive tender </w:t>
            </w:r>
            <w:r w:rsidR="00224173" w:rsidRPr="001D4E31">
              <w:t>process</w:t>
            </w:r>
            <w:r w:rsidR="007F7FAA" w:rsidRPr="001D4E31">
              <w:t>.</w:t>
            </w:r>
            <w:r w:rsidR="007F7FAA">
              <w:rPr>
                <w:i/>
                <w:iCs/>
              </w:rPr>
              <w:t xml:space="preserve"> </w:t>
            </w:r>
          </w:p>
        </w:tc>
      </w:tr>
      <w:tr w:rsidR="00011FDC" w14:paraId="1E299D62" w14:textId="77777777" w:rsidTr="00C27E59">
        <w:tc>
          <w:tcPr>
            <w:tcW w:w="2660" w:type="dxa"/>
          </w:tcPr>
          <w:p w14:paraId="43764F2E" w14:textId="77777777" w:rsidR="00011FDC" w:rsidRDefault="00011FDC" w:rsidP="00C27E59">
            <w:pPr>
              <w:pStyle w:val="TableText0"/>
            </w:pPr>
            <w:r w:rsidRPr="003724A8">
              <w:t>Other costs or cost offsets</w:t>
            </w:r>
          </w:p>
        </w:tc>
        <w:tc>
          <w:tcPr>
            <w:tcW w:w="6520" w:type="dxa"/>
          </w:tcPr>
          <w:p w14:paraId="2CC86078" w14:textId="77777777" w:rsidR="00011FDC" w:rsidRDefault="00011FDC" w:rsidP="00C27E59">
            <w:pPr>
              <w:pStyle w:val="TableText0"/>
            </w:pPr>
            <w:r w:rsidRPr="003724A8">
              <w:t>None</w:t>
            </w:r>
          </w:p>
        </w:tc>
      </w:tr>
    </w:tbl>
    <w:p w14:paraId="3D877E83" w14:textId="77777777" w:rsidR="00011FDC" w:rsidRDefault="00011FDC" w:rsidP="00011FDC">
      <w:pPr>
        <w:pStyle w:val="TableFigureFooter"/>
      </w:pPr>
      <w:r>
        <w:t xml:space="preserve">Source: Table 3.1-1, p177 of the submission. </w:t>
      </w:r>
    </w:p>
    <w:p w14:paraId="120D2D20" w14:textId="77777777" w:rsidR="00011FDC" w:rsidRDefault="00011FDC" w:rsidP="00011FDC">
      <w:pPr>
        <w:pStyle w:val="TableFigureFooter"/>
      </w:pPr>
      <w:r>
        <w:t xml:space="preserve">AEMP = </w:t>
      </w:r>
      <w:r w:rsidRPr="00850477">
        <w:t>approved ex-manufacturer pric</w:t>
      </w:r>
      <w:r>
        <w:t>e; m</w:t>
      </w:r>
      <w:r w:rsidR="007F7FAA">
        <w:t>L</w:t>
      </w:r>
      <w:r>
        <w:t xml:space="preserve"> = millilitre; </w:t>
      </w:r>
      <w:r>
        <w:rPr>
          <w:bCs/>
          <w:szCs w:val="18"/>
        </w:rPr>
        <w:t>NIP = National Immunisation Program</w:t>
      </w:r>
      <w:r>
        <w:t xml:space="preserve">; </w:t>
      </w:r>
      <w:r w:rsidR="00EE0189">
        <w:t xml:space="preserve">NNP = Nationally Negotiated Price; </w:t>
      </w:r>
      <w:r w:rsidRPr="003A0170">
        <w:t xml:space="preserve">PCV13 = </w:t>
      </w:r>
      <w:r>
        <w:t>13-valent pneumococcal conjugate vaccine</w:t>
      </w:r>
      <w:r w:rsidRPr="003A0170">
        <w:t xml:space="preserve">; PCV15 = </w:t>
      </w:r>
      <w:r>
        <w:t>15-valent pneumococcal conjugate vaccine</w:t>
      </w:r>
      <w:r w:rsidRPr="003A0170">
        <w:t>;</w:t>
      </w:r>
      <w:r>
        <w:t xml:space="preserve"> </w:t>
      </w:r>
      <w:r>
        <w:rPr>
          <w:bCs/>
          <w:szCs w:val="18"/>
        </w:rPr>
        <w:t>PPV23 = 23-valent pneumococcal polysaccharide vaccine</w:t>
      </w:r>
    </w:p>
    <w:p w14:paraId="1E88EDAF" w14:textId="77777777" w:rsidR="00011FDC" w:rsidRPr="00F93A3C" w:rsidRDefault="00011FDC" w:rsidP="00011FDC">
      <w:pPr>
        <w:pStyle w:val="3-BodyText"/>
      </w:pPr>
      <w:r w:rsidRPr="00F93A3C">
        <w:t xml:space="preserve">The estimation of equi-effective doses </w:t>
      </w:r>
      <w:r w:rsidR="00B30FC9" w:rsidRPr="00F93A3C">
        <w:t xml:space="preserve">was </w:t>
      </w:r>
      <w:r w:rsidRPr="00F93A3C">
        <w:t>based on the direct randomised comparison of PCV15 to PCV13 in P019, where noninferiority in terms of immunogenicity was demonstrated for all serotypes of PCV1</w:t>
      </w:r>
      <w:r w:rsidR="006550C9" w:rsidRPr="00F93A3C">
        <w:t>3</w:t>
      </w:r>
      <w:r w:rsidRPr="00F93A3C">
        <w:t xml:space="preserve">. Thus, the submission estimated that 1 dose (0.5 </w:t>
      </w:r>
      <w:r w:rsidR="00F3479B" w:rsidRPr="00F93A3C">
        <w:t>mL</w:t>
      </w:r>
      <w:r w:rsidRPr="00F93A3C">
        <w:t>) PCV15 is equivalent to 1 dose (0.5 m</w:t>
      </w:r>
      <w:r w:rsidR="00741543" w:rsidRPr="00F93A3C">
        <w:t>L</w:t>
      </w:r>
      <w:r w:rsidRPr="00F93A3C">
        <w:t xml:space="preserve">) PCV13. This </w:t>
      </w:r>
      <w:r w:rsidR="00741543" w:rsidRPr="00F93A3C">
        <w:t>was</w:t>
      </w:r>
      <w:r w:rsidRPr="00F93A3C">
        <w:t xml:space="preserve"> applied to all of the proposed listings. </w:t>
      </w:r>
      <w:r w:rsidR="00B30FC9" w:rsidRPr="00F93A3C">
        <w:t xml:space="preserve">This </w:t>
      </w:r>
      <w:r w:rsidR="00741543" w:rsidRPr="00F93A3C">
        <w:t>was</w:t>
      </w:r>
      <w:r w:rsidR="00B30FC9" w:rsidRPr="00F93A3C">
        <w:t xml:space="preserve"> appropriate.</w:t>
      </w:r>
    </w:p>
    <w:p w14:paraId="061309E0" w14:textId="77777777" w:rsidR="00011FDC" w:rsidRPr="002C39BC" w:rsidRDefault="00011FDC" w:rsidP="00011FDC">
      <w:pPr>
        <w:pStyle w:val="3-BodyText"/>
      </w:pPr>
      <w:r w:rsidRPr="002C39BC">
        <w:t xml:space="preserve">The submission </w:t>
      </w:r>
      <w:r w:rsidR="003170BB" w:rsidRPr="002C39BC">
        <w:t>used a proxy price of</w:t>
      </w:r>
      <w:r w:rsidRPr="002C39BC">
        <w:t xml:space="preserve"> $114.99</w:t>
      </w:r>
      <w:r w:rsidR="003170BB" w:rsidRPr="002C39BC">
        <w:t xml:space="preserve"> in the cost-minimisation </w:t>
      </w:r>
      <w:r w:rsidR="00876A88">
        <w:t>approach</w:t>
      </w:r>
      <w:r w:rsidR="00B30FC9" w:rsidRPr="002C39BC">
        <w:t>,</w:t>
      </w:r>
      <w:r w:rsidRPr="002C39BC">
        <w:t xml:space="preserve"> which </w:t>
      </w:r>
      <w:r w:rsidR="00876A88">
        <w:t>was</w:t>
      </w:r>
      <w:r w:rsidRPr="002C39BC">
        <w:t xml:space="preserve"> </w:t>
      </w:r>
      <w:r w:rsidR="00B30FC9" w:rsidRPr="002C39BC">
        <w:t>the</w:t>
      </w:r>
      <w:r w:rsidRPr="002C39BC">
        <w:t xml:space="preserve"> cost of PCV13 based on the publicly available private market price on the Chemist Warehouse website, as the </w:t>
      </w:r>
      <w:r w:rsidR="008F09E1" w:rsidRPr="002C39BC">
        <w:t>N</w:t>
      </w:r>
      <w:r w:rsidRPr="002C39BC">
        <w:t xml:space="preserve">ationally </w:t>
      </w:r>
      <w:r w:rsidR="008F09E1" w:rsidRPr="002C39BC">
        <w:t>N</w:t>
      </w:r>
      <w:r w:rsidRPr="002C39BC">
        <w:t xml:space="preserve">egotiated </w:t>
      </w:r>
      <w:r w:rsidR="008F09E1" w:rsidRPr="002C39BC">
        <w:t>P</w:t>
      </w:r>
      <w:r w:rsidRPr="002C39BC">
        <w:t xml:space="preserve">rice </w:t>
      </w:r>
      <w:r w:rsidR="0069766D" w:rsidRPr="002C39BC">
        <w:t xml:space="preserve">is </w:t>
      </w:r>
      <w:r w:rsidRPr="002C39BC">
        <w:t>not publicly available.</w:t>
      </w:r>
      <w:r w:rsidR="00B30FC9" w:rsidRPr="002C39BC">
        <w:t xml:space="preserve"> </w:t>
      </w:r>
      <w:r w:rsidR="006A1206" w:rsidRPr="002C39BC">
        <w:t>T</w:t>
      </w:r>
      <w:r w:rsidR="00B30FC9" w:rsidRPr="002C39BC">
        <w:t xml:space="preserve">he results </w:t>
      </w:r>
      <w:r w:rsidR="006A1206" w:rsidRPr="002C39BC">
        <w:t xml:space="preserve">of </w:t>
      </w:r>
      <w:r w:rsidR="00B30FC9" w:rsidRPr="002C39BC">
        <w:t xml:space="preserve">the cost-minimisation </w:t>
      </w:r>
      <w:r w:rsidR="00876A88">
        <w:t>approach</w:t>
      </w:r>
      <w:r w:rsidR="00876A88" w:rsidRPr="002C39BC">
        <w:t xml:space="preserve"> </w:t>
      </w:r>
      <w:r w:rsidR="006A1206" w:rsidRPr="002C39BC">
        <w:t>are</w:t>
      </w:r>
      <w:r w:rsidR="00B30FC9" w:rsidRPr="002C39BC">
        <w:t xml:space="preserve"> presented in Table </w:t>
      </w:r>
      <w:r w:rsidR="00F52B83" w:rsidRPr="002C39BC">
        <w:t>8</w:t>
      </w:r>
      <w:r w:rsidR="00B30FC9" w:rsidRPr="002C39BC">
        <w:t>.</w:t>
      </w:r>
      <w:r w:rsidR="003845F7" w:rsidRPr="002C39BC">
        <w:t xml:space="preserve"> The ESC noted that </w:t>
      </w:r>
      <w:r w:rsidR="00B2266C">
        <w:t xml:space="preserve">although </w:t>
      </w:r>
      <w:r w:rsidR="003845F7" w:rsidRPr="002C39BC">
        <w:t>the cost-minimisation</w:t>
      </w:r>
      <w:r w:rsidR="00B86BE8" w:rsidRPr="002C39BC">
        <w:t xml:space="preserve"> </w:t>
      </w:r>
      <w:r w:rsidR="00876A88">
        <w:t>approach</w:t>
      </w:r>
      <w:r w:rsidR="00876A88" w:rsidRPr="002C39BC">
        <w:t xml:space="preserve"> </w:t>
      </w:r>
      <w:r w:rsidR="00B86BE8" w:rsidRPr="002C39BC">
        <w:t>only used a proxy price,</w:t>
      </w:r>
      <w:r w:rsidR="003845F7" w:rsidRPr="002C39BC">
        <w:t xml:space="preserve"> it provided a framework to estimate the cost of PCV15 that is no more than PCV13.</w:t>
      </w:r>
    </w:p>
    <w:p w14:paraId="236E8BCD" w14:textId="77777777" w:rsidR="009F4B68" w:rsidRPr="00F93A3C" w:rsidRDefault="00EF364C" w:rsidP="00011FDC">
      <w:pPr>
        <w:pStyle w:val="3-BodyText"/>
      </w:pPr>
      <w:r w:rsidRPr="00F93A3C">
        <w:t>As the submission claim</w:t>
      </w:r>
      <w:r w:rsidR="004D6A06" w:rsidRPr="00F93A3C">
        <w:t xml:space="preserve">ed no difference in safety, </w:t>
      </w:r>
      <w:r w:rsidR="00E76C05" w:rsidRPr="00F93A3C">
        <w:t xml:space="preserve">it did not include any additional costs for treating adverse events associated with the administration of PCV15. </w:t>
      </w:r>
    </w:p>
    <w:p w14:paraId="62F5FE81" w14:textId="77777777" w:rsidR="00AF41F4" w:rsidRPr="002C39BC" w:rsidRDefault="00C813ED" w:rsidP="00AF41F4">
      <w:pPr>
        <w:pStyle w:val="3-BodyText"/>
      </w:pPr>
      <w:r w:rsidRPr="002C39BC">
        <w:t xml:space="preserve">The submission </w:t>
      </w:r>
      <w:r w:rsidR="00A27291" w:rsidRPr="002C39BC">
        <w:t>claimed</w:t>
      </w:r>
      <w:r w:rsidRPr="002C39BC">
        <w:t xml:space="preserve"> </w:t>
      </w:r>
      <w:r w:rsidR="007B01E7" w:rsidRPr="002C39BC">
        <w:t xml:space="preserve">that </w:t>
      </w:r>
      <w:r w:rsidR="002C2B3A" w:rsidRPr="002C39BC">
        <w:t>while the econ</w:t>
      </w:r>
      <w:r w:rsidR="001D775A" w:rsidRPr="002C39BC">
        <w:t>o</w:t>
      </w:r>
      <w:r w:rsidR="00A17CA1" w:rsidRPr="002C39BC">
        <w:t xml:space="preserve">mic </w:t>
      </w:r>
      <w:r w:rsidR="00876A88">
        <w:t>evaluation</w:t>
      </w:r>
      <w:r w:rsidR="00876A88" w:rsidRPr="002C39BC">
        <w:t xml:space="preserve"> </w:t>
      </w:r>
      <w:r w:rsidR="00A17CA1" w:rsidRPr="002C39BC">
        <w:t xml:space="preserve">was a cost-minimisation, </w:t>
      </w:r>
      <w:r w:rsidR="00D56E63" w:rsidRPr="002C39BC">
        <w:t xml:space="preserve">it </w:t>
      </w:r>
      <w:r w:rsidR="00D45F64" w:rsidRPr="002C39BC">
        <w:t>was</w:t>
      </w:r>
      <w:r w:rsidR="00D56E63" w:rsidRPr="002C39BC">
        <w:t xml:space="preserve"> highly likely that </w:t>
      </w:r>
      <w:r w:rsidR="006F5610" w:rsidRPr="002C39BC">
        <w:t>PCV15 would be cost saving compared</w:t>
      </w:r>
      <w:r w:rsidR="00AC02D7" w:rsidRPr="002C39BC">
        <w:t xml:space="preserve"> PCV13 </w:t>
      </w:r>
      <w:r w:rsidR="00D56E63" w:rsidRPr="002C39BC">
        <w:t xml:space="preserve">due to the increased coverage and superior immune </w:t>
      </w:r>
      <w:r w:rsidR="00AE2224" w:rsidRPr="002C39BC">
        <w:t>response against serotype 3</w:t>
      </w:r>
      <w:r w:rsidR="00AC02D7" w:rsidRPr="002C39BC">
        <w:t xml:space="preserve">. </w:t>
      </w:r>
      <w:r w:rsidR="00C91DE5" w:rsidRPr="002C39BC">
        <w:t>This</w:t>
      </w:r>
      <w:r w:rsidR="00A27291" w:rsidRPr="002C39BC">
        <w:t xml:space="preserve"> claim was inappropriate</w:t>
      </w:r>
      <w:r w:rsidR="00E8526B" w:rsidRPr="002C39BC">
        <w:t xml:space="preserve"> as t</w:t>
      </w:r>
      <w:r w:rsidR="00382184" w:rsidRPr="002C39BC">
        <w:t xml:space="preserve">he </w:t>
      </w:r>
      <w:r w:rsidR="00E7023F" w:rsidRPr="002C39BC">
        <w:t xml:space="preserve">superiority claim </w:t>
      </w:r>
      <w:r w:rsidR="001B02DA" w:rsidRPr="002C39BC">
        <w:t xml:space="preserve">for serotype 3 was not justified. </w:t>
      </w:r>
      <w:r w:rsidR="00EF6454" w:rsidRPr="002C39BC">
        <w:t xml:space="preserve">The ESC considered </w:t>
      </w:r>
      <w:r w:rsidR="00C71EB4" w:rsidRPr="002C39BC">
        <w:t>the claimed cost saving was unlikely to be realised in practice given there was insufficient evidence</w:t>
      </w:r>
      <w:r w:rsidR="002514E6" w:rsidRPr="002C39BC">
        <w:t xml:space="preserve"> that the superiority threshold applied for serotype 3 </w:t>
      </w:r>
      <w:r w:rsidR="00412E40" w:rsidRPr="002C39BC">
        <w:t xml:space="preserve">would </w:t>
      </w:r>
      <w:r w:rsidR="002514E6" w:rsidRPr="002C39BC">
        <w:t xml:space="preserve">correlate to additional clinical protection. </w:t>
      </w:r>
    </w:p>
    <w:p w14:paraId="12317C33" w14:textId="77777777" w:rsidR="00011FDC" w:rsidRPr="00E8526B" w:rsidRDefault="00011FDC" w:rsidP="00676906">
      <w:pPr>
        <w:pStyle w:val="TableFigureHeading"/>
        <w:rPr>
          <w:rStyle w:val="CommentReference"/>
          <w:b/>
          <w:szCs w:val="24"/>
        </w:rPr>
      </w:pPr>
      <w:r w:rsidRPr="0018178A">
        <w:rPr>
          <w:rStyle w:val="CommentReference"/>
          <w:b/>
          <w:szCs w:val="24"/>
        </w:rPr>
        <w:t xml:space="preserve">Table </w:t>
      </w:r>
      <w:r w:rsidR="00F52B83">
        <w:rPr>
          <w:rStyle w:val="CommentReference"/>
          <w:b/>
          <w:szCs w:val="24"/>
        </w:rPr>
        <w:t>8</w:t>
      </w:r>
      <w:r w:rsidRPr="00E8526B">
        <w:rPr>
          <w:rStyle w:val="CommentReference"/>
          <w:b/>
          <w:szCs w:val="24"/>
        </w:rPr>
        <w:t>: Results of the cost-minimisation analysis</w:t>
      </w:r>
    </w:p>
    <w:tbl>
      <w:tblPr>
        <w:tblStyle w:val="TableGrid"/>
        <w:tblW w:w="5000" w:type="pct"/>
        <w:tblLook w:val="04A0" w:firstRow="1" w:lastRow="0" w:firstColumn="1" w:lastColumn="0" w:noHBand="0" w:noVBand="1"/>
        <w:tblCaption w:val="Table 8: Results of the cost-minimisation analysis"/>
      </w:tblPr>
      <w:tblGrid>
        <w:gridCol w:w="2323"/>
        <w:gridCol w:w="2427"/>
        <w:gridCol w:w="2265"/>
        <w:gridCol w:w="2002"/>
      </w:tblGrid>
      <w:tr w:rsidR="00011FDC" w14:paraId="5523524A" w14:textId="77777777" w:rsidTr="0064478F">
        <w:trPr>
          <w:trHeight w:val="300"/>
          <w:tblHeader/>
        </w:trPr>
        <w:tc>
          <w:tcPr>
            <w:tcW w:w="1288" w:type="pct"/>
            <w:vAlign w:val="center"/>
            <w:hideMark/>
          </w:tcPr>
          <w:p w14:paraId="0F766222" w14:textId="77777777" w:rsidR="00011FDC" w:rsidRDefault="00011FDC" w:rsidP="00C27E59">
            <w:pPr>
              <w:pStyle w:val="TableText0"/>
            </w:pPr>
            <w:bookmarkStart w:id="46" w:name="_GoBack" w:colFirst="0" w:colLast="4"/>
            <w:r>
              <w:t> </w:t>
            </w:r>
          </w:p>
        </w:tc>
        <w:tc>
          <w:tcPr>
            <w:tcW w:w="1346" w:type="pct"/>
            <w:vAlign w:val="center"/>
            <w:hideMark/>
          </w:tcPr>
          <w:p w14:paraId="4B9F6F45" w14:textId="77777777" w:rsidR="00011FDC" w:rsidRPr="00833422" w:rsidRDefault="00011FDC" w:rsidP="00C27E59">
            <w:pPr>
              <w:pStyle w:val="TableText0"/>
              <w:jc w:val="center"/>
              <w:rPr>
                <w:b/>
                <w:bCs w:val="0"/>
              </w:rPr>
            </w:pPr>
            <w:r w:rsidRPr="00833422">
              <w:rPr>
                <w:b/>
                <w:bCs w:val="0"/>
              </w:rPr>
              <w:t>PCV15 cost per dose</w:t>
            </w:r>
          </w:p>
        </w:tc>
        <w:tc>
          <w:tcPr>
            <w:tcW w:w="1256" w:type="pct"/>
            <w:vAlign w:val="center"/>
            <w:hideMark/>
          </w:tcPr>
          <w:p w14:paraId="3E7C7765" w14:textId="77777777" w:rsidR="00011FDC" w:rsidRPr="00833422" w:rsidRDefault="00011FDC" w:rsidP="00C27E59">
            <w:pPr>
              <w:pStyle w:val="TableText0"/>
              <w:jc w:val="center"/>
              <w:rPr>
                <w:b/>
                <w:bCs w:val="0"/>
              </w:rPr>
            </w:pPr>
            <w:r w:rsidRPr="00833422">
              <w:rPr>
                <w:b/>
                <w:bCs w:val="0"/>
              </w:rPr>
              <w:t>PCV13 cost per dose</w:t>
            </w:r>
          </w:p>
        </w:tc>
        <w:tc>
          <w:tcPr>
            <w:tcW w:w="1110" w:type="pct"/>
            <w:vAlign w:val="center"/>
            <w:hideMark/>
          </w:tcPr>
          <w:p w14:paraId="47FD228D" w14:textId="77777777" w:rsidR="00011FDC" w:rsidRPr="00833422" w:rsidRDefault="00011FDC" w:rsidP="00C27E59">
            <w:pPr>
              <w:pStyle w:val="TableText0"/>
              <w:jc w:val="center"/>
              <w:rPr>
                <w:b/>
                <w:bCs w:val="0"/>
              </w:rPr>
            </w:pPr>
            <w:r w:rsidRPr="00833422">
              <w:rPr>
                <w:b/>
                <w:bCs w:val="0"/>
              </w:rPr>
              <w:t xml:space="preserve">Incremental </w:t>
            </w:r>
            <w:r>
              <w:rPr>
                <w:b/>
                <w:bCs w:val="0"/>
              </w:rPr>
              <w:t>c</w:t>
            </w:r>
            <w:r w:rsidRPr="00833422">
              <w:rPr>
                <w:b/>
                <w:bCs w:val="0"/>
              </w:rPr>
              <w:t>ost</w:t>
            </w:r>
          </w:p>
        </w:tc>
      </w:tr>
      <w:bookmarkEnd w:id="46"/>
      <w:tr w:rsidR="00011FDC" w14:paraId="0BA1C96F" w14:textId="77777777" w:rsidTr="00C27E59">
        <w:trPr>
          <w:trHeight w:val="300"/>
        </w:trPr>
        <w:tc>
          <w:tcPr>
            <w:tcW w:w="1288" w:type="pct"/>
            <w:vAlign w:val="center"/>
            <w:hideMark/>
          </w:tcPr>
          <w:p w14:paraId="4718BD45" w14:textId="77777777" w:rsidR="00011FDC" w:rsidRPr="00833422" w:rsidRDefault="00011FDC" w:rsidP="00C27E59">
            <w:pPr>
              <w:pStyle w:val="TableText0"/>
              <w:rPr>
                <w:b/>
                <w:bCs w:val="0"/>
              </w:rPr>
            </w:pPr>
            <w:r w:rsidRPr="00833422">
              <w:rPr>
                <w:b/>
                <w:bCs w:val="0"/>
              </w:rPr>
              <w:t>Vaccine cost</w:t>
            </w:r>
          </w:p>
        </w:tc>
        <w:tc>
          <w:tcPr>
            <w:tcW w:w="1346" w:type="pct"/>
            <w:vAlign w:val="center"/>
            <w:hideMark/>
          </w:tcPr>
          <w:p w14:paraId="1B21D87C" w14:textId="77777777" w:rsidR="00011FDC" w:rsidRDefault="00011FDC" w:rsidP="00C27E59">
            <w:pPr>
              <w:pStyle w:val="TableText0"/>
              <w:jc w:val="center"/>
            </w:pPr>
            <w:r>
              <w:t>$114.99</w:t>
            </w:r>
          </w:p>
        </w:tc>
        <w:tc>
          <w:tcPr>
            <w:tcW w:w="1256" w:type="pct"/>
            <w:vAlign w:val="center"/>
            <w:hideMark/>
          </w:tcPr>
          <w:p w14:paraId="7C7ACD68" w14:textId="77777777" w:rsidR="00011FDC" w:rsidRDefault="00011FDC" w:rsidP="00C27E59">
            <w:pPr>
              <w:pStyle w:val="TableText0"/>
              <w:jc w:val="center"/>
            </w:pPr>
            <w:r>
              <w:t>$114.99</w:t>
            </w:r>
          </w:p>
        </w:tc>
        <w:tc>
          <w:tcPr>
            <w:tcW w:w="1110" w:type="pct"/>
            <w:vAlign w:val="center"/>
            <w:hideMark/>
          </w:tcPr>
          <w:p w14:paraId="0E27101C" w14:textId="77777777" w:rsidR="00011FDC" w:rsidRDefault="00011FDC" w:rsidP="00C27E59">
            <w:pPr>
              <w:pStyle w:val="TableText0"/>
              <w:jc w:val="center"/>
            </w:pPr>
            <w:r>
              <w:t>$0.00</w:t>
            </w:r>
          </w:p>
        </w:tc>
      </w:tr>
      <w:tr w:rsidR="00011FDC" w14:paraId="46D8CE3C" w14:textId="77777777" w:rsidTr="00C27E59">
        <w:trPr>
          <w:trHeight w:val="300"/>
        </w:trPr>
        <w:tc>
          <w:tcPr>
            <w:tcW w:w="1288" w:type="pct"/>
            <w:vAlign w:val="center"/>
            <w:hideMark/>
          </w:tcPr>
          <w:p w14:paraId="58B950D5" w14:textId="77777777" w:rsidR="00011FDC" w:rsidRPr="00833422" w:rsidRDefault="00011FDC" w:rsidP="00C27E59">
            <w:pPr>
              <w:pStyle w:val="TableText0"/>
              <w:rPr>
                <w:b/>
                <w:bCs w:val="0"/>
              </w:rPr>
            </w:pPr>
            <w:r w:rsidRPr="00833422">
              <w:rPr>
                <w:b/>
                <w:bCs w:val="0"/>
              </w:rPr>
              <w:t xml:space="preserve">Administration costs </w:t>
            </w:r>
          </w:p>
          <w:p w14:paraId="585EED58" w14:textId="77777777" w:rsidR="00011FDC" w:rsidRPr="00833422" w:rsidRDefault="00011FDC" w:rsidP="00C27E59">
            <w:pPr>
              <w:pStyle w:val="TableText0"/>
              <w:rPr>
                <w:b/>
                <w:bCs w:val="0"/>
              </w:rPr>
            </w:pPr>
            <w:r w:rsidRPr="00833422">
              <w:rPr>
                <w:b/>
                <w:bCs w:val="0"/>
              </w:rPr>
              <w:t>(MBS item 3)</w:t>
            </w:r>
          </w:p>
        </w:tc>
        <w:tc>
          <w:tcPr>
            <w:tcW w:w="1346" w:type="pct"/>
            <w:vAlign w:val="center"/>
            <w:hideMark/>
          </w:tcPr>
          <w:p w14:paraId="4CC42D5F" w14:textId="77777777" w:rsidR="00011FDC" w:rsidRDefault="00011FDC" w:rsidP="00C27E59">
            <w:pPr>
              <w:pStyle w:val="TableText0"/>
              <w:jc w:val="center"/>
            </w:pPr>
            <w:r>
              <w:t>$17.90</w:t>
            </w:r>
          </w:p>
        </w:tc>
        <w:tc>
          <w:tcPr>
            <w:tcW w:w="1256" w:type="pct"/>
            <w:vAlign w:val="center"/>
            <w:hideMark/>
          </w:tcPr>
          <w:p w14:paraId="1D0D7EA3" w14:textId="77777777" w:rsidR="00011FDC" w:rsidRDefault="00011FDC" w:rsidP="00C27E59">
            <w:pPr>
              <w:pStyle w:val="TableText0"/>
              <w:jc w:val="center"/>
            </w:pPr>
            <w:r>
              <w:t>$17.90</w:t>
            </w:r>
          </w:p>
        </w:tc>
        <w:tc>
          <w:tcPr>
            <w:tcW w:w="1110" w:type="pct"/>
            <w:vAlign w:val="center"/>
            <w:hideMark/>
          </w:tcPr>
          <w:p w14:paraId="29C006FD" w14:textId="77777777" w:rsidR="00011FDC" w:rsidRDefault="00011FDC" w:rsidP="00C27E59">
            <w:pPr>
              <w:pStyle w:val="TableText0"/>
              <w:jc w:val="center"/>
            </w:pPr>
            <w:r>
              <w:t>$0.00</w:t>
            </w:r>
          </w:p>
        </w:tc>
      </w:tr>
      <w:tr w:rsidR="00011FDC" w14:paraId="48E4E21A" w14:textId="77777777" w:rsidTr="00C27E59">
        <w:trPr>
          <w:trHeight w:val="300"/>
        </w:trPr>
        <w:tc>
          <w:tcPr>
            <w:tcW w:w="1288" w:type="pct"/>
            <w:vAlign w:val="center"/>
            <w:hideMark/>
          </w:tcPr>
          <w:p w14:paraId="066CA1BA" w14:textId="77777777" w:rsidR="00011FDC" w:rsidRPr="00833422" w:rsidRDefault="00011FDC" w:rsidP="00C27E59">
            <w:pPr>
              <w:pStyle w:val="TableText0"/>
              <w:rPr>
                <w:b/>
                <w:bCs w:val="0"/>
              </w:rPr>
            </w:pPr>
            <w:r w:rsidRPr="00833422">
              <w:rPr>
                <w:b/>
                <w:bCs w:val="0"/>
              </w:rPr>
              <w:t xml:space="preserve"> Total Cost per dose</w:t>
            </w:r>
          </w:p>
        </w:tc>
        <w:tc>
          <w:tcPr>
            <w:tcW w:w="1346" w:type="pct"/>
            <w:vAlign w:val="center"/>
            <w:hideMark/>
          </w:tcPr>
          <w:p w14:paraId="10850C74" w14:textId="77777777" w:rsidR="00011FDC" w:rsidRDefault="00011FDC" w:rsidP="00C27E59">
            <w:pPr>
              <w:pStyle w:val="TableText0"/>
              <w:jc w:val="center"/>
            </w:pPr>
            <w:r>
              <w:t>$132.89</w:t>
            </w:r>
          </w:p>
        </w:tc>
        <w:tc>
          <w:tcPr>
            <w:tcW w:w="1256" w:type="pct"/>
            <w:vAlign w:val="center"/>
            <w:hideMark/>
          </w:tcPr>
          <w:p w14:paraId="5B3B743D" w14:textId="77777777" w:rsidR="00011FDC" w:rsidRDefault="00011FDC" w:rsidP="00C27E59">
            <w:pPr>
              <w:pStyle w:val="TableText0"/>
              <w:jc w:val="center"/>
            </w:pPr>
            <w:r>
              <w:t>$132.89</w:t>
            </w:r>
          </w:p>
        </w:tc>
        <w:tc>
          <w:tcPr>
            <w:tcW w:w="1110" w:type="pct"/>
            <w:vAlign w:val="center"/>
            <w:hideMark/>
          </w:tcPr>
          <w:p w14:paraId="12E7278C" w14:textId="77777777" w:rsidR="00011FDC" w:rsidRDefault="00011FDC" w:rsidP="00C27E59">
            <w:pPr>
              <w:pStyle w:val="TableText0"/>
              <w:jc w:val="center"/>
            </w:pPr>
            <w:r>
              <w:t>$0.00</w:t>
            </w:r>
          </w:p>
        </w:tc>
      </w:tr>
    </w:tbl>
    <w:p w14:paraId="0FC2DAC9" w14:textId="77777777" w:rsidR="00011FDC" w:rsidRDefault="00011FDC" w:rsidP="00011FDC">
      <w:pPr>
        <w:pStyle w:val="TableFigureFooter"/>
      </w:pPr>
      <w:r>
        <w:t xml:space="preserve">Source: Table 3.4-1, p178 of the submission. </w:t>
      </w:r>
    </w:p>
    <w:p w14:paraId="4150149B" w14:textId="77777777" w:rsidR="00011FDC" w:rsidRDefault="00011FDC" w:rsidP="00011FDC">
      <w:pPr>
        <w:pStyle w:val="TableFigureFooter"/>
      </w:pPr>
      <w:r>
        <w:rPr>
          <w:szCs w:val="20"/>
        </w:rPr>
        <w:t xml:space="preserve">MBS = Medicare Benefits Schedule; </w:t>
      </w:r>
      <w:r>
        <w:t>PCV</w:t>
      </w:r>
      <w:r w:rsidRPr="003A0170">
        <w:t xml:space="preserve">13 = </w:t>
      </w:r>
      <w:r>
        <w:t>13-valent pneumococcal conjugate vaccine</w:t>
      </w:r>
      <w:r w:rsidRPr="003A0170">
        <w:t xml:space="preserve">; PCV15 = </w:t>
      </w:r>
      <w:r>
        <w:t>15-valent pneumococcal conjugate vaccine</w:t>
      </w:r>
    </w:p>
    <w:p w14:paraId="38335201" w14:textId="77777777" w:rsidR="00011FDC" w:rsidRDefault="00011FDC" w:rsidP="00011FDC">
      <w:pPr>
        <w:pStyle w:val="4-SubsectionHeading"/>
      </w:pPr>
      <w:bookmarkStart w:id="47" w:name="_Toc22897646"/>
      <w:bookmarkStart w:id="48" w:name="_Toc82613949"/>
      <w:r>
        <w:t>Vaccine</w:t>
      </w:r>
      <w:r w:rsidRPr="002C2775">
        <w:t xml:space="preserve"> cost/patient/course</w:t>
      </w:r>
      <w:bookmarkEnd w:id="47"/>
      <w:bookmarkEnd w:id="48"/>
    </w:p>
    <w:p w14:paraId="23DDC615" w14:textId="77777777" w:rsidR="00011FDC" w:rsidRPr="00F93A3C" w:rsidRDefault="00011FDC" w:rsidP="00011FDC">
      <w:pPr>
        <w:pStyle w:val="3-BodyText"/>
      </w:pPr>
      <w:bookmarkStart w:id="49" w:name="_Hlk86339156"/>
      <w:r w:rsidRPr="00F93A3C">
        <w:t xml:space="preserve">Vaccine cost per patient per course was estimated at $114.99 based on </w:t>
      </w:r>
      <w:r w:rsidR="00676906" w:rsidRPr="00F93A3C">
        <w:t>the publicly</w:t>
      </w:r>
      <w:r w:rsidR="00A71FDE" w:rsidRPr="00F93A3C">
        <w:t xml:space="preserve"> available private market </w:t>
      </w:r>
      <w:r w:rsidRPr="00F93A3C">
        <w:t>price</w:t>
      </w:r>
      <w:r w:rsidR="002014B0" w:rsidRPr="00F93A3C">
        <w:t xml:space="preserve"> (based on 1 dose, the same </w:t>
      </w:r>
      <w:r w:rsidR="00FC4ADA" w:rsidRPr="00F93A3C">
        <w:t>cost/patient/course</w:t>
      </w:r>
      <w:r w:rsidR="002014B0" w:rsidRPr="00F93A3C">
        <w:t xml:space="preserve"> was applied in the financial estimates)</w:t>
      </w:r>
      <w:r w:rsidRPr="00F93A3C">
        <w:t>.</w:t>
      </w:r>
    </w:p>
    <w:p w14:paraId="0E04E5AE" w14:textId="77777777" w:rsidR="00011FDC" w:rsidRPr="00C9624D" w:rsidRDefault="00011FDC" w:rsidP="00011FDC">
      <w:pPr>
        <w:pStyle w:val="4-SubsectionHeading"/>
      </w:pPr>
      <w:bookmarkStart w:id="50" w:name="_Toc22897647"/>
      <w:bookmarkStart w:id="51" w:name="_Toc82613950"/>
      <w:bookmarkEnd w:id="49"/>
      <w:r w:rsidRPr="00C9624D">
        <w:t>Estimated PBS usage &amp; financial implications</w:t>
      </w:r>
      <w:bookmarkEnd w:id="50"/>
      <w:bookmarkEnd w:id="51"/>
    </w:p>
    <w:p w14:paraId="6CEBF3B7" w14:textId="77777777" w:rsidR="00B011BE" w:rsidRPr="00F93A3C" w:rsidRDefault="00011FDC" w:rsidP="00011FDC">
      <w:pPr>
        <w:pStyle w:val="3-BodyText"/>
        <w:rPr>
          <w:color w:val="0066FF"/>
        </w:rPr>
      </w:pPr>
      <w:bookmarkStart w:id="52" w:name="_Hlk86339646"/>
      <w:r w:rsidRPr="00F93A3C">
        <w:t xml:space="preserve">This submission </w:t>
      </w:r>
      <w:r w:rsidR="00463AB6">
        <w:t>was not</w:t>
      </w:r>
      <w:r w:rsidRPr="00F93A3C">
        <w:t xml:space="preserve"> considered by DUSC</w:t>
      </w:r>
      <w:r w:rsidRPr="00F93A3C">
        <w:rPr>
          <w:color w:val="0070C0"/>
        </w:rPr>
        <w:t xml:space="preserve">. </w:t>
      </w:r>
    </w:p>
    <w:bookmarkEnd w:id="52"/>
    <w:p w14:paraId="32F19377" w14:textId="77777777" w:rsidR="00011FDC" w:rsidRPr="002C39BC" w:rsidRDefault="00011FDC" w:rsidP="00011FDC">
      <w:pPr>
        <w:pStyle w:val="3-BodyText"/>
        <w:rPr>
          <w:color w:val="0066FF"/>
        </w:rPr>
      </w:pPr>
      <w:r w:rsidRPr="002C39BC">
        <w:t>The submission used an epidemiological approach to estimate the extent of use and financial impact of reimbursing PCV15 for the proposed populations. The submission assumed that PCV</w:t>
      </w:r>
      <w:r w:rsidR="008E7A3D" w:rsidRPr="002C39BC">
        <w:t>1</w:t>
      </w:r>
      <w:r w:rsidR="003F502C" w:rsidRPr="002C39BC">
        <w:t>5</w:t>
      </w:r>
      <w:r w:rsidRPr="002C39BC">
        <w:t xml:space="preserve"> </w:t>
      </w:r>
      <w:r w:rsidR="001B6BA1" w:rsidRPr="002C39BC">
        <w:t>would be</w:t>
      </w:r>
      <w:r w:rsidRPr="002C39BC">
        <w:t xml:space="preserve"> listed in 2023</w:t>
      </w:r>
      <w:r w:rsidR="00F61E9A" w:rsidRPr="002C39BC">
        <w:t xml:space="preserve"> and that it would </w:t>
      </w:r>
      <w:r w:rsidR="00DD2637" w:rsidRPr="002C39BC">
        <w:t xml:space="preserve">fully </w:t>
      </w:r>
      <w:r w:rsidR="00F61E9A" w:rsidRPr="002C39BC">
        <w:t>replace PCV1</w:t>
      </w:r>
      <w:r w:rsidR="00A0132B" w:rsidRPr="002C39BC">
        <w:t>3</w:t>
      </w:r>
      <w:r w:rsidR="00F61E9A" w:rsidRPr="002C39BC">
        <w:t xml:space="preserve"> </w:t>
      </w:r>
      <w:r w:rsidR="00292AEE" w:rsidRPr="002C39BC">
        <w:t>in the proposed p</w:t>
      </w:r>
      <w:r w:rsidR="002D022B" w:rsidRPr="002C39BC">
        <w:t>opulations</w:t>
      </w:r>
      <w:r w:rsidRPr="002C39BC">
        <w:t>.</w:t>
      </w:r>
      <w:r w:rsidR="006E16B2" w:rsidRPr="002C39BC">
        <w:t xml:space="preserve"> </w:t>
      </w:r>
      <w:bookmarkStart w:id="53" w:name="_Hlk85208425"/>
      <w:r w:rsidR="001A5209" w:rsidRPr="002C39BC">
        <w:t>ATAGI noted that t</w:t>
      </w:r>
      <w:r w:rsidR="006E16B2" w:rsidRPr="002C39BC">
        <w:t xml:space="preserve">he market share of </w:t>
      </w:r>
      <w:r w:rsidR="00F66F7A" w:rsidRPr="002C39BC">
        <w:t xml:space="preserve">pneumococcal vaccines </w:t>
      </w:r>
      <w:r w:rsidR="006E16B2" w:rsidRPr="002C39BC">
        <w:t xml:space="preserve">supplied on the NIP </w:t>
      </w:r>
      <w:r w:rsidR="00876A88">
        <w:t>would</w:t>
      </w:r>
      <w:r w:rsidR="00876A88" w:rsidRPr="002C39BC">
        <w:t xml:space="preserve"> </w:t>
      </w:r>
      <w:r w:rsidR="006E16B2" w:rsidRPr="002C39BC">
        <w:t>depend on the outcome of a competitive tender process</w:t>
      </w:r>
      <w:r w:rsidR="00D60C4D" w:rsidRPr="002C39BC">
        <w:t xml:space="preserve"> (</w:t>
      </w:r>
      <w:r w:rsidR="007C6BC1" w:rsidRPr="002C39BC">
        <w:t>p8 of the ATAGI advice)</w:t>
      </w:r>
      <w:r w:rsidR="006E16B2" w:rsidRPr="002C39BC">
        <w:t>.</w:t>
      </w:r>
      <w:r w:rsidR="0084338C" w:rsidRPr="002C39BC">
        <w:t xml:space="preserve"> </w:t>
      </w:r>
      <w:bookmarkEnd w:id="53"/>
      <w:r w:rsidR="0084338C" w:rsidRPr="002C39BC">
        <w:t xml:space="preserve">Noting this ATAGI advice, and in the context of a cost-minimisation </w:t>
      </w:r>
      <w:r w:rsidR="00876A88">
        <w:t>approach</w:t>
      </w:r>
      <w:r w:rsidR="0084338C" w:rsidRPr="002C39BC">
        <w:t>, the listing would be expected to be cost-neutral to the NIP.</w:t>
      </w:r>
      <w:r w:rsidR="006E16B2" w:rsidRPr="002C39BC">
        <w:t xml:space="preserve"> </w:t>
      </w:r>
      <w:r w:rsidRPr="002C39BC">
        <w:t xml:space="preserve">A summary of key inputs used in the estimation is presented in </w:t>
      </w:r>
      <w:r w:rsidR="00AF41F4" w:rsidRPr="002C39BC">
        <w:t>the table below</w:t>
      </w:r>
      <w:r w:rsidRPr="002C39BC">
        <w:t xml:space="preserve">. </w:t>
      </w:r>
    </w:p>
    <w:p w14:paraId="78B309EE" w14:textId="77777777" w:rsidR="00861FC3" w:rsidRPr="00F93A3C" w:rsidRDefault="00861FC3" w:rsidP="00861FC3">
      <w:pPr>
        <w:pStyle w:val="3-BodyText"/>
        <w:numPr>
          <w:ilvl w:val="0"/>
          <w:numId w:val="0"/>
        </w:numPr>
        <w:rPr>
          <w:color w:val="0066FF"/>
        </w:rPr>
      </w:pPr>
    </w:p>
    <w:p w14:paraId="0790D72A" w14:textId="77777777" w:rsidR="00011FDC" w:rsidRPr="00B75753" w:rsidRDefault="00011FDC" w:rsidP="00011FDC">
      <w:pPr>
        <w:pStyle w:val="TableFigureHeading"/>
        <w:rPr>
          <w:rStyle w:val="CommentReference"/>
          <w:b/>
          <w:szCs w:val="24"/>
        </w:rPr>
      </w:pPr>
      <w:r w:rsidRPr="00282CFD">
        <w:rPr>
          <w:rStyle w:val="CommentReference"/>
          <w:b/>
          <w:szCs w:val="24"/>
        </w:rPr>
        <w:t xml:space="preserve">Table </w:t>
      </w:r>
      <w:r w:rsidR="00F52B83" w:rsidRPr="00282CFD">
        <w:rPr>
          <w:rStyle w:val="CommentReference"/>
          <w:b/>
          <w:szCs w:val="24"/>
        </w:rPr>
        <w:t>9</w:t>
      </w:r>
      <w:r w:rsidRPr="00282CFD">
        <w:rPr>
          <w:rStyle w:val="CommentReference"/>
          <w:b/>
          <w:szCs w:val="24"/>
        </w:rPr>
        <w:t>: Key inputs for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969"/>
        <w:gridCol w:w="3402"/>
      </w:tblGrid>
      <w:tr w:rsidR="00011FDC" w:rsidRPr="00914C77" w14:paraId="60E244D3" w14:textId="77777777" w:rsidTr="00C27E59">
        <w:trPr>
          <w:tblHeader/>
        </w:trPr>
        <w:tc>
          <w:tcPr>
            <w:tcW w:w="1696" w:type="dxa"/>
            <w:vAlign w:val="center"/>
          </w:tcPr>
          <w:p w14:paraId="5A9B28B8" w14:textId="77777777" w:rsidR="00011FDC" w:rsidRPr="00282CFD" w:rsidRDefault="00011FDC" w:rsidP="00C27E59">
            <w:pPr>
              <w:pStyle w:val="In-tableHeading"/>
              <w:jc w:val="center"/>
            </w:pPr>
            <w:r w:rsidRPr="00282CFD">
              <w:t xml:space="preserve">Parameter </w:t>
            </w:r>
          </w:p>
        </w:tc>
        <w:tc>
          <w:tcPr>
            <w:tcW w:w="3969" w:type="dxa"/>
            <w:vAlign w:val="center"/>
          </w:tcPr>
          <w:p w14:paraId="0D75F91B" w14:textId="77777777" w:rsidR="00011FDC" w:rsidRPr="00282CFD" w:rsidRDefault="00011FDC" w:rsidP="00C27E59">
            <w:pPr>
              <w:pStyle w:val="In-tableHeading"/>
              <w:jc w:val="center"/>
            </w:pPr>
            <w:r w:rsidRPr="00282CFD">
              <w:t>Value applied and source</w:t>
            </w:r>
          </w:p>
        </w:tc>
        <w:tc>
          <w:tcPr>
            <w:tcW w:w="3402" w:type="dxa"/>
            <w:vAlign w:val="center"/>
          </w:tcPr>
          <w:p w14:paraId="01E2479F" w14:textId="77777777" w:rsidR="00011FDC" w:rsidRPr="00282CFD" w:rsidRDefault="00011FDC" w:rsidP="00C27E59">
            <w:pPr>
              <w:pStyle w:val="In-tableHeading"/>
              <w:jc w:val="center"/>
            </w:pPr>
            <w:r w:rsidRPr="00282CFD">
              <w:t>Comment</w:t>
            </w:r>
          </w:p>
        </w:tc>
      </w:tr>
      <w:tr w:rsidR="00011FDC" w14:paraId="6F853457" w14:textId="77777777" w:rsidTr="00C27E59">
        <w:tc>
          <w:tcPr>
            <w:tcW w:w="9067" w:type="dxa"/>
            <w:gridSpan w:val="3"/>
            <w:vAlign w:val="center"/>
          </w:tcPr>
          <w:p w14:paraId="637736FB" w14:textId="77777777" w:rsidR="00011FDC" w:rsidRPr="00B75753" w:rsidRDefault="00011FDC" w:rsidP="00C27E59">
            <w:pPr>
              <w:pStyle w:val="TableText0"/>
              <w:rPr>
                <w:b/>
                <w:bCs w:val="0"/>
                <w:i/>
                <w:iCs/>
                <w:highlight w:val="green"/>
              </w:rPr>
            </w:pPr>
            <w:r w:rsidRPr="000248F3">
              <w:rPr>
                <w:b/>
                <w:bCs w:val="0"/>
              </w:rPr>
              <w:t xml:space="preserve">Non-Indigenous adults aged </w:t>
            </w:r>
            <w:r w:rsidRPr="000248F3">
              <w:rPr>
                <w:rFonts w:cs="Calibri"/>
                <w:b/>
                <w:bCs w:val="0"/>
              </w:rPr>
              <w:t>≥</w:t>
            </w:r>
            <w:r w:rsidRPr="000248F3">
              <w:rPr>
                <w:b/>
                <w:bCs w:val="0"/>
              </w:rPr>
              <w:t>70 years</w:t>
            </w:r>
          </w:p>
        </w:tc>
      </w:tr>
      <w:tr w:rsidR="00011FDC" w14:paraId="5E0E2974" w14:textId="77777777" w:rsidTr="00B454E8">
        <w:tc>
          <w:tcPr>
            <w:tcW w:w="1696" w:type="dxa"/>
          </w:tcPr>
          <w:p w14:paraId="6435E2CB" w14:textId="77777777" w:rsidR="001D58B7" w:rsidRPr="000248F3" w:rsidRDefault="00011FDC" w:rsidP="00762648">
            <w:pPr>
              <w:pStyle w:val="TableText0"/>
            </w:pPr>
            <w:r w:rsidRPr="000248F3">
              <w:t>Vaccine naïve</w:t>
            </w:r>
          </w:p>
          <w:p w14:paraId="024A62E3" w14:textId="77777777" w:rsidR="00011FDC" w:rsidRPr="000248F3" w:rsidRDefault="00011FDC" w:rsidP="00762648">
            <w:pPr>
              <w:pStyle w:val="TableText0"/>
            </w:pPr>
            <w:r w:rsidRPr="000248F3">
              <w:t>(70-year-old)</w:t>
            </w:r>
          </w:p>
        </w:tc>
        <w:tc>
          <w:tcPr>
            <w:tcW w:w="3969" w:type="dxa"/>
          </w:tcPr>
          <w:p w14:paraId="7AC04978" w14:textId="77777777" w:rsidR="00011FDC" w:rsidRPr="000248F3" w:rsidRDefault="00B75753" w:rsidP="00762648">
            <w:pPr>
              <w:pStyle w:val="TableText0"/>
            </w:pPr>
            <w:r>
              <w:rPr>
                <w:noProof/>
                <w:color w:val="000000"/>
                <w:highlight w:val="black"/>
              </w:rPr>
              <w:t>'''''''''''''''''</w:t>
            </w:r>
            <w:r w:rsidR="0066539D" w:rsidRPr="00B75753">
              <w:rPr>
                <w:vertAlign w:val="superscript"/>
              </w:rPr>
              <w:t>1</w:t>
            </w:r>
            <w:r w:rsidR="00011FDC" w:rsidRPr="000248F3">
              <w:t xml:space="preserve"> in Yr 1 to </w:t>
            </w:r>
            <w:r>
              <w:rPr>
                <w:noProof/>
                <w:color w:val="000000"/>
                <w:highlight w:val="black"/>
              </w:rPr>
              <w:t>'''''''''''''''''''''</w:t>
            </w:r>
            <w:r w:rsidR="0066539D" w:rsidRPr="00B75753">
              <w:rPr>
                <w:vertAlign w:val="superscript"/>
              </w:rPr>
              <w:t>1</w:t>
            </w:r>
            <w:r w:rsidR="00011FDC" w:rsidRPr="000248F3">
              <w:t xml:space="preserve"> in Yr 6. Annual projected 70-year-old population from ABS</w:t>
            </w:r>
            <w:r w:rsidR="00876A88" w:rsidRPr="000248F3">
              <w:t>.</w:t>
            </w:r>
          </w:p>
        </w:tc>
        <w:tc>
          <w:tcPr>
            <w:tcW w:w="3402" w:type="dxa"/>
          </w:tcPr>
          <w:p w14:paraId="3DCF8AD7" w14:textId="77777777" w:rsidR="00011FDC" w:rsidRPr="000248F3" w:rsidRDefault="00011FDC" w:rsidP="00762648">
            <w:pPr>
              <w:pStyle w:val="TableText0"/>
            </w:pPr>
            <w:r w:rsidRPr="000248F3">
              <w:t>Appropriate</w:t>
            </w:r>
            <w:r w:rsidR="00876A88" w:rsidRPr="000248F3">
              <w:t>.</w:t>
            </w:r>
          </w:p>
        </w:tc>
      </w:tr>
      <w:tr w:rsidR="00011FDC" w14:paraId="281D4D9C" w14:textId="77777777" w:rsidTr="00B454E8">
        <w:tc>
          <w:tcPr>
            <w:tcW w:w="1696" w:type="dxa"/>
          </w:tcPr>
          <w:p w14:paraId="60592EB1" w14:textId="77777777" w:rsidR="00011FDC" w:rsidRPr="000248F3" w:rsidRDefault="00011FDC" w:rsidP="00762648">
            <w:pPr>
              <w:pStyle w:val="TableText0"/>
            </w:pPr>
            <w:r w:rsidRPr="000248F3">
              <w:t>Uptake rate: vaccine naïve</w:t>
            </w:r>
          </w:p>
        </w:tc>
        <w:tc>
          <w:tcPr>
            <w:tcW w:w="3969" w:type="dxa"/>
          </w:tcPr>
          <w:p w14:paraId="58611730" w14:textId="77777777" w:rsidR="00011FDC" w:rsidRPr="000248F3" w:rsidRDefault="00011FDC" w:rsidP="00762648">
            <w:pPr>
              <w:pStyle w:val="TableText0"/>
            </w:pPr>
            <w:r w:rsidRPr="000248F3">
              <w:t>55%</w:t>
            </w:r>
            <w:r w:rsidR="00A22991" w:rsidRPr="000248F3">
              <w:t xml:space="preserve"> based on </w:t>
            </w:r>
            <w:r w:rsidRPr="000248F3">
              <w:t xml:space="preserve">ATAGI’s advice for PCV13 in </w:t>
            </w:r>
            <w:r w:rsidR="005E4767" w:rsidRPr="000248F3">
              <w:t xml:space="preserve">older </w:t>
            </w:r>
            <w:r w:rsidRPr="000248F3">
              <w:t>adults (para 6.28, PCV13, PSD, July 2015 PBAC meeting)</w:t>
            </w:r>
            <w:r w:rsidR="00876A88" w:rsidRPr="000248F3">
              <w:t>.</w:t>
            </w:r>
          </w:p>
        </w:tc>
        <w:tc>
          <w:tcPr>
            <w:tcW w:w="3402" w:type="dxa"/>
          </w:tcPr>
          <w:p w14:paraId="1FC372F1" w14:textId="77777777" w:rsidR="00011FDC" w:rsidRPr="000248F3" w:rsidRDefault="00011FDC" w:rsidP="00762648">
            <w:pPr>
              <w:pStyle w:val="TableText0"/>
            </w:pPr>
            <w:r w:rsidRPr="000248F3">
              <w:t>Appropriate</w:t>
            </w:r>
            <w:r w:rsidR="00876A88" w:rsidRPr="000248F3">
              <w:t>.</w:t>
            </w:r>
          </w:p>
        </w:tc>
      </w:tr>
      <w:tr w:rsidR="00011FDC" w14:paraId="00978F49" w14:textId="77777777" w:rsidTr="00B454E8">
        <w:tc>
          <w:tcPr>
            <w:tcW w:w="1696" w:type="dxa"/>
          </w:tcPr>
          <w:p w14:paraId="07372D25" w14:textId="77777777" w:rsidR="00011FDC" w:rsidRPr="000248F3" w:rsidRDefault="00735FBD" w:rsidP="00762648">
            <w:pPr>
              <w:pStyle w:val="TableText0"/>
            </w:pPr>
            <w:r w:rsidRPr="000248F3">
              <w:t>Available population for c</w:t>
            </w:r>
            <w:r w:rsidR="00011FDC" w:rsidRPr="000248F3">
              <w:t>atch up (71 to 84 years)</w:t>
            </w:r>
          </w:p>
        </w:tc>
        <w:tc>
          <w:tcPr>
            <w:tcW w:w="3969" w:type="dxa"/>
          </w:tcPr>
          <w:p w14:paraId="6ACBA541" w14:textId="77777777" w:rsidR="00351E09" w:rsidRPr="000248F3" w:rsidRDefault="00B75753" w:rsidP="00351E09">
            <w:pPr>
              <w:pStyle w:val="CommentText"/>
            </w:pPr>
            <w:r>
              <w:rPr>
                <w:rFonts w:ascii="Arial Narrow" w:hAnsi="Arial Narrow"/>
                <w:noProof/>
                <w:color w:val="000000"/>
                <w:highlight w:val="black"/>
              </w:rPr>
              <w:t>'''''''''''''''''''''</w:t>
            </w:r>
            <w:r w:rsidR="0066539D" w:rsidRPr="00B75753">
              <w:rPr>
                <w:rFonts w:ascii="Arial Narrow" w:hAnsi="Arial Narrow"/>
                <w:vertAlign w:val="superscript"/>
              </w:rPr>
              <w:t>2</w:t>
            </w:r>
            <w:r w:rsidR="00011FDC" w:rsidRPr="000248F3">
              <w:rPr>
                <w:rFonts w:ascii="Arial Narrow" w:hAnsi="Arial Narrow"/>
              </w:rPr>
              <w:t xml:space="preserve"> in Yr 1 to </w:t>
            </w:r>
            <w:r>
              <w:rPr>
                <w:rFonts w:ascii="Arial Narrow" w:hAnsi="Arial Narrow"/>
                <w:noProof/>
                <w:color w:val="000000"/>
                <w:highlight w:val="black"/>
              </w:rPr>
              <w:t>''''</w:t>
            </w:r>
            <w:r w:rsidR="0066539D" w:rsidRPr="00B75753">
              <w:rPr>
                <w:rFonts w:ascii="Arial Narrow" w:hAnsi="Arial Narrow"/>
                <w:vertAlign w:val="superscript"/>
              </w:rPr>
              <w:t>3</w:t>
            </w:r>
            <w:r w:rsidR="00011FDC" w:rsidRPr="000248F3">
              <w:rPr>
                <w:rFonts w:ascii="Arial Narrow" w:hAnsi="Arial Narrow"/>
              </w:rPr>
              <w:t xml:space="preserve"> in Yr 6. ABS and estimate</w:t>
            </w:r>
            <w:r w:rsidR="004509B3" w:rsidRPr="000248F3">
              <w:rPr>
                <w:rFonts w:ascii="Arial Narrow" w:hAnsi="Arial Narrow"/>
              </w:rPr>
              <w:t>d</w:t>
            </w:r>
            <w:r w:rsidR="000A6BE9" w:rsidRPr="000248F3">
              <w:rPr>
                <w:rFonts w:ascii="Arial Narrow" w:eastAsiaTheme="majorEastAsia" w:hAnsi="Arial Narrow" w:cstheme="majorBidi"/>
                <w:bCs/>
                <w:i/>
                <w:iCs/>
              </w:rPr>
              <w:t>.</w:t>
            </w:r>
            <w:r w:rsidR="00351E09" w:rsidRPr="000248F3">
              <w:rPr>
                <w:rFonts w:ascii="Arial Narrow" w:eastAsiaTheme="majorEastAsia" w:hAnsi="Arial Narrow" w:cstheme="majorBidi"/>
                <w:bCs/>
                <w:i/>
                <w:iCs/>
              </w:rPr>
              <w:t xml:space="preserve"> </w:t>
            </w:r>
            <w:r w:rsidR="00351E09" w:rsidRPr="000248F3">
              <w:rPr>
                <w:rFonts w:ascii="Arial Narrow" w:eastAsiaTheme="majorEastAsia" w:hAnsi="Arial Narrow" w:cstheme="majorBidi"/>
                <w:bCs/>
              </w:rPr>
              <w:t>This number corresponds t</w:t>
            </w:r>
            <w:r w:rsidR="008550D3" w:rsidRPr="000248F3">
              <w:rPr>
                <w:rFonts w:ascii="Arial Narrow" w:eastAsiaTheme="majorEastAsia" w:hAnsi="Arial Narrow" w:cstheme="majorBidi"/>
                <w:bCs/>
              </w:rPr>
              <w:t>o</w:t>
            </w:r>
            <w:r w:rsidR="00351E09" w:rsidRPr="000248F3">
              <w:rPr>
                <w:rFonts w:ascii="Arial Narrow" w:eastAsiaTheme="majorEastAsia" w:hAnsi="Arial Narrow" w:cstheme="majorBidi"/>
                <w:bCs/>
              </w:rPr>
              <w:t xml:space="preserve"> those who did not receive PCV13 in</w:t>
            </w:r>
            <w:r w:rsidR="008550D3" w:rsidRPr="000248F3">
              <w:rPr>
                <w:rFonts w:ascii="Arial Narrow" w:eastAsiaTheme="majorEastAsia" w:hAnsi="Arial Narrow" w:cstheme="majorBidi"/>
                <w:bCs/>
              </w:rPr>
              <w:t xml:space="preserve"> the</w:t>
            </w:r>
            <w:r w:rsidR="00351E09" w:rsidRPr="000248F3">
              <w:rPr>
                <w:rFonts w:ascii="Arial Narrow" w:eastAsiaTheme="majorEastAsia" w:hAnsi="Arial Narrow" w:cstheme="majorBidi"/>
                <w:bCs/>
              </w:rPr>
              <w:t xml:space="preserve"> previous </w:t>
            </w:r>
            <w:r w:rsidR="008550D3" w:rsidRPr="000248F3">
              <w:rPr>
                <w:rFonts w:ascii="Arial Narrow" w:eastAsiaTheme="majorEastAsia" w:hAnsi="Arial Narrow" w:cstheme="majorBidi"/>
                <w:bCs/>
              </w:rPr>
              <w:t xml:space="preserve">three </w:t>
            </w:r>
            <w:r w:rsidR="00351E09" w:rsidRPr="000248F3">
              <w:rPr>
                <w:rFonts w:ascii="Arial Narrow" w:eastAsiaTheme="majorEastAsia" w:hAnsi="Arial Narrow" w:cstheme="majorBidi"/>
                <w:bCs/>
              </w:rPr>
              <w:t>years (since</w:t>
            </w:r>
            <w:r w:rsidR="00D84DAC" w:rsidRPr="000248F3">
              <w:rPr>
                <w:rFonts w:ascii="Arial Narrow" w:eastAsiaTheme="majorEastAsia" w:hAnsi="Arial Narrow" w:cstheme="majorBidi"/>
                <w:bCs/>
              </w:rPr>
              <w:t xml:space="preserve"> 1 </w:t>
            </w:r>
            <w:r w:rsidR="00DA371B" w:rsidRPr="000248F3">
              <w:rPr>
                <w:rFonts w:ascii="Arial Narrow" w:eastAsiaTheme="majorEastAsia" w:hAnsi="Arial Narrow" w:cstheme="majorBidi"/>
                <w:bCs/>
              </w:rPr>
              <w:t>July 2020</w:t>
            </w:r>
            <w:r w:rsidR="00351E09" w:rsidRPr="000248F3">
              <w:rPr>
                <w:rFonts w:ascii="Arial Narrow" w:eastAsiaTheme="majorEastAsia" w:hAnsi="Arial Narrow" w:cstheme="majorBidi"/>
                <w:bCs/>
              </w:rPr>
              <w:t>)</w:t>
            </w:r>
            <w:r w:rsidR="008550D3" w:rsidRPr="000248F3">
              <w:rPr>
                <w:rFonts w:ascii="Arial Narrow" w:eastAsiaTheme="majorEastAsia" w:hAnsi="Arial Narrow" w:cstheme="majorBidi"/>
                <w:bCs/>
              </w:rPr>
              <w:t>.</w:t>
            </w:r>
          </w:p>
          <w:p w14:paraId="218F8D06" w14:textId="77777777" w:rsidR="00011FDC" w:rsidRPr="000248F3" w:rsidRDefault="00011FDC" w:rsidP="00762648">
            <w:pPr>
              <w:pStyle w:val="TableText0"/>
            </w:pPr>
          </w:p>
        </w:tc>
        <w:tc>
          <w:tcPr>
            <w:tcW w:w="3402" w:type="dxa"/>
          </w:tcPr>
          <w:p w14:paraId="1B21F3ED" w14:textId="77777777" w:rsidR="00011FDC" w:rsidRPr="000248F3" w:rsidRDefault="009C5BF2" w:rsidP="00762648">
            <w:pPr>
              <w:pStyle w:val="TableText0"/>
            </w:pPr>
            <w:r w:rsidRPr="000248F3">
              <w:t>Uncertain</w:t>
            </w:r>
            <w:r w:rsidR="00C40C0A" w:rsidRPr="000248F3">
              <w:t xml:space="preserve">. </w:t>
            </w:r>
          </w:p>
        </w:tc>
      </w:tr>
      <w:tr w:rsidR="00011FDC" w14:paraId="3BA33136" w14:textId="77777777" w:rsidTr="00B454E8">
        <w:tc>
          <w:tcPr>
            <w:tcW w:w="1696" w:type="dxa"/>
          </w:tcPr>
          <w:p w14:paraId="5160A23C" w14:textId="77777777" w:rsidR="00011FDC" w:rsidRPr="000248F3" w:rsidRDefault="00011FDC" w:rsidP="00762648">
            <w:pPr>
              <w:pStyle w:val="TableText0"/>
            </w:pPr>
            <w:r w:rsidRPr="000248F3">
              <w:t>Uptake rate: catch up (71 to 84 years)</w:t>
            </w:r>
          </w:p>
        </w:tc>
        <w:tc>
          <w:tcPr>
            <w:tcW w:w="3969" w:type="dxa"/>
          </w:tcPr>
          <w:p w14:paraId="033CB2EA" w14:textId="77777777" w:rsidR="00011FDC" w:rsidRPr="000248F3" w:rsidRDefault="00011FDC" w:rsidP="00762648">
            <w:pPr>
              <w:pStyle w:val="TableText0"/>
            </w:pPr>
            <w:r w:rsidRPr="000248F3">
              <w:t>35%</w:t>
            </w:r>
            <w:r w:rsidR="001F21A5" w:rsidRPr="000248F3">
              <w:t xml:space="preserve"> based on </w:t>
            </w:r>
            <w:r w:rsidRPr="000248F3">
              <w:t>ATAGI’s advice for PCV13 in adults (para 6.29, PCV13, PSD, July 2015 PBAC meeting)</w:t>
            </w:r>
            <w:r w:rsidR="008219F9" w:rsidRPr="000248F3">
              <w:t xml:space="preserve">. </w:t>
            </w:r>
          </w:p>
        </w:tc>
        <w:tc>
          <w:tcPr>
            <w:tcW w:w="3402" w:type="dxa"/>
          </w:tcPr>
          <w:p w14:paraId="4AA87527" w14:textId="77777777" w:rsidR="00011FDC" w:rsidRPr="000248F3" w:rsidRDefault="00011FDC" w:rsidP="00762648">
            <w:pPr>
              <w:pStyle w:val="TableText0"/>
            </w:pPr>
            <w:r w:rsidRPr="000248F3">
              <w:t>Uncertain</w:t>
            </w:r>
            <w:r w:rsidR="00DA371B" w:rsidRPr="000248F3">
              <w:t>.</w:t>
            </w:r>
            <w:r w:rsidRPr="000248F3">
              <w:t xml:space="preserve"> </w:t>
            </w:r>
            <w:r w:rsidR="00DA371B" w:rsidRPr="000248F3">
              <w:t>T</w:t>
            </w:r>
            <w:r w:rsidR="00DA371B" w:rsidRPr="000248F3">
              <w:rPr>
                <w:rFonts w:cstheme="minorHAnsi"/>
              </w:rPr>
              <w:t xml:space="preserve">he PBAC </w:t>
            </w:r>
            <w:r w:rsidR="00876A88" w:rsidRPr="000248F3">
              <w:rPr>
                <w:rFonts w:cstheme="minorHAnsi"/>
              </w:rPr>
              <w:t xml:space="preserve">had </w:t>
            </w:r>
            <w:r w:rsidR="00DA371B" w:rsidRPr="000248F3">
              <w:rPr>
                <w:rFonts w:cstheme="minorHAnsi"/>
              </w:rPr>
              <w:t xml:space="preserve">previously considered that there were no reliable data to inform the likely uptake for the catch-up program (para 6.29, PCV13, PSD, July 2015 PBAC meeting). </w:t>
            </w:r>
            <w:r w:rsidR="00B97BBD" w:rsidRPr="000248F3">
              <w:t>T</w:t>
            </w:r>
            <w:r w:rsidRPr="000248F3">
              <w:t xml:space="preserve">his rate </w:t>
            </w:r>
            <w:r w:rsidR="00B97BBD" w:rsidRPr="000248F3">
              <w:t xml:space="preserve">was applied </w:t>
            </w:r>
            <w:r w:rsidR="00D33FBA" w:rsidRPr="000248F3">
              <w:t xml:space="preserve">each year </w:t>
            </w:r>
            <w:r w:rsidR="00135DF4" w:rsidRPr="000248F3">
              <w:t xml:space="preserve">which </w:t>
            </w:r>
            <w:r w:rsidRPr="000248F3">
              <w:t>result</w:t>
            </w:r>
            <w:r w:rsidR="00672FBF" w:rsidRPr="000248F3">
              <w:t>ed</w:t>
            </w:r>
            <w:r w:rsidRPr="000248F3">
              <w:t xml:space="preserve"> in </w:t>
            </w:r>
            <w:r w:rsidR="002E1C2F" w:rsidRPr="000248F3">
              <w:t>most of the</w:t>
            </w:r>
            <w:r w:rsidRPr="000248F3">
              <w:t xml:space="preserve"> catch up population </w:t>
            </w:r>
            <w:r w:rsidR="00C35BBC" w:rsidRPr="000248F3">
              <w:t>being</w:t>
            </w:r>
            <w:r w:rsidRPr="000248F3">
              <w:t xml:space="preserve"> vaccinated by Yr 6.</w:t>
            </w:r>
          </w:p>
        </w:tc>
      </w:tr>
      <w:tr w:rsidR="00011FDC" w14:paraId="6AF69E5D" w14:textId="77777777" w:rsidTr="00B454E8">
        <w:tc>
          <w:tcPr>
            <w:tcW w:w="9067" w:type="dxa"/>
            <w:gridSpan w:val="3"/>
          </w:tcPr>
          <w:p w14:paraId="7EA3BF80" w14:textId="77777777" w:rsidR="00011FDC" w:rsidRPr="000248F3" w:rsidRDefault="00011FDC" w:rsidP="00762648">
            <w:pPr>
              <w:pStyle w:val="TableText0"/>
              <w:rPr>
                <w:b/>
                <w:bCs w:val="0"/>
              </w:rPr>
            </w:pPr>
            <w:r w:rsidRPr="000248F3">
              <w:rPr>
                <w:b/>
                <w:bCs w:val="0"/>
              </w:rPr>
              <w:t xml:space="preserve">Indigenous adults aged </w:t>
            </w:r>
            <w:r w:rsidRPr="000248F3">
              <w:rPr>
                <w:rFonts w:cs="Calibri"/>
                <w:b/>
                <w:bCs w:val="0"/>
              </w:rPr>
              <w:t>≥</w:t>
            </w:r>
            <w:r w:rsidRPr="000248F3">
              <w:rPr>
                <w:b/>
                <w:bCs w:val="0"/>
              </w:rPr>
              <w:t>50 years</w:t>
            </w:r>
          </w:p>
        </w:tc>
      </w:tr>
      <w:tr w:rsidR="00011FDC" w14:paraId="673545E6" w14:textId="77777777" w:rsidTr="00B454E8">
        <w:tc>
          <w:tcPr>
            <w:tcW w:w="1696" w:type="dxa"/>
          </w:tcPr>
          <w:p w14:paraId="12264236" w14:textId="77777777" w:rsidR="00011FDC" w:rsidRPr="000248F3" w:rsidRDefault="00011FDC" w:rsidP="00762648">
            <w:pPr>
              <w:pStyle w:val="TableText0"/>
            </w:pPr>
            <w:r w:rsidRPr="000248F3">
              <w:t>Vaccine naïve (50-year-old)</w:t>
            </w:r>
          </w:p>
        </w:tc>
        <w:tc>
          <w:tcPr>
            <w:tcW w:w="3969" w:type="dxa"/>
          </w:tcPr>
          <w:p w14:paraId="60C6BECC" w14:textId="77777777" w:rsidR="00011FDC" w:rsidRPr="000248F3" w:rsidRDefault="00B75753" w:rsidP="00762648">
            <w:pPr>
              <w:pStyle w:val="TableText0"/>
            </w:pPr>
            <w:r>
              <w:rPr>
                <w:noProof/>
                <w:color w:val="000000"/>
                <w:highlight w:val="black"/>
              </w:rPr>
              <w:t>''''''''''''''</w:t>
            </w:r>
            <w:r w:rsidR="0066539D" w:rsidRPr="00B75753">
              <w:rPr>
                <w:vertAlign w:val="superscript"/>
              </w:rPr>
              <w:t>4</w:t>
            </w:r>
            <w:r w:rsidR="00011FDC" w:rsidRPr="000248F3">
              <w:t xml:space="preserve"> in Yr 1 to </w:t>
            </w:r>
            <w:r>
              <w:rPr>
                <w:noProof/>
                <w:color w:val="000000"/>
                <w:highlight w:val="black"/>
              </w:rPr>
              <w:t>''''''''''''</w:t>
            </w:r>
            <w:r w:rsidR="0066539D" w:rsidRPr="00B75753">
              <w:rPr>
                <w:vertAlign w:val="superscript"/>
              </w:rPr>
              <w:t>4</w:t>
            </w:r>
            <w:r w:rsidR="00011FDC" w:rsidRPr="000248F3">
              <w:t xml:space="preserve"> in Yr 6. Estimate based on annual projected 70-year-old population from ABS</w:t>
            </w:r>
          </w:p>
        </w:tc>
        <w:tc>
          <w:tcPr>
            <w:tcW w:w="3402" w:type="dxa"/>
          </w:tcPr>
          <w:p w14:paraId="43928641" w14:textId="77777777" w:rsidR="00011FDC" w:rsidRPr="000248F3" w:rsidRDefault="00011FDC" w:rsidP="00762648">
            <w:pPr>
              <w:pStyle w:val="TableText0"/>
            </w:pPr>
            <w:r w:rsidRPr="000248F3">
              <w:t>Appropriate</w:t>
            </w:r>
            <w:r w:rsidR="00876A88" w:rsidRPr="000248F3">
              <w:t>.</w:t>
            </w:r>
          </w:p>
        </w:tc>
      </w:tr>
      <w:tr w:rsidR="00011FDC" w14:paraId="4208D19E" w14:textId="77777777" w:rsidTr="00B454E8">
        <w:tc>
          <w:tcPr>
            <w:tcW w:w="1696" w:type="dxa"/>
          </w:tcPr>
          <w:p w14:paraId="01C7840A" w14:textId="77777777" w:rsidR="00011FDC" w:rsidRPr="000248F3" w:rsidRDefault="00011FDC" w:rsidP="00762648">
            <w:pPr>
              <w:pStyle w:val="TableText0"/>
            </w:pPr>
            <w:r w:rsidRPr="000248F3">
              <w:t>Uptake rate: vaccine naïve</w:t>
            </w:r>
          </w:p>
        </w:tc>
        <w:tc>
          <w:tcPr>
            <w:tcW w:w="3969" w:type="dxa"/>
          </w:tcPr>
          <w:p w14:paraId="5E21344B" w14:textId="77777777" w:rsidR="00011FDC" w:rsidRPr="000248F3" w:rsidRDefault="00011FDC" w:rsidP="00762648">
            <w:pPr>
              <w:pStyle w:val="TableText0"/>
            </w:pPr>
            <w:r w:rsidRPr="000248F3">
              <w:t>35%</w:t>
            </w:r>
            <w:r w:rsidR="000D4237" w:rsidRPr="000248F3">
              <w:t>, the</w:t>
            </w:r>
            <w:r w:rsidRPr="000248F3">
              <w:t xml:space="preserve"> </w:t>
            </w:r>
            <w:r w:rsidR="000D4237" w:rsidRPr="000248F3">
              <w:t>u</w:t>
            </w:r>
            <w:r w:rsidRPr="000248F3">
              <w:t>ptake rate used in PCV13 in adults submission (</w:t>
            </w:r>
            <w:r w:rsidR="009517E3" w:rsidRPr="000248F3">
              <w:t xml:space="preserve">for catch-up population, </w:t>
            </w:r>
            <w:r w:rsidRPr="000248F3">
              <w:t>para 6.29, PCV13; PSD, July 2015 PBAC meeting)</w:t>
            </w:r>
            <w:r w:rsidR="00EF02DC" w:rsidRPr="000248F3">
              <w:rPr>
                <w:i/>
                <w:iCs/>
              </w:rPr>
              <w:t xml:space="preserve"> </w:t>
            </w:r>
          </w:p>
        </w:tc>
        <w:tc>
          <w:tcPr>
            <w:tcW w:w="3402" w:type="dxa"/>
          </w:tcPr>
          <w:p w14:paraId="3AE01816" w14:textId="77777777" w:rsidR="00011FDC" w:rsidRPr="000248F3" w:rsidRDefault="00C71919" w:rsidP="00762648">
            <w:pPr>
              <w:pStyle w:val="TableText0"/>
            </w:pPr>
            <w:r w:rsidRPr="000248F3">
              <w:t>Uncertain</w:t>
            </w:r>
            <w:r w:rsidR="00DA371B" w:rsidRPr="000248F3">
              <w:t>. T</w:t>
            </w:r>
            <w:r w:rsidR="00DA371B" w:rsidRPr="000248F3">
              <w:rPr>
                <w:rFonts w:cstheme="minorHAnsi"/>
              </w:rPr>
              <w:t>he PBAC</w:t>
            </w:r>
            <w:r w:rsidR="00876A88" w:rsidRPr="000248F3">
              <w:rPr>
                <w:rFonts w:cstheme="minorHAnsi"/>
              </w:rPr>
              <w:t xml:space="preserve"> had</w:t>
            </w:r>
            <w:r w:rsidR="00DA371B" w:rsidRPr="000248F3">
              <w:rPr>
                <w:rFonts w:cstheme="minorHAnsi"/>
              </w:rPr>
              <w:t xml:space="preserve"> previously considered that there were no reliable data to inform the likely uptake for the catch-up program (para 6.29, PCV13, PSD, July 2015 PBAC meeting).</w:t>
            </w:r>
          </w:p>
        </w:tc>
      </w:tr>
      <w:tr w:rsidR="00011FDC" w14:paraId="7F88FB71" w14:textId="77777777" w:rsidTr="00B454E8">
        <w:tc>
          <w:tcPr>
            <w:tcW w:w="1696" w:type="dxa"/>
          </w:tcPr>
          <w:p w14:paraId="675E7B21" w14:textId="77777777" w:rsidR="00011FDC" w:rsidRPr="000248F3" w:rsidRDefault="009517E3" w:rsidP="00762648">
            <w:pPr>
              <w:pStyle w:val="TableText0"/>
            </w:pPr>
            <w:r w:rsidRPr="000248F3">
              <w:t>Available population for catch up</w:t>
            </w:r>
            <w:r w:rsidR="00011FDC" w:rsidRPr="000248F3">
              <w:t xml:space="preserve"> (</w:t>
            </w:r>
            <w:r w:rsidR="00011FDC" w:rsidRPr="000248F3">
              <w:rPr>
                <w:rFonts w:cs="Calibri"/>
              </w:rPr>
              <w:t>≥</w:t>
            </w:r>
            <w:r w:rsidR="00011FDC" w:rsidRPr="000248F3">
              <w:t>51 years)</w:t>
            </w:r>
          </w:p>
        </w:tc>
        <w:tc>
          <w:tcPr>
            <w:tcW w:w="3969" w:type="dxa"/>
          </w:tcPr>
          <w:p w14:paraId="2EA68DEF" w14:textId="77777777" w:rsidR="00011FDC" w:rsidRPr="000248F3" w:rsidRDefault="00B75753" w:rsidP="00762648">
            <w:pPr>
              <w:pStyle w:val="TableText0"/>
            </w:pPr>
            <w:r>
              <w:rPr>
                <w:noProof/>
                <w:color w:val="000000"/>
                <w:highlight w:val="black"/>
              </w:rPr>
              <w:t>''''''''''''''''''</w:t>
            </w:r>
            <w:r w:rsidR="0066539D" w:rsidRPr="00B75753">
              <w:rPr>
                <w:vertAlign w:val="superscript"/>
              </w:rPr>
              <w:t>5</w:t>
            </w:r>
            <w:r w:rsidR="00011FDC" w:rsidRPr="000248F3">
              <w:t xml:space="preserve"> in Yr 1 to </w:t>
            </w:r>
            <w:r>
              <w:rPr>
                <w:noProof/>
                <w:color w:val="000000"/>
                <w:highlight w:val="black"/>
              </w:rPr>
              <w:t>'''''''''''''''</w:t>
            </w:r>
            <w:r w:rsidR="0066539D" w:rsidRPr="00B75753">
              <w:rPr>
                <w:vertAlign w:val="superscript"/>
              </w:rPr>
              <w:t>6</w:t>
            </w:r>
            <w:r w:rsidR="00011FDC" w:rsidRPr="000248F3">
              <w:t xml:space="preserve"> in Yr 6. ABS and estimate</w:t>
            </w:r>
            <w:r w:rsidR="00A513C9" w:rsidRPr="000248F3">
              <w:t>.</w:t>
            </w:r>
            <w:r w:rsidR="002C08CF" w:rsidRPr="000248F3">
              <w:t xml:space="preserve"> This number corresponds to </w:t>
            </w:r>
            <w:r w:rsidR="002C08CF" w:rsidRPr="000248F3">
              <w:rPr>
                <w:bCs w:val="0"/>
              </w:rPr>
              <w:t>those who did not receive PCV13 in the previous three years (since</w:t>
            </w:r>
            <w:r w:rsidR="00D84DAC" w:rsidRPr="000248F3">
              <w:rPr>
                <w:bCs w:val="0"/>
              </w:rPr>
              <w:t xml:space="preserve"> 1 July</w:t>
            </w:r>
            <w:r w:rsidR="002C08CF" w:rsidRPr="000248F3">
              <w:rPr>
                <w:bCs w:val="0"/>
              </w:rPr>
              <w:t xml:space="preserve"> 2020).</w:t>
            </w:r>
          </w:p>
        </w:tc>
        <w:tc>
          <w:tcPr>
            <w:tcW w:w="3402" w:type="dxa"/>
          </w:tcPr>
          <w:p w14:paraId="469FE7B6" w14:textId="77777777" w:rsidR="00011FDC" w:rsidRPr="000248F3" w:rsidRDefault="00011FDC" w:rsidP="00762648">
            <w:pPr>
              <w:pStyle w:val="TableText0"/>
            </w:pPr>
            <w:r w:rsidRPr="000248F3">
              <w:t>Uncertain</w:t>
            </w:r>
            <w:r w:rsidR="007725AD" w:rsidRPr="000248F3">
              <w:t>.</w:t>
            </w:r>
          </w:p>
        </w:tc>
      </w:tr>
      <w:tr w:rsidR="00011FDC" w14:paraId="45F71860" w14:textId="77777777" w:rsidTr="00B454E8">
        <w:tc>
          <w:tcPr>
            <w:tcW w:w="1696" w:type="dxa"/>
          </w:tcPr>
          <w:p w14:paraId="45232572" w14:textId="77777777" w:rsidR="00011FDC" w:rsidRPr="000248F3" w:rsidRDefault="00011FDC" w:rsidP="00762648">
            <w:pPr>
              <w:pStyle w:val="TableText0"/>
            </w:pPr>
            <w:r w:rsidRPr="000248F3">
              <w:t>Uptake rate: catch up (</w:t>
            </w:r>
            <w:r w:rsidRPr="000248F3">
              <w:rPr>
                <w:rFonts w:cs="Calibri"/>
              </w:rPr>
              <w:t>≥</w:t>
            </w:r>
            <w:r w:rsidRPr="000248F3">
              <w:t>51 years)</w:t>
            </w:r>
          </w:p>
        </w:tc>
        <w:tc>
          <w:tcPr>
            <w:tcW w:w="3969" w:type="dxa"/>
          </w:tcPr>
          <w:p w14:paraId="706068F1" w14:textId="77777777" w:rsidR="00011FDC" w:rsidRPr="000248F3" w:rsidRDefault="00011FDC" w:rsidP="00762648">
            <w:pPr>
              <w:pStyle w:val="TableText0"/>
            </w:pPr>
            <w:r w:rsidRPr="000248F3">
              <w:t>20%. Assumption</w:t>
            </w:r>
            <w:r w:rsidR="00876A88" w:rsidRPr="000248F3">
              <w:t>.</w:t>
            </w:r>
          </w:p>
        </w:tc>
        <w:tc>
          <w:tcPr>
            <w:tcW w:w="3402" w:type="dxa"/>
          </w:tcPr>
          <w:p w14:paraId="3DA6E049" w14:textId="77777777" w:rsidR="00011FDC" w:rsidRPr="000248F3" w:rsidRDefault="004B5985" w:rsidP="00762648">
            <w:pPr>
              <w:pStyle w:val="TableText0"/>
            </w:pPr>
            <w:r w:rsidRPr="000248F3">
              <w:t>In line with evidence suggesting low</w:t>
            </w:r>
            <w:r w:rsidR="007725AD" w:rsidRPr="000248F3">
              <w:t>er</w:t>
            </w:r>
            <w:r w:rsidRPr="000248F3">
              <w:t xml:space="preserve"> coverage of pneumococcal vaccines in Australia in Indigenous a</w:t>
            </w:r>
            <w:r w:rsidR="00974632" w:rsidRPr="000248F3">
              <w:t>d</w:t>
            </w:r>
            <w:r w:rsidRPr="000248F3">
              <w:t>ults aged 50 – 64 years</w:t>
            </w:r>
            <w:r w:rsidR="00876A88" w:rsidRPr="000248F3">
              <w:t>.</w:t>
            </w:r>
            <w:r w:rsidRPr="000248F3">
              <w:rPr>
                <w:vertAlign w:val="superscript"/>
              </w:rPr>
              <w:t>a</w:t>
            </w:r>
          </w:p>
        </w:tc>
      </w:tr>
      <w:tr w:rsidR="00011FDC" w14:paraId="43CB7559" w14:textId="77777777" w:rsidTr="00B454E8">
        <w:tc>
          <w:tcPr>
            <w:tcW w:w="9067" w:type="dxa"/>
            <w:gridSpan w:val="3"/>
          </w:tcPr>
          <w:p w14:paraId="336EFC22" w14:textId="77777777" w:rsidR="00011FDC" w:rsidRPr="000248F3" w:rsidRDefault="00011FDC" w:rsidP="00762648">
            <w:pPr>
              <w:pStyle w:val="TableText0"/>
              <w:rPr>
                <w:b/>
                <w:bCs w:val="0"/>
              </w:rPr>
            </w:pPr>
            <w:r w:rsidRPr="000248F3">
              <w:rPr>
                <w:b/>
                <w:bCs w:val="0"/>
              </w:rPr>
              <w:t xml:space="preserve">Individuals at increased risk of pneumococcal disease aged </w:t>
            </w:r>
            <w:r w:rsidRPr="000248F3">
              <w:rPr>
                <w:rFonts w:cs="Calibri"/>
                <w:b/>
                <w:bCs w:val="0"/>
              </w:rPr>
              <w:t>≥18 years</w:t>
            </w:r>
          </w:p>
        </w:tc>
      </w:tr>
      <w:tr w:rsidR="00011FDC" w14:paraId="41BBA608" w14:textId="77777777" w:rsidTr="00B454E8">
        <w:tc>
          <w:tcPr>
            <w:tcW w:w="1696" w:type="dxa"/>
          </w:tcPr>
          <w:p w14:paraId="6F61BEBB" w14:textId="77777777" w:rsidR="00011FDC" w:rsidRPr="00B75753" w:rsidRDefault="00011FDC" w:rsidP="00762648">
            <w:pPr>
              <w:pStyle w:val="TableText0"/>
              <w:rPr>
                <w:highlight w:val="green"/>
              </w:rPr>
            </w:pPr>
            <w:r w:rsidRPr="000248F3">
              <w:t xml:space="preserve">Newly diagnosed aged </w:t>
            </w:r>
            <w:r w:rsidR="00437DB8" w:rsidRPr="000248F3">
              <w:t>≥</w:t>
            </w:r>
            <w:r w:rsidRPr="000248F3">
              <w:t>18</w:t>
            </w:r>
          </w:p>
        </w:tc>
        <w:tc>
          <w:tcPr>
            <w:tcW w:w="3969" w:type="dxa"/>
          </w:tcPr>
          <w:p w14:paraId="13DEFF40" w14:textId="77777777" w:rsidR="00011FDC" w:rsidRPr="00B75753" w:rsidRDefault="00B75753" w:rsidP="00762648">
            <w:pPr>
              <w:pStyle w:val="TableText0"/>
              <w:rPr>
                <w:highlight w:val="green"/>
              </w:rPr>
            </w:pPr>
            <w:r>
              <w:rPr>
                <w:noProof/>
                <w:color w:val="000000"/>
                <w:highlight w:val="black"/>
              </w:rPr>
              <w:t>'''''''''''''''</w:t>
            </w:r>
            <w:r w:rsidR="0066539D" w:rsidRPr="00B75753">
              <w:rPr>
                <w:vertAlign w:val="superscript"/>
              </w:rPr>
              <w:t>7</w:t>
            </w:r>
            <w:r w:rsidR="00011FDC" w:rsidRPr="000248F3">
              <w:t xml:space="preserve"> in Yr 1 to </w:t>
            </w:r>
            <w:r>
              <w:rPr>
                <w:noProof/>
                <w:color w:val="000000"/>
                <w:highlight w:val="black"/>
              </w:rPr>
              <w:t>'''''''''''''''''</w:t>
            </w:r>
            <w:r w:rsidR="0066539D" w:rsidRPr="00B75753">
              <w:rPr>
                <w:vertAlign w:val="superscript"/>
              </w:rPr>
              <w:t>7</w:t>
            </w:r>
            <w:r w:rsidR="0066539D" w:rsidRPr="00B75753">
              <w:t xml:space="preserve"> </w:t>
            </w:r>
            <w:r w:rsidR="00011FDC" w:rsidRPr="000248F3">
              <w:t xml:space="preserve"> in Yr 6. Estimate based on ATAGI advice for Yr 1 and assumed 1.7% annual growth (ABS) for the later years.</w:t>
            </w:r>
          </w:p>
        </w:tc>
        <w:tc>
          <w:tcPr>
            <w:tcW w:w="3402" w:type="dxa"/>
          </w:tcPr>
          <w:p w14:paraId="6CF302B4" w14:textId="77777777" w:rsidR="00011FDC" w:rsidRPr="000248F3" w:rsidRDefault="00011FDC" w:rsidP="00762648">
            <w:pPr>
              <w:pStyle w:val="TableText0"/>
            </w:pPr>
            <w:r w:rsidRPr="000248F3">
              <w:t>Likely overestimate</w:t>
            </w:r>
            <w:r w:rsidR="004E4648" w:rsidRPr="000248F3">
              <w:t>d</w:t>
            </w:r>
            <w:r w:rsidRPr="000248F3">
              <w:t xml:space="preserve">. The data provided by ATAGI </w:t>
            </w:r>
            <w:r w:rsidR="003C15D0" w:rsidRPr="000248F3">
              <w:t xml:space="preserve"> </w:t>
            </w:r>
            <w:r w:rsidRPr="000248F3">
              <w:t xml:space="preserve">included </w:t>
            </w:r>
            <w:r w:rsidR="00536CEA" w:rsidRPr="000248F3">
              <w:t>people</w:t>
            </w:r>
            <w:r w:rsidR="00B47BE8" w:rsidRPr="000248F3">
              <w:t xml:space="preserve"> aged</w:t>
            </w:r>
            <w:r w:rsidRPr="000248F3">
              <w:t xml:space="preserve"> 5-year</w:t>
            </w:r>
            <w:r w:rsidR="00B47BE8" w:rsidRPr="000248F3">
              <w:t>s</w:t>
            </w:r>
            <w:r w:rsidR="008671F6" w:rsidRPr="000248F3">
              <w:t xml:space="preserve"> </w:t>
            </w:r>
            <w:r w:rsidRPr="000248F3">
              <w:t xml:space="preserve">old and above. </w:t>
            </w:r>
            <w:r w:rsidR="00FF49F5" w:rsidRPr="000248F3">
              <w:t>It was also noted that p</w:t>
            </w:r>
            <w:r w:rsidRPr="000248F3">
              <w:t>revalence</w:t>
            </w:r>
            <w:r w:rsidR="004C1B39" w:rsidRPr="000248F3">
              <w:t>, not incidence,</w:t>
            </w:r>
            <w:r w:rsidR="003A7C54" w:rsidRPr="000248F3">
              <w:t xml:space="preserve"> </w:t>
            </w:r>
            <w:r w:rsidR="00FF49F5" w:rsidRPr="000248F3">
              <w:t xml:space="preserve">was </w:t>
            </w:r>
            <w:r w:rsidRPr="000248F3">
              <w:t xml:space="preserve">available for </w:t>
            </w:r>
            <w:r w:rsidR="004C1B39" w:rsidRPr="000248F3">
              <w:t xml:space="preserve">patients with </w:t>
            </w:r>
            <w:r w:rsidRPr="000248F3">
              <w:t xml:space="preserve">asplenia. </w:t>
            </w:r>
          </w:p>
        </w:tc>
      </w:tr>
      <w:tr w:rsidR="00011FDC" w14:paraId="25B47069" w14:textId="77777777" w:rsidTr="00D9108C">
        <w:trPr>
          <w:trHeight w:val="1401"/>
        </w:trPr>
        <w:tc>
          <w:tcPr>
            <w:tcW w:w="1696" w:type="dxa"/>
          </w:tcPr>
          <w:p w14:paraId="56DD5773" w14:textId="77777777" w:rsidR="00011FDC" w:rsidRPr="000248F3" w:rsidRDefault="00011FDC" w:rsidP="00762648">
            <w:pPr>
              <w:pStyle w:val="TableText0"/>
            </w:pPr>
            <w:r w:rsidRPr="000248F3">
              <w:t>Uptake rate</w:t>
            </w:r>
          </w:p>
        </w:tc>
        <w:tc>
          <w:tcPr>
            <w:tcW w:w="3969" w:type="dxa"/>
          </w:tcPr>
          <w:p w14:paraId="0470A8C1" w14:textId="77777777" w:rsidR="00011FDC" w:rsidRPr="000248F3" w:rsidRDefault="00011FDC" w:rsidP="00762648">
            <w:pPr>
              <w:pStyle w:val="TableText0"/>
            </w:pPr>
            <w:r w:rsidRPr="000248F3">
              <w:t>53%. Uptake rate used in PCV13 in increased risk individual</w:t>
            </w:r>
            <w:r w:rsidR="009517E3" w:rsidRPr="000248F3">
              <w:t>s</w:t>
            </w:r>
            <w:r w:rsidRPr="000248F3">
              <w:t xml:space="preserve"> submission (para 6.36, PCV13, PSD, </w:t>
            </w:r>
            <w:r w:rsidR="0064407B" w:rsidRPr="000248F3">
              <w:t>November</w:t>
            </w:r>
            <w:r w:rsidRPr="000248F3">
              <w:t xml:space="preserve"> 201</w:t>
            </w:r>
            <w:r w:rsidR="0064407B" w:rsidRPr="000248F3">
              <w:t>8</w:t>
            </w:r>
            <w:r w:rsidRPr="000248F3">
              <w:t xml:space="preserve"> PBAC meeting)</w:t>
            </w:r>
          </w:p>
        </w:tc>
        <w:tc>
          <w:tcPr>
            <w:tcW w:w="3402" w:type="dxa"/>
          </w:tcPr>
          <w:p w14:paraId="71069CA6" w14:textId="77777777" w:rsidR="00011FDC" w:rsidRPr="000248F3" w:rsidRDefault="00011FDC" w:rsidP="00762648">
            <w:pPr>
              <w:pStyle w:val="TableText0"/>
            </w:pPr>
            <w:r w:rsidRPr="000248F3">
              <w:t xml:space="preserve">The PBAC </w:t>
            </w:r>
            <w:r w:rsidR="00876A88" w:rsidRPr="000248F3">
              <w:t xml:space="preserve">had previously </w:t>
            </w:r>
            <w:r w:rsidRPr="000248F3">
              <w:t xml:space="preserve">considered such </w:t>
            </w:r>
            <w:r w:rsidR="00C26EED" w:rsidRPr="000248F3">
              <w:t xml:space="preserve">a </w:t>
            </w:r>
            <w:r w:rsidRPr="000248F3">
              <w:t>rate used in PCV13 in increased risk individual</w:t>
            </w:r>
            <w:r w:rsidR="009517E3" w:rsidRPr="000248F3">
              <w:t>s</w:t>
            </w:r>
            <w:r w:rsidRPr="000248F3">
              <w:t xml:space="preserve"> was uncertain (para 6.37, </w:t>
            </w:r>
            <w:r w:rsidR="009517E3" w:rsidRPr="000248F3">
              <w:t>PCV13</w:t>
            </w:r>
            <w:r w:rsidRPr="000248F3">
              <w:t xml:space="preserve">, </w:t>
            </w:r>
            <w:r w:rsidR="009517E3" w:rsidRPr="000248F3">
              <w:t>PSD</w:t>
            </w:r>
            <w:r w:rsidRPr="000248F3">
              <w:t xml:space="preserve">, </w:t>
            </w:r>
            <w:r w:rsidR="0064407B" w:rsidRPr="000248F3">
              <w:t>November</w:t>
            </w:r>
            <w:r w:rsidRPr="000248F3">
              <w:t xml:space="preserve"> 201</w:t>
            </w:r>
            <w:r w:rsidR="0064407B" w:rsidRPr="000248F3">
              <w:t>8</w:t>
            </w:r>
            <w:r w:rsidRPr="000248F3">
              <w:t xml:space="preserve"> PBAC meeting). </w:t>
            </w:r>
          </w:p>
        </w:tc>
      </w:tr>
    </w:tbl>
    <w:p w14:paraId="16493966" w14:textId="77777777" w:rsidR="00011FDC" w:rsidRDefault="00011FDC" w:rsidP="00011FDC">
      <w:pPr>
        <w:pStyle w:val="TableFigureFooter"/>
      </w:pPr>
      <w:r>
        <w:t xml:space="preserve">Source: </w:t>
      </w:r>
      <w:r w:rsidR="00182240">
        <w:rPr>
          <w:bCs/>
        </w:rPr>
        <w:t>sheet Dose estimation, Budget Impact Model Excel</w:t>
      </w:r>
      <w:r w:rsidR="00D03204">
        <w:t xml:space="preserve">. </w:t>
      </w:r>
    </w:p>
    <w:p w14:paraId="122BBBF3" w14:textId="77777777" w:rsidR="00011FDC" w:rsidRDefault="00011FDC" w:rsidP="00011FDC">
      <w:pPr>
        <w:pStyle w:val="TableFigureFooter"/>
      </w:pPr>
      <w:r>
        <w:t xml:space="preserve">ABS = Australia Bureau of Statistics; </w:t>
      </w:r>
      <w:r>
        <w:rPr>
          <w:bCs/>
          <w:szCs w:val="18"/>
        </w:rPr>
        <w:t>ATAGI =</w:t>
      </w:r>
      <w:r w:rsidRPr="00A92557">
        <w:t xml:space="preserve"> </w:t>
      </w:r>
      <w:r w:rsidRPr="00A92557">
        <w:rPr>
          <w:bCs/>
          <w:szCs w:val="18"/>
        </w:rPr>
        <w:t>Australian Technical Advisory Group on Immunisation</w:t>
      </w:r>
      <w:r>
        <w:rPr>
          <w:bCs/>
          <w:szCs w:val="18"/>
        </w:rPr>
        <w:t xml:space="preserve">; </w:t>
      </w:r>
      <w:r w:rsidRPr="0081303E">
        <w:rPr>
          <w:szCs w:val="18"/>
        </w:rPr>
        <w:t>PBAC = Pharmaceutical Benefits Advisory Committee</w:t>
      </w:r>
      <w:r>
        <w:rPr>
          <w:szCs w:val="18"/>
        </w:rPr>
        <w:t xml:space="preserve">; </w:t>
      </w:r>
      <w:r>
        <w:t>PCV</w:t>
      </w:r>
      <w:r w:rsidRPr="003A0170">
        <w:t xml:space="preserve">13 = </w:t>
      </w:r>
      <w:r>
        <w:t>13-valent pneumococcal conjugate vaccine;</w:t>
      </w:r>
      <w:r>
        <w:rPr>
          <w:szCs w:val="18"/>
        </w:rPr>
        <w:t xml:space="preserve"> PSD = Public Summary Document; </w:t>
      </w:r>
      <w:r>
        <w:t>PCV</w:t>
      </w:r>
      <w:r w:rsidRPr="003A0170">
        <w:t>1</w:t>
      </w:r>
      <w:r>
        <w:t>5</w:t>
      </w:r>
      <w:r w:rsidRPr="003A0170">
        <w:t xml:space="preserve"> = </w:t>
      </w:r>
      <w:r>
        <w:t>15-valent pneumococcal conjugate vaccine; Yr = year</w:t>
      </w:r>
    </w:p>
    <w:p w14:paraId="32D60E1A" w14:textId="77777777" w:rsidR="004B5985" w:rsidRDefault="004B5985" w:rsidP="004B5985">
      <w:pPr>
        <w:pStyle w:val="TableFigureFooter"/>
      </w:pPr>
      <w:r w:rsidRPr="00F075A4">
        <w:rPr>
          <w:vertAlign w:val="superscript"/>
        </w:rPr>
        <w:t>a</w:t>
      </w:r>
      <w:r w:rsidRPr="00F075A4">
        <w:t xml:space="preserve"> Webster et al., 2019</w:t>
      </w:r>
      <w:r>
        <w:t xml:space="preserve"> (</w:t>
      </w:r>
      <w:r w:rsidR="0066539D" w:rsidRPr="00B75753">
        <w:t>https://onlinelibrary.wiley.com/doi/full/10.1111/1753-6405.12944</w:t>
      </w:r>
      <w:r>
        <w:t>)</w:t>
      </w:r>
    </w:p>
    <w:p w14:paraId="58E7D775" w14:textId="77777777" w:rsidR="0066539D" w:rsidRPr="00B75753" w:rsidRDefault="0066539D" w:rsidP="004B5985">
      <w:pPr>
        <w:pStyle w:val="TableFigureFooter"/>
        <w:rPr>
          <w:i/>
        </w:rPr>
      </w:pPr>
      <w:r w:rsidRPr="00B75753">
        <w:rPr>
          <w:i/>
        </w:rPr>
        <w:t>The redacted values correspond to the following ranges:</w:t>
      </w:r>
    </w:p>
    <w:p w14:paraId="51417F71" w14:textId="77777777" w:rsidR="0066539D" w:rsidRPr="00B75753" w:rsidRDefault="0066539D" w:rsidP="004B5985">
      <w:pPr>
        <w:pStyle w:val="TableFigureFooter"/>
        <w:rPr>
          <w:i/>
        </w:rPr>
      </w:pPr>
      <w:r w:rsidRPr="00B75753">
        <w:rPr>
          <w:i/>
          <w:vertAlign w:val="superscript"/>
        </w:rPr>
        <w:t>1</w:t>
      </w:r>
      <w:r w:rsidRPr="00B75753">
        <w:rPr>
          <w:i/>
        </w:rPr>
        <w:t xml:space="preserve"> 200,000 to &lt; 300,000</w:t>
      </w:r>
    </w:p>
    <w:p w14:paraId="58C2E705" w14:textId="77777777" w:rsidR="0066539D" w:rsidRPr="00B75753" w:rsidRDefault="0066539D" w:rsidP="004B5985">
      <w:pPr>
        <w:pStyle w:val="TableFigureFooter"/>
        <w:rPr>
          <w:i/>
        </w:rPr>
      </w:pPr>
      <w:r w:rsidRPr="00B75753">
        <w:rPr>
          <w:i/>
          <w:vertAlign w:val="superscript"/>
        </w:rPr>
        <w:t>2</w:t>
      </w:r>
      <w:r w:rsidRPr="00B75753">
        <w:rPr>
          <w:i/>
        </w:rPr>
        <w:t xml:space="preserve"> 500,000 to &lt; 600,000</w:t>
      </w:r>
    </w:p>
    <w:p w14:paraId="482583E8" w14:textId="77777777" w:rsidR="0066539D" w:rsidRPr="00B75753" w:rsidRDefault="0066539D" w:rsidP="004B5985">
      <w:pPr>
        <w:pStyle w:val="TableFigureFooter"/>
        <w:rPr>
          <w:i/>
        </w:rPr>
      </w:pPr>
      <w:r w:rsidRPr="00B75753">
        <w:rPr>
          <w:i/>
          <w:vertAlign w:val="superscript"/>
        </w:rPr>
        <w:t>3</w:t>
      </w:r>
      <w:r w:rsidRPr="00B75753">
        <w:rPr>
          <w:i/>
        </w:rPr>
        <w:t xml:space="preserve"> &lt; 500</w:t>
      </w:r>
    </w:p>
    <w:p w14:paraId="624233FF" w14:textId="77777777" w:rsidR="0066539D" w:rsidRPr="00B75753" w:rsidRDefault="0066539D" w:rsidP="004B5985">
      <w:pPr>
        <w:pStyle w:val="TableFigureFooter"/>
        <w:rPr>
          <w:i/>
        </w:rPr>
      </w:pPr>
      <w:r w:rsidRPr="00B75753">
        <w:rPr>
          <w:i/>
          <w:vertAlign w:val="superscript"/>
        </w:rPr>
        <w:t>4</w:t>
      </w:r>
      <w:r w:rsidRPr="00B75753">
        <w:rPr>
          <w:i/>
        </w:rPr>
        <w:t xml:space="preserve"> 5,000 to &lt; 10,000</w:t>
      </w:r>
    </w:p>
    <w:p w14:paraId="20D199E0" w14:textId="77777777" w:rsidR="0066539D" w:rsidRPr="00B75753" w:rsidRDefault="0066539D" w:rsidP="004B5985">
      <w:pPr>
        <w:pStyle w:val="TableFigureFooter"/>
        <w:rPr>
          <w:i/>
        </w:rPr>
      </w:pPr>
      <w:r w:rsidRPr="00B75753">
        <w:rPr>
          <w:i/>
          <w:vertAlign w:val="superscript"/>
        </w:rPr>
        <w:t>5</w:t>
      </w:r>
      <w:r w:rsidRPr="00B75753">
        <w:rPr>
          <w:i/>
        </w:rPr>
        <w:t xml:space="preserve"> 70,000 to &lt; 80,000</w:t>
      </w:r>
    </w:p>
    <w:p w14:paraId="2408F0DB" w14:textId="77777777" w:rsidR="0066539D" w:rsidRPr="00B75753" w:rsidRDefault="0066539D" w:rsidP="004B5985">
      <w:pPr>
        <w:pStyle w:val="TableFigureFooter"/>
        <w:rPr>
          <w:i/>
        </w:rPr>
      </w:pPr>
      <w:r w:rsidRPr="00B75753">
        <w:rPr>
          <w:i/>
          <w:vertAlign w:val="superscript"/>
        </w:rPr>
        <w:t>6</w:t>
      </w:r>
      <w:r w:rsidRPr="00B75753">
        <w:rPr>
          <w:i/>
        </w:rPr>
        <w:t xml:space="preserve"> 30,000 to &lt; 40,000</w:t>
      </w:r>
    </w:p>
    <w:p w14:paraId="060CCA2B" w14:textId="77777777" w:rsidR="0066539D" w:rsidRPr="00B75753" w:rsidRDefault="0066539D" w:rsidP="004B5985">
      <w:pPr>
        <w:pStyle w:val="TableFigureFooter"/>
        <w:rPr>
          <w:i/>
        </w:rPr>
      </w:pPr>
      <w:r w:rsidRPr="00B75753">
        <w:rPr>
          <w:i/>
          <w:vertAlign w:val="superscript"/>
        </w:rPr>
        <w:t>7</w:t>
      </w:r>
      <w:r w:rsidRPr="00B75753">
        <w:rPr>
          <w:i/>
        </w:rPr>
        <w:t xml:space="preserve"> 20,000 to &lt; 30,000</w:t>
      </w:r>
    </w:p>
    <w:p w14:paraId="33B48779" w14:textId="77777777" w:rsidR="00011FDC" w:rsidRDefault="00011FDC" w:rsidP="00011FDC">
      <w:pPr>
        <w:pStyle w:val="In-tableHeading"/>
        <w:rPr>
          <w:lang w:val="en-AU"/>
        </w:rPr>
      </w:pPr>
    </w:p>
    <w:p w14:paraId="2FBDFB1C" w14:textId="77777777" w:rsidR="004F73FA" w:rsidRPr="00F93A3C" w:rsidRDefault="004F73FA" w:rsidP="004F73FA">
      <w:pPr>
        <w:pStyle w:val="3-BodyText"/>
        <w:rPr>
          <w:rFonts w:cstheme="minorHAnsi"/>
        </w:rPr>
      </w:pPr>
      <w:r>
        <w:t xml:space="preserve">The submission used an uptake rate per year of 55% for vaccine-naïve non-Indigenous adults aged </w:t>
      </w:r>
      <w:r w:rsidR="00437DB8">
        <w:rPr>
          <w:rFonts w:cstheme="minorHAnsi"/>
        </w:rPr>
        <w:t>≥</w:t>
      </w:r>
      <w:r>
        <w:t>70 years</w:t>
      </w:r>
      <w:r>
        <w:rPr>
          <w:rFonts w:cstheme="minorHAnsi"/>
        </w:rPr>
        <w:t xml:space="preserve">. This rate was </w:t>
      </w:r>
      <w:r>
        <w:t>based on ATAGI’s advice</w:t>
      </w:r>
      <w:r>
        <w:rPr>
          <w:rFonts w:cstheme="minorHAnsi"/>
        </w:rPr>
        <w:t xml:space="preserve"> for </w:t>
      </w:r>
      <w:r w:rsidR="00C26EED">
        <w:rPr>
          <w:rFonts w:cstheme="minorHAnsi"/>
        </w:rPr>
        <w:t xml:space="preserve">the </w:t>
      </w:r>
      <w:r>
        <w:rPr>
          <w:rFonts w:cstheme="minorHAnsi"/>
        </w:rPr>
        <w:t xml:space="preserve">PCV13 submission </w:t>
      </w:r>
      <w:r w:rsidRPr="00F93A3C">
        <w:rPr>
          <w:rFonts w:cstheme="minorHAnsi"/>
        </w:rPr>
        <w:t xml:space="preserve">in adults (para 6.28, PCV13; PSD, July 2015 PBAC meeting). The submission applied </w:t>
      </w:r>
      <w:r w:rsidR="007B7AEC" w:rsidRPr="00F93A3C">
        <w:rPr>
          <w:rFonts w:cstheme="minorHAnsi"/>
        </w:rPr>
        <w:t xml:space="preserve">a </w:t>
      </w:r>
      <w:r w:rsidR="00B674C6" w:rsidRPr="00F93A3C">
        <w:rPr>
          <w:rFonts w:cstheme="minorHAnsi"/>
        </w:rPr>
        <w:t>catch-up</w:t>
      </w:r>
      <w:r w:rsidRPr="00F93A3C">
        <w:rPr>
          <w:rFonts w:cstheme="minorHAnsi"/>
        </w:rPr>
        <w:t xml:space="preserve"> rate per year of 35% </w:t>
      </w:r>
      <w:r w:rsidRPr="00F93A3C">
        <w:t xml:space="preserve">(those aged 71-84 years who </w:t>
      </w:r>
      <w:r w:rsidR="0002731B" w:rsidRPr="00F93A3C">
        <w:t xml:space="preserve">were </w:t>
      </w:r>
      <w:r w:rsidRPr="00F93A3C">
        <w:t>not vaccinated at 70 year</w:t>
      </w:r>
      <w:r w:rsidR="0002731B" w:rsidRPr="00F93A3C">
        <w:t>s old</w:t>
      </w:r>
      <w:r w:rsidRPr="00F93A3C">
        <w:t xml:space="preserve">). This was also based the ATAGI’s advice for </w:t>
      </w:r>
      <w:r w:rsidR="007B7AEC" w:rsidRPr="00F93A3C">
        <w:t xml:space="preserve">the </w:t>
      </w:r>
      <w:r w:rsidRPr="00F93A3C">
        <w:t>PCV13 submission in adults (para 6.29, PCV13, PSD, July 2015 PBAC meeting). The use of these rates applied annually in the submission result</w:t>
      </w:r>
      <w:r w:rsidR="00876A88">
        <w:t>ed</w:t>
      </w:r>
      <w:r w:rsidRPr="00F93A3C">
        <w:t xml:space="preserve"> in </w:t>
      </w:r>
      <w:r w:rsidR="007B7AEC" w:rsidRPr="00F93A3C">
        <w:t xml:space="preserve">a </w:t>
      </w:r>
      <w:r w:rsidR="00963518" w:rsidRPr="00F93A3C">
        <w:t xml:space="preserve">high proportion </w:t>
      </w:r>
      <w:r w:rsidRPr="00F93A3C">
        <w:t xml:space="preserve">of the </w:t>
      </w:r>
      <w:r w:rsidR="00E143C6" w:rsidRPr="00F93A3C">
        <w:t xml:space="preserve">whole </w:t>
      </w:r>
      <w:r w:rsidR="00DA29D7" w:rsidRPr="00F93A3C">
        <w:t>eligible</w:t>
      </w:r>
      <w:r w:rsidR="005C3542" w:rsidRPr="00F93A3C">
        <w:t xml:space="preserve"> catch</w:t>
      </w:r>
      <w:r w:rsidR="00570A58" w:rsidRPr="00F93A3C">
        <w:t>-</w:t>
      </w:r>
      <w:r w:rsidR="005C3542" w:rsidRPr="00F93A3C">
        <w:t>up</w:t>
      </w:r>
      <w:r w:rsidR="00DA29D7" w:rsidRPr="00F93A3C">
        <w:t xml:space="preserve"> </w:t>
      </w:r>
      <w:r w:rsidRPr="00F93A3C">
        <w:t xml:space="preserve">population </w:t>
      </w:r>
      <w:r w:rsidR="00876A88">
        <w:t xml:space="preserve">being </w:t>
      </w:r>
      <w:r w:rsidRPr="00F93A3C">
        <w:t>vaccinated within year 6 of the estimate</w:t>
      </w:r>
      <w:r w:rsidR="00876A88">
        <w:t>s</w:t>
      </w:r>
      <w:r w:rsidR="006503E4" w:rsidRPr="00F93A3C">
        <w:t xml:space="preserve"> (e.g. those who miss the vaccine in the early years of the estimate, will </w:t>
      </w:r>
      <w:r w:rsidR="00F13E7C" w:rsidRPr="00F93A3C">
        <w:t xml:space="preserve">still </w:t>
      </w:r>
      <w:r w:rsidR="006503E4" w:rsidRPr="00F93A3C">
        <w:t xml:space="preserve">have </w:t>
      </w:r>
      <w:r w:rsidR="00741129" w:rsidRPr="00F93A3C">
        <w:t xml:space="preserve">a constant rate of </w:t>
      </w:r>
      <w:r w:rsidR="00DD2F8E" w:rsidRPr="00F93A3C">
        <w:t>35% per year</w:t>
      </w:r>
      <w:r w:rsidR="00804462" w:rsidRPr="00F93A3C">
        <w:t xml:space="preserve"> for catch up</w:t>
      </w:r>
      <w:r w:rsidR="00DD2F8E" w:rsidRPr="00F93A3C">
        <w:t xml:space="preserve"> at the later year</w:t>
      </w:r>
      <w:r w:rsidR="00F102BE" w:rsidRPr="00F93A3C">
        <w:t>s</w:t>
      </w:r>
      <w:r w:rsidR="00DD2F8E" w:rsidRPr="00F93A3C">
        <w:t>)</w:t>
      </w:r>
      <w:r w:rsidRPr="00F93A3C">
        <w:t xml:space="preserve">. This might not </w:t>
      </w:r>
      <w:r w:rsidR="00876A88">
        <w:t>have been</w:t>
      </w:r>
      <w:r w:rsidR="00876A88" w:rsidRPr="00F93A3C">
        <w:t xml:space="preserve"> </w:t>
      </w:r>
      <w:r w:rsidRPr="00F93A3C">
        <w:t>reasonable.</w:t>
      </w:r>
    </w:p>
    <w:p w14:paraId="265725F5" w14:textId="77777777" w:rsidR="004F73FA" w:rsidRPr="00F93A3C" w:rsidRDefault="004F73FA" w:rsidP="004F73FA">
      <w:pPr>
        <w:pStyle w:val="3-BodyText"/>
        <w:rPr>
          <w:rFonts w:cstheme="minorHAnsi"/>
        </w:rPr>
      </w:pPr>
      <w:r w:rsidRPr="00F93A3C">
        <w:t xml:space="preserve">The submission used an uptake rate per year of 35% for vaccine-naïve Indigenous adults aged </w:t>
      </w:r>
      <w:r w:rsidR="00437DB8" w:rsidRPr="00F93A3C">
        <w:rPr>
          <w:rFonts w:cstheme="minorHAnsi"/>
        </w:rPr>
        <w:t>≥</w:t>
      </w:r>
      <w:r w:rsidRPr="00F93A3C">
        <w:t>50 years</w:t>
      </w:r>
      <w:r w:rsidRPr="00F93A3C">
        <w:rPr>
          <w:rFonts w:cstheme="minorHAnsi"/>
        </w:rPr>
        <w:t xml:space="preserve">. This rate was </w:t>
      </w:r>
      <w:r w:rsidRPr="00F93A3C">
        <w:t>based on ATAGI’s advice</w:t>
      </w:r>
      <w:r w:rsidRPr="00F93A3C">
        <w:rPr>
          <w:rFonts w:cstheme="minorHAnsi"/>
        </w:rPr>
        <w:t xml:space="preserve"> for </w:t>
      </w:r>
      <w:r w:rsidR="007B7AEC" w:rsidRPr="00F93A3C">
        <w:rPr>
          <w:rFonts w:cstheme="minorHAnsi"/>
        </w:rPr>
        <w:t xml:space="preserve">the </w:t>
      </w:r>
      <w:r w:rsidRPr="00F93A3C">
        <w:rPr>
          <w:rFonts w:cstheme="minorHAnsi"/>
        </w:rPr>
        <w:t>PCV13 submission in adults (para 6.29, PCV13</w:t>
      </w:r>
      <w:r w:rsidR="008B3BCA" w:rsidRPr="00F93A3C">
        <w:rPr>
          <w:rFonts w:cstheme="minorHAnsi"/>
        </w:rPr>
        <w:t>,</w:t>
      </w:r>
      <w:r w:rsidRPr="00F93A3C">
        <w:rPr>
          <w:rFonts w:cstheme="minorHAnsi"/>
        </w:rPr>
        <w:t xml:space="preserve"> PSD, July 2015 PBAC meeting). The submission assumed </w:t>
      </w:r>
      <w:r w:rsidR="007B7AEC" w:rsidRPr="00F93A3C">
        <w:rPr>
          <w:rFonts w:cstheme="minorHAnsi"/>
        </w:rPr>
        <w:t>a</w:t>
      </w:r>
      <w:r w:rsidR="003823AE" w:rsidRPr="00F93A3C">
        <w:rPr>
          <w:rFonts w:cstheme="minorHAnsi"/>
        </w:rPr>
        <w:t xml:space="preserve"> </w:t>
      </w:r>
      <w:r w:rsidR="00343ED6" w:rsidRPr="00F93A3C">
        <w:rPr>
          <w:rFonts w:cstheme="minorHAnsi"/>
        </w:rPr>
        <w:t>catch-up</w:t>
      </w:r>
      <w:r w:rsidRPr="00F93A3C">
        <w:rPr>
          <w:rFonts w:cstheme="minorHAnsi"/>
        </w:rPr>
        <w:t xml:space="preserve"> rate per year of 20% </w:t>
      </w:r>
      <w:r w:rsidRPr="00F93A3C">
        <w:t>(those aged 51 years who are not vaccinated at 50 year). The use of these low rates appear</w:t>
      </w:r>
      <w:r w:rsidR="00912B79" w:rsidRPr="00F93A3C">
        <w:t>s</w:t>
      </w:r>
      <w:r w:rsidRPr="00F93A3C">
        <w:t xml:space="preserve"> to be in line with evidence showing low coverage of pneumococcal vaccines in Australia for Indigenous population</w:t>
      </w:r>
      <w:r w:rsidR="00912B79" w:rsidRPr="00F93A3C">
        <w:t>s</w:t>
      </w:r>
      <w:r w:rsidRPr="00F93A3C">
        <w:t xml:space="preserve"> aged 50 to 64 years (Webster et al., 2019)</w:t>
      </w:r>
      <w:r w:rsidR="000E1AFC" w:rsidRPr="00F93A3C">
        <w:t>.</w:t>
      </w:r>
    </w:p>
    <w:p w14:paraId="7857F819" w14:textId="77777777" w:rsidR="006D11DD" w:rsidRPr="00F93A3C" w:rsidRDefault="001526F1" w:rsidP="004F73FA">
      <w:pPr>
        <w:pStyle w:val="3-BodyText"/>
        <w:rPr>
          <w:rFonts w:cstheme="minorHAnsi"/>
        </w:rPr>
      </w:pPr>
      <w:r w:rsidRPr="00F93A3C">
        <w:rPr>
          <w:rFonts w:cstheme="minorHAnsi"/>
        </w:rPr>
        <w:t xml:space="preserve">For the catch-up </w:t>
      </w:r>
      <w:r w:rsidR="00B674C6" w:rsidRPr="00F93A3C">
        <w:rPr>
          <w:rFonts w:cstheme="minorHAnsi"/>
        </w:rPr>
        <w:t xml:space="preserve">population </w:t>
      </w:r>
      <w:r w:rsidR="00794EA9" w:rsidRPr="00F93A3C">
        <w:rPr>
          <w:rFonts w:cstheme="minorHAnsi"/>
        </w:rPr>
        <w:t>uptake</w:t>
      </w:r>
      <w:r w:rsidRPr="00F93A3C">
        <w:rPr>
          <w:rFonts w:cstheme="minorHAnsi"/>
        </w:rPr>
        <w:t xml:space="preserve">, </w:t>
      </w:r>
      <w:r w:rsidR="00205E10" w:rsidRPr="00F93A3C">
        <w:rPr>
          <w:rFonts w:cstheme="minorHAnsi"/>
        </w:rPr>
        <w:t>the PBAC</w:t>
      </w:r>
      <w:r w:rsidR="000025B3" w:rsidRPr="00F93A3C">
        <w:rPr>
          <w:rFonts w:cstheme="minorHAnsi"/>
        </w:rPr>
        <w:t xml:space="preserve"> </w:t>
      </w:r>
      <w:r w:rsidR="008F608F" w:rsidRPr="00F93A3C">
        <w:rPr>
          <w:rFonts w:cstheme="minorHAnsi"/>
        </w:rPr>
        <w:t xml:space="preserve">previously </w:t>
      </w:r>
      <w:r w:rsidR="001200F0" w:rsidRPr="00F93A3C">
        <w:rPr>
          <w:rFonts w:cstheme="minorHAnsi"/>
        </w:rPr>
        <w:t>considered that there were no reliable data to inform the likely uptake for the catch-up program</w:t>
      </w:r>
      <w:r w:rsidR="008F608F" w:rsidRPr="00F93A3C">
        <w:rPr>
          <w:rFonts w:cstheme="minorHAnsi"/>
        </w:rPr>
        <w:t xml:space="preserve"> </w:t>
      </w:r>
      <w:r w:rsidR="009F14A3" w:rsidRPr="00F93A3C">
        <w:rPr>
          <w:rFonts w:cstheme="minorHAnsi"/>
        </w:rPr>
        <w:t>(para 6.2</w:t>
      </w:r>
      <w:r w:rsidR="00DB1C6E" w:rsidRPr="00F93A3C">
        <w:rPr>
          <w:rFonts w:cstheme="minorHAnsi"/>
        </w:rPr>
        <w:t>9</w:t>
      </w:r>
      <w:r w:rsidR="009F14A3" w:rsidRPr="00F93A3C">
        <w:rPr>
          <w:rFonts w:cstheme="minorHAnsi"/>
        </w:rPr>
        <w:t>, PCV13, PSD, July 2015 PBAC meeting)</w:t>
      </w:r>
      <w:r w:rsidR="001200F0" w:rsidRPr="00F93A3C">
        <w:rPr>
          <w:rFonts w:cstheme="minorHAnsi"/>
        </w:rPr>
        <w:t>.</w:t>
      </w:r>
      <w:r w:rsidR="0006686A" w:rsidRPr="00F93A3C">
        <w:rPr>
          <w:rFonts w:cstheme="minorHAnsi"/>
        </w:rPr>
        <w:t xml:space="preserve"> Thus, assuming a consta</w:t>
      </w:r>
      <w:r w:rsidR="006156B3" w:rsidRPr="00F93A3C">
        <w:rPr>
          <w:rFonts w:cstheme="minorHAnsi"/>
        </w:rPr>
        <w:t>n</w:t>
      </w:r>
      <w:r w:rsidR="0006686A" w:rsidRPr="00F93A3C">
        <w:rPr>
          <w:rFonts w:cstheme="minorHAnsi"/>
        </w:rPr>
        <w:t xml:space="preserve">t rate of 35% per year </w:t>
      </w:r>
      <w:r w:rsidR="00876A88">
        <w:rPr>
          <w:rFonts w:cstheme="minorHAnsi"/>
        </w:rPr>
        <w:t>was</w:t>
      </w:r>
      <w:r w:rsidR="00876A88" w:rsidRPr="00F93A3C">
        <w:rPr>
          <w:rFonts w:cstheme="minorHAnsi"/>
        </w:rPr>
        <w:t xml:space="preserve"> </w:t>
      </w:r>
      <w:r w:rsidR="0006686A" w:rsidRPr="00F93A3C">
        <w:rPr>
          <w:rFonts w:cstheme="minorHAnsi"/>
        </w:rPr>
        <w:t xml:space="preserve">uncertain. </w:t>
      </w:r>
    </w:p>
    <w:p w14:paraId="61D5DDF4" w14:textId="77777777" w:rsidR="00904EFB" w:rsidRPr="002C39BC" w:rsidRDefault="00011FDC" w:rsidP="00904EFB">
      <w:pPr>
        <w:pStyle w:val="3-BodyText"/>
        <w:rPr>
          <w:rFonts w:cstheme="minorHAnsi"/>
        </w:rPr>
      </w:pPr>
      <w:r w:rsidRPr="002C39BC">
        <w:t xml:space="preserve">The submission used data </w:t>
      </w:r>
      <w:r w:rsidR="001D4307" w:rsidRPr="002C39BC">
        <w:t>from</w:t>
      </w:r>
      <w:r w:rsidRPr="002C39BC">
        <w:t xml:space="preserve"> 2020 provided by ATAGI (Table </w:t>
      </w:r>
      <w:r w:rsidR="00B938FD" w:rsidRPr="002C39BC">
        <w:t>A2</w:t>
      </w:r>
      <w:r w:rsidRPr="002C39BC">
        <w:t xml:space="preserve">, p58 of the ATAGI </w:t>
      </w:r>
      <w:r w:rsidR="001C7783" w:rsidRPr="002C39BC">
        <w:t>advice</w:t>
      </w:r>
      <w:r w:rsidRPr="002C39BC">
        <w:t xml:space="preserve">) to estimate </w:t>
      </w:r>
      <w:r w:rsidR="001D4307" w:rsidRPr="002C39BC">
        <w:t xml:space="preserve">the </w:t>
      </w:r>
      <w:r w:rsidRPr="002C39BC">
        <w:t xml:space="preserve">number of individuals </w:t>
      </w:r>
      <w:bookmarkStart w:id="54" w:name="_Hlk87972202"/>
      <w:r w:rsidRPr="002C39BC">
        <w:t>at increased risk of pneumococcal disease aged ≥18 years who are eligible for PCV15</w:t>
      </w:r>
      <w:bookmarkEnd w:id="54"/>
      <w:r w:rsidRPr="002C39BC">
        <w:t xml:space="preserve">. </w:t>
      </w:r>
      <w:r w:rsidR="00F80073" w:rsidRPr="002C39BC">
        <w:t xml:space="preserve">These data showed that 24,304 individuals </w:t>
      </w:r>
      <w:r w:rsidR="00FE35A6" w:rsidRPr="002C39BC">
        <w:t xml:space="preserve">of all age groups </w:t>
      </w:r>
      <w:r w:rsidR="00F80073" w:rsidRPr="002C39BC">
        <w:t xml:space="preserve">were at high-risk for pneumococcal disease in Australia. The submission </w:t>
      </w:r>
      <w:r w:rsidR="00E9768D" w:rsidRPr="002C39BC">
        <w:t>used</w:t>
      </w:r>
      <w:r w:rsidR="00F80073" w:rsidRPr="002C39BC">
        <w:t xml:space="preserve"> linear extrapolation </w:t>
      </w:r>
      <w:r w:rsidR="00E9768D" w:rsidRPr="002C39BC">
        <w:t xml:space="preserve">to estimate a population growth rate of 1.7% </w:t>
      </w:r>
      <w:r w:rsidR="00F80073" w:rsidRPr="002C39BC">
        <w:t xml:space="preserve">and applied </w:t>
      </w:r>
      <w:r w:rsidR="00E9768D" w:rsidRPr="002C39BC">
        <w:t>this for</w:t>
      </w:r>
      <w:r w:rsidR="00F80073" w:rsidRPr="002C39BC">
        <w:t xml:space="preserve"> each year.</w:t>
      </w:r>
      <w:r w:rsidRPr="002C39BC">
        <w:t xml:space="preserve"> </w:t>
      </w:r>
      <w:r w:rsidR="00202424" w:rsidRPr="002C39BC">
        <w:t xml:space="preserve">Based on such data, </w:t>
      </w:r>
      <w:r w:rsidR="00202424" w:rsidRPr="002C39BC">
        <w:rPr>
          <w:rFonts w:cstheme="minorHAnsi"/>
        </w:rPr>
        <w:t>t</w:t>
      </w:r>
      <w:r w:rsidRPr="002C39BC">
        <w:rPr>
          <w:rFonts w:cstheme="minorHAnsi"/>
        </w:rPr>
        <w:t>he submission estimated that in 2023, there will be</w:t>
      </w:r>
      <w:r w:rsidRPr="002C39BC">
        <w:t xml:space="preserve"> </w:t>
      </w:r>
      <w:r w:rsidR="005922E8">
        <w:t>20,000 to &lt; 30,000</w:t>
      </w:r>
      <w:r w:rsidRPr="002C39BC">
        <w:t xml:space="preserve"> newly diagnosed individuals with increased risk of pneumococcal disease who will be eligible for PCV15. </w:t>
      </w:r>
      <w:r w:rsidR="006049CE" w:rsidRPr="002C39BC">
        <w:t xml:space="preserve">It was noted that the </w:t>
      </w:r>
      <w:r w:rsidR="00182240" w:rsidRPr="002C39BC">
        <w:t>incidence</w:t>
      </w:r>
      <w:r w:rsidR="006049CE" w:rsidRPr="002C39BC">
        <w:t xml:space="preserve"> data used in the submission included individuals &lt;18, for which PCV15 listing is not being sought. Therefore, the submission </w:t>
      </w:r>
      <w:r w:rsidR="00385BF5" w:rsidRPr="002C39BC">
        <w:t>may have</w:t>
      </w:r>
      <w:r w:rsidR="006049CE" w:rsidRPr="002C39BC">
        <w:t xml:space="preserve"> overestimated the eligible population. </w:t>
      </w:r>
      <w:r w:rsidR="00F2728D" w:rsidRPr="002C39BC">
        <w:t>The PSCR  acknowledged that the population of individuals with increased risk of pneumococcal disease may be overestimated however, the PSCR noted that this population was a small subset of the overall population and therefore</w:t>
      </w:r>
      <w:r w:rsidR="00403C66" w:rsidRPr="002C39BC">
        <w:t xml:space="preserve"> any adjustments would have minimal impact on the financial estimates.</w:t>
      </w:r>
      <w:r w:rsidR="00F2728D" w:rsidRPr="002C39BC">
        <w:t xml:space="preserve"> </w:t>
      </w:r>
    </w:p>
    <w:p w14:paraId="64B0B1AE" w14:textId="77777777" w:rsidR="00011FDC" w:rsidRPr="00F93A3C" w:rsidRDefault="00011FDC" w:rsidP="00011FDC">
      <w:pPr>
        <w:pStyle w:val="3-BodyText"/>
        <w:rPr>
          <w:color w:val="0066FF"/>
        </w:rPr>
      </w:pPr>
      <w:r w:rsidRPr="00F93A3C">
        <w:t xml:space="preserve">A summary of the estimated use and financial implications of PCV15 is presented in </w:t>
      </w:r>
      <w:r w:rsidR="00AF41F4" w:rsidRPr="00F93A3C">
        <w:t>the table below</w:t>
      </w:r>
      <w:r w:rsidRPr="00F93A3C">
        <w:t xml:space="preserve">. </w:t>
      </w:r>
      <w:r w:rsidR="00215E51" w:rsidRPr="00F93A3C">
        <w:t>This is based on the assumed</w:t>
      </w:r>
      <w:r w:rsidR="002571A3" w:rsidRPr="00F93A3C">
        <w:t xml:space="preserve"> (private market)</w:t>
      </w:r>
      <w:r w:rsidR="00215E51" w:rsidRPr="00F93A3C">
        <w:t xml:space="preserve"> price </w:t>
      </w:r>
      <w:r w:rsidR="00A2375B" w:rsidRPr="00F93A3C">
        <w:t>in the submission.</w:t>
      </w:r>
      <w:r w:rsidR="00215E51" w:rsidRPr="00F93A3C">
        <w:t xml:space="preserve"> </w:t>
      </w:r>
    </w:p>
    <w:p w14:paraId="699D4A75" w14:textId="77777777" w:rsidR="00011FDC" w:rsidRPr="00606FBA" w:rsidRDefault="00011FDC" w:rsidP="00011FDC">
      <w:pPr>
        <w:pStyle w:val="TableFigureHeading"/>
      </w:pPr>
      <w:r w:rsidRPr="00606FBA">
        <w:rPr>
          <w:rStyle w:val="CommentReference"/>
          <w:b/>
          <w:szCs w:val="24"/>
        </w:rPr>
        <w:t xml:space="preserve">Table </w:t>
      </w:r>
      <w:r w:rsidR="00F52B83">
        <w:rPr>
          <w:rStyle w:val="CommentReference"/>
          <w:b/>
          <w:szCs w:val="24"/>
        </w:rPr>
        <w:t>10</w:t>
      </w:r>
      <w:r w:rsidRPr="00606FBA">
        <w:rPr>
          <w:rStyle w:val="CommentReference"/>
          <w:b/>
          <w:szCs w:val="24"/>
        </w:rPr>
        <w:t>: Estimated use and financial implications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1276"/>
        <w:gridCol w:w="1133"/>
        <w:gridCol w:w="1133"/>
        <w:gridCol w:w="1134"/>
        <w:gridCol w:w="1134"/>
        <w:gridCol w:w="1134"/>
      </w:tblGrid>
      <w:tr w:rsidR="00B75753" w:rsidRPr="00D1078F" w14:paraId="5A55D0C2" w14:textId="77777777" w:rsidTr="00B75753">
        <w:trPr>
          <w:tblHeader/>
        </w:trPr>
        <w:tc>
          <w:tcPr>
            <w:tcW w:w="1229" w:type="pct"/>
            <w:shd w:val="clear" w:color="auto" w:fill="auto"/>
            <w:vAlign w:val="center"/>
          </w:tcPr>
          <w:p w14:paraId="523E5A12" w14:textId="77777777" w:rsidR="00011FDC" w:rsidRPr="003639A6" w:rsidRDefault="00011FDC" w:rsidP="00C27E59">
            <w:pPr>
              <w:pStyle w:val="In-tableHeading"/>
              <w:jc w:val="center"/>
            </w:pPr>
          </w:p>
        </w:tc>
        <w:tc>
          <w:tcPr>
            <w:tcW w:w="693" w:type="pct"/>
            <w:shd w:val="clear" w:color="auto" w:fill="auto"/>
            <w:vAlign w:val="center"/>
          </w:tcPr>
          <w:p w14:paraId="3D125023" w14:textId="77777777" w:rsidR="00011FDC" w:rsidRPr="00D1078F" w:rsidRDefault="00011FDC" w:rsidP="00C27E59">
            <w:pPr>
              <w:pStyle w:val="In-tableHeading"/>
              <w:ind w:left="-313" w:firstLine="313"/>
              <w:jc w:val="center"/>
            </w:pPr>
            <w:r w:rsidRPr="00D1078F">
              <w:t>Year 1</w:t>
            </w:r>
          </w:p>
        </w:tc>
        <w:tc>
          <w:tcPr>
            <w:tcW w:w="615" w:type="pct"/>
            <w:shd w:val="clear" w:color="auto" w:fill="auto"/>
            <w:vAlign w:val="center"/>
          </w:tcPr>
          <w:p w14:paraId="02992244" w14:textId="77777777" w:rsidR="00011FDC" w:rsidRPr="00D1078F" w:rsidRDefault="00011FDC" w:rsidP="00C27E59">
            <w:pPr>
              <w:pStyle w:val="In-tableHeading"/>
              <w:jc w:val="center"/>
            </w:pPr>
            <w:r w:rsidRPr="00D1078F">
              <w:t>Year 2</w:t>
            </w:r>
          </w:p>
        </w:tc>
        <w:tc>
          <w:tcPr>
            <w:tcW w:w="615" w:type="pct"/>
            <w:shd w:val="clear" w:color="auto" w:fill="auto"/>
            <w:vAlign w:val="center"/>
          </w:tcPr>
          <w:p w14:paraId="47C42C1F" w14:textId="77777777" w:rsidR="00011FDC" w:rsidRPr="00D1078F" w:rsidRDefault="00011FDC" w:rsidP="00C27E59">
            <w:pPr>
              <w:pStyle w:val="In-tableHeading"/>
              <w:jc w:val="center"/>
            </w:pPr>
            <w:r w:rsidRPr="00D1078F">
              <w:t>Year 3</w:t>
            </w:r>
          </w:p>
        </w:tc>
        <w:tc>
          <w:tcPr>
            <w:tcW w:w="616" w:type="pct"/>
            <w:shd w:val="clear" w:color="auto" w:fill="auto"/>
            <w:vAlign w:val="center"/>
          </w:tcPr>
          <w:p w14:paraId="4BDD7B8D" w14:textId="77777777" w:rsidR="00011FDC" w:rsidRPr="00D1078F" w:rsidRDefault="00011FDC" w:rsidP="00C27E59">
            <w:pPr>
              <w:pStyle w:val="In-tableHeading"/>
              <w:jc w:val="center"/>
            </w:pPr>
            <w:r w:rsidRPr="00D1078F">
              <w:t>Year 4</w:t>
            </w:r>
          </w:p>
        </w:tc>
        <w:tc>
          <w:tcPr>
            <w:tcW w:w="616" w:type="pct"/>
            <w:shd w:val="clear" w:color="auto" w:fill="auto"/>
            <w:vAlign w:val="center"/>
          </w:tcPr>
          <w:p w14:paraId="0AD9BC59" w14:textId="77777777" w:rsidR="00011FDC" w:rsidRPr="00D1078F" w:rsidRDefault="00011FDC" w:rsidP="00C27E59">
            <w:pPr>
              <w:pStyle w:val="In-tableHeading"/>
              <w:jc w:val="center"/>
            </w:pPr>
            <w:r w:rsidRPr="00D1078F">
              <w:t>Year 5</w:t>
            </w:r>
          </w:p>
        </w:tc>
        <w:tc>
          <w:tcPr>
            <w:tcW w:w="616" w:type="pct"/>
          </w:tcPr>
          <w:p w14:paraId="5E1B59ED" w14:textId="77777777" w:rsidR="00011FDC" w:rsidRPr="00D1078F" w:rsidRDefault="00011FDC" w:rsidP="00C27E59">
            <w:pPr>
              <w:pStyle w:val="In-tableHeading"/>
              <w:jc w:val="center"/>
            </w:pPr>
            <w:r w:rsidRPr="00D1078F">
              <w:t>Year 6</w:t>
            </w:r>
          </w:p>
        </w:tc>
      </w:tr>
      <w:tr w:rsidR="00011FDC" w:rsidRPr="00D1078F" w14:paraId="2AC1DBCC" w14:textId="77777777" w:rsidTr="00B75753">
        <w:tc>
          <w:tcPr>
            <w:tcW w:w="5000" w:type="pct"/>
            <w:gridSpan w:val="7"/>
            <w:shd w:val="clear" w:color="auto" w:fill="auto"/>
            <w:vAlign w:val="center"/>
          </w:tcPr>
          <w:p w14:paraId="29367F64" w14:textId="77777777" w:rsidR="00011FDC" w:rsidRPr="00D1078F" w:rsidRDefault="00011FDC" w:rsidP="00C27E59">
            <w:pPr>
              <w:pStyle w:val="In-tableHeading"/>
              <w:rPr>
                <w:bCs/>
                <w:color w:val="000000"/>
              </w:rPr>
            </w:pPr>
            <w:r w:rsidRPr="00D1078F">
              <w:rPr>
                <w:bCs/>
                <w:color w:val="000000"/>
              </w:rPr>
              <w:t>Estimated extent of use</w:t>
            </w:r>
          </w:p>
        </w:tc>
      </w:tr>
      <w:tr w:rsidR="00B75753" w:rsidRPr="003639A6" w14:paraId="02F7DFB9" w14:textId="77777777" w:rsidTr="00B75753">
        <w:tc>
          <w:tcPr>
            <w:tcW w:w="1229" w:type="pct"/>
            <w:shd w:val="clear" w:color="auto" w:fill="auto"/>
            <w:vAlign w:val="center"/>
          </w:tcPr>
          <w:p w14:paraId="6A19EAFD" w14:textId="77777777" w:rsidR="00011FDC" w:rsidRPr="003639A6" w:rsidRDefault="00011FDC" w:rsidP="00C27E59">
            <w:pPr>
              <w:pStyle w:val="TableText0"/>
              <w:rPr>
                <w:rFonts w:ascii="Times" w:hAnsi="Times"/>
              </w:rPr>
            </w:pPr>
            <w:r w:rsidRPr="003639A6">
              <w:t xml:space="preserve">Number of </w:t>
            </w:r>
            <w:r>
              <w:t xml:space="preserve">PCV15 recipients </w:t>
            </w:r>
          </w:p>
        </w:tc>
        <w:tc>
          <w:tcPr>
            <w:tcW w:w="693" w:type="pct"/>
            <w:shd w:val="clear" w:color="auto" w:fill="auto"/>
            <w:vAlign w:val="center"/>
          </w:tcPr>
          <w:p w14:paraId="7F58C97E" w14:textId="77777777" w:rsidR="00011FDC" w:rsidRPr="003639A6" w:rsidRDefault="00011FDC" w:rsidP="00C27E59">
            <w:pPr>
              <w:pStyle w:val="TableText0"/>
              <w:jc w:val="center"/>
              <w:rPr>
                <w:color w:val="000000"/>
              </w:rPr>
            </w:pPr>
          </w:p>
        </w:tc>
        <w:tc>
          <w:tcPr>
            <w:tcW w:w="615" w:type="pct"/>
            <w:shd w:val="clear" w:color="auto" w:fill="auto"/>
            <w:vAlign w:val="center"/>
          </w:tcPr>
          <w:p w14:paraId="0C36E1F6" w14:textId="77777777" w:rsidR="00011FDC" w:rsidRPr="003639A6" w:rsidRDefault="00011FDC" w:rsidP="00C27E59">
            <w:pPr>
              <w:pStyle w:val="TableText0"/>
              <w:jc w:val="center"/>
              <w:rPr>
                <w:color w:val="000000"/>
              </w:rPr>
            </w:pPr>
          </w:p>
        </w:tc>
        <w:tc>
          <w:tcPr>
            <w:tcW w:w="615" w:type="pct"/>
            <w:shd w:val="clear" w:color="auto" w:fill="auto"/>
            <w:vAlign w:val="center"/>
          </w:tcPr>
          <w:p w14:paraId="30873F29" w14:textId="77777777" w:rsidR="00011FDC" w:rsidRPr="003639A6" w:rsidRDefault="00011FDC" w:rsidP="00C27E59">
            <w:pPr>
              <w:pStyle w:val="TableText0"/>
              <w:jc w:val="center"/>
              <w:rPr>
                <w:color w:val="000000"/>
              </w:rPr>
            </w:pPr>
          </w:p>
        </w:tc>
        <w:tc>
          <w:tcPr>
            <w:tcW w:w="616" w:type="pct"/>
            <w:shd w:val="clear" w:color="auto" w:fill="auto"/>
            <w:vAlign w:val="center"/>
          </w:tcPr>
          <w:p w14:paraId="4F8EC27D" w14:textId="77777777" w:rsidR="00011FDC" w:rsidRPr="003639A6" w:rsidRDefault="00011FDC" w:rsidP="00C27E59">
            <w:pPr>
              <w:pStyle w:val="TableText0"/>
              <w:jc w:val="center"/>
              <w:rPr>
                <w:color w:val="000000"/>
              </w:rPr>
            </w:pPr>
          </w:p>
        </w:tc>
        <w:tc>
          <w:tcPr>
            <w:tcW w:w="616" w:type="pct"/>
            <w:shd w:val="clear" w:color="auto" w:fill="auto"/>
            <w:vAlign w:val="center"/>
          </w:tcPr>
          <w:p w14:paraId="32C810E6" w14:textId="77777777" w:rsidR="00011FDC" w:rsidRPr="003639A6" w:rsidRDefault="00011FDC" w:rsidP="00C27E59">
            <w:pPr>
              <w:pStyle w:val="TableText0"/>
              <w:jc w:val="center"/>
              <w:rPr>
                <w:color w:val="000000"/>
              </w:rPr>
            </w:pPr>
          </w:p>
        </w:tc>
        <w:tc>
          <w:tcPr>
            <w:tcW w:w="616" w:type="pct"/>
          </w:tcPr>
          <w:p w14:paraId="403D1914" w14:textId="77777777" w:rsidR="00011FDC" w:rsidRPr="003639A6" w:rsidRDefault="00011FDC" w:rsidP="00C27E59">
            <w:pPr>
              <w:pStyle w:val="TableText0"/>
              <w:jc w:val="center"/>
              <w:rPr>
                <w:color w:val="000000"/>
              </w:rPr>
            </w:pPr>
          </w:p>
        </w:tc>
      </w:tr>
      <w:tr w:rsidR="00B75753" w:rsidRPr="003639A6" w14:paraId="16372E80" w14:textId="77777777" w:rsidTr="00B75753">
        <w:tc>
          <w:tcPr>
            <w:tcW w:w="1229" w:type="pct"/>
            <w:shd w:val="clear" w:color="auto" w:fill="auto"/>
            <w:vAlign w:val="center"/>
          </w:tcPr>
          <w:p w14:paraId="7A4E6C4F" w14:textId="77777777" w:rsidR="00011FDC" w:rsidRPr="008A7843" w:rsidRDefault="00011FDC" w:rsidP="00C27E59">
            <w:pPr>
              <w:pStyle w:val="TableText0"/>
            </w:pPr>
            <w:r>
              <w:t xml:space="preserve">   </w:t>
            </w:r>
            <w:r w:rsidRPr="008A7843">
              <w:t xml:space="preserve">Non-Indigenous adults </w:t>
            </w:r>
            <w:r w:rsidRPr="008A7843">
              <w:rPr>
                <w:rFonts w:cs="Calibri"/>
              </w:rPr>
              <w:t>≥</w:t>
            </w:r>
            <w:r w:rsidRPr="008A7843">
              <w:t>70 y</w:t>
            </w:r>
            <w:r>
              <w:t>rs</w:t>
            </w:r>
          </w:p>
        </w:tc>
        <w:tc>
          <w:tcPr>
            <w:tcW w:w="693" w:type="pct"/>
            <w:shd w:val="clear" w:color="auto" w:fill="auto"/>
            <w:vAlign w:val="center"/>
          </w:tcPr>
          <w:p w14:paraId="2D9E0412"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1</w:t>
            </w:r>
          </w:p>
        </w:tc>
        <w:tc>
          <w:tcPr>
            <w:tcW w:w="615" w:type="pct"/>
            <w:shd w:val="clear" w:color="auto" w:fill="auto"/>
            <w:vAlign w:val="center"/>
          </w:tcPr>
          <w:p w14:paraId="220EEA34"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2</w:t>
            </w:r>
          </w:p>
        </w:tc>
        <w:tc>
          <w:tcPr>
            <w:tcW w:w="615" w:type="pct"/>
            <w:shd w:val="clear" w:color="auto" w:fill="auto"/>
            <w:vAlign w:val="center"/>
          </w:tcPr>
          <w:p w14:paraId="313B8131"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2</w:t>
            </w:r>
          </w:p>
        </w:tc>
        <w:tc>
          <w:tcPr>
            <w:tcW w:w="616" w:type="pct"/>
            <w:shd w:val="clear" w:color="auto" w:fill="auto"/>
            <w:vAlign w:val="center"/>
          </w:tcPr>
          <w:p w14:paraId="52D80666"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3</w:t>
            </w:r>
          </w:p>
        </w:tc>
        <w:tc>
          <w:tcPr>
            <w:tcW w:w="616" w:type="pct"/>
            <w:shd w:val="clear" w:color="auto" w:fill="auto"/>
            <w:vAlign w:val="center"/>
          </w:tcPr>
          <w:p w14:paraId="447A497A"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3</w:t>
            </w:r>
          </w:p>
        </w:tc>
        <w:tc>
          <w:tcPr>
            <w:tcW w:w="616" w:type="pct"/>
            <w:vAlign w:val="center"/>
          </w:tcPr>
          <w:p w14:paraId="22619FAB"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3</w:t>
            </w:r>
          </w:p>
        </w:tc>
      </w:tr>
      <w:tr w:rsidR="00B75753" w:rsidRPr="003639A6" w14:paraId="1FB46C28" w14:textId="77777777" w:rsidTr="00B75753">
        <w:tc>
          <w:tcPr>
            <w:tcW w:w="1229" w:type="pct"/>
            <w:shd w:val="clear" w:color="auto" w:fill="auto"/>
            <w:vAlign w:val="center"/>
          </w:tcPr>
          <w:p w14:paraId="5DFFB3FF" w14:textId="77777777" w:rsidR="00011FDC" w:rsidRPr="008A7843" w:rsidRDefault="00011FDC" w:rsidP="00C27E59">
            <w:pPr>
              <w:pStyle w:val="TableText0"/>
            </w:pPr>
            <w:r>
              <w:t xml:space="preserve">   </w:t>
            </w:r>
            <w:r w:rsidRPr="008A7843">
              <w:t xml:space="preserve">Indigenous adults </w:t>
            </w:r>
            <w:r w:rsidRPr="008A7843">
              <w:rPr>
                <w:rFonts w:cs="Calibri"/>
              </w:rPr>
              <w:t>≥</w:t>
            </w:r>
            <w:r w:rsidRPr="008A7843">
              <w:t>50 y</w:t>
            </w:r>
            <w:r>
              <w:t>rs</w:t>
            </w:r>
          </w:p>
        </w:tc>
        <w:tc>
          <w:tcPr>
            <w:tcW w:w="693" w:type="pct"/>
            <w:shd w:val="clear" w:color="auto" w:fill="auto"/>
            <w:vAlign w:val="center"/>
          </w:tcPr>
          <w:p w14:paraId="35A93320"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c>
          <w:tcPr>
            <w:tcW w:w="615" w:type="pct"/>
            <w:shd w:val="clear" w:color="auto" w:fill="auto"/>
            <w:vAlign w:val="center"/>
          </w:tcPr>
          <w:p w14:paraId="371B2546"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c>
          <w:tcPr>
            <w:tcW w:w="615" w:type="pct"/>
            <w:shd w:val="clear" w:color="auto" w:fill="auto"/>
            <w:vAlign w:val="center"/>
          </w:tcPr>
          <w:p w14:paraId="2771AF52"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c>
          <w:tcPr>
            <w:tcW w:w="616" w:type="pct"/>
            <w:shd w:val="clear" w:color="auto" w:fill="auto"/>
            <w:vAlign w:val="center"/>
          </w:tcPr>
          <w:p w14:paraId="4F5F9BCE"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c>
          <w:tcPr>
            <w:tcW w:w="616" w:type="pct"/>
            <w:shd w:val="clear" w:color="auto" w:fill="auto"/>
            <w:vAlign w:val="center"/>
          </w:tcPr>
          <w:p w14:paraId="21E8FE76"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c>
          <w:tcPr>
            <w:tcW w:w="616" w:type="pct"/>
            <w:vAlign w:val="center"/>
          </w:tcPr>
          <w:p w14:paraId="0276B96E"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5</w:t>
            </w:r>
          </w:p>
        </w:tc>
      </w:tr>
      <w:tr w:rsidR="00B75753" w:rsidRPr="003639A6" w14:paraId="3927ED9D" w14:textId="77777777" w:rsidTr="00B75753">
        <w:tc>
          <w:tcPr>
            <w:tcW w:w="1229" w:type="pct"/>
            <w:shd w:val="clear" w:color="auto" w:fill="auto"/>
            <w:vAlign w:val="center"/>
          </w:tcPr>
          <w:p w14:paraId="67A6010A" w14:textId="77777777" w:rsidR="00011FDC" w:rsidRDefault="00011FDC" w:rsidP="00C27E59">
            <w:pPr>
              <w:pStyle w:val="TableText0"/>
            </w:pPr>
            <w:r>
              <w:t xml:space="preserve">   </w:t>
            </w:r>
            <w:r w:rsidRPr="008A7843">
              <w:t xml:space="preserve">Individuals at increased risk of </w:t>
            </w:r>
          </w:p>
          <w:p w14:paraId="6682CA8D" w14:textId="77777777" w:rsidR="00011FDC" w:rsidRPr="008A7843" w:rsidRDefault="00011FDC" w:rsidP="00C27E59">
            <w:pPr>
              <w:pStyle w:val="TableText0"/>
            </w:pPr>
            <w:r>
              <w:t xml:space="preserve">   </w:t>
            </w:r>
            <w:r w:rsidRPr="008A7843">
              <w:t xml:space="preserve">pneumococcal disease </w:t>
            </w:r>
            <w:r w:rsidRPr="008A7843">
              <w:rPr>
                <w:rFonts w:cs="Calibri"/>
              </w:rPr>
              <w:t>≥18 y</w:t>
            </w:r>
            <w:r>
              <w:rPr>
                <w:rFonts w:cs="Calibri"/>
              </w:rPr>
              <w:t>rs</w:t>
            </w:r>
          </w:p>
        </w:tc>
        <w:tc>
          <w:tcPr>
            <w:tcW w:w="693" w:type="pct"/>
            <w:shd w:val="clear" w:color="auto" w:fill="auto"/>
            <w:vAlign w:val="center"/>
          </w:tcPr>
          <w:p w14:paraId="42A16EF8"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c>
          <w:tcPr>
            <w:tcW w:w="615" w:type="pct"/>
            <w:shd w:val="clear" w:color="auto" w:fill="auto"/>
            <w:vAlign w:val="center"/>
          </w:tcPr>
          <w:p w14:paraId="462B0193"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c>
          <w:tcPr>
            <w:tcW w:w="615" w:type="pct"/>
            <w:shd w:val="clear" w:color="auto" w:fill="auto"/>
            <w:vAlign w:val="center"/>
          </w:tcPr>
          <w:p w14:paraId="7AE84A4D"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c>
          <w:tcPr>
            <w:tcW w:w="616" w:type="pct"/>
            <w:shd w:val="clear" w:color="auto" w:fill="auto"/>
            <w:vAlign w:val="center"/>
          </w:tcPr>
          <w:p w14:paraId="3C776D60"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c>
          <w:tcPr>
            <w:tcW w:w="616" w:type="pct"/>
            <w:shd w:val="clear" w:color="auto" w:fill="auto"/>
            <w:vAlign w:val="center"/>
          </w:tcPr>
          <w:p w14:paraId="4CABCA06"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c>
          <w:tcPr>
            <w:tcW w:w="616" w:type="pct"/>
            <w:vAlign w:val="center"/>
          </w:tcPr>
          <w:p w14:paraId="75723353"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4</w:t>
            </w:r>
          </w:p>
        </w:tc>
      </w:tr>
      <w:tr w:rsidR="00B75753" w:rsidRPr="003639A6" w14:paraId="086817DD" w14:textId="77777777" w:rsidTr="00B75753">
        <w:tc>
          <w:tcPr>
            <w:tcW w:w="1229" w:type="pct"/>
            <w:shd w:val="clear" w:color="auto" w:fill="auto"/>
            <w:vAlign w:val="center"/>
          </w:tcPr>
          <w:p w14:paraId="4BD3809E" w14:textId="77777777" w:rsidR="00011FDC" w:rsidRPr="003639A6" w:rsidRDefault="00011FDC" w:rsidP="00C27E59">
            <w:pPr>
              <w:pStyle w:val="TableText0"/>
            </w:pPr>
            <w:r>
              <w:t xml:space="preserve">   Total</w:t>
            </w:r>
          </w:p>
        </w:tc>
        <w:tc>
          <w:tcPr>
            <w:tcW w:w="693" w:type="pct"/>
            <w:shd w:val="clear" w:color="auto" w:fill="auto"/>
            <w:vAlign w:val="center"/>
          </w:tcPr>
          <w:p w14:paraId="0BFA0C69"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1</w:t>
            </w:r>
          </w:p>
        </w:tc>
        <w:tc>
          <w:tcPr>
            <w:tcW w:w="615" w:type="pct"/>
            <w:shd w:val="clear" w:color="auto" w:fill="auto"/>
            <w:vAlign w:val="center"/>
          </w:tcPr>
          <w:p w14:paraId="12BAD7E9"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2</w:t>
            </w:r>
          </w:p>
        </w:tc>
        <w:tc>
          <w:tcPr>
            <w:tcW w:w="615" w:type="pct"/>
            <w:shd w:val="clear" w:color="auto" w:fill="auto"/>
            <w:vAlign w:val="center"/>
          </w:tcPr>
          <w:p w14:paraId="24F9CF3A"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2</w:t>
            </w:r>
          </w:p>
        </w:tc>
        <w:tc>
          <w:tcPr>
            <w:tcW w:w="616" w:type="pct"/>
            <w:shd w:val="clear" w:color="auto" w:fill="auto"/>
            <w:vAlign w:val="center"/>
          </w:tcPr>
          <w:p w14:paraId="1E8FA5C9"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2</w:t>
            </w:r>
          </w:p>
        </w:tc>
        <w:tc>
          <w:tcPr>
            <w:tcW w:w="616" w:type="pct"/>
            <w:shd w:val="clear" w:color="auto" w:fill="auto"/>
            <w:vAlign w:val="center"/>
          </w:tcPr>
          <w:p w14:paraId="07D7CEF7"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3</w:t>
            </w:r>
          </w:p>
        </w:tc>
        <w:tc>
          <w:tcPr>
            <w:tcW w:w="616" w:type="pct"/>
            <w:vAlign w:val="center"/>
          </w:tcPr>
          <w:p w14:paraId="7D2B7D05"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3</w:t>
            </w:r>
          </w:p>
        </w:tc>
      </w:tr>
      <w:tr w:rsidR="00B75753" w:rsidRPr="003639A6" w14:paraId="42EB92B6" w14:textId="77777777" w:rsidTr="00B75753">
        <w:tc>
          <w:tcPr>
            <w:tcW w:w="1229" w:type="pct"/>
            <w:shd w:val="clear" w:color="auto" w:fill="auto"/>
            <w:vAlign w:val="center"/>
          </w:tcPr>
          <w:p w14:paraId="1C683442" w14:textId="77777777" w:rsidR="00011FDC" w:rsidRPr="003639A6" w:rsidRDefault="00011FDC" w:rsidP="00C27E59">
            <w:pPr>
              <w:pStyle w:val="TableText0"/>
              <w:rPr>
                <w:rFonts w:ascii="Times" w:hAnsi="Times"/>
              </w:rPr>
            </w:pPr>
            <w:r w:rsidRPr="003639A6">
              <w:t xml:space="preserve">Number of </w:t>
            </w:r>
            <w:r>
              <w:t>scripts</w:t>
            </w:r>
            <w:r w:rsidRPr="003639A6">
              <w:t xml:space="preserve"> dispensed</w:t>
            </w:r>
          </w:p>
        </w:tc>
        <w:tc>
          <w:tcPr>
            <w:tcW w:w="693" w:type="pct"/>
            <w:shd w:val="clear" w:color="auto" w:fill="auto"/>
            <w:vAlign w:val="center"/>
          </w:tcPr>
          <w:p w14:paraId="64A97994"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1</w:t>
            </w:r>
          </w:p>
        </w:tc>
        <w:tc>
          <w:tcPr>
            <w:tcW w:w="615" w:type="pct"/>
            <w:shd w:val="clear" w:color="auto" w:fill="auto"/>
            <w:vAlign w:val="center"/>
          </w:tcPr>
          <w:p w14:paraId="54AA060B"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2</w:t>
            </w:r>
          </w:p>
        </w:tc>
        <w:tc>
          <w:tcPr>
            <w:tcW w:w="615" w:type="pct"/>
            <w:shd w:val="clear" w:color="auto" w:fill="auto"/>
            <w:vAlign w:val="center"/>
          </w:tcPr>
          <w:p w14:paraId="19B6C7B0"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2</w:t>
            </w:r>
          </w:p>
        </w:tc>
        <w:tc>
          <w:tcPr>
            <w:tcW w:w="616" w:type="pct"/>
            <w:shd w:val="clear" w:color="auto" w:fill="auto"/>
            <w:vAlign w:val="center"/>
          </w:tcPr>
          <w:p w14:paraId="14176FCD"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2</w:t>
            </w:r>
          </w:p>
        </w:tc>
        <w:tc>
          <w:tcPr>
            <w:tcW w:w="616" w:type="pct"/>
            <w:shd w:val="clear" w:color="auto" w:fill="auto"/>
            <w:vAlign w:val="center"/>
          </w:tcPr>
          <w:p w14:paraId="6228BC2D"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3</w:t>
            </w:r>
          </w:p>
        </w:tc>
        <w:tc>
          <w:tcPr>
            <w:tcW w:w="616" w:type="pct"/>
            <w:vAlign w:val="center"/>
          </w:tcPr>
          <w:p w14:paraId="4FC7E6BC" w14:textId="77777777" w:rsidR="00011FDC" w:rsidRPr="00B75753" w:rsidRDefault="00B75753" w:rsidP="00C27E59">
            <w:pPr>
              <w:pStyle w:val="TableText0"/>
              <w:jc w:val="center"/>
              <w:rPr>
                <w:color w:val="000000"/>
              </w:rPr>
            </w:pPr>
            <w:r>
              <w:rPr>
                <w:rFonts w:cs="Calibri"/>
                <w:noProof/>
                <w:color w:val="000000"/>
                <w:szCs w:val="20"/>
                <w:highlight w:val="black"/>
              </w:rPr>
              <w:t>''''''''''''''''''</w:t>
            </w:r>
            <w:r w:rsidR="00675DD8">
              <w:rPr>
                <w:vertAlign w:val="superscript"/>
              </w:rPr>
              <w:t>3</w:t>
            </w:r>
          </w:p>
        </w:tc>
      </w:tr>
      <w:tr w:rsidR="00011FDC" w:rsidRPr="00D1078F" w14:paraId="530CD76E" w14:textId="77777777" w:rsidTr="00B75753">
        <w:tc>
          <w:tcPr>
            <w:tcW w:w="5000" w:type="pct"/>
            <w:gridSpan w:val="7"/>
            <w:shd w:val="clear" w:color="auto" w:fill="auto"/>
            <w:vAlign w:val="center"/>
          </w:tcPr>
          <w:p w14:paraId="626836D8" w14:textId="77777777" w:rsidR="00011FDC" w:rsidRPr="00D1078F" w:rsidRDefault="00011FDC" w:rsidP="00C27E59">
            <w:pPr>
              <w:pStyle w:val="In-tableHeading"/>
            </w:pPr>
            <w:r w:rsidRPr="00D1078F">
              <w:t xml:space="preserve">Estimated </w:t>
            </w:r>
            <w:r>
              <w:t>financial implications of PCV15</w:t>
            </w:r>
          </w:p>
        </w:tc>
      </w:tr>
      <w:tr w:rsidR="00B75753" w:rsidRPr="003639A6" w14:paraId="04798273" w14:textId="77777777" w:rsidTr="00B75753">
        <w:tc>
          <w:tcPr>
            <w:tcW w:w="1229" w:type="pct"/>
            <w:shd w:val="clear" w:color="auto" w:fill="auto"/>
            <w:vAlign w:val="center"/>
          </w:tcPr>
          <w:p w14:paraId="2EB1846F" w14:textId="77777777" w:rsidR="00011FDC" w:rsidRDefault="00011FDC" w:rsidP="00C27E59">
            <w:pPr>
              <w:pStyle w:val="TableText0"/>
              <w:rPr>
                <w:sz w:val="19"/>
                <w:szCs w:val="19"/>
              </w:rPr>
            </w:pPr>
            <w:r>
              <w:rPr>
                <w:sz w:val="19"/>
                <w:szCs w:val="19"/>
              </w:rPr>
              <w:t>Cost to NIP</w:t>
            </w:r>
          </w:p>
        </w:tc>
        <w:tc>
          <w:tcPr>
            <w:tcW w:w="693" w:type="pct"/>
            <w:shd w:val="clear" w:color="auto" w:fill="auto"/>
            <w:vAlign w:val="center"/>
          </w:tcPr>
          <w:p w14:paraId="6B325842" w14:textId="77777777" w:rsidR="00011FDC" w:rsidRPr="00B75753" w:rsidRDefault="00B75753" w:rsidP="00C27E59">
            <w:pPr>
              <w:pStyle w:val="TableText0"/>
              <w:jc w:val="center"/>
            </w:pPr>
            <w:r>
              <w:rPr>
                <w:noProof/>
                <w:color w:val="000000"/>
                <w:highlight w:val="black"/>
              </w:rPr>
              <w:t>'''''''''''''''''''''''''''''</w:t>
            </w:r>
            <w:r w:rsidR="00675DD8">
              <w:rPr>
                <w:vertAlign w:val="superscript"/>
              </w:rPr>
              <w:t>6</w:t>
            </w:r>
          </w:p>
        </w:tc>
        <w:tc>
          <w:tcPr>
            <w:tcW w:w="615" w:type="pct"/>
            <w:shd w:val="clear" w:color="auto" w:fill="auto"/>
            <w:vAlign w:val="center"/>
          </w:tcPr>
          <w:p w14:paraId="0570D630" w14:textId="77777777" w:rsidR="00011FDC" w:rsidRPr="00B75753" w:rsidRDefault="00B75753" w:rsidP="00C27E59">
            <w:pPr>
              <w:pStyle w:val="TableText0"/>
              <w:jc w:val="center"/>
            </w:pPr>
            <w:r>
              <w:rPr>
                <w:noProof/>
                <w:color w:val="000000"/>
                <w:highlight w:val="black"/>
              </w:rPr>
              <w:t>'''''''''''''''''''''''''''</w:t>
            </w:r>
            <w:r w:rsidR="00675DD8">
              <w:rPr>
                <w:vertAlign w:val="superscript"/>
              </w:rPr>
              <w:t>7</w:t>
            </w:r>
          </w:p>
        </w:tc>
        <w:tc>
          <w:tcPr>
            <w:tcW w:w="615" w:type="pct"/>
            <w:shd w:val="clear" w:color="auto" w:fill="auto"/>
            <w:vAlign w:val="center"/>
          </w:tcPr>
          <w:p w14:paraId="54D5ACCE" w14:textId="77777777" w:rsidR="00011FDC" w:rsidRPr="00B75753" w:rsidRDefault="00B75753" w:rsidP="00C27E59">
            <w:pPr>
              <w:pStyle w:val="TableText0"/>
              <w:jc w:val="center"/>
            </w:pPr>
            <w:r>
              <w:rPr>
                <w:noProof/>
                <w:color w:val="000000"/>
                <w:highlight w:val="black"/>
              </w:rPr>
              <w:t>'''''''''''''''''''''''''''</w:t>
            </w:r>
            <w:r w:rsidR="00675DD8">
              <w:rPr>
                <w:vertAlign w:val="superscript"/>
              </w:rPr>
              <w:t>8</w:t>
            </w:r>
          </w:p>
        </w:tc>
        <w:tc>
          <w:tcPr>
            <w:tcW w:w="616" w:type="pct"/>
            <w:shd w:val="clear" w:color="auto" w:fill="auto"/>
            <w:vAlign w:val="center"/>
          </w:tcPr>
          <w:p w14:paraId="24532B9C" w14:textId="77777777" w:rsidR="00011FDC" w:rsidRPr="00B75753" w:rsidRDefault="00B75753" w:rsidP="00C27E59">
            <w:pPr>
              <w:pStyle w:val="TableText0"/>
              <w:jc w:val="center"/>
            </w:pPr>
            <w:r>
              <w:rPr>
                <w:noProof/>
                <w:color w:val="000000"/>
                <w:highlight w:val="black"/>
              </w:rPr>
              <w:t>'''''''''''''''''''''''''''''''</w:t>
            </w:r>
            <w:r w:rsidR="00675DD8">
              <w:rPr>
                <w:vertAlign w:val="superscript"/>
              </w:rPr>
              <w:t>8</w:t>
            </w:r>
          </w:p>
        </w:tc>
        <w:tc>
          <w:tcPr>
            <w:tcW w:w="616" w:type="pct"/>
            <w:shd w:val="clear" w:color="auto" w:fill="auto"/>
            <w:vAlign w:val="center"/>
          </w:tcPr>
          <w:p w14:paraId="25BCD22B" w14:textId="77777777" w:rsidR="00011FDC" w:rsidRPr="00B75753" w:rsidRDefault="00B75753" w:rsidP="00C27E59">
            <w:pPr>
              <w:pStyle w:val="TableText0"/>
              <w:jc w:val="center"/>
            </w:pPr>
            <w:r>
              <w:rPr>
                <w:noProof/>
                <w:color w:val="000000"/>
                <w:highlight w:val="black"/>
              </w:rPr>
              <w:t>'''''''''''''''''''''''''''</w:t>
            </w:r>
            <w:r w:rsidR="00675DD8">
              <w:rPr>
                <w:vertAlign w:val="superscript"/>
              </w:rPr>
              <w:t>8</w:t>
            </w:r>
          </w:p>
        </w:tc>
        <w:tc>
          <w:tcPr>
            <w:tcW w:w="616" w:type="pct"/>
            <w:vAlign w:val="center"/>
          </w:tcPr>
          <w:p w14:paraId="57D794EF" w14:textId="77777777" w:rsidR="00011FDC" w:rsidRPr="00B75753" w:rsidRDefault="00B75753" w:rsidP="00C27E59">
            <w:pPr>
              <w:pStyle w:val="TableText0"/>
              <w:jc w:val="center"/>
            </w:pPr>
            <w:r>
              <w:rPr>
                <w:noProof/>
                <w:color w:val="000000"/>
                <w:highlight w:val="black"/>
              </w:rPr>
              <w:t>''''''''''''''''''''''''''''''</w:t>
            </w:r>
            <w:r w:rsidR="004B088C">
              <w:rPr>
                <w:vertAlign w:val="superscript"/>
              </w:rPr>
              <w:t>9</w:t>
            </w:r>
          </w:p>
        </w:tc>
      </w:tr>
      <w:tr w:rsidR="00011FDC" w:rsidRPr="003639A6" w14:paraId="1B53257D" w14:textId="77777777" w:rsidTr="00B75753">
        <w:tc>
          <w:tcPr>
            <w:tcW w:w="5000" w:type="pct"/>
            <w:gridSpan w:val="7"/>
            <w:shd w:val="clear" w:color="auto" w:fill="auto"/>
            <w:vAlign w:val="center"/>
          </w:tcPr>
          <w:p w14:paraId="448E1F4A" w14:textId="77777777" w:rsidR="00011FDC" w:rsidRPr="003639A6" w:rsidRDefault="00011FDC" w:rsidP="00C27E59">
            <w:pPr>
              <w:pStyle w:val="TableText0"/>
            </w:pPr>
            <w:r w:rsidRPr="00D1078F">
              <w:t xml:space="preserve">Estimated </w:t>
            </w:r>
            <w:r>
              <w:t>financial implications for other medicines (PCV13)</w:t>
            </w:r>
          </w:p>
        </w:tc>
      </w:tr>
      <w:tr w:rsidR="00B75753" w:rsidRPr="003639A6" w14:paraId="1E60D630" w14:textId="77777777" w:rsidTr="00B75753">
        <w:tc>
          <w:tcPr>
            <w:tcW w:w="1229" w:type="pct"/>
            <w:shd w:val="clear" w:color="auto" w:fill="auto"/>
            <w:vAlign w:val="center"/>
          </w:tcPr>
          <w:p w14:paraId="5FD1EA73" w14:textId="77777777" w:rsidR="00011FDC" w:rsidRDefault="00011FDC" w:rsidP="00C27E59">
            <w:pPr>
              <w:pStyle w:val="TableText0"/>
              <w:rPr>
                <w:sz w:val="19"/>
                <w:szCs w:val="19"/>
              </w:rPr>
            </w:pPr>
            <w:r>
              <w:rPr>
                <w:sz w:val="19"/>
                <w:szCs w:val="19"/>
              </w:rPr>
              <w:t>Cost to NIP</w:t>
            </w:r>
          </w:p>
        </w:tc>
        <w:tc>
          <w:tcPr>
            <w:tcW w:w="693" w:type="pct"/>
            <w:shd w:val="clear" w:color="auto" w:fill="auto"/>
            <w:vAlign w:val="center"/>
          </w:tcPr>
          <w:p w14:paraId="131C26E8" w14:textId="77777777" w:rsidR="00011FDC" w:rsidRPr="003639A6" w:rsidRDefault="00011FDC" w:rsidP="00C27E59">
            <w:pPr>
              <w:pStyle w:val="TableText0"/>
              <w:jc w:val="center"/>
            </w:pPr>
            <w:r>
              <w:t>-</w:t>
            </w:r>
            <w:r w:rsidR="00B75753">
              <w:rPr>
                <w:noProof/>
                <w:color w:val="000000"/>
                <w:highlight w:val="black"/>
              </w:rPr>
              <w:t>'''''''''''''''''''''''''''''''</w:t>
            </w:r>
            <w:r w:rsidR="00675DD8">
              <w:rPr>
                <w:vertAlign w:val="superscript"/>
              </w:rPr>
              <w:t>6</w:t>
            </w:r>
          </w:p>
        </w:tc>
        <w:tc>
          <w:tcPr>
            <w:tcW w:w="615" w:type="pct"/>
            <w:shd w:val="clear" w:color="auto" w:fill="auto"/>
            <w:vAlign w:val="center"/>
          </w:tcPr>
          <w:p w14:paraId="3A0D3FB0" w14:textId="77777777" w:rsidR="00011FDC" w:rsidRPr="003639A6" w:rsidRDefault="00011FDC" w:rsidP="00C27E59">
            <w:pPr>
              <w:pStyle w:val="TableText0"/>
              <w:jc w:val="center"/>
            </w:pPr>
            <w:r>
              <w:t>-</w:t>
            </w:r>
            <w:r w:rsidR="00B75753">
              <w:rPr>
                <w:noProof/>
                <w:color w:val="000000"/>
                <w:highlight w:val="black"/>
              </w:rPr>
              <w:t>''''''''''''''''''''''''''''''</w:t>
            </w:r>
            <w:r w:rsidR="00675DD8">
              <w:rPr>
                <w:vertAlign w:val="superscript"/>
              </w:rPr>
              <w:t>7</w:t>
            </w:r>
          </w:p>
        </w:tc>
        <w:tc>
          <w:tcPr>
            <w:tcW w:w="615" w:type="pct"/>
            <w:shd w:val="clear" w:color="auto" w:fill="auto"/>
            <w:vAlign w:val="center"/>
          </w:tcPr>
          <w:p w14:paraId="29511FA0" w14:textId="77777777" w:rsidR="00011FDC" w:rsidRPr="003639A6" w:rsidRDefault="00011FDC" w:rsidP="00C27E59">
            <w:pPr>
              <w:pStyle w:val="TableText0"/>
              <w:jc w:val="center"/>
            </w:pPr>
            <w:r>
              <w:t>-</w:t>
            </w:r>
            <w:r w:rsidR="00B75753">
              <w:rPr>
                <w:noProof/>
                <w:color w:val="000000"/>
                <w:highlight w:val="black"/>
              </w:rPr>
              <w:t>''''''''''''''''''''''''''''''</w:t>
            </w:r>
            <w:r w:rsidR="00675DD8">
              <w:rPr>
                <w:vertAlign w:val="superscript"/>
              </w:rPr>
              <w:t>8</w:t>
            </w:r>
          </w:p>
        </w:tc>
        <w:tc>
          <w:tcPr>
            <w:tcW w:w="616" w:type="pct"/>
            <w:shd w:val="clear" w:color="auto" w:fill="auto"/>
            <w:vAlign w:val="center"/>
          </w:tcPr>
          <w:p w14:paraId="28370B0D" w14:textId="77777777" w:rsidR="00011FDC" w:rsidRPr="003639A6" w:rsidRDefault="00011FDC" w:rsidP="00C27E59">
            <w:pPr>
              <w:pStyle w:val="TableText0"/>
              <w:jc w:val="center"/>
            </w:pPr>
            <w:r>
              <w:t>-</w:t>
            </w:r>
            <w:r w:rsidR="00B75753">
              <w:rPr>
                <w:noProof/>
                <w:color w:val="000000"/>
                <w:highlight w:val="black"/>
              </w:rPr>
              <w:t>'''''''''''''''''''''''''''''</w:t>
            </w:r>
            <w:r w:rsidR="00675DD8">
              <w:rPr>
                <w:vertAlign w:val="superscript"/>
              </w:rPr>
              <w:t>8</w:t>
            </w:r>
          </w:p>
        </w:tc>
        <w:tc>
          <w:tcPr>
            <w:tcW w:w="616" w:type="pct"/>
            <w:shd w:val="clear" w:color="auto" w:fill="auto"/>
            <w:vAlign w:val="center"/>
          </w:tcPr>
          <w:p w14:paraId="62AFC7F7" w14:textId="77777777" w:rsidR="00011FDC" w:rsidRPr="003639A6" w:rsidRDefault="00011FDC" w:rsidP="00C27E59">
            <w:pPr>
              <w:pStyle w:val="TableText0"/>
              <w:jc w:val="center"/>
            </w:pPr>
            <w:r>
              <w:t>-</w:t>
            </w:r>
            <w:r w:rsidR="00B75753">
              <w:rPr>
                <w:noProof/>
                <w:color w:val="000000"/>
                <w:highlight w:val="black"/>
              </w:rPr>
              <w:t>''''''''''''''''''''''''''''''</w:t>
            </w:r>
            <w:r w:rsidR="00675DD8">
              <w:rPr>
                <w:vertAlign w:val="superscript"/>
              </w:rPr>
              <w:t>8</w:t>
            </w:r>
          </w:p>
        </w:tc>
        <w:tc>
          <w:tcPr>
            <w:tcW w:w="616" w:type="pct"/>
            <w:vAlign w:val="center"/>
          </w:tcPr>
          <w:p w14:paraId="0C972B32" w14:textId="77777777" w:rsidR="00011FDC" w:rsidRPr="003639A6" w:rsidRDefault="00011FDC" w:rsidP="00C27E59">
            <w:pPr>
              <w:pStyle w:val="TableText0"/>
              <w:jc w:val="center"/>
            </w:pPr>
            <w:r>
              <w:t>-</w:t>
            </w:r>
            <w:r w:rsidR="00B75753">
              <w:rPr>
                <w:noProof/>
                <w:color w:val="000000"/>
                <w:highlight w:val="black"/>
              </w:rPr>
              <w:t>'''''''''''''''''''''''''''</w:t>
            </w:r>
            <w:r w:rsidR="004B088C">
              <w:rPr>
                <w:vertAlign w:val="superscript"/>
              </w:rPr>
              <w:t>9</w:t>
            </w:r>
          </w:p>
        </w:tc>
      </w:tr>
      <w:tr w:rsidR="00011FDC" w:rsidRPr="00FC22AB" w14:paraId="68980D8C" w14:textId="77777777" w:rsidTr="00B75753">
        <w:tc>
          <w:tcPr>
            <w:tcW w:w="5000" w:type="pct"/>
            <w:gridSpan w:val="7"/>
            <w:shd w:val="clear" w:color="auto" w:fill="auto"/>
            <w:vAlign w:val="center"/>
          </w:tcPr>
          <w:p w14:paraId="0405ABAF" w14:textId="77777777" w:rsidR="00011FDC" w:rsidRPr="00FC22AB" w:rsidRDefault="00011FDC" w:rsidP="00C27E59">
            <w:pPr>
              <w:pStyle w:val="In-tableHeading"/>
            </w:pPr>
            <w:r w:rsidRPr="00FC22AB">
              <w:t>Net financial implications</w:t>
            </w:r>
            <w:r w:rsidRPr="00FC22AB">
              <w:rPr>
                <w:color w:val="4BACC6" w:themeColor="accent5"/>
              </w:rPr>
              <w:t xml:space="preserve"> </w:t>
            </w:r>
          </w:p>
        </w:tc>
      </w:tr>
      <w:tr w:rsidR="00B75753" w:rsidRPr="003639A6" w14:paraId="1C2F0A27" w14:textId="77777777" w:rsidTr="00B75753">
        <w:tc>
          <w:tcPr>
            <w:tcW w:w="1229" w:type="pct"/>
            <w:shd w:val="clear" w:color="auto" w:fill="auto"/>
            <w:vAlign w:val="center"/>
          </w:tcPr>
          <w:p w14:paraId="2C4C9DCF" w14:textId="77777777" w:rsidR="00011FDC" w:rsidRDefault="00011FDC" w:rsidP="00C27E59">
            <w:pPr>
              <w:pStyle w:val="TableText0"/>
              <w:rPr>
                <w:sz w:val="19"/>
                <w:szCs w:val="19"/>
              </w:rPr>
            </w:pPr>
            <w:r>
              <w:rPr>
                <w:sz w:val="19"/>
                <w:szCs w:val="19"/>
              </w:rPr>
              <w:t>Net cost to NIP</w:t>
            </w:r>
          </w:p>
        </w:tc>
        <w:tc>
          <w:tcPr>
            <w:tcW w:w="693" w:type="pct"/>
            <w:shd w:val="clear" w:color="auto" w:fill="auto"/>
            <w:vAlign w:val="center"/>
          </w:tcPr>
          <w:p w14:paraId="124EE1E6" w14:textId="77777777" w:rsidR="00011FDC" w:rsidRPr="00B75753" w:rsidRDefault="00B75753" w:rsidP="00C27E59">
            <w:pPr>
              <w:pStyle w:val="TableText0"/>
              <w:jc w:val="center"/>
            </w:pPr>
            <w:r>
              <w:rPr>
                <w:noProof/>
                <w:color w:val="000000"/>
                <w:highlight w:val="black"/>
              </w:rPr>
              <w:t>''''''</w:t>
            </w:r>
            <w:r w:rsidR="004B088C">
              <w:rPr>
                <w:vertAlign w:val="superscript"/>
              </w:rPr>
              <w:t>10</w:t>
            </w:r>
          </w:p>
        </w:tc>
        <w:tc>
          <w:tcPr>
            <w:tcW w:w="615" w:type="pct"/>
            <w:shd w:val="clear" w:color="auto" w:fill="auto"/>
            <w:vAlign w:val="center"/>
          </w:tcPr>
          <w:p w14:paraId="773CE3E8" w14:textId="77777777" w:rsidR="00011FDC" w:rsidRPr="00B75753" w:rsidRDefault="00B75753" w:rsidP="00C27E59">
            <w:pPr>
              <w:pStyle w:val="TableText0"/>
              <w:jc w:val="center"/>
            </w:pPr>
            <w:r>
              <w:rPr>
                <w:noProof/>
                <w:color w:val="000000"/>
                <w:highlight w:val="black"/>
              </w:rPr>
              <w:t>''''''</w:t>
            </w:r>
            <w:r w:rsidR="004B088C">
              <w:rPr>
                <w:vertAlign w:val="superscript"/>
              </w:rPr>
              <w:t>10</w:t>
            </w:r>
          </w:p>
        </w:tc>
        <w:tc>
          <w:tcPr>
            <w:tcW w:w="615" w:type="pct"/>
            <w:shd w:val="clear" w:color="auto" w:fill="auto"/>
            <w:vAlign w:val="center"/>
          </w:tcPr>
          <w:p w14:paraId="760033B0" w14:textId="77777777" w:rsidR="00011FDC" w:rsidRPr="00B75753" w:rsidRDefault="00B75753" w:rsidP="00C27E59">
            <w:pPr>
              <w:pStyle w:val="TableText0"/>
              <w:jc w:val="center"/>
            </w:pPr>
            <w:r>
              <w:rPr>
                <w:noProof/>
                <w:color w:val="000000"/>
                <w:highlight w:val="black"/>
              </w:rPr>
              <w:t>''''''</w:t>
            </w:r>
            <w:r w:rsidR="004B088C">
              <w:rPr>
                <w:vertAlign w:val="superscript"/>
              </w:rPr>
              <w:t>10</w:t>
            </w:r>
          </w:p>
        </w:tc>
        <w:tc>
          <w:tcPr>
            <w:tcW w:w="616" w:type="pct"/>
            <w:shd w:val="clear" w:color="auto" w:fill="auto"/>
            <w:vAlign w:val="center"/>
          </w:tcPr>
          <w:p w14:paraId="00CBE33F" w14:textId="77777777" w:rsidR="00011FDC" w:rsidRPr="00B75753" w:rsidRDefault="00B75753" w:rsidP="00C27E59">
            <w:pPr>
              <w:pStyle w:val="TableText0"/>
              <w:jc w:val="center"/>
            </w:pPr>
            <w:r>
              <w:rPr>
                <w:noProof/>
                <w:color w:val="000000"/>
                <w:highlight w:val="black"/>
              </w:rPr>
              <w:t>'''''''</w:t>
            </w:r>
            <w:r w:rsidR="004B088C">
              <w:rPr>
                <w:vertAlign w:val="superscript"/>
              </w:rPr>
              <w:t>10</w:t>
            </w:r>
          </w:p>
        </w:tc>
        <w:tc>
          <w:tcPr>
            <w:tcW w:w="616" w:type="pct"/>
            <w:shd w:val="clear" w:color="auto" w:fill="auto"/>
            <w:vAlign w:val="center"/>
          </w:tcPr>
          <w:p w14:paraId="28D9A88D" w14:textId="77777777" w:rsidR="00011FDC" w:rsidRPr="00B75753" w:rsidRDefault="00B75753" w:rsidP="00C27E59">
            <w:pPr>
              <w:pStyle w:val="TableText0"/>
              <w:jc w:val="center"/>
            </w:pPr>
            <w:r>
              <w:rPr>
                <w:noProof/>
                <w:color w:val="000000"/>
                <w:highlight w:val="black"/>
              </w:rPr>
              <w:t>''''''</w:t>
            </w:r>
            <w:r w:rsidR="004B088C">
              <w:rPr>
                <w:vertAlign w:val="superscript"/>
              </w:rPr>
              <w:t>10</w:t>
            </w:r>
          </w:p>
        </w:tc>
        <w:tc>
          <w:tcPr>
            <w:tcW w:w="616" w:type="pct"/>
            <w:vAlign w:val="center"/>
          </w:tcPr>
          <w:p w14:paraId="4123F9B2" w14:textId="77777777" w:rsidR="00011FDC" w:rsidRPr="00B75753" w:rsidRDefault="00B75753" w:rsidP="00C27E59">
            <w:pPr>
              <w:pStyle w:val="TableText0"/>
              <w:jc w:val="center"/>
            </w:pPr>
            <w:r>
              <w:rPr>
                <w:noProof/>
                <w:color w:val="000000"/>
                <w:highlight w:val="black"/>
              </w:rPr>
              <w:t>'''''''</w:t>
            </w:r>
            <w:r w:rsidR="004B088C">
              <w:rPr>
                <w:vertAlign w:val="superscript"/>
              </w:rPr>
              <w:t>10</w:t>
            </w:r>
          </w:p>
        </w:tc>
      </w:tr>
    </w:tbl>
    <w:p w14:paraId="53A54C4A" w14:textId="77777777" w:rsidR="00011FDC" w:rsidRDefault="00011FDC" w:rsidP="00011FDC">
      <w:pPr>
        <w:pStyle w:val="TableFigureFooter"/>
        <w:rPr>
          <w:rStyle w:val="CommentReference"/>
        </w:rPr>
      </w:pPr>
      <w:r>
        <w:t>Source:</w:t>
      </w:r>
      <w:r w:rsidRPr="000F1483">
        <w:t xml:space="preserve"> Table 4.2-1, p181</w:t>
      </w:r>
      <w:r>
        <w:t>; Table 4.4.1, p183</w:t>
      </w:r>
      <w:r w:rsidRPr="000F1483">
        <w:t xml:space="preserve"> of the submission</w:t>
      </w:r>
    </w:p>
    <w:p w14:paraId="076C8FB9" w14:textId="77777777" w:rsidR="00011FDC" w:rsidRDefault="00011FDC" w:rsidP="00011FDC">
      <w:pPr>
        <w:pStyle w:val="TableFigureFooter"/>
      </w:pPr>
      <w:r>
        <w:rPr>
          <w:bCs/>
          <w:szCs w:val="18"/>
        </w:rPr>
        <w:t>NIP = National Immunisation Program</w:t>
      </w:r>
      <w:r>
        <w:rPr>
          <w:bCs/>
        </w:rPr>
        <w:t xml:space="preserve">; </w:t>
      </w:r>
      <w:r w:rsidRPr="00940C4D">
        <w:rPr>
          <w:bCs/>
        </w:rPr>
        <w:t>PCV1</w:t>
      </w:r>
      <w:r>
        <w:rPr>
          <w:bCs/>
        </w:rPr>
        <w:t>3</w:t>
      </w:r>
      <w:r w:rsidRPr="00940C4D">
        <w:rPr>
          <w:bCs/>
        </w:rPr>
        <w:t xml:space="preserve"> = </w:t>
      </w:r>
      <w:r>
        <w:rPr>
          <w:bCs/>
        </w:rPr>
        <w:t xml:space="preserve">13-valent pneumococcal conjugate vaccine: </w:t>
      </w:r>
      <w:r w:rsidRPr="00940C4D">
        <w:rPr>
          <w:bCs/>
        </w:rPr>
        <w:t>PCV1</w:t>
      </w:r>
      <w:r>
        <w:rPr>
          <w:bCs/>
        </w:rPr>
        <w:t>5</w:t>
      </w:r>
      <w:r w:rsidRPr="00940C4D">
        <w:rPr>
          <w:bCs/>
        </w:rPr>
        <w:t xml:space="preserve"> = </w:t>
      </w:r>
      <w:r>
        <w:rPr>
          <w:bCs/>
        </w:rPr>
        <w:t xml:space="preserve">15-valent pneumococcal conjugate vaccine; </w:t>
      </w:r>
      <w:r>
        <w:t>yrs = years</w:t>
      </w:r>
    </w:p>
    <w:p w14:paraId="6AD261B4" w14:textId="77777777" w:rsidR="000A5999" w:rsidRPr="00B75753" w:rsidRDefault="000A5999" w:rsidP="00011FDC">
      <w:pPr>
        <w:pStyle w:val="TableFigureFooter"/>
        <w:rPr>
          <w:i/>
        </w:rPr>
      </w:pPr>
      <w:r w:rsidRPr="00B75753">
        <w:rPr>
          <w:i/>
        </w:rPr>
        <w:t>The redacted values correspond to the following ranges:</w:t>
      </w:r>
    </w:p>
    <w:p w14:paraId="23FB2AC2" w14:textId="77777777" w:rsidR="000A5999" w:rsidRPr="00B75753" w:rsidRDefault="000A5999" w:rsidP="00011FDC">
      <w:pPr>
        <w:pStyle w:val="TableFigureFooter"/>
        <w:rPr>
          <w:i/>
        </w:rPr>
      </w:pPr>
      <w:r w:rsidRPr="00B75753">
        <w:rPr>
          <w:i/>
          <w:vertAlign w:val="superscript"/>
        </w:rPr>
        <w:t>1</w:t>
      </w:r>
      <w:r w:rsidRPr="00B75753">
        <w:rPr>
          <w:i/>
        </w:rPr>
        <w:t xml:space="preserve"> </w:t>
      </w:r>
      <w:r w:rsidR="00675DD8" w:rsidRPr="00B75753">
        <w:rPr>
          <w:i/>
        </w:rPr>
        <w:t>300,000 to &lt; 400,000</w:t>
      </w:r>
    </w:p>
    <w:p w14:paraId="75A40B65" w14:textId="77777777" w:rsidR="00675DD8" w:rsidRPr="00B75753" w:rsidRDefault="00675DD8" w:rsidP="00011FDC">
      <w:pPr>
        <w:pStyle w:val="TableFigureFooter"/>
        <w:rPr>
          <w:i/>
        </w:rPr>
      </w:pPr>
      <w:r w:rsidRPr="00B75753">
        <w:rPr>
          <w:i/>
          <w:vertAlign w:val="superscript"/>
        </w:rPr>
        <w:t>2</w:t>
      </w:r>
      <w:r w:rsidRPr="00B75753">
        <w:rPr>
          <w:i/>
        </w:rPr>
        <w:t xml:space="preserve"> 200,000 to &lt; 300,000</w:t>
      </w:r>
    </w:p>
    <w:p w14:paraId="3156275D" w14:textId="77777777" w:rsidR="00675DD8" w:rsidRPr="00B75753" w:rsidRDefault="00675DD8" w:rsidP="00011FDC">
      <w:pPr>
        <w:pStyle w:val="TableFigureFooter"/>
        <w:rPr>
          <w:i/>
        </w:rPr>
      </w:pPr>
      <w:r w:rsidRPr="00B75753">
        <w:rPr>
          <w:i/>
          <w:vertAlign w:val="superscript"/>
        </w:rPr>
        <w:t>3</w:t>
      </w:r>
      <w:r w:rsidRPr="00B75753">
        <w:rPr>
          <w:i/>
        </w:rPr>
        <w:t xml:space="preserve"> 100,000 to &lt; 200,000</w:t>
      </w:r>
    </w:p>
    <w:p w14:paraId="5130F66C" w14:textId="77777777" w:rsidR="00675DD8" w:rsidRPr="00B75753" w:rsidRDefault="00675DD8" w:rsidP="00011FDC">
      <w:pPr>
        <w:pStyle w:val="TableFigureFooter"/>
        <w:rPr>
          <w:i/>
        </w:rPr>
      </w:pPr>
      <w:r w:rsidRPr="00B75753">
        <w:rPr>
          <w:i/>
          <w:vertAlign w:val="superscript"/>
        </w:rPr>
        <w:t>4</w:t>
      </w:r>
      <w:r w:rsidRPr="00B75753">
        <w:rPr>
          <w:i/>
        </w:rPr>
        <w:t xml:space="preserve"> 10,000 to &lt; 20,000</w:t>
      </w:r>
    </w:p>
    <w:p w14:paraId="5E6A6CB1" w14:textId="77777777" w:rsidR="00675DD8" w:rsidRPr="00B75753" w:rsidRDefault="00675DD8" w:rsidP="00011FDC">
      <w:pPr>
        <w:pStyle w:val="TableFigureFooter"/>
        <w:rPr>
          <w:i/>
        </w:rPr>
      </w:pPr>
      <w:r w:rsidRPr="00B75753">
        <w:rPr>
          <w:i/>
          <w:vertAlign w:val="superscript"/>
        </w:rPr>
        <w:t>5</w:t>
      </w:r>
      <w:r w:rsidRPr="00B75753">
        <w:rPr>
          <w:i/>
        </w:rPr>
        <w:t xml:space="preserve"> 5,000 to &lt; 10,000</w:t>
      </w:r>
    </w:p>
    <w:p w14:paraId="33D8ABE0" w14:textId="77777777" w:rsidR="00675DD8" w:rsidRPr="00B75753" w:rsidRDefault="00675DD8" w:rsidP="00011FDC">
      <w:pPr>
        <w:pStyle w:val="TableFigureFooter"/>
        <w:rPr>
          <w:i/>
        </w:rPr>
      </w:pPr>
      <w:r w:rsidRPr="00B75753">
        <w:rPr>
          <w:i/>
          <w:vertAlign w:val="superscript"/>
        </w:rPr>
        <w:t>6</w:t>
      </w:r>
      <w:r w:rsidRPr="00B75753">
        <w:rPr>
          <w:i/>
        </w:rPr>
        <w:t xml:space="preserve"> $40 million to &lt; $50 million</w:t>
      </w:r>
    </w:p>
    <w:p w14:paraId="1A468798" w14:textId="77777777" w:rsidR="00675DD8" w:rsidRPr="00B75753" w:rsidRDefault="00675DD8" w:rsidP="00011FDC">
      <w:pPr>
        <w:pStyle w:val="TableFigureFooter"/>
        <w:rPr>
          <w:i/>
        </w:rPr>
      </w:pPr>
      <w:r w:rsidRPr="00B75753">
        <w:rPr>
          <w:i/>
          <w:vertAlign w:val="superscript"/>
        </w:rPr>
        <w:t>7</w:t>
      </w:r>
      <w:r w:rsidRPr="00B75753">
        <w:rPr>
          <w:i/>
        </w:rPr>
        <w:t xml:space="preserve"> $30 million to &lt; $40 million</w:t>
      </w:r>
    </w:p>
    <w:p w14:paraId="1ECC962E" w14:textId="77777777" w:rsidR="00675DD8" w:rsidRPr="00B75753" w:rsidRDefault="00675DD8" w:rsidP="00011FDC">
      <w:pPr>
        <w:pStyle w:val="TableFigureFooter"/>
        <w:rPr>
          <w:i/>
        </w:rPr>
      </w:pPr>
      <w:r w:rsidRPr="00B75753">
        <w:rPr>
          <w:i/>
          <w:vertAlign w:val="superscript"/>
        </w:rPr>
        <w:t>8</w:t>
      </w:r>
      <w:r w:rsidRPr="00B75753">
        <w:rPr>
          <w:i/>
        </w:rPr>
        <w:t xml:space="preserve"> $20 million to &lt; $30 million</w:t>
      </w:r>
    </w:p>
    <w:p w14:paraId="29AA32E3" w14:textId="77777777" w:rsidR="00675DD8" w:rsidRPr="00B75753" w:rsidRDefault="00675DD8" w:rsidP="00011FDC">
      <w:pPr>
        <w:pStyle w:val="TableFigureFooter"/>
        <w:rPr>
          <w:i/>
        </w:rPr>
      </w:pPr>
      <w:r w:rsidRPr="00B75753">
        <w:rPr>
          <w:i/>
          <w:vertAlign w:val="superscript"/>
        </w:rPr>
        <w:t>9</w:t>
      </w:r>
      <w:r w:rsidR="004B088C" w:rsidRPr="00B75753">
        <w:rPr>
          <w:i/>
        </w:rPr>
        <w:t xml:space="preserve"> $10 million to &lt; $20 million</w:t>
      </w:r>
    </w:p>
    <w:p w14:paraId="016EEF95" w14:textId="77777777" w:rsidR="004B088C" w:rsidRPr="00B75753" w:rsidRDefault="004B088C" w:rsidP="00011FDC">
      <w:pPr>
        <w:pStyle w:val="TableFigureFooter"/>
        <w:rPr>
          <w:i/>
        </w:rPr>
      </w:pPr>
      <w:r w:rsidRPr="00B75753">
        <w:rPr>
          <w:i/>
          <w:vertAlign w:val="superscript"/>
        </w:rPr>
        <w:t>10</w:t>
      </w:r>
      <w:r w:rsidRPr="00B75753">
        <w:rPr>
          <w:i/>
        </w:rPr>
        <w:t xml:space="preserve"> $0 to &lt; $10 million</w:t>
      </w:r>
    </w:p>
    <w:p w14:paraId="17E9D4B0" w14:textId="77777777" w:rsidR="002C39BC" w:rsidRPr="00861FC3" w:rsidRDefault="002C39BC" w:rsidP="002C39BC">
      <w:pPr>
        <w:rPr>
          <w:rFonts w:asciiTheme="minorHAnsi" w:hAnsiTheme="minorHAnsi" w:cs="Times New Roman"/>
          <w:i/>
          <w:lang w:eastAsia="en-US"/>
        </w:rPr>
      </w:pPr>
      <w:r w:rsidRPr="00203A67">
        <w:rPr>
          <w:rFonts w:asciiTheme="minorHAnsi" w:hAnsiTheme="minorHAnsi" w:cs="Times New Roman"/>
          <w:i/>
          <w:lang w:eastAsia="en-US"/>
        </w:rPr>
        <w:t>For more detail on PBAC’s view, see section 7 PBAC outcome.</w:t>
      </w:r>
    </w:p>
    <w:p w14:paraId="00912834" w14:textId="77777777" w:rsidR="002C39BC" w:rsidRPr="009C29AB" w:rsidRDefault="002C39BC" w:rsidP="00011FDC">
      <w:pPr>
        <w:pStyle w:val="TableFigureFooter"/>
      </w:pPr>
    </w:p>
    <w:p w14:paraId="5BBFFDB6" w14:textId="77777777" w:rsidR="002C39BC" w:rsidRDefault="002C39BC" w:rsidP="002C39BC">
      <w:pPr>
        <w:pStyle w:val="2-SectionHeading"/>
        <w:numPr>
          <w:ilvl w:val="0"/>
          <w:numId w:val="1"/>
        </w:numPr>
      </w:pPr>
      <w:bookmarkStart w:id="55" w:name="_Hlk86339553"/>
      <w:bookmarkEnd w:id="6"/>
      <w:r>
        <w:t>PBAC Outcome</w:t>
      </w:r>
    </w:p>
    <w:p w14:paraId="6F7514C2" w14:textId="77777777" w:rsidR="00A40838" w:rsidRDefault="005F608B" w:rsidP="00A40838">
      <w:pPr>
        <w:pStyle w:val="3-BodyText"/>
      </w:pPr>
      <w:bookmarkStart w:id="56" w:name="_Hlk87972578"/>
      <w:bookmarkEnd w:id="55"/>
      <w:r>
        <w:t xml:space="preserve">The PBAC recommended that </w:t>
      </w:r>
      <w:r w:rsidR="00E67015" w:rsidRPr="00E67015">
        <w:t xml:space="preserve">15-valent pneumococcal conjugate vaccine </w:t>
      </w:r>
      <w:r w:rsidR="00E67015">
        <w:t>(</w:t>
      </w:r>
      <w:r w:rsidR="00A40838">
        <w:t xml:space="preserve">PCV15, </w:t>
      </w:r>
      <w:r w:rsidR="00E67015">
        <w:t xml:space="preserve">Vaxneuvance) </w:t>
      </w:r>
      <w:r w:rsidR="00A40838">
        <w:t xml:space="preserve">be a designated vaccine for the purposes of the </w:t>
      </w:r>
      <w:r w:rsidR="00A40838" w:rsidRPr="00A40838">
        <w:rPr>
          <w:i/>
          <w:iCs/>
        </w:rPr>
        <w:t>National Health Act 1953</w:t>
      </w:r>
      <w:r w:rsidR="00A40838">
        <w:t>, for</w:t>
      </w:r>
      <w:r w:rsidR="00A73BE7">
        <w:t xml:space="preserve"> the </w:t>
      </w:r>
      <w:r w:rsidR="00A40838" w:rsidRPr="00A40838">
        <w:t xml:space="preserve">prevention of pneumococcal disease in </w:t>
      </w:r>
      <w:bookmarkStart w:id="57" w:name="_Hlk87623928"/>
      <w:r w:rsidR="00A40838" w:rsidRPr="00A40838">
        <w:t>non-Indigenous adults aged ≥70 years, Indigenous adults aged ≥50 years, and individuals at increased risk of pneumococcal disease aged ≥18 years</w:t>
      </w:r>
      <w:bookmarkEnd w:id="57"/>
      <w:r w:rsidR="00A40838" w:rsidRPr="00A40838">
        <w:t xml:space="preserve">. </w:t>
      </w:r>
      <w:r w:rsidR="004806D8">
        <w:t>The PBAC’s recommendation for listing was based on, among other matters, its assessment that the cost-effectiveness of Vaxneuvance would be acceptable if it were cost-minimised against the nominated comparator,</w:t>
      </w:r>
      <w:r w:rsidR="002273CA">
        <w:t xml:space="preserve"> 13-valent pneumococcal conjugate vaccine (PCV13, Prevenar 13)</w:t>
      </w:r>
      <w:r w:rsidR="004806D8">
        <w:t>.</w:t>
      </w:r>
    </w:p>
    <w:bookmarkEnd w:id="56"/>
    <w:p w14:paraId="79AA37CE" w14:textId="77777777" w:rsidR="002273CA" w:rsidRDefault="002273CA" w:rsidP="00A40838">
      <w:pPr>
        <w:pStyle w:val="3-BodyText"/>
      </w:pPr>
      <w:r>
        <w:t>The PBAC considered that nomination of Prevenar 13 as the main comparator was appropriate</w:t>
      </w:r>
      <w:r w:rsidR="0044494F">
        <w:t>, noting that Prevenar</w:t>
      </w:r>
      <w:r w:rsidR="000840A8">
        <w:t xml:space="preserve"> 13</w:t>
      </w:r>
      <w:r w:rsidR="0044494F">
        <w:t xml:space="preserve"> was TGA-approved and NIP-funded for certain paediatric populations, whereas Vaxneuvance had only sought TGA-approval and NIP-funding for</w:t>
      </w:r>
      <w:r w:rsidR="009C2B2B">
        <w:t xml:space="preserve"> certain</w:t>
      </w:r>
      <w:r w:rsidR="0044494F">
        <w:t xml:space="preserve"> populations aged </w:t>
      </w:r>
      <w:r w:rsidR="0044494F" w:rsidRPr="00A40838">
        <w:t>≥18 years</w:t>
      </w:r>
      <w:r w:rsidR="0044494F">
        <w:t xml:space="preserve"> and older (outlined in the previous paragraph)</w:t>
      </w:r>
      <w:r>
        <w:t xml:space="preserve">. </w:t>
      </w:r>
      <w:r w:rsidR="003D1698" w:rsidRPr="009C2B2B">
        <w:t xml:space="preserve">The PBAC </w:t>
      </w:r>
      <w:r w:rsidR="006D5EDE" w:rsidRPr="009C2B2B">
        <w:t>advised</w:t>
      </w:r>
      <w:r w:rsidR="003D1698" w:rsidRPr="009C2B2B">
        <w:t xml:space="preserve"> that the NIP listing for Vaxneuvance should be consistent with the Prevenar 13 NIP</w:t>
      </w:r>
      <w:r w:rsidR="0044494F" w:rsidRPr="009C2B2B">
        <w:t xml:space="preserve">-funded </w:t>
      </w:r>
      <w:r w:rsidR="003D1698" w:rsidRPr="009C2B2B">
        <w:t>circumstances for</w:t>
      </w:r>
      <w:r w:rsidR="0044494F" w:rsidRPr="009C2B2B">
        <w:t xml:space="preserve"> the relevant</w:t>
      </w:r>
      <w:r w:rsidR="003D1698" w:rsidRPr="009C2B2B">
        <w:t xml:space="preserve"> adult populations</w:t>
      </w:r>
      <w:r w:rsidR="0044494F" w:rsidRPr="009C2B2B">
        <w:t xml:space="preserve"> above</w:t>
      </w:r>
      <w:r w:rsidR="003D1698" w:rsidRPr="009C2B2B">
        <w:t xml:space="preserve">. </w:t>
      </w:r>
    </w:p>
    <w:p w14:paraId="122BD83E" w14:textId="77777777" w:rsidR="002273CA" w:rsidRDefault="00071AC9" w:rsidP="00A40838">
      <w:pPr>
        <w:pStyle w:val="3-BodyText"/>
      </w:pPr>
      <w:r>
        <w:t xml:space="preserve">The PBAC advised </w:t>
      </w:r>
      <w:r w:rsidR="00726262">
        <w:t xml:space="preserve">that </w:t>
      </w:r>
      <w:r>
        <w:t>the equi-effective doses were 1 x 0.5 mL Vaxneuvance and 1 x 0.5</w:t>
      </w:r>
      <w:r w:rsidR="00726262">
        <w:t> </w:t>
      </w:r>
      <w:r>
        <w:t xml:space="preserve">mL Prevenar 13. </w:t>
      </w:r>
    </w:p>
    <w:p w14:paraId="3713867C" w14:textId="77777777" w:rsidR="00FE77CA" w:rsidRDefault="008B11B4" w:rsidP="00FE77CA">
      <w:pPr>
        <w:pStyle w:val="3-BodyText"/>
      </w:pPr>
      <w:r>
        <w:t>The PBAC considered that</w:t>
      </w:r>
      <w:r w:rsidR="005232B5">
        <w:t xml:space="preserve"> having</w:t>
      </w:r>
      <w:r>
        <w:t xml:space="preserve"> </w:t>
      </w:r>
      <w:r w:rsidR="000E60FD">
        <w:t xml:space="preserve">an additional </w:t>
      </w:r>
      <w:r w:rsidR="00281870">
        <w:t>pneumococcal v</w:t>
      </w:r>
      <w:r w:rsidR="005864A8">
        <w:t>accine on the NIP</w:t>
      </w:r>
      <w:r w:rsidR="005232B5">
        <w:t xml:space="preserve"> would </w:t>
      </w:r>
      <w:r w:rsidR="00726262">
        <w:t xml:space="preserve">help to manage </w:t>
      </w:r>
      <w:r w:rsidR="00153BBB">
        <w:t xml:space="preserve">programmatic </w:t>
      </w:r>
      <w:r w:rsidR="00726262">
        <w:t xml:space="preserve">risks associated with a sole supplier </w:t>
      </w:r>
      <w:r w:rsidR="00153BBB">
        <w:t>of PCV13 on</w:t>
      </w:r>
      <w:r w:rsidR="00726262">
        <w:t xml:space="preserve"> the NIP</w:t>
      </w:r>
      <w:r w:rsidR="00703DCC">
        <w:t xml:space="preserve">. </w:t>
      </w:r>
      <w:r w:rsidR="005B7B35" w:rsidRPr="005B7B35">
        <w:t>The PBAC considered that there would need to be effective communication with health professionals regarding the appropriate timing and administration of Vaxneuvance and Prevenar 13. If PCV15 were implemented on the NIP for adults prior to receiving a potential regulatory approval and NIP-listing for the paediatric population, the populations for each vaccine would need to be clear</w:t>
      </w:r>
      <w:r w:rsidR="005B7B35">
        <w:t>ly</w:t>
      </w:r>
      <w:r w:rsidR="005B7B35" w:rsidRPr="005B7B35">
        <w:t xml:space="preserve"> communicated with health professionals.</w:t>
      </w:r>
    </w:p>
    <w:p w14:paraId="031B1339" w14:textId="77777777" w:rsidR="002C39BC" w:rsidRDefault="00C75697" w:rsidP="00BB1731">
      <w:pPr>
        <w:pStyle w:val="3-BodyText"/>
      </w:pPr>
      <w:r>
        <w:t>The PBAC noted that the submission was based on</w:t>
      </w:r>
      <w:r w:rsidR="00A43A72">
        <w:t>e</w:t>
      </w:r>
      <w:r w:rsidR="00A43A72" w:rsidRPr="00A43A72">
        <w:t xml:space="preserve"> randomised, noninferiority trial (P019) comparing PCV15 to PCV13</w:t>
      </w:r>
      <w:r w:rsidR="00004D43">
        <w:t xml:space="preserve"> and </w:t>
      </w:r>
      <w:r w:rsidR="00BB1731">
        <w:t xml:space="preserve">six supplementary randomised trials comparing PCV15 to PCV13. The PBAC noted that only P019 was powered to compare the </w:t>
      </w:r>
      <w:r w:rsidR="00E15546">
        <w:t>efficacy of PCV15 and PCV13</w:t>
      </w:r>
      <w:r w:rsidR="00F21659">
        <w:t xml:space="preserve"> and that outcomes of the trials were based on immunogenicity data rather than avoided cases of </w:t>
      </w:r>
      <w:r w:rsidR="003C1C0C">
        <w:t>IPD</w:t>
      </w:r>
      <w:r w:rsidR="00F21659">
        <w:t>.</w:t>
      </w:r>
      <w:r w:rsidR="00E10E27">
        <w:t xml:space="preserve"> The PBAC recalled that</w:t>
      </w:r>
      <w:r w:rsidR="000576EF">
        <w:t xml:space="preserve"> it previously recommended</w:t>
      </w:r>
      <w:r w:rsidR="00E10E27">
        <w:t xml:space="preserve"> </w:t>
      </w:r>
      <w:r w:rsidR="002943B5">
        <w:t>PCV10 and PCV13</w:t>
      </w:r>
      <w:r w:rsidR="000576EF">
        <w:t xml:space="preserve"> for infants and children based on immunogenicity data</w:t>
      </w:r>
      <w:r w:rsidR="00D4273A">
        <w:t>, but that its consideration of PCV13 for adults (Indigenous and non-Indigenous) compared with PPV23 was based on a large trial that reported clinical outcomes with a long follow-up period</w:t>
      </w:r>
      <w:r w:rsidR="00FE77CA">
        <w:t>.</w:t>
      </w:r>
      <w:r w:rsidR="00D4273A">
        <w:t xml:space="preserve"> Noting the ATAGI’s advice that </w:t>
      </w:r>
      <w:r w:rsidR="00DB3227">
        <w:t xml:space="preserve">the use of immunogenicity outcomes as a surrogate for disease prevention </w:t>
      </w:r>
      <w:r w:rsidR="00DC427B">
        <w:t>was reasonable for a low</w:t>
      </w:r>
      <w:r w:rsidR="00D4273A">
        <w:t>-</w:t>
      </w:r>
      <w:r w:rsidR="00DC427B">
        <w:t>incidence</w:t>
      </w:r>
      <w:r w:rsidR="00D4273A">
        <w:t xml:space="preserve"> disease, as well as the TGA Delegate’s comment </w:t>
      </w:r>
      <w:r w:rsidR="00510BC8">
        <w:t>around the lack of feasibility of conducting efficacy studies for new pneumococcal vaccines in settings where up</w:t>
      </w:r>
      <w:r w:rsidR="009C2B2B">
        <w:t>take</w:t>
      </w:r>
      <w:r w:rsidR="00510BC8">
        <w:t xml:space="preserve"> of currently approved vaccines is high, the PBAC considered that the evidence base presented was appropriate to support the current submission’s noninferiority claims</w:t>
      </w:r>
      <w:r w:rsidR="00DC427B">
        <w:t xml:space="preserve">. </w:t>
      </w:r>
    </w:p>
    <w:p w14:paraId="40BD32D2" w14:textId="77777777" w:rsidR="00FE77CA" w:rsidRDefault="00360AF7" w:rsidP="00BB1731">
      <w:pPr>
        <w:pStyle w:val="3-BodyText"/>
      </w:pPr>
      <w:r>
        <w:t xml:space="preserve">The PBAC considered </w:t>
      </w:r>
      <w:r w:rsidR="00F44B31">
        <w:t xml:space="preserve">it would be reasonable to conclude that Vaxneuvance was noninferior </w:t>
      </w:r>
      <w:r w:rsidR="005A5D89">
        <w:t>compared to</w:t>
      </w:r>
      <w:r w:rsidR="00F44B31">
        <w:t xml:space="preserve"> Prevenar 13 in terms of</w:t>
      </w:r>
      <w:r w:rsidR="005A5D89">
        <w:t xml:space="preserve"> </w:t>
      </w:r>
      <w:r w:rsidR="00510BC8">
        <w:t>effectiveness</w:t>
      </w:r>
      <w:r w:rsidR="005A5D89">
        <w:t>, based on the clinical data presented.</w:t>
      </w:r>
      <w:r w:rsidR="00C4144B">
        <w:t xml:space="preserve"> The PBAC</w:t>
      </w:r>
      <w:r w:rsidR="00193741">
        <w:t xml:space="preserve"> noted that the noninferiority c</w:t>
      </w:r>
      <w:r w:rsidR="00D161BF">
        <w:t xml:space="preserve">riterion specified in P019 of 0.50 </w:t>
      </w:r>
      <w:r w:rsidR="00147EEF">
        <w:t>for the</w:t>
      </w:r>
      <w:r w:rsidR="00D161BF" w:rsidRPr="00D161BF">
        <w:t xml:space="preserve"> lower bound of the 95% confidence interval of the </w:t>
      </w:r>
      <w:r w:rsidR="00147EEF">
        <w:t xml:space="preserve">OPA </w:t>
      </w:r>
      <w:r w:rsidR="00D161BF" w:rsidRPr="00D161BF">
        <w:t>GMT ratio</w:t>
      </w:r>
      <w:r w:rsidR="00147EEF">
        <w:t xml:space="preserve">, was lower than the threshold of 0.67 recommended </w:t>
      </w:r>
      <w:r w:rsidR="003F21CC">
        <w:t>in</w:t>
      </w:r>
      <w:r w:rsidR="00147EEF">
        <w:t xml:space="preserve"> </w:t>
      </w:r>
      <w:r w:rsidR="003F21CC">
        <w:t xml:space="preserve">the WHO guidelines on clinical evaluation of vaccines. However, the PBAC </w:t>
      </w:r>
      <w:r w:rsidR="00E678EB">
        <w:t>noted that the WHO guidelines were established at a time when multi</w:t>
      </w:r>
      <w:r w:rsidR="004068C7">
        <w:t xml:space="preserve">ple </w:t>
      </w:r>
      <w:r w:rsidR="00E678EB">
        <w:t xml:space="preserve">antigen vaccines were less common and acknowledged </w:t>
      </w:r>
      <w:r w:rsidR="00D75CC2">
        <w:t>there may be practical</w:t>
      </w:r>
      <w:r w:rsidR="00106AE7">
        <w:t xml:space="preserve"> issues </w:t>
      </w:r>
      <w:r w:rsidR="00D65661">
        <w:t xml:space="preserve">with </w:t>
      </w:r>
      <w:r w:rsidR="00D75CC2" w:rsidRPr="00D75CC2">
        <w:t>achie</w:t>
      </w:r>
      <w:r w:rsidR="00D65661">
        <w:t>ving</w:t>
      </w:r>
      <w:r w:rsidR="00D75CC2" w:rsidRPr="00D75CC2">
        <w:t xml:space="preserve"> the </w:t>
      </w:r>
      <w:r w:rsidR="00D65661">
        <w:t xml:space="preserve">large </w:t>
      </w:r>
      <w:r w:rsidR="00D75CC2" w:rsidRPr="00D75CC2">
        <w:t xml:space="preserve">sample sizes required to assess noninferiority of </w:t>
      </w:r>
      <w:r w:rsidR="004068C7">
        <w:t xml:space="preserve">these </w:t>
      </w:r>
      <w:r w:rsidR="00D75CC2" w:rsidRPr="00D75CC2">
        <w:t>vaccines</w:t>
      </w:r>
      <w:r w:rsidR="00510BC8">
        <w:t xml:space="preserve"> at the WHO margin</w:t>
      </w:r>
      <w:r w:rsidR="00D75CC2" w:rsidRPr="00D75CC2">
        <w:t xml:space="preserve"> </w:t>
      </w:r>
      <w:r w:rsidR="004068C7">
        <w:t>within a trial</w:t>
      </w:r>
      <w:r w:rsidR="00D75CC2" w:rsidRPr="00D75CC2">
        <w:t>.</w:t>
      </w:r>
    </w:p>
    <w:p w14:paraId="35537636" w14:textId="77777777" w:rsidR="00FE5016" w:rsidRDefault="008662D8" w:rsidP="00BB1731">
      <w:pPr>
        <w:pStyle w:val="3-BodyText"/>
      </w:pPr>
      <w:r>
        <w:t xml:space="preserve">The PBAC did not accept the claim of superior </w:t>
      </w:r>
      <w:r w:rsidR="00510BC8">
        <w:t xml:space="preserve">effectiveness </w:t>
      </w:r>
      <w:r w:rsidR="008C27EA">
        <w:t xml:space="preserve">for </w:t>
      </w:r>
      <w:r w:rsidR="007113A6">
        <w:t>serotype 3 in Vaxneuvance compared to Prevenar 13</w:t>
      </w:r>
      <w:r w:rsidR="00573F70">
        <w:t>,</w:t>
      </w:r>
      <w:r w:rsidR="00810EA3">
        <w:t xml:space="preserve"> noting that</w:t>
      </w:r>
      <w:r w:rsidR="007113A6">
        <w:t xml:space="preserve"> </w:t>
      </w:r>
      <w:r w:rsidR="00810EA3" w:rsidRPr="00810EA3">
        <w:t xml:space="preserve">a superiority threshold which correlates with additional clinical protection was </w:t>
      </w:r>
      <w:r w:rsidR="00810EA3">
        <w:t>uncertain.</w:t>
      </w:r>
      <w:r w:rsidR="00573F70">
        <w:t xml:space="preserve"> However, </w:t>
      </w:r>
      <w:r w:rsidR="008C3A8B">
        <w:t xml:space="preserve">the PBAC </w:t>
      </w:r>
      <w:r w:rsidR="009808ED">
        <w:t xml:space="preserve">agreed with the ESC </w:t>
      </w:r>
      <w:r w:rsidR="009808ED" w:rsidRPr="00510BC8">
        <w:t xml:space="preserve">that </w:t>
      </w:r>
      <w:r w:rsidR="009808ED">
        <w:t xml:space="preserve">it was reasonable to conclude that </w:t>
      </w:r>
      <w:r w:rsidR="009808ED" w:rsidRPr="00510BC8">
        <w:t>PCV15 will provide expanded coverage to serotypes 22F and 33F</w:t>
      </w:r>
      <w:r w:rsidR="00852A7E">
        <w:t>.</w:t>
      </w:r>
    </w:p>
    <w:p w14:paraId="5DEAD0E1" w14:textId="77777777" w:rsidR="00810EA3" w:rsidRDefault="00573F70" w:rsidP="00BB1731">
      <w:pPr>
        <w:pStyle w:val="3-BodyText"/>
      </w:pPr>
      <w:r>
        <w:t>The PBAC considered that the clinical data provided supported the claim of noninferior safety of Vaxneuvance compared to Prevenar 13</w:t>
      </w:r>
      <w:r w:rsidR="009204B5">
        <w:t xml:space="preserve"> </w:t>
      </w:r>
      <w:r w:rsidR="009204B5" w:rsidRPr="009204B5">
        <w:t xml:space="preserve">(although </w:t>
      </w:r>
      <w:r w:rsidR="009204B5">
        <w:t xml:space="preserve">PBAC </w:t>
      </w:r>
      <w:r w:rsidR="009204B5" w:rsidRPr="009204B5">
        <w:t>also noted ATAGI’s concerns regarding tolerability)</w:t>
      </w:r>
      <w:r>
        <w:t>.</w:t>
      </w:r>
    </w:p>
    <w:p w14:paraId="145C2AB9" w14:textId="77777777" w:rsidR="0018134D" w:rsidRDefault="009808ED" w:rsidP="00BB1731">
      <w:pPr>
        <w:pStyle w:val="3-BodyText"/>
      </w:pPr>
      <w:r>
        <w:t xml:space="preserve">The PBAC noted the various analyses presented to support listing in the particular subgroups requested for listing. </w:t>
      </w:r>
      <w:r w:rsidR="00667729">
        <w:t xml:space="preserve">The PBAC noted there </w:t>
      </w:r>
      <w:r w:rsidR="00091B8F">
        <w:t xml:space="preserve">was </w:t>
      </w:r>
      <w:r w:rsidR="00667729">
        <w:t xml:space="preserve">no </w:t>
      </w:r>
      <w:r w:rsidR="009204B5">
        <w:t xml:space="preserve">specific </w:t>
      </w:r>
      <w:r w:rsidR="00667729">
        <w:t xml:space="preserve">trial data available for Indigenous adults </w:t>
      </w:r>
      <w:r w:rsidR="00667729" w:rsidRPr="00667729">
        <w:t xml:space="preserve">aged </w:t>
      </w:r>
      <w:bookmarkStart w:id="58" w:name="_Hlk87966626"/>
      <w:r w:rsidR="00667729" w:rsidRPr="00667729">
        <w:t>≥50 years</w:t>
      </w:r>
      <w:r w:rsidR="00C05BDC">
        <w:t xml:space="preserve"> </w:t>
      </w:r>
      <w:bookmarkEnd w:id="58"/>
      <w:r w:rsidR="00C05BDC">
        <w:t>and</w:t>
      </w:r>
      <w:r w:rsidR="009204B5">
        <w:t xml:space="preserve"> specific</w:t>
      </w:r>
      <w:r w:rsidR="0092074C">
        <w:t xml:space="preserve"> trial data was only available for one of </w:t>
      </w:r>
      <w:r w:rsidR="0092074C" w:rsidRPr="0092074C">
        <w:t xml:space="preserve">the risk conditions currently </w:t>
      </w:r>
      <w:r w:rsidR="00726262">
        <w:t>funded</w:t>
      </w:r>
      <w:r w:rsidR="00726262" w:rsidRPr="0092074C">
        <w:t xml:space="preserve"> </w:t>
      </w:r>
      <w:r w:rsidR="0092074C" w:rsidRPr="0092074C">
        <w:t>by the NIP for pneumococcal vaccines</w:t>
      </w:r>
      <w:r w:rsidR="009204B5">
        <w:t xml:space="preserve"> (HIV)</w:t>
      </w:r>
      <w:r w:rsidR="0092074C" w:rsidRPr="0092074C">
        <w:t>.</w:t>
      </w:r>
      <w:r w:rsidR="00F87D49">
        <w:t xml:space="preserve"> </w:t>
      </w:r>
      <w:r w:rsidR="00472C35">
        <w:t>The</w:t>
      </w:r>
      <w:r w:rsidR="00C9053B">
        <w:t xml:space="preserve"> PBAC </w:t>
      </w:r>
      <w:r w:rsidR="009204B5">
        <w:t xml:space="preserve">considered </w:t>
      </w:r>
      <w:r w:rsidR="00C9053B">
        <w:t xml:space="preserve">that the </w:t>
      </w:r>
      <w:r w:rsidR="00472C35">
        <w:t xml:space="preserve">immunogenicity </w:t>
      </w:r>
      <w:r w:rsidR="00C9053B">
        <w:t>results for</w:t>
      </w:r>
      <w:r w:rsidR="009234FA">
        <w:t xml:space="preserve"> P017</w:t>
      </w:r>
      <w:r w:rsidR="00472C35">
        <w:t xml:space="preserve"> and P018, which included adults at risk of pneumococcal</w:t>
      </w:r>
      <w:r w:rsidR="00AC620D">
        <w:t xml:space="preserve"> disease and adults with HIV respectively, </w:t>
      </w:r>
      <w:r w:rsidR="00DD365C">
        <w:t>were</w:t>
      </w:r>
      <w:r w:rsidR="00AC620D">
        <w:t xml:space="preserve"> </w:t>
      </w:r>
      <w:r w:rsidR="009204B5">
        <w:t xml:space="preserve">largely </w:t>
      </w:r>
      <w:r w:rsidR="00AC620D">
        <w:t>comparable between PCV15 and PCV13.</w:t>
      </w:r>
      <w:r w:rsidR="00C47609">
        <w:t xml:space="preserve"> </w:t>
      </w:r>
      <w:r w:rsidR="007B4B38">
        <w:t xml:space="preserve">The PBAC recalled </w:t>
      </w:r>
      <w:r w:rsidR="00DF7688">
        <w:t xml:space="preserve">it </w:t>
      </w:r>
      <w:r w:rsidR="009204B5">
        <w:t xml:space="preserve">had </w:t>
      </w:r>
      <w:r w:rsidR="007B4B38" w:rsidRPr="007B4B38">
        <w:t xml:space="preserve">previously recommended </w:t>
      </w:r>
      <w:r w:rsidR="00DF7688">
        <w:t>Prevenar</w:t>
      </w:r>
      <w:r w:rsidR="00726262">
        <w:t> </w:t>
      </w:r>
      <w:r w:rsidR="00DF7688">
        <w:t>13</w:t>
      </w:r>
      <w:r w:rsidR="007B4B38" w:rsidRPr="007B4B38">
        <w:t xml:space="preserve"> for </w:t>
      </w:r>
      <w:r w:rsidR="00DF7688">
        <w:t>Indigenous</w:t>
      </w:r>
      <w:r w:rsidR="00091B8F">
        <w:t xml:space="preserve"> adults </w:t>
      </w:r>
      <w:r w:rsidR="00091B8F" w:rsidRPr="00091B8F">
        <w:t>≥50 years</w:t>
      </w:r>
      <w:r w:rsidR="00091B8F">
        <w:t xml:space="preserve"> and</w:t>
      </w:r>
      <w:r w:rsidR="007B4B38" w:rsidRPr="007B4B38">
        <w:t xml:space="preserve"> </w:t>
      </w:r>
      <w:r>
        <w:t xml:space="preserve">for those with </w:t>
      </w:r>
      <w:r w:rsidR="007B4B38" w:rsidRPr="007B4B38">
        <w:t xml:space="preserve">certain risk conditions in the absence of direct evidence specifically in these </w:t>
      </w:r>
      <w:r w:rsidR="00091B8F">
        <w:t>populations</w:t>
      </w:r>
      <w:r w:rsidR="007B4B38">
        <w:t>. Overall, the PBAC considered</w:t>
      </w:r>
      <w:r w:rsidR="009D5EFB">
        <w:t xml:space="preserve"> it would be reasonable to conclude that Vaxneuvance</w:t>
      </w:r>
      <w:r w:rsidR="009D5EFB" w:rsidRPr="009D5EFB">
        <w:t xml:space="preserve"> </w:t>
      </w:r>
      <w:r w:rsidR="005E3F85">
        <w:t xml:space="preserve">would be similarly immunogenic to Prevenar 13 in </w:t>
      </w:r>
      <w:r>
        <w:t xml:space="preserve">all requested </w:t>
      </w:r>
      <w:r w:rsidR="005E3F85">
        <w:t xml:space="preserve">populations. </w:t>
      </w:r>
    </w:p>
    <w:p w14:paraId="2EDFACA9" w14:textId="77777777" w:rsidR="00C47609" w:rsidRDefault="00DD365C" w:rsidP="00BB1731">
      <w:pPr>
        <w:pStyle w:val="3-BodyText"/>
      </w:pPr>
      <w:r>
        <w:t xml:space="preserve">The PBAC noted </w:t>
      </w:r>
      <w:r w:rsidR="00E24D05">
        <w:t>the uncertainties in the financial estimates with respect to</w:t>
      </w:r>
      <w:r w:rsidR="00644AE4">
        <w:t xml:space="preserve"> the assumed</w:t>
      </w:r>
      <w:r w:rsidR="00E24D05">
        <w:t xml:space="preserve"> uptake rate in the catch-up population </w:t>
      </w:r>
      <w:r w:rsidR="00644AE4">
        <w:t xml:space="preserve">and the estimated number of individuals at risk </w:t>
      </w:r>
      <w:r w:rsidR="00644AE4" w:rsidRPr="00644AE4">
        <w:t xml:space="preserve">at increased risk of pneumococcal disease aged ≥18 years </w:t>
      </w:r>
      <w:r w:rsidR="00644AE4">
        <w:t>who would be</w:t>
      </w:r>
      <w:r w:rsidR="00644AE4" w:rsidRPr="00644AE4">
        <w:t xml:space="preserve"> eligible for </w:t>
      </w:r>
      <w:r w:rsidR="00644AE4">
        <w:t xml:space="preserve">Vaxneuvance. However, the PBAC </w:t>
      </w:r>
      <w:r w:rsidR="009808ED">
        <w:t xml:space="preserve">considered </w:t>
      </w:r>
      <w:r w:rsidR="00644AE4">
        <w:t xml:space="preserve">that including Vaxneuvance on the NIP </w:t>
      </w:r>
      <w:r w:rsidR="003D3A47">
        <w:t>would not result in an incremental cost to the program</w:t>
      </w:r>
      <w:r w:rsidR="003309C0">
        <w:t>, in the context of a cost-minimisation to Prevenar 13</w:t>
      </w:r>
      <w:r w:rsidR="003D3A47">
        <w:t>.</w:t>
      </w:r>
    </w:p>
    <w:p w14:paraId="55EFA4BD" w14:textId="77777777" w:rsidR="00810EA3" w:rsidRDefault="00810EA3" w:rsidP="00BB1731">
      <w:pPr>
        <w:pStyle w:val="3-BodyText"/>
      </w:pPr>
      <w:r w:rsidRPr="00810EA3">
        <w:t>PBAC noted that this submission is not eligible for an independent review as independent review is only relevant to requests for PBS listing.</w:t>
      </w:r>
    </w:p>
    <w:p w14:paraId="658FBC3A" w14:textId="77777777" w:rsidR="002C39BC" w:rsidRPr="00525B39" w:rsidRDefault="002C39BC" w:rsidP="002C39BC">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5634E78B" w14:textId="77777777" w:rsidR="002C39BC" w:rsidRPr="00525B39" w:rsidRDefault="002C39BC" w:rsidP="002C39BC">
      <w:pPr>
        <w:rPr>
          <w:rFonts w:asciiTheme="minorHAnsi" w:hAnsiTheme="minorHAnsi"/>
          <w:bCs/>
          <w:snapToGrid w:val="0"/>
          <w:lang w:val="en-GB"/>
        </w:rPr>
      </w:pPr>
      <w:r w:rsidRPr="00525B39">
        <w:rPr>
          <w:rFonts w:asciiTheme="minorHAnsi" w:hAnsiTheme="minorHAnsi"/>
          <w:bCs/>
          <w:snapToGrid w:val="0"/>
          <w:lang w:val="en-GB"/>
        </w:rPr>
        <w:t xml:space="preserve">Recommended </w:t>
      </w:r>
    </w:p>
    <w:p w14:paraId="46A39D9B" w14:textId="77777777" w:rsidR="002C39BC" w:rsidRDefault="002C39BC" w:rsidP="002C39BC">
      <w:pPr>
        <w:pStyle w:val="3-BodyText"/>
        <w:numPr>
          <w:ilvl w:val="0"/>
          <w:numId w:val="0"/>
        </w:numPr>
        <w:rPr>
          <w:color w:val="0066FF"/>
        </w:rPr>
      </w:pPr>
    </w:p>
    <w:p w14:paraId="0DE2228C" w14:textId="77777777" w:rsidR="002C39BC" w:rsidRDefault="002C39BC" w:rsidP="002C39BC">
      <w:pPr>
        <w:pStyle w:val="2-SectionHeading"/>
        <w:numPr>
          <w:ilvl w:val="0"/>
          <w:numId w:val="1"/>
        </w:numPr>
      </w:pPr>
      <w:r>
        <w:t>Recommended listing</w:t>
      </w:r>
    </w:p>
    <w:p w14:paraId="3754032A" w14:textId="77777777" w:rsidR="002C39BC" w:rsidRPr="006333ED" w:rsidRDefault="006333ED" w:rsidP="002C39BC">
      <w:pPr>
        <w:pStyle w:val="3-BodyText"/>
        <w:rPr>
          <w:color w:val="0066FF"/>
        </w:rPr>
      </w:pPr>
      <w:r>
        <w:t>Add new item to the Determination:</w:t>
      </w:r>
    </w:p>
    <w:p w14:paraId="2D0A45D7" w14:textId="77777777" w:rsidR="006333ED" w:rsidRPr="00FE3759" w:rsidRDefault="006333ED" w:rsidP="006333ED">
      <w:pPr>
        <w:keepNext/>
        <w:jc w:val="left"/>
        <w:rPr>
          <w:rFonts w:ascii="Arial Narrow" w:hAnsi="Arial Narrow" w:cs="Times New Roman"/>
          <w:b/>
          <w:sz w:val="20"/>
          <w:szCs w:val="20"/>
        </w:rPr>
      </w:pPr>
      <w:r w:rsidRPr="00FE3759">
        <w:rPr>
          <w:rFonts w:ascii="Arial Narrow" w:hAnsi="Arial Narrow" w:cs="Times New Roman"/>
          <w:b/>
          <w:sz w:val="20"/>
          <w:szCs w:val="20"/>
        </w:rPr>
        <w:t>Essential elements of the requested listing</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562"/>
        <w:gridCol w:w="1393"/>
        <w:gridCol w:w="223"/>
        <w:gridCol w:w="1771"/>
        <w:gridCol w:w="2123"/>
      </w:tblGrid>
      <w:tr w:rsidR="006333ED" w:rsidRPr="00FE3759" w14:paraId="0B7A1AF9" w14:textId="77777777" w:rsidTr="009808ED">
        <w:tc>
          <w:tcPr>
            <w:tcW w:w="3549" w:type="dxa"/>
            <w:vAlign w:val="center"/>
          </w:tcPr>
          <w:p w14:paraId="7E260BF0" w14:textId="77777777" w:rsidR="006333ED" w:rsidRPr="00FE3759" w:rsidRDefault="006333ED" w:rsidP="006333ED">
            <w:pPr>
              <w:keepNext/>
              <w:jc w:val="left"/>
              <w:rPr>
                <w:rFonts w:ascii="Arial Narrow" w:hAnsi="Arial Narrow" w:cs="Times New Roman"/>
                <w:b/>
                <w:bCs/>
                <w:snapToGrid w:val="0"/>
                <w:sz w:val="20"/>
                <w:szCs w:val="20"/>
              </w:rPr>
            </w:pPr>
            <w:r w:rsidRPr="00FE3759">
              <w:rPr>
                <w:rFonts w:ascii="Arial Narrow" w:hAnsi="Arial Narrow" w:cs="Times New Roman"/>
                <w:b/>
                <w:snapToGrid w:val="0"/>
                <w:sz w:val="20"/>
                <w:szCs w:val="20"/>
              </w:rPr>
              <w:t>Name, restriction, manner of administration, form</w:t>
            </w:r>
          </w:p>
        </w:tc>
        <w:tc>
          <w:tcPr>
            <w:tcW w:w="1388" w:type="dxa"/>
            <w:vAlign w:val="center"/>
          </w:tcPr>
          <w:p w14:paraId="14A4F74B" w14:textId="77777777" w:rsidR="006333ED" w:rsidRPr="00FE3759" w:rsidRDefault="006333ED" w:rsidP="006333ED">
            <w:pPr>
              <w:keepNext/>
              <w:jc w:val="left"/>
              <w:rPr>
                <w:rFonts w:ascii="Arial Narrow" w:hAnsi="Arial Narrow" w:cs="Times New Roman"/>
                <w:b/>
                <w:bCs/>
                <w:snapToGrid w:val="0"/>
                <w:sz w:val="20"/>
                <w:szCs w:val="20"/>
              </w:rPr>
            </w:pPr>
          </w:p>
        </w:tc>
        <w:tc>
          <w:tcPr>
            <w:tcW w:w="0" w:type="auto"/>
            <w:vAlign w:val="center"/>
          </w:tcPr>
          <w:p w14:paraId="17AFAA87" w14:textId="77777777" w:rsidR="006333ED" w:rsidRPr="00FE3759" w:rsidRDefault="006333ED" w:rsidP="006333ED">
            <w:pPr>
              <w:keepNext/>
              <w:jc w:val="left"/>
              <w:rPr>
                <w:rFonts w:ascii="Arial Narrow" w:hAnsi="Arial Narrow" w:cs="Times New Roman"/>
                <w:b/>
                <w:bCs/>
                <w:snapToGrid w:val="0"/>
                <w:sz w:val="20"/>
                <w:szCs w:val="20"/>
              </w:rPr>
            </w:pPr>
          </w:p>
        </w:tc>
        <w:tc>
          <w:tcPr>
            <w:tcW w:w="1765" w:type="dxa"/>
            <w:vAlign w:val="center"/>
          </w:tcPr>
          <w:p w14:paraId="492DABF3" w14:textId="77777777" w:rsidR="006333ED" w:rsidRPr="00A44B4D" w:rsidRDefault="00A44B4D" w:rsidP="006333ED">
            <w:pPr>
              <w:keepNext/>
              <w:jc w:val="center"/>
              <w:rPr>
                <w:rFonts w:ascii="Arial Narrow" w:hAnsi="Arial Narrow" w:cs="Times New Roman"/>
                <w:b/>
                <w:bCs/>
                <w:snapToGrid w:val="0"/>
                <w:sz w:val="20"/>
                <w:szCs w:val="20"/>
              </w:rPr>
            </w:pPr>
            <w:r>
              <w:rPr>
                <w:rFonts w:ascii="Arial Narrow" w:hAnsi="Arial Narrow" w:cs="Times New Roman"/>
                <w:b/>
                <w:bCs/>
                <w:snapToGrid w:val="0"/>
                <w:sz w:val="20"/>
                <w:szCs w:val="20"/>
              </w:rPr>
              <w:t>Nationally Negotiated Price</w:t>
            </w:r>
          </w:p>
        </w:tc>
        <w:tc>
          <w:tcPr>
            <w:tcW w:w="2115" w:type="dxa"/>
            <w:vAlign w:val="center"/>
          </w:tcPr>
          <w:p w14:paraId="782A57E0" w14:textId="77777777" w:rsidR="006333ED" w:rsidRPr="00FE3759" w:rsidRDefault="006333ED" w:rsidP="006333ED">
            <w:pPr>
              <w:keepNext/>
              <w:jc w:val="left"/>
              <w:rPr>
                <w:rFonts w:ascii="Arial Narrow" w:hAnsi="Arial Narrow" w:cs="Times New Roman"/>
                <w:b/>
                <w:bCs/>
                <w:snapToGrid w:val="0"/>
                <w:sz w:val="20"/>
                <w:szCs w:val="20"/>
              </w:rPr>
            </w:pPr>
            <w:r w:rsidRPr="00FE3759">
              <w:rPr>
                <w:rFonts w:ascii="Arial Narrow" w:hAnsi="Arial Narrow" w:cs="Times New Roman"/>
                <w:b/>
                <w:snapToGrid w:val="0"/>
                <w:sz w:val="20"/>
                <w:szCs w:val="20"/>
              </w:rPr>
              <w:t>Proprietary name and manufacturer</w:t>
            </w:r>
          </w:p>
        </w:tc>
      </w:tr>
      <w:tr w:rsidR="006333ED" w:rsidRPr="00FE3759" w14:paraId="18A014D3" w14:textId="77777777" w:rsidTr="009808ED">
        <w:trPr>
          <w:trHeight w:val="357"/>
        </w:trPr>
        <w:tc>
          <w:tcPr>
            <w:tcW w:w="3549" w:type="dxa"/>
          </w:tcPr>
          <w:p w14:paraId="666979D4" w14:textId="77777777" w:rsidR="00637135" w:rsidRPr="00FE3759" w:rsidRDefault="00637135" w:rsidP="00637135">
            <w:pPr>
              <w:jc w:val="left"/>
              <w:rPr>
                <w:rFonts w:ascii="Arial Narrow" w:hAnsi="Arial Narrow" w:cs="Times New Roman"/>
                <w:snapToGrid w:val="0"/>
                <w:sz w:val="20"/>
                <w:szCs w:val="20"/>
              </w:rPr>
            </w:pPr>
            <w:r w:rsidRPr="00FE3759">
              <w:rPr>
                <w:rFonts w:ascii="Arial Narrow" w:hAnsi="Arial Narrow" w:cs="Times New Roman"/>
                <w:snapToGrid w:val="0"/>
                <w:sz w:val="20"/>
                <w:szCs w:val="20"/>
              </w:rPr>
              <w:t>Pneumococcal polysaccharide conjugate vaccine, 15 valent adsorbed,</w:t>
            </w:r>
          </w:p>
          <w:p w14:paraId="77739CC5" w14:textId="77777777" w:rsidR="006333ED" w:rsidRPr="00FE3759" w:rsidRDefault="00637135" w:rsidP="00637135">
            <w:pPr>
              <w:jc w:val="left"/>
              <w:rPr>
                <w:rFonts w:ascii="Arial Narrow" w:hAnsi="Arial Narrow" w:cs="Times New Roman"/>
                <w:bCs/>
                <w:snapToGrid w:val="0"/>
                <w:sz w:val="20"/>
                <w:szCs w:val="20"/>
              </w:rPr>
            </w:pPr>
            <w:r w:rsidRPr="00FE3759">
              <w:rPr>
                <w:rFonts w:ascii="Arial Narrow" w:hAnsi="Arial Narrow" w:cs="Times New Roman"/>
                <w:snapToGrid w:val="0"/>
                <w:sz w:val="20"/>
                <w:szCs w:val="20"/>
              </w:rPr>
              <w:t>0.5 mL pre-filled syringe</w:t>
            </w:r>
          </w:p>
        </w:tc>
        <w:tc>
          <w:tcPr>
            <w:tcW w:w="1388" w:type="dxa"/>
            <w:vAlign w:val="center"/>
          </w:tcPr>
          <w:p w14:paraId="29521AD8" w14:textId="77777777" w:rsidR="006333ED" w:rsidRPr="00FE3759" w:rsidRDefault="006333ED" w:rsidP="006333ED">
            <w:pPr>
              <w:jc w:val="center"/>
              <w:rPr>
                <w:rFonts w:ascii="Times" w:hAnsi="Times" w:cs="Times New Roman"/>
                <w:snapToGrid w:val="0"/>
                <w:sz w:val="20"/>
                <w:szCs w:val="20"/>
              </w:rPr>
            </w:pPr>
          </w:p>
        </w:tc>
        <w:tc>
          <w:tcPr>
            <w:tcW w:w="0" w:type="auto"/>
            <w:vAlign w:val="center"/>
          </w:tcPr>
          <w:p w14:paraId="4DDC8BE3" w14:textId="77777777" w:rsidR="006333ED" w:rsidRPr="00FE3759" w:rsidRDefault="006333ED" w:rsidP="006333ED">
            <w:pPr>
              <w:jc w:val="center"/>
              <w:rPr>
                <w:rFonts w:ascii="Times" w:hAnsi="Times" w:cs="Times New Roman"/>
                <w:snapToGrid w:val="0"/>
                <w:sz w:val="20"/>
                <w:szCs w:val="20"/>
              </w:rPr>
            </w:pPr>
          </w:p>
        </w:tc>
        <w:tc>
          <w:tcPr>
            <w:tcW w:w="1765" w:type="dxa"/>
            <w:vAlign w:val="center"/>
          </w:tcPr>
          <w:p w14:paraId="20EF5EE1" w14:textId="77777777" w:rsidR="006333ED" w:rsidRPr="00FE3759" w:rsidRDefault="00A44B4D" w:rsidP="006333ED">
            <w:pPr>
              <w:jc w:val="center"/>
              <w:rPr>
                <w:rFonts w:ascii="Arial Narrow" w:hAnsi="Arial Narrow" w:cs="Times New Roman"/>
                <w:snapToGrid w:val="0"/>
                <w:sz w:val="20"/>
                <w:szCs w:val="20"/>
              </w:rPr>
            </w:pPr>
            <w:r w:rsidRPr="00D86232">
              <w:rPr>
                <w:rFonts w:ascii="Arial Narrow" w:hAnsi="Arial Narrow" w:cs="Times New Roman"/>
                <w:snapToGrid w:val="0"/>
                <w:sz w:val="20"/>
                <w:szCs w:val="20"/>
              </w:rPr>
              <w:t>$</w:t>
            </w:r>
            <w:r w:rsidR="00E05365">
              <w:rPr>
                <w:rFonts w:ascii="Arial Narrow" w:hAnsi="Arial Narrow" w:cs="Times New Roman"/>
                <w:noProof/>
                <w:snapToGrid w:val="0"/>
                <w:color w:val="000000"/>
                <w:sz w:val="20"/>
                <w:szCs w:val="20"/>
                <w:highlight w:val="black"/>
              </w:rPr>
              <w:t>''''''</w:t>
            </w:r>
          </w:p>
        </w:tc>
        <w:tc>
          <w:tcPr>
            <w:tcW w:w="2115" w:type="dxa"/>
            <w:vAlign w:val="center"/>
          </w:tcPr>
          <w:p w14:paraId="1A17A84B" w14:textId="77777777" w:rsidR="006333ED" w:rsidRPr="00FE3759" w:rsidRDefault="006333ED" w:rsidP="006333ED">
            <w:pPr>
              <w:jc w:val="left"/>
              <w:rPr>
                <w:rFonts w:ascii="Times" w:hAnsi="Times" w:cs="Times New Roman"/>
                <w:snapToGrid w:val="0"/>
                <w:sz w:val="20"/>
                <w:szCs w:val="20"/>
              </w:rPr>
            </w:pPr>
            <w:r w:rsidRPr="00FE3759">
              <w:rPr>
                <w:rFonts w:ascii="Arial Narrow" w:hAnsi="Arial Narrow" w:cs="Times New Roman"/>
                <w:snapToGrid w:val="0"/>
                <w:sz w:val="20"/>
                <w:szCs w:val="20"/>
              </w:rPr>
              <w:t xml:space="preserve">Vaxneuvance®, </w:t>
            </w:r>
            <w:r w:rsidR="009D16CD" w:rsidRPr="00FE3759">
              <w:rPr>
                <w:rFonts w:ascii="Arial Narrow" w:hAnsi="Arial Narrow" w:cs="Times New Roman"/>
                <w:snapToGrid w:val="0"/>
                <w:sz w:val="20"/>
                <w:szCs w:val="20"/>
              </w:rPr>
              <w:t xml:space="preserve">Merck Sharp &amp; Dohme (Australia) Pty Ltd </w:t>
            </w:r>
          </w:p>
        </w:tc>
      </w:tr>
      <w:tr w:rsidR="006333ED" w:rsidRPr="00FE3759" w14:paraId="2253DA91" w14:textId="77777777" w:rsidTr="003F23AB">
        <w:trPr>
          <w:trHeight w:val="357"/>
        </w:trPr>
        <w:tc>
          <w:tcPr>
            <w:tcW w:w="9072" w:type="dxa"/>
            <w:gridSpan w:val="5"/>
          </w:tcPr>
          <w:p w14:paraId="504B9262" w14:textId="77777777" w:rsidR="006333ED" w:rsidRPr="00FE3759" w:rsidRDefault="004E7FC4" w:rsidP="006333ED">
            <w:pPr>
              <w:jc w:val="left"/>
              <w:rPr>
                <w:rFonts w:ascii="Arial Narrow" w:hAnsi="Arial Narrow" w:cs="Times New Roman"/>
                <w:snapToGrid w:val="0"/>
                <w:sz w:val="20"/>
                <w:szCs w:val="20"/>
              </w:rPr>
            </w:pPr>
            <w:r w:rsidRPr="00FE3759">
              <w:rPr>
                <w:rFonts w:ascii="Arial Narrow" w:hAnsi="Arial Narrow" w:cs="Times New Roman"/>
                <w:snapToGrid w:val="0"/>
                <w:sz w:val="20"/>
                <w:szCs w:val="20"/>
              </w:rPr>
              <w:t>(</w:t>
            </w:r>
            <w:r w:rsidR="00005AE1" w:rsidRPr="00FE3759">
              <w:rPr>
                <w:rFonts w:ascii="Arial Narrow" w:hAnsi="Arial Narrow" w:cs="Times New Roman"/>
                <w:snapToGrid w:val="0"/>
                <w:sz w:val="20"/>
                <w:szCs w:val="20"/>
              </w:rPr>
              <w:t>a</w:t>
            </w:r>
            <w:r w:rsidRPr="00FE3759">
              <w:rPr>
                <w:rFonts w:ascii="Arial Narrow" w:hAnsi="Arial Narrow" w:cs="Times New Roman"/>
                <w:snapToGrid w:val="0"/>
                <w:sz w:val="20"/>
                <w:szCs w:val="20"/>
              </w:rPr>
              <w:t>) a dose of the vaccine may be provided to a person:</w:t>
            </w:r>
          </w:p>
          <w:p w14:paraId="7E3B881F"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(i)    who is at least 18 years of age and has one or more of the following medical risk conditions:</w:t>
            </w:r>
          </w:p>
          <w:p w14:paraId="4CE21B40"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(A)     functional or anatomical asplenia including sickle cell disease, other haemoglobinopathies, congenital or acquired asplenia (e.g. splenectomy) or hyposplenia; or</w:t>
            </w:r>
          </w:p>
          <w:p w14:paraId="193C482F"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(B)     immunocompromising conditions including congenital or acquired immune deficiency including symptomatic IgG subclass or isolated IgA deficiency, haematological malignancies, solid organ transplant haematopoietic stem cell transplant (HSCT) or HIV infection; or</w:t>
            </w:r>
          </w:p>
          <w:p w14:paraId="38A9F610"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(C)     chronic respiratory disease including suppurative lung disease, bronchiectasis and cystic fibrosis or chronic lung disease of prematurity; or</w:t>
            </w:r>
          </w:p>
          <w:p w14:paraId="6B51861F"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(D)     chronic renal disease including: end stage renal disease –  eGFR &lt;15mL/min or relapsing or persistent nephrotic syndrome; or</w:t>
            </w:r>
          </w:p>
          <w:p w14:paraId="319349F3"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(E)     proven or presumptive cerebrospinal fluid (CSF) leak; or</w:t>
            </w:r>
          </w:p>
          <w:p w14:paraId="7A88BE53"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(F)     cochlear implants; or</w:t>
            </w:r>
          </w:p>
          <w:p w14:paraId="6AFA6831"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(G)     intracranial shunts; or</w:t>
            </w:r>
          </w:p>
          <w:p w14:paraId="237C0B53"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(H)     previous episode of invasive pneumococcal disease (IPD); or</w:t>
            </w:r>
          </w:p>
          <w:p w14:paraId="68CB3BCD"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(I)     born less than 28 weeks gestation; or</w:t>
            </w:r>
          </w:p>
          <w:p w14:paraId="57C220B5"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(J)     trisomy 21; or</w:t>
            </w:r>
          </w:p>
          <w:p w14:paraId="4D6D958C"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(K)     chronic heart disease including cyanotic heart disease and heart failure;</w:t>
            </w:r>
          </w:p>
          <w:p w14:paraId="000EF4E1"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(ii)    who is at least 18 years of age and has been newly diagnosed with one or more of the medical risk conditions contained in subparagraph (a)(i);</w:t>
            </w:r>
          </w:p>
          <w:p w14:paraId="58D5071F" w14:textId="77777777" w:rsidR="004E7FC4" w:rsidRPr="00FE3759" w:rsidRDefault="004E7FC4" w:rsidP="00005AE1">
            <w:pPr>
              <w:jc w:val="left"/>
              <w:rPr>
                <w:rFonts w:ascii="Arial Narrow" w:hAnsi="Arial Narrow" w:cs="Times New Roman"/>
                <w:snapToGrid w:val="0"/>
                <w:sz w:val="20"/>
                <w:szCs w:val="20"/>
              </w:rPr>
            </w:pPr>
            <w:r w:rsidRPr="00FE3759">
              <w:rPr>
                <w:rFonts w:ascii="Arial Narrow" w:hAnsi="Arial Narrow" w:cs="Times New Roman"/>
                <w:snapToGrid w:val="0"/>
                <w:sz w:val="20"/>
                <w:szCs w:val="20"/>
              </w:rPr>
              <w:t>(c)    a dose of the vaccine may be provided to a person:</w:t>
            </w:r>
          </w:p>
          <w:p w14:paraId="7F7F109E"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(i)    who is an Aboriginal and/or Torres Strait Islander; and</w:t>
            </w:r>
          </w:p>
          <w:p w14:paraId="48AD7B81"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(ii)    who is at least 50 years.</w:t>
            </w:r>
          </w:p>
          <w:p w14:paraId="4267D250" w14:textId="77777777" w:rsidR="004E7FC4" w:rsidRPr="00FE3759" w:rsidRDefault="004E7FC4" w:rsidP="00005AE1">
            <w:pPr>
              <w:jc w:val="left"/>
              <w:rPr>
                <w:rFonts w:ascii="Arial Narrow" w:hAnsi="Arial Narrow" w:cs="Times New Roman"/>
                <w:snapToGrid w:val="0"/>
                <w:sz w:val="20"/>
                <w:szCs w:val="20"/>
              </w:rPr>
            </w:pPr>
            <w:r w:rsidRPr="00FE3759">
              <w:rPr>
                <w:rFonts w:ascii="Arial Narrow" w:hAnsi="Arial Narrow" w:cs="Times New Roman"/>
                <w:snapToGrid w:val="0"/>
                <w:sz w:val="20"/>
                <w:szCs w:val="20"/>
              </w:rPr>
              <w:t>(d)    a dose of the vaccine may be provided to a person:</w:t>
            </w:r>
          </w:p>
          <w:p w14:paraId="23FC27B9"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w:t>
            </w:r>
            <w:r w:rsidR="00005AE1" w:rsidRPr="00FE3759">
              <w:rPr>
                <w:rFonts w:ascii="Arial Narrow" w:hAnsi="Arial Narrow" w:cs="Times New Roman"/>
                <w:snapToGrid w:val="0"/>
                <w:sz w:val="20"/>
                <w:szCs w:val="20"/>
              </w:rPr>
              <w:t xml:space="preserve"> </w:t>
            </w:r>
            <w:r w:rsidRPr="00FE3759">
              <w:rPr>
                <w:rFonts w:ascii="Arial Narrow" w:hAnsi="Arial Narrow" w:cs="Times New Roman"/>
                <w:snapToGrid w:val="0"/>
                <w:sz w:val="20"/>
                <w:szCs w:val="20"/>
              </w:rPr>
              <w:t>(i)    who is not an Aboriginal and/or Torres Strait Islander; and</w:t>
            </w:r>
          </w:p>
          <w:p w14:paraId="1B8CA3D3" w14:textId="77777777" w:rsidR="004E7FC4" w:rsidRPr="00FE3759" w:rsidRDefault="004E7FC4" w:rsidP="004E7FC4">
            <w:pPr>
              <w:ind w:left="720"/>
              <w:jc w:val="left"/>
              <w:rPr>
                <w:rFonts w:ascii="Arial Narrow" w:hAnsi="Arial Narrow" w:cs="Times New Roman"/>
                <w:snapToGrid w:val="0"/>
                <w:sz w:val="20"/>
                <w:szCs w:val="20"/>
              </w:rPr>
            </w:pPr>
            <w:r w:rsidRPr="00FE3759">
              <w:rPr>
                <w:rFonts w:ascii="Arial Narrow" w:hAnsi="Arial Narrow" w:cs="Times New Roman"/>
                <w:snapToGrid w:val="0"/>
                <w:sz w:val="20"/>
                <w:szCs w:val="20"/>
              </w:rPr>
              <w:t>           (ii)    who is at least 70 years.</w:t>
            </w:r>
          </w:p>
          <w:p w14:paraId="7D75914B" w14:textId="77777777" w:rsidR="006333ED" w:rsidRPr="00FE3759" w:rsidRDefault="006333ED" w:rsidP="004E7FC4">
            <w:pPr>
              <w:ind w:left="720"/>
              <w:jc w:val="left"/>
              <w:rPr>
                <w:rFonts w:ascii="Arial Narrow" w:hAnsi="Arial Narrow" w:cs="Times New Roman"/>
                <w:snapToGrid w:val="0"/>
                <w:sz w:val="20"/>
                <w:szCs w:val="20"/>
              </w:rPr>
            </w:pPr>
          </w:p>
        </w:tc>
      </w:tr>
    </w:tbl>
    <w:p w14:paraId="05F4AAF2" w14:textId="77777777" w:rsidR="00660D6E" w:rsidRDefault="00660D6E">
      <w:pPr>
        <w:jc w:val="left"/>
        <w:rPr>
          <w:b/>
          <w:bCs/>
          <w:i/>
          <w:iCs/>
          <w:caps/>
          <w:sz w:val="32"/>
        </w:rPr>
      </w:pPr>
    </w:p>
    <w:p w14:paraId="164EB738" w14:textId="77777777" w:rsidR="00961E85" w:rsidRPr="009639EE" w:rsidRDefault="00961E85" w:rsidP="00961E85">
      <w:pPr>
        <w:spacing w:after="160" w:line="259" w:lineRule="auto"/>
        <w:jc w:val="left"/>
        <w:rPr>
          <w:rFonts w:eastAsia="Calibri" w:cs="Calibri"/>
          <w:b/>
          <w:i/>
          <w:lang w:eastAsia="en-US"/>
        </w:rPr>
      </w:pPr>
      <w:r w:rsidRPr="009639EE">
        <w:rPr>
          <w:b/>
          <w:i/>
        </w:rPr>
        <w:t>This restriction may be subject to further review. Should there be any changes made to the restriction the Sponsor will be informed.</w:t>
      </w:r>
    </w:p>
    <w:p w14:paraId="64D7A6C0" w14:textId="77777777" w:rsidR="00733BA7" w:rsidRPr="00733BA7" w:rsidRDefault="00733BA7" w:rsidP="00733BA7">
      <w:pPr>
        <w:pStyle w:val="2-SectionHeading"/>
        <w:numPr>
          <w:ilvl w:val="0"/>
          <w:numId w:val="1"/>
        </w:numPr>
      </w:pPr>
      <w:r w:rsidRPr="00C07617">
        <w:t>Context for Decision</w:t>
      </w:r>
    </w:p>
    <w:p w14:paraId="4024F18F" w14:textId="77777777" w:rsidR="00733BA7" w:rsidRPr="007129F2" w:rsidRDefault="00733BA7" w:rsidP="00733BA7">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453E4AC" w14:textId="77777777" w:rsidR="00733BA7" w:rsidRPr="00733BA7" w:rsidRDefault="00733BA7" w:rsidP="00733BA7">
      <w:pPr>
        <w:pStyle w:val="2-SectionHeading"/>
        <w:numPr>
          <w:ilvl w:val="0"/>
          <w:numId w:val="1"/>
        </w:numPr>
      </w:pPr>
      <w:r>
        <w:t>Sponsor’s Comment</w:t>
      </w:r>
    </w:p>
    <w:p w14:paraId="01787FA4" w14:textId="77777777" w:rsidR="002C39BC" w:rsidRDefault="007A6D3F" w:rsidP="00B75753">
      <w:pPr>
        <w:ind w:left="720"/>
        <w:jc w:val="left"/>
        <w:rPr>
          <w:b/>
          <w:caps/>
          <w:sz w:val="32"/>
        </w:rPr>
      </w:pPr>
      <w:r>
        <w:rPr>
          <w:rFonts w:asciiTheme="minorHAnsi" w:hAnsiTheme="minorHAnsi"/>
          <w:bCs/>
        </w:rPr>
        <w:t>The sponsor welcomes PBAC approval of this vaccine with expanded coverage for pneumococcal disease and looks forward to working with the Department of Health for V114 to be listed on the NIP.</w:t>
      </w:r>
    </w:p>
    <w:sectPr w:rsidR="002C39BC" w:rsidSect="00251006">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EAE6C" w14:textId="77777777" w:rsidR="00CA394C" w:rsidRDefault="00CA394C" w:rsidP="00124A51">
      <w:r>
        <w:separator/>
      </w:r>
    </w:p>
    <w:p w14:paraId="62462F7D" w14:textId="77777777" w:rsidR="00CA394C" w:rsidRDefault="00CA394C"/>
  </w:endnote>
  <w:endnote w:type="continuationSeparator" w:id="0">
    <w:p w14:paraId="30841089" w14:textId="77777777" w:rsidR="00CA394C" w:rsidRDefault="00CA394C" w:rsidP="00124A51">
      <w:r>
        <w:continuationSeparator/>
      </w:r>
    </w:p>
    <w:p w14:paraId="557B24CB" w14:textId="77777777" w:rsidR="00CA394C" w:rsidRDefault="00CA394C"/>
  </w:endnote>
  <w:endnote w:type="continuationNotice" w:id="1">
    <w:p w14:paraId="4D89F10E" w14:textId="77777777" w:rsidR="00CA394C" w:rsidRDefault="00CA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2FDE" w14:textId="77777777" w:rsidR="00CA394C" w:rsidRDefault="00CA3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89AC" w14:textId="77777777" w:rsidR="00CA394C" w:rsidRDefault="00CA394C" w:rsidP="00091497">
    <w:pPr>
      <w:ind w:right="360"/>
      <w:jc w:val="center"/>
    </w:pPr>
  </w:p>
  <w:p w14:paraId="332E7941" w14:textId="27FC7C95" w:rsidR="00CA394C" w:rsidRDefault="00CA394C" w:rsidP="00FE38BE">
    <w:pPr>
      <w:ind w:right="360"/>
      <w:jc w:val="center"/>
    </w:pPr>
    <w:r w:rsidRPr="00836F75">
      <w:rPr>
        <w:b/>
      </w:rPr>
      <w:fldChar w:fldCharType="begin"/>
    </w:r>
    <w:r w:rsidRPr="00836F75">
      <w:rPr>
        <w:b/>
      </w:rPr>
      <w:instrText xml:space="preserve"> PAGE   \* MERGEFORMAT </w:instrText>
    </w:r>
    <w:r w:rsidRPr="00836F75">
      <w:rPr>
        <w:b/>
      </w:rPr>
      <w:fldChar w:fldCharType="separate"/>
    </w:r>
    <w:r w:rsidR="0064478F">
      <w:rPr>
        <w:b/>
        <w:noProof/>
      </w:rPr>
      <w:t>25</w:t>
    </w:r>
    <w:r w:rsidRPr="00836F75">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349E" w14:textId="77777777" w:rsidR="00CA394C" w:rsidRDefault="00CA3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2F3AE" w14:textId="77777777" w:rsidR="00CA394C" w:rsidRDefault="00CA394C" w:rsidP="00124A51">
      <w:r>
        <w:separator/>
      </w:r>
    </w:p>
    <w:p w14:paraId="4FAB5026" w14:textId="77777777" w:rsidR="00CA394C" w:rsidRDefault="00CA394C"/>
  </w:footnote>
  <w:footnote w:type="continuationSeparator" w:id="0">
    <w:p w14:paraId="68862114" w14:textId="77777777" w:rsidR="00CA394C" w:rsidRDefault="00CA394C" w:rsidP="00124A51">
      <w:r>
        <w:continuationSeparator/>
      </w:r>
    </w:p>
    <w:p w14:paraId="7CAFE3E3" w14:textId="77777777" w:rsidR="00CA394C" w:rsidRDefault="00CA394C"/>
  </w:footnote>
  <w:footnote w:type="continuationNotice" w:id="1">
    <w:p w14:paraId="14B6B31C" w14:textId="77777777" w:rsidR="00CA394C" w:rsidRDefault="00CA394C"/>
  </w:footnote>
  <w:footnote w:id="2">
    <w:p w14:paraId="50CCC7D6" w14:textId="77777777" w:rsidR="00CA394C" w:rsidRDefault="00CA394C">
      <w:pPr>
        <w:pStyle w:val="FootnoteText"/>
      </w:pPr>
      <w:r>
        <w:rPr>
          <w:rStyle w:val="FootnoteReference"/>
        </w:rPr>
        <w:footnoteRef/>
      </w:r>
      <w:r>
        <w:t xml:space="preserve"> </w:t>
      </w:r>
      <w:r w:rsidRPr="008366BA">
        <w:rPr>
          <w:i/>
        </w:rPr>
        <w:t>The redacted information above contains unpublished data pertaining to the North American Indian First Nations subpopulation within trial P017 (referred to as the P017 subgroup). In accordance with established procedures, publication of these data require approval from the Independent Tribal Review Board (ITRB). As this process was ongoing at the time of finalising the PSD, these data are redacted in order to respect cultural sensitivi</w:t>
      </w:r>
      <w:r w:rsidRPr="00D77347">
        <w:rPr>
          <w:i/>
        </w:rPr>
        <w:t>ties and adhere to the established protocols. It is currently estimated to be available in the later part of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376B4" w14:textId="77777777" w:rsidR="00CA394C" w:rsidRDefault="00CA3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E67A" w14:textId="77777777" w:rsidR="00CA394C" w:rsidRPr="00FE38BE" w:rsidRDefault="00CA394C" w:rsidP="00FE38BE">
    <w:pPr>
      <w:keepNext/>
      <w:tabs>
        <w:tab w:val="center" w:pos="4153"/>
        <w:tab w:val="right" w:pos="8306"/>
      </w:tabs>
      <w:ind w:left="360"/>
      <w:jc w:val="center"/>
      <w:rPr>
        <w:rFonts w:asciiTheme="minorHAnsi" w:hAnsiTheme="minorHAnsi"/>
        <w:i/>
        <w:color w:val="808080"/>
        <w:lang w:eastAsia="en-US"/>
      </w:rPr>
    </w:pPr>
    <w:bookmarkStart w:id="59" w:name="_Hlk76375146"/>
    <w:r>
      <w:rPr>
        <w:rFonts w:asciiTheme="minorHAnsi" w:hAnsiTheme="minorHAnsi"/>
        <w:i/>
        <w:color w:val="808080"/>
        <w:lang w:eastAsia="en-US"/>
      </w:rPr>
      <w:t>Public Summary Document</w:t>
    </w:r>
    <w:r w:rsidRPr="00FE38BE">
      <w:rPr>
        <w:rFonts w:asciiTheme="minorHAnsi" w:hAnsiTheme="minorHAnsi"/>
        <w:i/>
        <w:color w:val="808080"/>
        <w:lang w:eastAsia="en-US"/>
      </w:rPr>
      <w:t xml:space="preserve"> – </w:t>
    </w:r>
    <w:r>
      <w:rPr>
        <w:rFonts w:asciiTheme="minorHAnsi" w:hAnsiTheme="minorHAnsi"/>
        <w:i/>
        <w:color w:val="808080"/>
        <w:lang w:eastAsia="en-US"/>
      </w:rPr>
      <w:t>November</w:t>
    </w:r>
    <w:r w:rsidRPr="00FE38BE">
      <w:rPr>
        <w:rFonts w:asciiTheme="minorHAnsi" w:hAnsiTheme="minorHAnsi"/>
        <w:i/>
        <w:color w:val="808080"/>
        <w:lang w:eastAsia="en-US"/>
      </w:rPr>
      <w:t xml:space="preserve"> 2021 PBAC Meeting</w:t>
    </w:r>
  </w:p>
  <w:bookmarkEnd w:id="59"/>
  <w:p w14:paraId="15239018" w14:textId="77777777" w:rsidR="00CA394C" w:rsidRDefault="00CA394C" w:rsidP="00430104">
    <w:pPr>
      <w:keepNext/>
      <w:tabs>
        <w:tab w:val="center" w:pos="4153"/>
        <w:tab w:val="right" w:pos="8306"/>
      </w:tabs>
      <w:ind w:lef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68F6" w14:textId="77777777" w:rsidR="00CA394C" w:rsidRDefault="00CA3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AC12ADA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9006E8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240C99"/>
    <w:multiLevelType w:val="hybridMultilevel"/>
    <w:tmpl w:val="1520F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83867"/>
    <w:multiLevelType w:val="multilevel"/>
    <w:tmpl w:val="B3B0ED64"/>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92510C6"/>
    <w:multiLevelType w:val="hybridMultilevel"/>
    <w:tmpl w:val="38546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2B5497"/>
    <w:multiLevelType w:val="hybridMultilevel"/>
    <w:tmpl w:val="4BEE7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813A7"/>
    <w:multiLevelType w:val="hybridMultilevel"/>
    <w:tmpl w:val="49781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253964"/>
    <w:multiLevelType w:val="hybridMultilevel"/>
    <w:tmpl w:val="0488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0A6A75"/>
    <w:multiLevelType w:val="multilevel"/>
    <w:tmpl w:val="DFDC7920"/>
    <w:styleLink w:val="General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FD14F71"/>
    <w:multiLevelType w:val="hybridMultilevel"/>
    <w:tmpl w:val="B0F67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6026D"/>
    <w:multiLevelType w:val="hybridMultilevel"/>
    <w:tmpl w:val="6352B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D11E3"/>
    <w:multiLevelType w:val="hybridMultilevel"/>
    <w:tmpl w:val="CC22AED4"/>
    <w:lvl w:ilvl="0" w:tplc="8E90AB30">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16"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443DEE"/>
    <w:multiLevelType w:val="hybridMultilevel"/>
    <w:tmpl w:val="CAE2C0B8"/>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9E39D7"/>
    <w:multiLevelType w:val="hybridMultilevel"/>
    <w:tmpl w:val="B57E3820"/>
    <w:lvl w:ilvl="0" w:tplc="8FC2705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7394A2B"/>
    <w:multiLevelType w:val="hybridMultilevel"/>
    <w:tmpl w:val="4AFCF808"/>
    <w:lvl w:ilvl="0" w:tplc="04090001">
      <w:start w:val="1"/>
      <w:numFmt w:val="bullet"/>
      <w:pStyle w:val="sub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8C22A0"/>
    <w:multiLevelType w:val="singleLevel"/>
    <w:tmpl w:val="5FEEB0F6"/>
    <w:lvl w:ilvl="0">
      <w:start w:val="1"/>
      <w:numFmt w:val="lowerLetter"/>
      <w:pStyle w:val="ListLetter"/>
      <w:lvlText w:val="%1."/>
      <w:lvlJc w:val="left"/>
      <w:pPr>
        <w:tabs>
          <w:tab w:val="num" w:pos="360"/>
        </w:tabs>
        <w:ind w:left="360" w:hanging="360"/>
      </w:pPr>
      <w:rPr>
        <w:rFonts w:ascii="Times New Roman" w:eastAsia="MS Gothic" w:hAnsi="Times New Roman" w:cs="Times New Roman" w:hint="eastAsia"/>
        <w:b w:val="0"/>
        <w:i w:val="0"/>
        <w:caps w:val="0"/>
        <w:sz w:val="24"/>
        <w:u w:val="none"/>
        <w:vertAlign w:val="baseline"/>
      </w:rPr>
    </w:lvl>
  </w:abstractNum>
  <w:abstractNum w:abstractNumId="21" w15:restartNumberingAfterBreak="0">
    <w:nsid w:val="3BB428E5"/>
    <w:multiLevelType w:val="hybridMultilevel"/>
    <w:tmpl w:val="085C0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9171A4"/>
    <w:multiLevelType w:val="hybridMultilevel"/>
    <w:tmpl w:val="70CA8A30"/>
    <w:lvl w:ilvl="0" w:tplc="C4FA54CC">
      <w:start w:val="2"/>
      <w:numFmt w:val="decimal"/>
      <w:lvlText w:val="%1"/>
      <w:lvlJc w:val="left"/>
      <w:pPr>
        <w:ind w:left="1080" w:hanging="720"/>
      </w:pPr>
      <w:rPr>
        <w:rFonts w:ascii="Arial Narrow" w:hAnsi="Arial Narrow" w:cs="Arial" w:hint="default"/>
        <w:b w:val="0"/>
        <w:bCs/>
        <w:i w:val="0"/>
        <w:i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5400DA"/>
    <w:multiLevelType w:val="hybridMultilevel"/>
    <w:tmpl w:val="D2AC8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5F7266"/>
    <w:multiLevelType w:val="hybridMultilevel"/>
    <w:tmpl w:val="281C3620"/>
    <w:lvl w:ilvl="0" w:tplc="86BE8D6E">
      <w:start w:val="1"/>
      <w:numFmt w:val="decimal"/>
      <w:lvlText w:val="%1."/>
      <w:lvlJc w:val="left"/>
      <w:pPr>
        <w:ind w:left="720" w:hanging="360"/>
      </w:pPr>
      <w:rPr>
        <w:rFonts w:ascii="Calibri" w:hAnsi="Calibri" w:cs="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E14DA6"/>
    <w:multiLevelType w:val="hybridMultilevel"/>
    <w:tmpl w:val="4F3C0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D67A6"/>
    <w:multiLevelType w:val="hybridMultilevel"/>
    <w:tmpl w:val="6706BCDC"/>
    <w:lvl w:ilvl="0" w:tplc="CC14D8D8">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64E4C"/>
    <w:multiLevelType w:val="multilevel"/>
    <w:tmpl w:val="F516E2F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color w:val="auto"/>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15:restartNumberingAfterBreak="0">
    <w:nsid w:val="4E6B2743"/>
    <w:multiLevelType w:val="hybridMultilevel"/>
    <w:tmpl w:val="F0A8055A"/>
    <w:lvl w:ilvl="0" w:tplc="0AC8FAB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B22961"/>
    <w:multiLevelType w:val="hybridMultilevel"/>
    <w:tmpl w:val="76700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A97119"/>
    <w:multiLevelType w:val="multilevel"/>
    <w:tmpl w:val="47A8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5F1D92"/>
    <w:multiLevelType w:val="hybridMultilevel"/>
    <w:tmpl w:val="4364B0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A081FB0"/>
    <w:multiLevelType w:val="hybridMultilevel"/>
    <w:tmpl w:val="DD34BFC4"/>
    <w:styleLink w:val="PharmeritBulletList"/>
    <w:lvl w:ilvl="0" w:tplc="109EE750">
      <w:start w:val="1"/>
      <w:numFmt w:val="bullet"/>
      <w:lvlText w:val=""/>
      <w:lvlJc w:val="left"/>
      <w:pPr>
        <w:ind w:left="360" w:hanging="360"/>
      </w:pPr>
      <w:rPr>
        <w:rFonts w:ascii="Symbol" w:hAnsi="Symbol" w:hint="default"/>
        <w:color w:val="auto"/>
      </w:rPr>
    </w:lvl>
    <w:lvl w:ilvl="1" w:tplc="A09643E4">
      <w:start w:val="1"/>
      <w:numFmt w:val="bullet"/>
      <w:lvlText w:val="o"/>
      <w:lvlJc w:val="left"/>
      <w:pPr>
        <w:ind w:left="1066" w:hanging="360"/>
      </w:pPr>
      <w:rPr>
        <w:rFonts w:asciiTheme="minorHAnsi" w:hAnsiTheme="minorHAnsi" w:cs="Times New Roman" w:hint="default"/>
        <w:color w:val="auto"/>
      </w:rPr>
    </w:lvl>
    <w:lvl w:ilvl="2" w:tplc="04EC4C42">
      <w:start w:val="1"/>
      <w:numFmt w:val="bullet"/>
      <w:lvlText w:val=""/>
      <w:lvlJc w:val="left"/>
      <w:pPr>
        <w:ind w:left="1772" w:hanging="360"/>
      </w:pPr>
      <w:rPr>
        <w:rFonts w:ascii="Wingdings" w:hAnsi="Wingdings" w:hint="default"/>
        <w:color w:val="auto"/>
      </w:rPr>
    </w:lvl>
    <w:lvl w:ilvl="3" w:tplc="171CCFC8">
      <w:start w:val="1"/>
      <w:numFmt w:val="bullet"/>
      <w:lvlText w:val=""/>
      <w:lvlJc w:val="left"/>
      <w:pPr>
        <w:ind w:left="2478" w:hanging="360"/>
      </w:pPr>
      <w:rPr>
        <w:rFonts w:ascii="Wingdings" w:hAnsi="Wingdings" w:hint="default"/>
        <w:color w:val="auto"/>
      </w:rPr>
    </w:lvl>
    <w:lvl w:ilvl="4" w:tplc="BC9EAC30">
      <w:start w:val="1"/>
      <w:numFmt w:val="bullet"/>
      <w:lvlText w:val="o"/>
      <w:lvlJc w:val="left"/>
      <w:pPr>
        <w:ind w:left="3184" w:hanging="360"/>
      </w:pPr>
      <w:rPr>
        <w:rFonts w:ascii="Courier New" w:hAnsi="Courier New" w:cs="Courier New" w:hint="default"/>
        <w:color w:val="auto"/>
      </w:rPr>
    </w:lvl>
    <w:lvl w:ilvl="5" w:tplc="2EE6BC70">
      <w:start w:val="1"/>
      <w:numFmt w:val="bullet"/>
      <w:lvlText w:val=""/>
      <w:lvlJc w:val="left"/>
      <w:pPr>
        <w:ind w:left="3890" w:hanging="360"/>
      </w:pPr>
      <w:rPr>
        <w:rFonts w:ascii="Wingdings" w:hAnsi="Wingdings" w:hint="default"/>
        <w:color w:val="auto"/>
      </w:rPr>
    </w:lvl>
    <w:lvl w:ilvl="6" w:tplc="90F8E5C2">
      <w:start w:val="1"/>
      <w:numFmt w:val="bullet"/>
      <w:lvlText w:val=""/>
      <w:lvlJc w:val="left"/>
      <w:pPr>
        <w:ind w:left="4596" w:hanging="360"/>
      </w:pPr>
      <w:rPr>
        <w:rFonts w:ascii="Symbol" w:hAnsi="Symbol" w:hint="default"/>
        <w:color w:val="auto"/>
      </w:rPr>
    </w:lvl>
    <w:lvl w:ilvl="7" w:tplc="030C50D0">
      <w:start w:val="1"/>
      <w:numFmt w:val="bullet"/>
      <w:lvlText w:val="o"/>
      <w:lvlJc w:val="left"/>
      <w:pPr>
        <w:ind w:left="5302" w:hanging="360"/>
      </w:pPr>
      <w:rPr>
        <w:rFonts w:ascii="Courier New" w:hAnsi="Courier New" w:cs="Courier New" w:hint="default"/>
        <w:color w:val="auto"/>
      </w:rPr>
    </w:lvl>
    <w:lvl w:ilvl="8" w:tplc="985A4FBA">
      <w:start w:val="1"/>
      <w:numFmt w:val="bullet"/>
      <w:lvlText w:val=""/>
      <w:lvlJc w:val="left"/>
      <w:pPr>
        <w:ind w:left="6008" w:hanging="360"/>
      </w:pPr>
      <w:rPr>
        <w:rFonts w:ascii="Wingdings" w:hAnsi="Wingdings" w:hint="default"/>
        <w:color w:val="auto"/>
      </w:rPr>
    </w:lvl>
  </w:abstractNum>
  <w:abstractNum w:abstractNumId="36"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7" w15:restartNumberingAfterBreak="0">
    <w:nsid w:val="61D275E7"/>
    <w:multiLevelType w:val="hybridMultilevel"/>
    <w:tmpl w:val="F790F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651371"/>
    <w:multiLevelType w:val="hybridMultilevel"/>
    <w:tmpl w:val="D1C05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235636"/>
    <w:multiLevelType w:val="hybridMultilevel"/>
    <w:tmpl w:val="52AC1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4D033C"/>
    <w:multiLevelType w:val="multilevel"/>
    <w:tmpl w:val="51187D48"/>
    <w:lvl w:ilvl="0">
      <w:start w:val="1"/>
      <w:numFmt w:val="decimal"/>
      <w:pStyle w:val="Source"/>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8A07D0"/>
    <w:multiLevelType w:val="hybridMultilevel"/>
    <w:tmpl w:val="C0B8E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EC272B"/>
    <w:multiLevelType w:val="hybridMultilevel"/>
    <w:tmpl w:val="D9F292A0"/>
    <w:lvl w:ilvl="0" w:tplc="9DBA9A4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F87A90"/>
    <w:multiLevelType w:val="multilevel"/>
    <w:tmpl w:val="71F417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40"/>
  </w:num>
  <w:num w:numId="2">
    <w:abstractNumId w:val="26"/>
  </w:num>
  <w:num w:numId="3">
    <w:abstractNumId w:val="27"/>
  </w:num>
  <w:num w:numId="4">
    <w:abstractNumId w:val="3"/>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6"/>
  </w:num>
  <w:num w:numId="8">
    <w:abstractNumId w:val="32"/>
  </w:num>
  <w:num w:numId="9">
    <w:abstractNumId w:val="3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8"/>
  </w:num>
  <w:num w:numId="14">
    <w:abstractNumId w:val="41"/>
  </w:num>
  <w:num w:numId="15">
    <w:abstractNumId w:val="38"/>
  </w:num>
  <w:num w:numId="16">
    <w:abstractNumId w:val="4"/>
  </w:num>
  <w:num w:numId="17">
    <w:abstractNumId w:val="12"/>
  </w:num>
  <w:num w:numId="18">
    <w:abstractNumId w:val="6"/>
  </w:num>
  <w:num w:numId="19">
    <w:abstractNumId w:val="13"/>
  </w:num>
  <w:num w:numId="20">
    <w:abstractNumId w:val="39"/>
  </w:num>
  <w:num w:numId="21">
    <w:abstractNumId w:val="5"/>
  </w:num>
  <w:num w:numId="22">
    <w:abstractNumId w:val="9"/>
  </w:num>
  <w:num w:numId="23">
    <w:abstractNumId w:val="11"/>
  </w:num>
  <w:num w:numId="24">
    <w:abstractNumId w:val="1"/>
  </w:num>
  <w:num w:numId="25">
    <w:abstractNumId w:val="0"/>
  </w:num>
  <w:num w:numId="26">
    <w:abstractNumId w:val="36"/>
  </w:num>
  <w:num w:numId="27">
    <w:abstractNumId w:val="35"/>
  </w:num>
  <w:num w:numId="28">
    <w:abstractNumId w:val="15"/>
  </w:num>
  <w:num w:numId="29">
    <w:abstractNumId w:val="19"/>
  </w:num>
  <w:num w:numId="30">
    <w:abstractNumId w:val="20"/>
  </w:num>
  <w:num w:numId="31">
    <w:abstractNumId w:val="2"/>
  </w:num>
  <w:num w:numId="32">
    <w:abstractNumId w:val="23"/>
  </w:num>
  <w:num w:numId="33">
    <w:abstractNumId w:val="21"/>
  </w:num>
  <w:num w:numId="34">
    <w:abstractNumId w:val="37"/>
  </w:num>
  <w:num w:numId="35">
    <w:abstractNumId w:val="18"/>
  </w:num>
  <w:num w:numId="36">
    <w:abstractNumId w:val="43"/>
  </w:num>
  <w:num w:numId="37">
    <w:abstractNumId w:val="22"/>
  </w:num>
  <w:num w:numId="38">
    <w:abstractNumId w:val="17"/>
  </w:num>
  <w:num w:numId="39">
    <w:abstractNumId w:val="28"/>
  </w:num>
  <w:num w:numId="40">
    <w:abstractNumId w:val="10"/>
  </w:num>
  <w:num w:numId="41">
    <w:abstractNumId w:val="34"/>
  </w:num>
  <w:num w:numId="42">
    <w:abstractNumId w:val="3"/>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40"/>
  </w:num>
  <w:num w:numId="51">
    <w:abstractNumId w:val="40"/>
  </w:num>
  <w:num w:numId="52">
    <w:abstractNumId w:val="27"/>
  </w:num>
  <w:num w:numId="53">
    <w:abstractNumId w:val="31"/>
  </w:num>
  <w:num w:numId="54">
    <w:abstractNumId w:val="40"/>
  </w:num>
  <w:num w:numId="55">
    <w:abstractNumId w:val="40"/>
  </w:num>
  <w:num w:numId="56">
    <w:abstractNumId w:val="40"/>
  </w:num>
  <w:num w:numId="57">
    <w:abstractNumId w:val="40"/>
  </w:num>
  <w:num w:numId="58">
    <w:abstractNumId w:val="40"/>
  </w:num>
  <w:num w:numId="59">
    <w:abstractNumId w:val="40"/>
  </w:num>
  <w:num w:numId="60">
    <w:abstractNumId w:val="40"/>
  </w:num>
  <w:num w:numId="61">
    <w:abstractNumId w:val="40"/>
  </w:num>
  <w:num w:numId="62">
    <w:abstractNumId w:val="40"/>
  </w:num>
  <w:num w:numId="63">
    <w:abstractNumId w:val="40"/>
  </w:num>
  <w:num w:numId="64">
    <w:abstractNumId w:val="29"/>
  </w:num>
  <w:num w:numId="65">
    <w:abstractNumId w:val="25"/>
  </w:num>
  <w:num w:numId="66">
    <w:abstractNumId w:val="24"/>
  </w:num>
  <w:num w:numId="67">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CL" w:vendorID="64" w:dllVersion="0" w:nlCheck="1" w:checkStyle="0"/>
  <w:activeWritingStyle w:appName="MSWord" w:lang="en-AU"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es-CL" w:vendorID="64" w:dllVersion="6" w:nlCheck="1" w:checkStyle="0"/>
  <w:activeWritingStyle w:appName="MSWord" w:lang="en-GB" w:vendorID="64" w:dllVersion="0" w:nlCheck="1" w:checkStyle="0"/>
  <w:activeWritingStyle w:appName="MSWord" w:lang="en-GB"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111"/>
    <w:rsid w:val="0000012B"/>
    <w:rsid w:val="000005E6"/>
    <w:rsid w:val="00000790"/>
    <w:rsid w:val="00000B49"/>
    <w:rsid w:val="00000D9B"/>
    <w:rsid w:val="00000FB1"/>
    <w:rsid w:val="00001008"/>
    <w:rsid w:val="0000110B"/>
    <w:rsid w:val="0000116C"/>
    <w:rsid w:val="0000116E"/>
    <w:rsid w:val="000011F8"/>
    <w:rsid w:val="0000144D"/>
    <w:rsid w:val="000017F5"/>
    <w:rsid w:val="00001ACF"/>
    <w:rsid w:val="00001D80"/>
    <w:rsid w:val="00002112"/>
    <w:rsid w:val="000024F2"/>
    <w:rsid w:val="00002534"/>
    <w:rsid w:val="000025B3"/>
    <w:rsid w:val="00002828"/>
    <w:rsid w:val="000029DB"/>
    <w:rsid w:val="00002BF3"/>
    <w:rsid w:val="00002F27"/>
    <w:rsid w:val="000031D6"/>
    <w:rsid w:val="00003312"/>
    <w:rsid w:val="00003499"/>
    <w:rsid w:val="000039B7"/>
    <w:rsid w:val="00003A80"/>
    <w:rsid w:val="00003AD7"/>
    <w:rsid w:val="00003D0D"/>
    <w:rsid w:val="00003D1B"/>
    <w:rsid w:val="00003D3A"/>
    <w:rsid w:val="00003D3F"/>
    <w:rsid w:val="000042AC"/>
    <w:rsid w:val="00004755"/>
    <w:rsid w:val="000048C7"/>
    <w:rsid w:val="000049D8"/>
    <w:rsid w:val="00004BC1"/>
    <w:rsid w:val="00004C44"/>
    <w:rsid w:val="00004D43"/>
    <w:rsid w:val="00004F6A"/>
    <w:rsid w:val="00005102"/>
    <w:rsid w:val="00005177"/>
    <w:rsid w:val="00005270"/>
    <w:rsid w:val="000054A9"/>
    <w:rsid w:val="00005AE1"/>
    <w:rsid w:val="00005B1B"/>
    <w:rsid w:val="00005B24"/>
    <w:rsid w:val="00005B43"/>
    <w:rsid w:val="00005E49"/>
    <w:rsid w:val="00005F9B"/>
    <w:rsid w:val="00006292"/>
    <w:rsid w:val="0000636C"/>
    <w:rsid w:val="0000639A"/>
    <w:rsid w:val="00006520"/>
    <w:rsid w:val="00006559"/>
    <w:rsid w:val="00006880"/>
    <w:rsid w:val="00006B66"/>
    <w:rsid w:val="00006DAC"/>
    <w:rsid w:val="00006DE3"/>
    <w:rsid w:val="0000735E"/>
    <w:rsid w:val="0000745F"/>
    <w:rsid w:val="00007742"/>
    <w:rsid w:val="00007815"/>
    <w:rsid w:val="00007E40"/>
    <w:rsid w:val="00010644"/>
    <w:rsid w:val="00010704"/>
    <w:rsid w:val="00010B92"/>
    <w:rsid w:val="00011112"/>
    <w:rsid w:val="000113A3"/>
    <w:rsid w:val="00011A0C"/>
    <w:rsid w:val="00011A61"/>
    <w:rsid w:val="00011ABA"/>
    <w:rsid w:val="00011CE8"/>
    <w:rsid w:val="00011DD4"/>
    <w:rsid w:val="00011FDC"/>
    <w:rsid w:val="000120B0"/>
    <w:rsid w:val="00012948"/>
    <w:rsid w:val="00012F5E"/>
    <w:rsid w:val="00012FF2"/>
    <w:rsid w:val="00013122"/>
    <w:rsid w:val="000131F0"/>
    <w:rsid w:val="00013247"/>
    <w:rsid w:val="0001327D"/>
    <w:rsid w:val="000138CF"/>
    <w:rsid w:val="000138F5"/>
    <w:rsid w:val="000139EB"/>
    <w:rsid w:val="00013A54"/>
    <w:rsid w:val="00013B01"/>
    <w:rsid w:val="00013C0C"/>
    <w:rsid w:val="00013E2A"/>
    <w:rsid w:val="0001437A"/>
    <w:rsid w:val="00014478"/>
    <w:rsid w:val="00014690"/>
    <w:rsid w:val="00014816"/>
    <w:rsid w:val="00014C81"/>
    <w:rsid w:val="00014E19"/>
    <w:rsid w:val="00015886"/>
    <w:rsid w:val="00015EE0"/>
    <w:rsid w:val="00015FF9"/>
    <w:rsid w:val="00016191"/>
    <w:rsid w:val="000162E9"/>
    <w:rsid w:val="000162EF"/>
    <w:rsid w:val="00016538"/>
    <w:rsid w:val="00016772"/>
    <w:rsid w:val="000167E3"/>
    <w:rsid w:val="00016C45"/>
    <w:rsid w:val="00016CB1"/>
    <w:rsid w:val="000172BA"/>
    <w:rsid w:val="00017749"/>
    <w:rsid w:val="00017874"/>
    <w:rsid w:val="00017AE5"/>
    <w:rsid w:val="00020459"/>
    <w:rsid w:val="000207C9"/>
    <w:rsid w:val="00020874"/>
    <w:rsid w:val="0002114E"/>
    <w:rsid w:val="0002138D"/>
    <w:rsid w:val="0002194E"/>
    <w:rsid w:val="00021C25"/>
    <w:rsid w:val="0002225F"/>
    <w:rsid w:val="00022429"/>
    <w:rsid w:val="00022732"/>
    <w:rsid w:val="00022D8D"/>
    <w:rsid w:val="000231FA"/>
    <w:rsid w:val="0002329F"/>
    <w:rsid w:val="000235C0"/>
    <w:rsid w:val="00023626"/>
    <w:rsid w:val="00023763"/>
    <w:rsid w:val="0002382C"/>
    <w:rsid w:val="00023967"/>
    <w:rsid w:val="00023A7B"/>
    <w:rsid w:val="00023A8F"/>
    <w:rsid w:val="00023B46"/>
    <w:rsid w:val="00023D7E"/>
    <w:rsid w:val="00023F9E"/>
    <w:rsid w:val="0002446C"/>
    <w:rsid w:val="00024510"/>
    <w:rsid w:val="0002455E"/>
    <w:rsid w:val="00024702"/>
    <w:rsid w:val="00024748"/>
    <w:rsid w:val="0002475A"/>
    <w:rsid w:val="0002486D"/>
    <w:rsid w:val="000248F3"/>
    <w:rsid w:val="00024B8A"/>
    <w:rsid w:val="00024C00"/>
    <w:rsid w:val="00024D7B"/>
    <w:rsid w:val="00025472"/>
    <w:rsid w:val="000254CE"/>
    <w:rsid w:val="00025FEE"/>
    <w:rsid w:val="000263B4"/>
    <w:rsid w:val="00026966"/>
    <w:rsid w:val="00026A15"/>
    <w:rsid w:val="00026BB8"/>
    <w:rsid w:val="00026EC6"/>
    <w:rsid w:val="00026F21"/>
    <w:rsid w:val="00026F2F"/>
    <w:rsid w:val="00026F9A"/>
    <w:rsid w:val="00027076"/>
    <w:rsid w:val="0002727B"/>
    <w:rsid w:val="0002731B"/>
    <w:rsid w:val="000274B8"/>
    <w:rsid w:val="00027537"/>
    <w:rsid w:val="000275BA"/>
    <w:rsid w:val="000276BF"/>
    <w:rsid w:val="00027863"/>
    <w:rsid w:val="00027B7C"/>
    <w:rsid w:val="00027BA6"/>
    <w:rsid w:val="0003056D"/>
    <w:rsid w:val="000305B8"/>
    <w:rsid w:val="00031187"/>
    <w:rsid w:val="00031B39"/>
    <w:rsid w:val="00031DBD"/>
    <w:rsid w:val="00031F9A"/>
    <w:rsid w:val="0003204D"/>
    <w:rsid w:val="0003213E"/>
    <w:rsid w:val="00032422"/>
    <w:rsid w:val="0003253A"/>
    <w:rsid w:val="0003273A"/>
    <w:rsid w:val="0003287F"/>
    <w:rsid w:val="000328AF"/>
    <w:rsid w:val="000330B6"/>
    <w:rsid w:val="00033196"/>
    <w:rsid w:val="000334D7"/>
    <w:rsid w:val="000335B6"/>
    <w:rsid w:val="00033668"/>
    <w:rsid w:val="00033863"/>
    <w:rsid w:val="00033EA1"/>
    <w:rsid w:val="00033FB3"/>
    <w:rsid w:val="00033FEF"/>
    <w:rsid w:val="000343C6"/>
    <w:rsid w:val="00034C41"/>
    <w:rsid w:val="00034D6A"/>
    <w:rsid w:val="0003504B"/>
    <w:rsid w:val="00035138"/>
    <w:rsid w:val="00035729"/>
    <w:rsid w:val="00035855"/>
    <w:rsid w:val="00035A65"/>
    <w:rsid w:val="00035B24"/>
    <w:rsid w:val="00035C83"/>
    <w:rsid w:val="00035DC0"/>
    <w:rsid w:val="0003633D"/>
    <w:rsid w:val="000365CB"/>
    <w:rsid w:val="00036829"/>
    <w:rsid w:val="00036A06"/>
    <w:rsid w:val="00036E8E"/>
    <w:rsid w:val="0003716D"/>
    <w:rsid w:val="000371AB"/>
    <w:rsid w:val="0003724D"/>
    <w:rsid w:val="00037FEC"/>
    <w:rsid w:val="00040329"/>
    <w:rsid w:val="000406F7"/>
    <w:rsid w:val="00040895"/>
    <w:rsid w:val="00040902"/>
    <w:rsid w:val="00040985"/>
    <w:rsid w:val="00040A25"/>
    <w:rsid w:val="00040A2B"/>
    <w:rsid w:val="000410C5"/>
    <w:rsid w:val="0004112F"/>
    <w:rsid w:val="000411B5"/>
    <w:rsid w:val="0004124B"/>
    <w:rsid w:val="000413FA"/>
    <w:rsid w:val="00041564"/>
    <w:rsid w:val="000418D1"/>
    <w:rsid w:val="0004195F"/>
    <w:rsid w:val="0004198D"/>
    <w:rsid w:val="00041CB9"/>
    <w:rsid w:val="00041F44"/>
    <w:rsid w:val="0004218E"/>
    <w:rsid w:val="0004231D"/>
    <w:rsid w:val="00042338"/>
    <w:rsid w:val="00042494"/>
    <w:rsid w:val="000425A0"/>
    <w:rsid w:val="000425DB"/>
    <w:rsid w:val="000429C8"/>
    <w:rsid w:val="00042C42"/>
    <w:rsid w:val="00042DA4"/>
    <w:rsid w:val="00043319"/>
    <w:rsid w:val="00043369"/>
    <w:rsid w:val="00043591"/>
    <w:rsid w:val="000435EE"/>
    <w:rsid w:val="00043816"/>
    <w:rsid w:val="00043991"/>
    <w:rsid w:val="00043B95"/>
    <w:rsid w:val="00043C37"/>
    <w:rsid w:val="00043E84"/>
    <w:rsid w:val="00043F74"/>
    <w:rsid w:val="000442CA"/>
    <w:rsid w:val="00044DAD"/>
    <w:rsid w:val="00045017"/>
    <w:rsid w:val="000453FD"/>
    <w:rsid w:val="0004588A"/>
    <w:rsid w:val="00045A2B"/>
    <w:rsid w:val="00045DC9"/>
    <w:rsid w:val="00045F2D"/>
    <w:rsid w:val="000461BB"/>
    <w:rsid w:val="00046205"/>
    <w:rsid w:val="000463BE"/>
    <w:rsid w:val="0004667D"/>
    <w:rsid w:val="000466BC"/>
    <w:rsid w:val="000467FC"/>
    <w:rsid w:val="0004698F"/>
    <w:rsid w:val="00046AD5"/>
    <w:rsid w:val="00046FED"/>
    <w:rsid w:val="000472D6"/>
    <w:rsid w:val="0004736C"/>
    <w:rsid w:val="0004739A"/>
    <w:rsid w:val="000473D4"/>
    <w:rsid w:val="0004740E"/>
    <w:rsid w:val="00047755"/>
    <w:rsid w:val="000478B7"/>
    <w:rsid w:val="000478C5"/>
    <w:rsid w:val="00047A9F"/>
    <w:rsid w:val="00047AAB"/>
    <w:rsid w:val="00047C25"/>
    <w:rsid w:val="00047CC9"/>
    <w:rsid w:val="00047E45"/>
    <w:rsid w:val="00050154"/>
    <w:rsid w:val="000504A0"/>
    <w:rsid w:val="00050509"/>
    <w:rsid w:val="0005061B"/>
    <w:rsid w:val="000508BC"/>
    <w:rsid w:val="00050A09"/>
    <w:rsid w:val="00050C14"/>
    <w:rsid w:val="0005104A"/>
    <w:rsid w:val="000517BF"/>
    <w:rsid w:val="000517D3"/>
    <w:rsid w:val="000519D8"/>
    <w:rsid w:val="00051D04"/>
    <w:rsid w:val="000520F3"/>
    <w:rsid w:val="0005230A"/>
    <w:rsid w:val="000524E0"/>
    <w:rsid w:val="00052A67"/>
    <w:rsid w:val="00052B55"/>
    <w:rsid w:val="00052D8A"/>
    <w:rsid w:val="00052E49"/>
    <w:rsid w:val="00052E89"/>
    <w:rsid w:val="00053174"/>
    <w:rsid w:val="000531EE"/>
    <w:rsid w:val="00053601"/>
    <w:rsid w:val="000539D0"/>
    <w:rsid w:val="00053AF9"/>
    <w:rsid w:val="00053B79"/>
    <w:rsid w:val="00053BB7"/>
    <w:rsid w:val="000542F4"/>
    <w:rsid w:val="00054356"/>
    <w:rsid w:val="000543CA"/>
    <w:rsid w:val="00054621"/>
    <w:rsid w:val="000546D7"/>
    <w:rsid w:val="00054DE9"/>
    <w:rsid w:val="00054E69"/>
    <w:rsid w:val="00055004"/>
    <w:rsid w:val="000550DC"/>
    <w:rsid w:val="00055134"/>
    <w:rsid w:val="000551B7"/>
    <w:rsid w:val="000556A7"/>
    <w:rsid w:val="000556EC"/>
    <w:rsid w:val="000557D3"/>
    <w:rsid w:val="00055A54"/>
    <w:rsid w:val="00055A95"/>
    <w:rsid w:val="00055C0C"/>
    <w:rsid w:val="00055E10"/>
    <w:rsid w:val="00055E1A"/>
    <w:rsid w:val="00055E6C"/>
    <w:rsid w:val="000561DD"/>
    <w:rsid w:val="00056246"/>
    <w:rsid w:val="000562C1"/>
    <w:rsid w:val="00056734"/>
    <w:rsid w:val="00056C39"/>
    <w:rsid w:val="00056ECF"/>
    <w:rsid w:val="00057164"/>
    <w:rsid w:val="000576EF"/>
    <w:rsid w:val="00057720"/>
    <w:rsid w:val="00057763"/>
    <w:rsid w:val="000578EA"/>
    <w:rsid w:val="000579EA"/>
    <w:rsid w:val="00057D4F"/>
    <w:rsid w:val="00057FA3"/>
    <w:rsid w:val="00060051"/>
    <w:rsid w:val="0006017D"/>
    <w:rsid w:val="000604A3"/>
    <w:rsid w:val="000604DF"/>
    <w:rsid w:val="000607B3"/>
    <w:rsid w:val="00060A8A"/>
    <w:rsid w:val="000610FE"/>
    <w:rsid w:val="000617B1"/>
    <w:rsid w:val="00061B6D"/>
    <w:rsid w:val="00061E21"/>
    <w:rsid w:val="0006250D"/>
    <w:rsid w:val="00062F31"/>
    <w:rsid w:val="00063468"/>
    <w:rsid w:val="00064020"/>
    <w:rsid w:val="00064064"/>
    <w:rsid w:val="000641CB"/>
    <w:rsid w:val="00064390"/>
    <w:rsid w:val="0006475A"/>
    <w:rsid w:val="00064900"/>
    <w:rsid w:val="00064AF7"/>
    <w:rsid w:val="00064CFE"/>
    <w:rsid w:val="00064E46"/>
    <w:rsid w:val="00065028"/>
    <w:rsid w:val="00065110"/>
    <w:rsid w:val="00065296"/>
    <w:rsid w:val="000653B5"/>
    <w:rsid w:val="00065421"/>
    <w:rsid w:val="00065468"/>
    <w:rsid w:val="00066360"/>
    <w:rsid w:val="00066365"/>
    <w:rsid w:val="0006686A"/>
    <w:rsid w:val="0006689C"/>
    <w:rsid w:val="000668AB"/>
    <w:rsid w:val="000668ED"/>
    <w:rsid w:val="0006695A"/>
    <w:rsid w:val="0006697E"/>
    <w:rsid w:val="00066AF8"/>
    <w:rsid w:val="00066DC9"/>
    <w:rsid w:val="000670FC"/>
    <w:rsid w:val="00067221"/>
    <w:rsid w:val="00067A6C"/>
    <w:rsid w:val="00067E62"/>
    <w:rsid w:val="00070048"/>
    <w:rsid w:val="0007005C"/>
    <w:rsid w:val="00070173"/>
    <w:rsid w:val="000701B2"/>
    <w:rsid w:val="000702FC"/>
    <w:rsid w:val="00070939"/>
    <w:rsid w:val="00070B8C"/>
    <w:rsid w:val="00070C9A"/>
    <w:rsid w:val="00070FD0"/>
    <w:rsid w:val="00071248"/>
    <w:rsid w:val="0007149C"/>
    <w:rsid w:val="000718FB"/>
    <w:rsid w:val="00071A32"/>
    <w:rsid w:val="00071AC9"/>
    <w:rsid w:val="00071D6C"/>
    <w:rsid w:val="00071EF0"/>
    <w:rsid w:val="000720B9"/>
    <w:rsid w:val="0007243C"/>
    <w:rsid w:val="0007247E"/>
    <w:rsid w:val="0007286E"/>
    <w:rsid w:val="00072972"/>
    <w:rsid w:val="000729E5"/>
    <w:rsid w:val="00072BAB"/>
    <w:rsid w:val="000730CB"/>
    <w:rsid w:val="00073253"/>
    <w:rsid w:val="000734A1"/>
    <w:rsid w:val="00073733"/>
    <w:rsid w:val="000737F7"/>
    <w:rsid w:val="00073A3D"/>
    <w:rsid w:val="00073D58"/>
    <w:rsid w:val="000742B4"/>
    <w:rsid w:val="0007445B"/>
    <w:rsid w:val="00074561"/>
    <w:rsid w:val="0007468B"/>
    <w:rsid w:val="000748C6"/>
    <w:rsid w:val="00074AE5"/>
    <w:rsid w:val="00075079"/>
    <w:rsid w:val="0007576D"/>
    <w:rsid w:val="000758CB"/>
    <w:rsid w:val="00075907"/>
    <w:rsid w:val="00075948"/>
    <w:rsid w:val="00075C74"/>
    <w:rsid w:val="00075EB9"/>
    <w:rsid w:val="00075EF6"/>
    <w:rsid w:val="0007620A"/>
    <w:rsid w:val="00076340"/>
    <w:rsid w:val="00076665"/>
    <w:rsid w:val="0007669F"/>
    <w:rsid w:val="0007672F"/>
    <w:rsid w:val="000768C0"/>
    <w:rsid w:val="00076B54"/>
    <w:rsid w:val="00076D9A"/>
    <w:rsid w:val="000774F0"/>
    <w:rsid w:val="00077B3E"/>
    <w:rsid w:val="00077E0E"/>
    <w:rsid w:val="00077F20"/>
    <w:rsid w:val="00077F79"/>
    <w:rsid w:val="00077FBA"/>
    <w:rsid w:val="00080193"/>
    <w:rsid w:val="0008058A"/>
    <w:rsid w:val="000805F3"/>
    <w:rsid w:val="00080852"/>
    <w:rsid w:val="00080909"/>
    <w:rsid w:val="00080C83"/>
    <w:rsid w:val="00080D43"/>
    <w:rsid w:val="00080EE9"/>
    <w:rsid w:val="00080EF3"/>
    <w:rsid w:val="00080F6B"/>
    <w:rsid w:val="000810AE"/>
    <w:rsid w:val="000812CA"/>
    <w:rsid w:val="00081535"/>
    <w:rsid w:val="0008188D"/>
    <w:rsid w:val="00081AC9"/>
    <w:rsid w:val="00081D64"/>
    <w:rsid w:val="00081E63"/>
    <w:rsid w:val="00081FF6"/>
    <w:rsid w:val="00082007"/>
    <w:rsid w:val="0008258D"/>
    <w:rsid w:val="0008288D"/>
    <w:rsid w:val="00082B01"/>
    <w:rsid w:val="00082BC9"/>
    <w:rsid w:val="00082BFC"/>
    <w:rsid w:val="00083095"/>
    <w:rsid w:val="000831D6"/>
    <w:rsid w:val="000832F3"/>
    <w:rsid w:val="00083351"/>
    <w:rsid w:val="000835F4"/>
    <w:rsid w:val="00083824"/>
    <w:rsid w:val="00083A5B"/>
    <w:rsid w:val="00083ACF"/>
    <w:rsid w:val="00083B6E"/>
    <w:rsid w:val="00083C65"/>
    <w:rsid w:val="00083E99"/>
    <w:rsid w:val="000840A8"/>
    <w:rsid w:val="00084B5B"/>
    <w:rsid w:val="00084B5E"/>
    <w:rsid w:val="00084E78"/>
    <w:rsid w:val="00084FA8"/>
    <w:rsid w:val="000850FD"/>
    <w:rsid w:val="00085282"/>
    <w:rsid w:val="00085481"/>
    <w:rsid w:val="000856C5"/>
    <w:rsid w:val="00085A8F"/>
    <w:rsid w:val="00085B56"/>
    <w:rsid w:val="00085C31"/>
    <w:rsid w:val="00085E8B"/>
    <w:rsid w:val="0008632C"/>
    <w:rsid w:val="0008634B"/>
    <w:rsid w:val="00086A19"/>
    <w:rsid w:val="00086BD5"/>
    <w:rsid w:val="00086CDB"/>
    <w:rsid w:val="00086DBA"/>
    <w:rsid w:val="00087192"/>
    <w:rsid w:val="00087348"/>
    <w:rsid w:val="00087575"/>
    <w:rsid w:val="00087881"/>
    <w:rsid w:val="00087CED"/>
    <w:rsid w:val="0009013E"/>
    <w:rsid w:val="00090160"/>
    <w:rsid w:val="000902D9"/>
    <w:rsid w:val="000905FE"/>
    <w:rsid w:val="00090613"/>
    <w:rsid w:val="000908E3"/>
    <w:rsid w:val="00090C7E"/>
    <w:rsid w:val="00090F44"/>
    <w:rsid w:val="00090FF1"/>
    <w:rsid w:val="00091055"/>
    <w:rsid w:val="00091089"/>
    <w:rsid w:val="00091497"/>
    <w:rsid w:val="0009153B"/>
    <w:rsid w:val="000916A7"/>
    <w:rsid w:val="00091A89"/>
    <w:rsid w:val="00091B8F"/>
    <w:rsid w:val="00091B9B"/>
    <w:rsid w:val="00091CC0"/>
    <w:rsid w:val="00091D83"/>
    <w:rsid w:val="00092600"/>
    <w:rsid w:val="0009262B"/>
    <w:rsid w:val="0009273B"/>
    <w:rsid w:val="00092A05"/>
    <w:rsid w:val="00092BFA"/>
    <w:rsid w:val="00092C97"/>
    <w:rsid w:val="00093310"/>
    <w:rsid w:val="0009338A"/>
    <w:rsid w:val="000939DD"/>
    <w:rsid w:val="00093A4B"/>
    <w:rsid w:val="0009423D"/>
    <w:rsid w:val="00094369"/>
    <w:rsid w:val="000943B4"/>
    <w:rsid w:val="0009445C"/>
    <w:rsid w:val="000945AC"/>
    <w:rsid w:val="00094813"/>
    <w:rsid w:val="00094928"/>
    <w:rsid w:val="00094CA1"/>
    <w:rsid w:val="00094E21"/>
    <w:rsid w:val="00094F74"/>
    <w:rsid w:val="00094FF1"/>
    <w:rsid w:val="00095200"/>
    <w:rsid w:val="00095C68"/>
    <w:rsid w:val="00095FE5"/>
    <w:rsid w:val="00096143"/>
    <w:rsid w:val="0009618B"/>
    <w:rsid w:val="000961F0"/>
    <w:rsid w:val="00096284"/>
    <w:rsid w:val="00096C91"/>
    <w:rsid w:val="00096E62"/>
    <w:rsid w:val="000970CC"/>
    <w:rsid w:val="00097200"/>
    <w:rsid w:val="00097448"/>
    <w:rsid w:val="000975C3"/>
    <w:rsid w:val="000975D2"/>
    <w:rsid w:val="00097601"/>
    <w:rsid w:val="0009782E"/>
    <w:rsid w:val="00097857"/>
    <w:rsid w:val="00097942"/>
    <w:rsid w:val="0009799D"/>
    <w:rsid w:val="000979FC"/>
    <w:rsid w:val="00097C77"/>
    <w:rsid w:val="00097CF5"/>
    <w:rsid w:val="00097DF6"/>
    <w:rsid w:val="00097FB5"/>
    <w:rsid w:val="000A02E2"/>
    <w:rsid w:val="000A0B5B"/>
    <w:rsid w:val="000A0B82"/>
    <w:rsid w:val="000A11DE"/>
    <w:rsid w:val="000A1227"/>
    <w:rsid w:val="000A12D4"/>
    <w:rsid w:val="000A152F"/>
    <w:rsid w:val="000A178B"/>
    <w:rsid w:val="000A18D3"/>
    <w:rsid w:val="000A18E6"/>
    <w:rsid w:val="000A1B30"/>
    <w:rsid w:val="000A1BC0"/>
    <w:rsid w:val="000A1E46"/>
    <w:rsid w:val="000A20C4"/>
    <w:rsid w:val="000A25FD"/>
    <w:rsid w:val="000A2C5A"/>
    <w:rsid w:val="000A2E6B"/>
    <w:rsid w:val="000A329B"/>
    <w:rsid w:val="000A3435"/>
    <w:rsid w:val="000A36A9"/>
    <w:rsid w:val="000A39CA"/>
    <w:rsid w:val="000A3CDA"/>
    <w:rsid w:val="000A4332"/>
    <w:rsid w:val="000A434E"/>
    <w:rsid w:val="000A4426"/>
    <w:rsid w:val="000A4531"/>
    <w:rsid w:val="000A4773"/>
    <w:rsid w:val="000A4B84"/>
    <w:rsid w:val="000A4F40"/>
    <w:rsid w:val="000A5061"/>
    <w:rsid w:val="000A52E0"/>
    <w:rsid w:val="000A5563"/>
    <w:rsid w:val="000A55A6"/>
    <w:rsid w:val="000A5958"/>
    <w:rsid w:val="000A5999"/>
    <w:rsid w:val="000A5B62"/>
    <w:rsid w:val="000A5F43"/>
    <w:rsid w:val="000A6039"/>
    <w:rsid w:val="000A6058"/>
    <w:rsid w:val="000A69C8"/>
    <w:rsid w:val="000A6BE9"/>
    <w:rsid w:val="000A6BF5"/>
    <w:rsid w:val="000A70A1"/>
    <w:rsid w:val="000A7418"/>
    <w:rsid w:val="000A7453"/>
    <w:rsid w:val="000A7744"/>
    <w:rsid w:val="000A7813"/>
    <w:rsid w:val="000A7A37"/>
    <w:rsid w:val="000A7BE3"/>
    <w:rsid w:val="000A7CD0"/>
    <w:rsid w:val="000A7D08"/>
    <w:rsid w:val="000B0121"/>
    <w:rsid w:val="000B0504"/>
    <w:rsid w:val="000B0670"/>
    <w:rsid w:val="000B0681"/>
    <w:rsid w:val="000B08B2"/>
    <w:rsid w:val="000B08B3"/>
    <w:rsid w:val="000B09D1"/>
    <w:rsid w:val="000B0A23"/>
    <w:rsid w:val="000B0CC5"/>
    <w:rsid w:val="000B0E75"/>
    <w:rsid w:val="000B0E87"/>
    <w:rsid w:val="000B0F08"/>
    <w:rsid w:val="000B156F"/>
    <w:rsid w:val="000B19A0"/>
    <w:rsid w:val="000B19FA"/>
    <w:rsid w:val="000B1B8A"/>
    <w:rsid w:val="000B1C62"/>
    <w:rsid w:val="000B1CC5"/>
    <w:rsid w:val="000B1D33"/>
    <w:rsid w:val="000B1E7C"/>
    <w:rsid w:val="000B1FF5"/>
    <w:rsid w:val="000B21A0"/>
    <w:rsid w:val="000B23BB"/>
    <w:rsid w:val="000B2561"/>
    <w:rsid w:val="000B2B32"/>
    <w:rsid w:val="000B2DCB"/>
    <w:rsid w:val="000B2DF5"/>
    <w:rsid w:val="000B2EA0"/>
    <w:rsid w:val="000B2FCF"/>
    <w:rsid w:val="000B3070"/>
    <w:rsid w:val="000B34D2"/>
    <w:rsid w:val="000B3643"/>
    <w:rsid w:val="000B4021"/>
    <w:rsid w:val="000B4186"/>
    <w:rsid w:val="000B450F"/>
    <w:rsid w:val="000B46F6"/>
    <w:rsid w:val="000B4868"/>
    <w:rsid w:val="000B4EA9"/>
    <w:rsid w:val="000B4F29"/>
    <w:rsid w:val="000B4F40"/>
    <w:rsid w:val="000B53CA"/>
    <w:rsid w:val="000B5591"/>
    <w:rsid w:val="000B569E"/>
    <w:rsid w:val="000B5AEE"/>
    <w:rsid w:val="000B5CE0"/>
    <w:rsid w:val="000B5D0B"/>
    <w:rsid w:val="000B5DB4"/>
    <w:rsid w:val="000B5DC0"/>
    <w:rsid w:val="000B61E3"/>
    <w:rsid w:val="000B637D"/>
    <w:rsid w:val="000B6610"/>
    <w:rsid w:val="000B680B"/>
    <w:rsid w:val="000B69B4"/>
    <w:rsid w:val="000B69C1"/>
    <w:rsid w:val="000B6A63"/>
    <w:rsid w:val="000B6CAC"/>
    <w:rsid w:val="000B6D2A"/>
    <w:rsid w:val="000B6EF5"/>
    <w:rsid w:val="000B71BA"/>
    <w:rsid w:val="000B7612"/>
    <w:rsid w:val="000B7889"/>
    <w:rsid w:val="000B78AE"/>
    <w:rsid w:val="000B7C22"/>
    <w:rsid w:val="000C04FD"/>
    <w:rsid w:val="000C0C5F"/>
    <w:rsid w:val="000C0CAA"/>
    <w:rsid w:val="000C11B6"/>
    <w:rsid w:val="000C1557"/>
    <w:rsid w:val="000C1CC1"/>
    <w:rsid w:val="000C21BF"/>
    <w:rsid w:val="000C26E1"/>
    <w:rsid w:val="000C270A"/>
    <w:rsid w:val="000C2BE6"/>
    <w:rsid w:val="000C2C2A"/>
    <w:rsid w:val="000C3014"/>
    <w:rsid w:val="000C3B3C"/>
    <w:rsid w:val="000C3DAB"/>
    <w:rsid w:val="000C3DF9"/>
    <w:rsid w:val="000C4188"/>
    <w:rsid w:val="000C43A7"/>
    <w:rsid w:val="000C48BC"/>
    <w:rsid w:val="000C5103"/>
    <w:rsid w:val="000C5253"/>
    <w:rsid w:val="000C5433"/>
    <w:rsid w:val="000C5504"/>
    <w:rsid w:val="000C5768"/>
    <w:rsid w:val="000C5D9A"/>
    <w:rsid w:val="000C640A"/>
    <w:rsid w:val="000C6713"/>
    <w:rsid w:val="000C68AE"/>
    <w:rsid w:val="000C6EAF"/>
    <w:rsid w:val="000C716F"/>
    <w:rsid w:val="000C7186"/>
    <w:rsid w:val="000C7200"/>
    <w:rsid w:val="000C7309"/>
    <w:rsid w:val="000C73AD"/>
    <w:rsid w:val="000C7423"/>
    <w:rsid w:val="000C760A"/>
    <w:rsid w:val="000C7736"/>
    <w:rsid w:val="000C78D9"/>
    <w:rsid w:val="000C790F"/>
    <w:rsid w:val="000C7AFC"/>
    <w:rsid w:val="000C7BEA"/>
    <w:rsid w:val="000D02FB"/>
    <w:rsid w:val="000D11DE"/>
    <w:rsid w:val="000D131F"/>
    <w:rsid w:val="000D1816"/>
    <w:rsid w:val="000D1BFC"/>
    <w:rsid w:val="000D1D5D"/>
    <w:rsid w:val="000D1D77"/>
    <w:rsid w:val="000D20F5"/>
    <w:rsid w:val="000D25FF"/>
    <w:rsid w:val="000D273A"/>
    <w:rsid w:val="000D281A"/>
    <w:rsid w:val="000D2848"/>
    <w:rsid w:val="000D2BA3"/>
    <w:rsid w:val="000D2BEC"/>
    <w:rsid w:val="000D2D03"/>
    <w:rsid w:val="000D326A"/>
    <w:rsid w:val="000D3309"/>
    <w:rsid w:val="000D3825"/>
    <w:rsid w:val="000D386C"/>
    <w:rsid w:val="000D3B16"/>
    <w:rsid w:val="000D3E0D"/>
    <w:rsid w:val="000D3F11"/>
    <w:rsid w:val="000D3F6E"/>
    <w:rsid w:val="000D419E"/>
    <w:rsid w:val="000D4237"/>
    <w:rsid w:val="000D494D"/>
    <w:rsid w:val="000D4C1D"/>
    <w:rsid w:val="000D4F4E"/>
    <w:rsid w:val="000D51FB"/>
    <w:rsid w:val="000D56A1"/>
    <w:rsid w:val="000D56EC"/>
    <w:rsid w:val="000D5714"/>
    <w:rsid w:val="000D5B79"/>
    <w:rsid w:val="000D5BB0"/>
    <w:rsid w:val="000D639E"/>
    <w:rsid w:val="000D64D9"/>
    <w:rsid w:val="000D6A90"/>
    <w:rsid w:val="000D6C41"/>
    <w:rsid w:val="000D7928"/>
    <w:rsid w:val="000D79D2"/>
    <w:rsid w:val="000D7A21"/>
    <w:rsid w:val="000D7ADF"/>
    <w:rsid w:val="000E020A"/>
    <w:rsid w:val="000E04F9"/>
    <w:rsid w:val="000E0640"/>
    <w:rsid w:val="000E06E7"/>
    <w:rsid w:val="000E0959"/>
    <w:rsid w:val="000E0A08"/>
    <w:rsid w:val="000E0CD0"/>
    <w:rsid w:val="000E0D27"/>
    <w:rsid w:val="000E133D"/>
    <w:rsid w:val="000E135D"/>
    <w:rsid w:val="000E1AC5"/>
    <w:rsid w:val="000E1AFC"/>
    <w:rsid w:val="000E1E7F"/>
    <w:rsid w:val="000E1E85"/>
    <w:rsid w:val="000E2140"/>
    <w:rsid w:val="000E240A"/>
    <w:rsid w:val="000E26D2"/>
    <w:rsid w:val="000E2CB6"/>
    <w:rsid w:val="000E2F90"/>
    <w:rsid w:val="000E3190"/>
    <w:rsid w:val="000E31EE"/>
    <w:rsid w:val="000E3474"/>
    <w:rsid w:val="000E35A4"/>
    <w:rsid w:val="000E374B"/>
    <w:rsid w:val="000E3B22"/>
    <w:rsid w:val="000E3C31"/>
    <w:rsid w:val="000E3C7B"/>
    <w:rsid w:val="000E3D31"/>
    <w:rsid w:val="000E45F6"/>
    <w:rsid w:val="000E47E9"/>
    <w:rsid w:val="000E4BFE"/>
    <w:rsid w:val="000E4E8A"/>
    <w:rsid w:val="000E50B5"/>
    <w:rsid w:val="000E525C"/>
    <w:rsid w:val="000E5333"/>
    <w:rsid w:val="000E57A4"/>
    <w:rsid w:val="000E585B"/>
    <w:rsid w:val="000E5B97"/>
    <w:rsid w:val="000E5D55"/>
    <w:rsid w:val="000E60FD"/>
    <w:rsid w:val="000E6460"/>
    <w:rsid w:val="000E6588"/>
    <w:rsid w:val="000E659C"/>
    <w:rsid w:val="000E676B"/>
    <w:rsid w:val="000E67EA"/>
    <w:rsid w:val="000E6C23"/>
    <w:rsid w:val="000E72A4"/>
    <w:rsid w:val="000E732B"/>
    <w:rsid w:val="000E74A2"/>
    <w:rsid w:val="000E7A24"/>
    <w:rsid w:val="000F00BA"/>
    <w:rsid w:val="000F0C10"/>
    <w:rsid w:val="000F0D2E"/>
    <w:rsid w:val="000F10FF"/>
    <w:rsid w:val="000F1350"/>
    <w:rsid w:val="000F1364"/>
    <w:rsid w:val="000F1483"/>
    <w:rsid w:val="000F15F0"/>
    <w:rsid w:val="000F16F3"/>
    <w:rsid w:val="000F1D66"/>
    <w:rsid w:val="000F1F6F"/>
    <w:rsid w:val="000F238F"/>
    <w:rsid w:val="000F2908"/>
    <w:rsid w:val="000F29E3"/>
    <w:rsid w:val="000F2CA5"/>
    <w:rsid w:val="000F2F24"/>
    <w:rsid w:val="000F316A"/>
    <w:rsid w:val="000F327F"/>
    <w:rsid w:val="000F39DB"/>
    <w:rsid w:val="000F3C74"/>
    <w:rsid w:val="000F3CA5"/>
    <w:rsid w:val="000F3CEA"/>
    <w:rsid w:val="000F3EF6"/>
    <w:rsid w:val="000F427B"/>
    <w:rsid w:val="000F46CD"/>
    <w:rsid w:val="000F48BB"/>
    <w:rsid w:val="000F4902"/>
    <w:rsid w:val="000F492E"/>
    <w:rsid w:val="000F4A7F"/>
    <w:rsid w:val="000F4B79"/>
    <w:rsid w:val="000F4BB8"/>
    <w:rsid w:val="000F4EBB"/>
    <w:rsid w:val="000F4EFD"/>
    <w:rsid w:val="000F4F55"/>
    <w:rsid w:val="000F4FA9"/>
    <w:rsid w:val="000F535C"/>
    <w:rsid w:val="000F53FB"/>
    <w:rsid w:val="000F588C"/>
    <w:rsid w:val="000F58AD"/>
    <w:rsid w:val="000F5C24"/>
    <w:rsid w:val="000F5F52"/>
    <w:rsid w:val="000F6081"/>
    <w:rsid w:val="000F6127"/>
    <w:rsid w:val="000F614F"/>
    <w:rsid w:val="000F61D2"/>
    <w:rsid w:val="000F6639"/>
    <w:rsid w:val="000F6929"/>
    <w:rsid w:val="000F6F95"/>
    <w:rsid w:val="000F7127"/>
    <w:rsid w:val="000F734E"/>
    <w:rsid w:val="000F7B54"/>
    <w:rsid w:val="000F7C22"/>
    <w:rsid w:val="00100085"/>
    <w:rsid w:val="00100210"/>
    <w:rsid w:val="00100406"/>
    <w:rsid w:val="0010092C"/>
    <w:rsid w:val="00100B16"/>
    <w:rsid w:val="00100BE1"/>
    <w:rsid w:val="00100F8A"/>
    <w:rsid w:val="00101173"/>
    <w:rsid w:val="001011F8"/>
    <w:rsid w:val="0010145D"/>
    <w:rsid w:val="00101B43"/>
    <w:rsid w:val="00101FB8"/>
    <w:rsid w:val="00101FD3"/>
    <w:rsid w:val="00102382"/>
    <w:rsid w:val="001029F9"/>
    <w:rsid w:val="00102CCD"/>
    <w:rsid w:val="00102F6A"/>
    <w:rsid w:val="0010347E"/>
    <w:rsid w:val="001034AE"/>
    <w:rsid w:val="00103767"/>
    <w:rsid w:val="001038AD"/>
    <w:rsid w:val="001038CC"/>
    <w:rsid w:val="0010394D"/>
    <w:rsid w:val="00104279"/>
    <w:rsid w:val="0010435C"/>
    <w:rsid w:val="0010452E"/>
    <w:rsid w:val="00104781"/>
    <w:rsid w:val="00104791"/>
    <w:rsid w:val="00104861"/>
    <w:rsid w:val="00105048"/>
    <w:rsid w:val="00105132"/>
    <w:rsid w:val="001052C2"/>
    <w:rsid w:val="001054B0"/>
    <w:rsid w:val="0010552E"/>
    <w:rsid w:val="00105899"/>
    <w:rsid w:val="00105AE2"/>
    <w:rsid w:val="00105AF9"/>
    <w:rsid w:val="00105BBD"/>
    <w:rsid w:val="00105C0D"/>
    <w:rsid w:val="00105CAA"/>
    <w:rsid w:val="00105CE0"/>
    <w:rsid w:val="00105DA8"/>
    <w:rsid w:val="001060C6"/>
    <w:rsid w:val="001063D7"/>
    <w:rsid w:val="0010644C"/>
    <w:rsid w:val="00106AE7"/>
    <w:rsid w:val="00106B80"/>
    <w:rsid w:val="00106BEB"/>
    <w:rsid w:val="0010725E"/>
    <w:rsid w:val="00107408"/>
    <w:rsid w:val="00107534"/>
    <w:rsid w:val="00107B7B"/>
    <w:rsid w:val="00107F08"/>
    <w:rsid w:val="00110099"/>
    <w:rsid w:val="0011032E"/>
    <w:rsid w:val="001103DA"/>
    <w:rsid w:val="0011058F"/>
    <w:rsid w:val="001106F0"/>
    <w:rsid w:val="0011094B"/>
    <w:rsid w:val="00110D76"/>
    <w:rsid w:val="001113E9"/>
    <w:rsid w:val="00111C09"/>
    <w:rsid w:val="00111C67"/>
    <w:rsid w:val="00111F5D"/>
    <w:rsid w:val="0011247D"/>
    <w:rsid w:val="0011258E"/>
    <w:rsid w:val="00112DA9"/>
    <w:rsid w:val="00112E8E"/>
    <w:rsid w:val="00112F74"/>
    <w:rsid w:val="0011324F"/>
    <w:rsid w:val="00113259"/>
    <w:rsid w:val="0011348B"/>
    <w:rsid w:val="00113632"/>
    <w:rsid w:val="00113826"/>
    <w:rsid w:val="00113B51"/>
    <w:rsid w:val="00113D96"/>
    <w:rsid w:val="00113E4D"/>
    <w:rsid w:val="00113E95"/>
    <w:rsid w:val="00113EF2"/>
    <w:rsid w:val="00114016"/>
    <w:rsid w:val="00114161"/>
    <w:rsid w:val="001141C4"/>
    <w:rsid w:val="001142D2"/>
    <w:rsid w:val="001142F1"/>
    <w:rsid w:val="001145C8"/>
    <w:rsid w:val="001147D8"/>
    <w:rsid w:val="00114C69"/>
    <w:rsid w:val="00114CD4"/>
    <w:rsid w:val="001153B5"/>
    <w:rsid w:val="00115707"/>
    <w:rsid w:val="001157D5"/>
    <w:rsid w:val="00115982"/>
    <w:rsid w:val="00115EF9"/>
    <w:rsid w:val="001162B4"/>
    <w:rsid w:val="0011665E"/>
    <w:rsid w:val="00116C53"/>
    <w:rsid w:val="00116F5E"/>
    <w:rsid w:val="001171CD"/>
    <w:rsid w:val="00117291"/>
    <w:rsid w:val="001174A3"/>
    <w:rsid w:val="001177A2"/>
    <w:rsid w:val="0011789B"/>
    <w:rsid w:val="001179B2"/>
    <w:rsid w:val="00117C7B"/>
    <w:rsid w:val="001200A2"/>
    <w:rsid w:val="001200F0"/>
    <w:rsid w:val="001202A0"/>
    <w:rsid w:val="00120624"/>
    <w:rsid w:val="00120853"/>
    <w:rsid w:val="00120C9A"/>
    <w:rsid w:val="00120CD4"/>
    <w:rsid w:val="00120E62"/>
    <w:rsid w:val="00121284"/>
    <w:rsid w:val="001213C3"/>
    <w:rsid w:val="001213DD"/>
    <w:rsid w:val="001216D9"/>
    <w:rsid w:val="0012172A"/>
    <w:rsid w:val="00121799"/>
    <w:rsid w:val="00121F42"/>
    <w:rsid w:val="0012210F"/>
    <w:rsid w:val="00122231"/>
    <w:rsid w:val="001222FC"/>
    <w:rsid w:val="001225E1"/>
    <w:rsid w:val="00122F69"/>
    <w:rsid w:val="00122FE6"/>
    <w:rsid w:val="0012329A"/>
    <w:rsid w:val="0012354A"/>
    <w:rsid w:val="00123902"/>
    <w:rsid w:val="00123915"/>
    <w:rsid w:val="00123B39"/>
    <w:rsid w:val="00123C4C"/>
    <w:rsid w:val="00123E6C"/>
    <w:rsid w:val="00124A51"/>
    <w:rsid w:val="00124BED"/>
    <w:rsid w:val="00124F76"/>
    <w:rsid w:val="001250D1"/>
    <w:rsid w:val="0012541B"/>
    <w:rsid w:val="00125948"/>
    <w:rsid w:val="00125C81"/>
    <w:rsid w:val="00126065"/>
    <w:rsid w:val="001261FC"/>
    <w:rsid w:val="0012626E"/>
    <w:rsid w:val="00126621"/>
    <w:rsid w:val="0012694F"/>
    <w:rsid w:val="00126B1D"/>
    <w:rsid w:val="00126BD6"/>
    <w:rsid w:val="00126F99"/>
    <w:rsid w:val="0012740C"/>
    <w:rsid w:val="001276D3"/>
    <w:rsid w:val="00127B8A"/>
    <w:rsid w:val="00127D64"/>
    <w:rsid w:val="00127E08"/>
    <w:rsid w:val="00127ECD"/>
    <w:rsid w:val="001300F4"/>
    <w:rsid w:val="001301E9"/>
    <w:rsid w:val="001304D6"/>
    <w:rsid w:val="0013056D"/>
    <w:rsid w:val="0013062E"/>
    <w:rsid w:val="0013080C"/>
    <w:rsid w:val="00130B1F"/>
    <w:rsid w:val="00130EC6"/>
    <w:rsid w:val="00131242"/>
    <w:rsid w:val="001312AB"/>
    <w:rsid w:val="00131336"/>
    <w:rsid w:val="0013145B"/>
    <w:rsid w:val="0013155E"/>
    <w:rsid w:val="001316A6"/>
    <w:rsid w:val="00131966"/>
    <w:rsid w:val="00131A72"/>
    <w:rsid w:val="00131B3E"/>
    <w:rsid w:val="00131D82"/>
    <w:rsid w:val="001320B2"/>
    <w:rsid w:val="0013224F"/>
    <w:rsid w:val="001323B8"/>
    <w:rsid w:val="001325DA"/>
    <w:rsid w:val="00132A56"/>
    <w:rsid w:val="00132B22"/>
    <w:rsid w:val="00132CB2"/>
    <w:rsid w:val="00132DB2"/>
    <w:rsid w:val="00132DDF"/>
    <w:rsid w:val="001330E1"/>
    <w:rsid w:val="0013311E"/>
    <w:rsid w:val="0013329C"/>
    <w:rsid w:val="001333AE"/>
    <w:rsid w:val="001338F2"/>
    <w:rsid w:val="00133A87"/>
    <w:rsid w:val="00133D36"/>
    <w:rsid w:val="00133D88"/>
    <w:rsid w:val="00133F88"/>
    <w:rsid w:val="00133FFF"/>
    <w:rsid w:val="00134183"/>
    <w:rsid w:val="001341D5"/>
    <w:rsid w:val="00134579"/>
    <w:rsid w:val="00134770"/>
    <w:rsid w:val="00134A73"/>
    <w:rsid w:val="00134CA4"/>
    <w:rsid w:val="00134DC7"/>
    <w:rsid w:val="00134F1C"/>
    <w:rsid w:val="00135065"/>
    <w:rsid w:val="001350DA"/>
    <w:rsid w:val="00135252"/>
    <w:rsid w:val="001358F7"/>
    <w:rsid w:val="00135946"/>
    <w:rsid w:val="001359C2"/>
    <w:rsid w:val="00135B23"/>
    <w:rsid w:val="00135DF4"/>
    <w:rsid w:val="00135E34"/>
    <w:rsid w:val="00136005"/>
    <w:rsid w:val="001360DE"/>
    <w:rsid w:val="0013619B"/>
    <w:rsid w:val="001363A0"/>
    <w:rsid w:val="001364AA"/>
    <w:rsid w:val="00136B54"/>
    <w:rsid w:val="00137645"/>
    <w:rsid w:val="00137703"/>
    <w:rsid w:val="001379B2"/>
    <w:rsid w:val="00137B9E"/>
    <w:rsid w:val="00137FCB"/>
    <w:rsid w:val="001400D3"/>
    <w:rsid w:val="0014015A"/>
    <w:rsid w:val="00140210"/>
    <w:rsid w:val="00140654"/>
    <w:rsid w:val="0014093C"/>
    <w:rsid w:val="00140C25"/>
    <w:rsid w:val="00140D18"/>
    <w:rsid w:val="00140E99"/>
    <w:rsid w:val="00141109"/>
    <w:rsid w:val="001412EF"/>
    <w:rsid w:val="001414DE"/>
    <w:rsid w:val="001415AB"/>
    <w:rsid w:val="0014160E"/>
    <w:rsid w:val="00141E23"/>
    <w:rsid w:val="00142739"/>
    <w:rsid w:val="00142C3B"/>
    <w:rsid w:val="00143995"/>
    <w:rsid w:val="00143BB9"/>
    <w:rsid w:val="00143C19"/>
    <w:rsid w:val="00143E42"/>
    <w:rsid w:val="00143F67"/>
    <w:rsid w:val="00143F90"/>
    <w:rsid w:val="0014413A"/>
    <w:rsid w:val="00144498"/>
    <w:rsid w:val="001444E8"/>
    <w:rsid w:val="00144D01"/>
    <w:rsid w:val="0014549E"/>
    <w:rsid w:val="00145540"/>
    <w:rsid w:val="0014565C"/>
    <w:rsid w:val="001456B0"/>
    <w:rsid w:val="001459D6"/>
    <w:rsid w:val="00145E56"/>
    <w:rsid w:val="00145EBB"/>
    <w:rsid w:val="00145EF4"/>
    <w:rsid w:val="001460C6"/>
    <w:rsid w:val="001467A0"/>
    <w:rsid w:val="00146A42"/>
    <w:rsid w:val="001470E2"/>
    <w:rsid w:val="00147189"/>
    <w:rsid w:val="001473AA"/>
    <w:rsid w:val="00147B5E"/>
    <w:rsid w:val="00147BA4"/>
    <w:rsid w:val="00147EEF"/>
    <w:rsid w:val="00147FF6"/>
    <w:rsid w:val="00150518"/>
    <w:rsid w:val="00150D7A"/>
    <w:rsid w:val="001512DD"/>
    <w:rsid w:val="00151549"/>
    <w:rsid w:val="00151690"/>
    <w:rsid w:val="001516EC"/>
    <w:rsid w:val="001522C6"/>
    <w:rsid w:val="0015230B"/>
    <w:rsid w:val="0015240B"/>
    <w:rsid w:val="00152435"/>
    <w:rsid w:val="001526F1"/>
    <w:rsid w:val="00152C90"/>
    <w:rsid w:val="00152E7C"/>
    <w:rsid w:val="001531A4"/>
    <w:rsid w:val="001532FD"/>
    <w:rsid w:val="001533C3"/>
    <w:rsid w:val="00153736"/>
    <w:rsid w:val="00153BBB"/>
    <w:rsid w:val="00153C18"/>
    <w:rsid w:val="00153CEC"/>
    <w:rsid w:val="00153E48"/>
    <w:rsid w:val="00153F39"/>
    <w:rsid w:val="00153F74"/>
    <w:rsid w:val="00154632"/>
    <w:rsid w:val="001552C5"/>
    <w:rsid w:val="00155FBD"/>
    <w:rsid w:val="00156084"/>
    <w:rsid w:val="00156910"/>
    <w:rsid w:val="00156F8F"/>
    <w:rsid w:val="001570E0"/>
    <w:rsid w:val="00157130"/>
    <w:rsid w:val="00157323"/>
    <w:rsid w:val="00157625"/>
    <w:rsid w:val="001576B1"/>
    <w:rsid w:val="00160008"/>
    <w:rsid w:val="0016006B"/>
    <w:rsid w:val="00160119"/>
    <w:rsid w:val="001601DE"/>
    <w:rsid w:val="001601F3"/>
    <w:rsid w:val="0016047B"/>
    <w:rsid w:val="001608C3"/>
    <w:rsid w:val="00160A4C"/>
    <w:rsid w:val="00160B86"/>
    <w:rsid w:val="00160C40"/>
    <w:rsid w:val="00160C6D"/>
    <w:rsid w:val="00160F37"/>
    <w:rsid w:val="00160F54"/>
    <w:rsid w:val="00161366"/>
    <w:rsid w:val="001618AC"/>
    <w:rsid w:val="00161A18"/>
    <w:rsid w:val="00161A94"/>
    <w:rsid w:val="00161E94"/>
    <w:rsid w:val="0016272F"/>
    <w:rsid w:val="00162913"/>
    <w:rsid w:val="00162944"/>
    <w:rsid w:val="00162B31"/>
    <w:rsid w:val="00162CDC"/>
    <w:rsid w:val="00163A3E"/>
    <w:rsid w:val="00163C53"/>
    <w:rsid w:val="00163EFF"/>
    <w:rsid w:val="00163F66"/>
    <w:rsid w:val="0016410A"/>
    <w:rsid w:val="001641B2"/>
    <w:rsid w:val="00164441"/>
    <w:rsid w:val="001645EE"/>
    <w:rsid w:val="00164769"/>
    <w:rsid w:val="0016483D"/>
    <w:rsid w:val="00164AC2"/>
    <w:rsid w:val="00164B92"/>
    <w:rsid w:val="00164C95"/>
    <w:rsid w:val="00164D7E"/>
    <w:rsid w:val="00164DC1"/>
    <w:rsid w:val="001654A0"/>
    <w:rsid w:val="001654E2"/>
    <w:rsid w:val="00165819"/>
    <w:rsid w:val="00165872"/>
    <w:rsid w:val="00165AFE"/>
    <w:rsid w:val="00165FA8"/>
    <w:rsid w:val="001661FB"/>
    <w:rsid w:val="00166208"/>
    <w:rsid w:val="00166870"/>
    <w:rsid w:val="00166A56"/>
    <w:rsid w:val="00166B8F"/>
    <w:rsid w:val="00166C11"/>
    <w:rsid w:val="00166C7D"/>
    <w:rsid w:val="00166DA2"/>
    <w:rsid w:val="00166F62"/>
    <w:rsid w:val="00166F75"/>
    <w:rsid w:val="00166FA8"/>
    <w:rsid w:val="001671A0"/>
    <w:rsid w:val="001675A8"/>
    <w:rsid w:val="0016767F"/>
    <w:rsid w:val="00167A59"/>
    <w:rsid w:val="00167E90"/>
    <w:rsid w:val="0017129F"/>
    <w:rsid w:val="00171C16"/>
    <w:rsid w:val="00171D0A"/>
    <w:rsid w:val="00171E55"/>
    <w:rsid w:val="001723E8"/>
    <w:rsid w:val="001730D9"/>
    <w:rsid w:val="00173549"/>
    <w:rsid w:val="00173565"/>
    <w:rsid w:val="00173676"/>
    <w:rsid w:val="001736A8"/>
    <w:rsid w:val="00173B07"/>
    <w:rsid w:val="00173C46"/>
    <w:rsid w:val="00174853"/>
    <w:rsid w:val="00174AA2"/>
    <w:rsid w:val="00174E18"/>
    <w:rsid w:val="001751FA"/>
    <w:rsid w:val="00175693"/>
    <w:rsid w:val="00175782"/>
    <w:rsid w:val="00175B4D"/>
    <w:rsid w:val="00176562"/>
    <w:rsid w:val="00176763"/>
    <w:rsid w:val="00176AA4"/>
    <w:rsid w:val="00176BB6"/>
    <w:rsid w:val="00176C7D"/>
    <w:rsid w:val="00176D43"/>
    <w:rsid w:val="00176E39"/>
    <w:rsid w:val="00176E42"/>
    <w:rsid w:val="00176FF1"/>
    <w:rsid w:val="001773EB"/>
    <w:rsid w:val="00177608"/>
    <w:rsid w:val="00177613"/>
    <w:rsid w:val="0017773D"/>
    <w:rsid w:val="00177CCE"/>
    <w:rsid w:val="001803E9"/>
    <w:rsid w:val="001808B6"/>
    <w:rsid w:val="00180E3D"/>
    <w:rsid w:val="0018134D"/>
    <w:rsid w:val="0018178A"/>
    <w:rsid w:val="00181A47"/>
    <w:rsid w:val="00181D9C"/>
    <w:rsid w:val="00181EBA"/>
    <w:rsid w:val="00181F26"/>
    <w:rsid w:val="00182084"/>
    <w:rsid w:val="0018211B"/>
    <w:rsid w:val="00182240"/>
    <w:rsid w:val="00182289"/>
    <w:rsid w:val="0018270F"/>
    <w:rsid w:val="00182C36"/>
    <w:rsid w:val="001830BB"/>
    <w:rsid w:val="001835E0"/>
    <w:rsid w:val="0018382A"/>
    <w:rsid w:val="00183885"/>
    <w:rsid w:val="00183CAA"/>
    <w:rsid w:val="00183F42"/>
    <w:rsid w:val="00183FB9"/>
    <w:rsid w:val="001840A4"/>
    <w:rsid w:val="001841BF"/>
    <w:rsid w:val="001841D7"/>
    <w:rsid w:val="0018428D"/>
    <w:rsid w:val="00184538"/>
    <w:rsid w:val="001848F5"/>
    <w:rsid w:val="001848F6"/>
    <w:rsid w:val="00184AF2"/>
    <w:rsid w:val="00184B0E"/>
    <w:rsid w:val="00184C75"/>
    <w:rsid w:val="00184F53"/>
    <w:rsid w:val="00184F57"/>
    <w:rsid w:val="001850D6"/>
    <w:rsid w:val="00185686"/>
    <w:rsid w:val="00185827"/>
    <w:rsid w:val="00185BBD"/>
    <w:rsid w:val="00185DDE"/>
    <w:rsid w:val="00185F14"/>
    <w:rsid w:val="00186517"/>
    <w:rsid w:val="00186841"/>
    <w:rsid w:val="00186AEE"/>
    <w:rsid w:val="00186B9C"/>
    <w:rsid w:val="00186CCF"/>
    <w:rsid w:val="0018704D"/>
    <w:rsid w:val="00187148"/>
    <w:rsid w:val="00187281"/>
    <w:rsid w:val="001874E7"/>
    <w:rsid w:val="0018752F"/>
    <w:rsid w:val="0018761B"/>
    <w:rsid w:val="00187BC4"/>
    <w:rsid w:val="00187C0A"/>
    <w:rsid w:val="00187F17"/>
    <w:rsid w:val="00190469"/>
    <w:rsid w:val="00190DB9"/>
    <w:rsid w:val="00190F22"/>
    <w:rsid w:val="001912C3"/>
    <w:rsid w:val="0019156A"/>
    <w:rsid w:val="00191684"/>
    <w:rsid w:val="00191C5F"/>
    <w:rsid w:val="00191DF7"/>
    <w:rsid w:val="00191EDD"/>
    <w:rsid w:val="00191F1F"/>
    <w:rsid w:val="00192152"/>
    <w:rsid w:val="0019253A"/>
    <w:rsid w:val="00192565"/>
    <w:rsid w:val="001925E8"/>
    <w:rsid w:val="00192979"/>
    <w:rsid w:val="00192B9B"/>
    <w:rsid w:val="00192DD4"/>
    <w:rsid w:val="00192F5F"/>
    <w:rsid w:val="00192FB5"/>
    <w:rsid w:val="00193070"/>
    <w:rsid w:val="001931D1"/>
    <w:rsid w:val="00193741"/>
    <w:rsid w:val="00193838"/>
    <w:rsid w:val="0019384B"/>
    <w:rsid w:val="00193EF5"/>
    <w:rsid w:val="00193F28"/>
    <w:rsid w:val="0019494C"/>
    <w:rsid w:val="00194AD8"/>
    <w:rsid w:val="00195222"/>
    <w:rsid w:val="001952C6"/>
    <w:rsid w:val="0019539C"/>
    <w:rsid w:val="00195716"/>
    <w:rsid w:val="00195974"/>
    <w:rsid w:val="00195F07"/>
    <w:rsid w:val="00195F66"/>
    <w:rsid w:val="00195FD7"/>
    <w:rsid w:val="001961E5"/>
    <w:rsid w:val="00196995"/>
    <w:rsid w:val="00196E7D"/>
    <w:rsid w:val="00196F84"/>
    <w:rsid w:val="00197426"/>
    <w:rsid w:val="001975D8"/>
    <w:rsid w:val="00197663"/>
    <w:rsid w:val="00197AED"/>
    <w:rsid w:val="00197B72"/>
    <w:rsid w:val="00197F19"/>
    <w:rsid w:val="001A010C"/>
    <w:rsid w:val="001A066E"/>
    <w:rsid w:val="001A0CB6"/>
    <w:rsid w:val="001A1244"/>
    <w:rsid w:val="001A1294"/>
    <w:rsid w:val="001A12B6"/>
    <w:rsid w:val="001A178E"/>
    <w:rsid w:val="001A19E3"/>
    <w:rsid w:val="001A1FDD"/>
    <w:rsid w:val="001A20E0"/>
    <w:rsid w:val="001A20E7"/>
    <w:rsid w:val="001A253B"/>
    <w:rsid w:val="001A2D58"/>
    <w:rsid w:val="001A30F1"/>
    <w:rsid w:val="001A3424"/>
    <w:rsid w:val="001A352E"/>
    <w:rsid w:val="001A376B"/>
    <w:rsid w:val="001A398F"/>
    <w:rsid w:val="001A3AB4"/>
    <w:rsid w:val="001A3C83"/>
    <w:rsid w:val="001A3E92"/>
    <w:rsid w:val="001A3F5C"/>
    <w:rsid w:val="001A4042"/>
    <w:rsid w:val="001A40F6"/>
    <w:rsid w:val="001A4120"/>
    <w:rsid w:val="001A4221"/>
    <w:rsid w:val="001A4317"/>
    <w:rsid w:val="001A43FA"/>
    <w:rsid w:val="001A467E"/>
    <w:rsid w:val="001A4692"/>
    <w:rsid w:val="001A4761"/>
    <w:rsid w:val="001A47C5"/>
    <w:rsid w:val="001A4A18"/>
    <w:rsid w:val="001A4A68"/>
    <w:rsid w:val="001A4AC8"/>
    <w:rsid w:val="001A4C97"/>
    <w:rsid w:val="001A4D30"/>
    <w:rsid w:val="001A4F0E"/>
    <w:rsid w:val="001A511D"/>
    <w:rsid w:val="001A5209"/>
    <w:rsid w:val="001A546A"/>
    <w:rsid w:val="001A54EB"/>
    <w:rsid w:val="001A5564"/>
    <w:rsid w:val="001A56EA"/>
    <w:rsid w:val="001A59FB"/>
    <w:rsid w:val="001A5A1D"/>
    <w:rsid w:val="001A5A2E"/>
    <w:rsid w:val="001A5AAF"/>
    <w:rsid w:val="001A5B10"/>
    <w:rsid w:val="001A5DCA"/>
    <w:rsid w:val="001A5E9E"/>
    <w:rsid w:val="001A5F39"/>
    <w:rsid w:val="001A6121"/>
    <w:rsid w:val="001A6219"/>
    <w:rsid w:val="001A6330"/>
    <w:rsid w:val="001A6354"/>
    <w:rsid w:val="001A6366"/>
    <w:rsid w:val="001A65AB"/>
    <w:rsid w:val="001A6863"/>
    <w:rsid w:val="001A6938"/>
    <w:rsid w:val="001A6D97"/>
    <w:rsid w:val="001A75FF"/>
    <w:rsid w:val="001A7AA4"/>
    <w:rsid w:val="001A7AE8"/>
    <w:rsid w:val="001A7BF5"/>
    <w:rsid w:val="001A7CC7"/>
    <w:rsid w:val="001A7F17"/>
    <w:rsid w:val="001B00E2"/>
    <w:rsid w:val="001B02DA"/>
    <w:rsid w:val="001B054F"/>
    <w:rsid w:val="001B0602"/>
    <w:rsid w:val="001B09CC"/>
    <w:rsid w:val="001B0B00"/>
    <w:rsid w:val="001B0B3F"/>
    <w:rsid w:val="001B0E99"/>
    <w:rsid w:val="001B0F89"/>
    <w:rsid w:val="001B13BA"/>
    <w:rsid w:val="001B15EB"/>
    <w:rsid w:val="001B1748"/>
    <w:rsid w:val="001B1AA6"/>
    <w:rsid w:val="001B1BA2"/>
    <w:rsid w:val="001B204E"/>
    <w:rsid w:val="001B2372"/>
    <w:rsid w:val="001B268E"/>
    <w:rsid w:val="001B2A30"/>
    <w:rsid w:val="001B2B85"/>
    <w:rsid w:val="001B2CED"/>
    <w:rsid w:val="001B3149"/>
    <w:rsid w:val="001B32A4"/>
    <w:rsid w:val="001B3443"/>
    <w:rsid w:val="001B39CF"/>
    <w:rsid w:val="001B3C0A"/>
    <w:rsid w:val="001B40DD"/>
    <w:rsid w:val="001B40E1"/>
    <w:rsid w:val="001B42FB"/>
    <w:rsid w:val="001B43C7"/>
    <w:rsid w:val="001B4B3C"/>
    <w:rsid w:val="001B4D00"/>
    <w:rsid w:val="001B4D20"/>
    <w:rsid w:val="001B4D91"/>
    <w:rsid w:val="001B4F96"/>
    <w:rsid w:val="001B51E1"/>
    <w:rsid w:val="001B5698"/>
    <w:rsid w:val="001B587A"/>
    <w:rsid w:val="001B5A09"/>
    <w:rsid w:val="001B62E1"/>
    <w:rsid w:val="001B63F0"/>
    <w:rsid w:val="001B65FF"/>
    <w:rsid w:val="001B6897"/>
    <w:rsid w:val="001B6BA1"/>
    <w:rsid w:val="001B6FDF"/>
    <w:rsid w:val="001B70D2"/>
    <w:rsid w:val="001B71B7"/>
    <w:rsid w:val="001B732F"/>
    <w:rsid w:val="001B7411"/>
    <w:rsid w:val="001B771C"/>
    <w:rsid w:val="001B7893"/>
    <w:rsid w:val="001B7BCC"/>
    <w:rsid w:val="001B7C3F"/>
    <w:rsid w:val="001B7F44"/>
    <w:rsid w:val="001C0137"/>
    <w:rsid w:val="001C0A71"/>
    <w:rsid w:val="001C0BAD"/>
    <w:rsid w:val="001C117E"/>
    <w:rsid w:val="001C168E"/>
    <w:rsid w:val="001C16F0"/>
    <w:rsid w:val="001C180C"/>
    <w:rsid w:val="001C18C2"/>
    <w:rsid w:val="001C1971"/>
    <w:rsid w:val="001C1B02"/>
    <w:rsid w:val="001C21AE"/>
    <w:rsid w:val="001C22F6"/>
    <w:rsid w:val="001C2544"/>
    <w:rsid w:val="001C2706"/>
    <w:rsid w:val="001C29DC"/>
    <w:rsid w:val="001C29FD"/>
    <w:rsid w:val="001C2A9B"/>
    <w:rsid w:val="001C2F56"/>
    <w:rsid w:val="001C38CE"/>
    <w:rsid w:val="001C3A2B"/>
    <w:rsid w:val="001C3B20"/>
    <w:rsid w:val="001C3F31"/>
    <w:rsid w:val="001C3FA0"/>
    <w:rsid w:val="001C4299"/>
    <w:rsid w:val="001C45E2"/>
    <w:rsid w:val="001C4674"/>
    <w:rsid w:val="001C473E"/>
    <w:rsid w:val="001C4853"/>
    <w:rsid w:val="001C4874"/>
    <w:rsid w:val="001C49D5"/>
    <w:rsid w:val="001C54ED"/>
    <w:rsid w:val="001C554D"/>
    <w:rsid w:val="001C5557"/>
    <w:rsid w:val="001C5756"/>
    <w:rsid w:val="001C5CFA"/>
    <w:rsid w:val="001C5DD9"/>
    <w:rsid w:val="001C5F94"/>
    <w:rsid w:val="001C64B9"/>
    <w:rsid w:val="001C66CB"/>
    <w:rsid w:val="001C67FE"/>
    <w:rsid w:val="001C692B"/>
    <w:rsid w:val="001C6CA6"/>
    <w:rsid w:val="001C6CAD"/>
    <w:rsid w:val="001C6E66"/>
    <w:rsid w:val="001C70FA"/>
    <w:rsid w:val="001C7128"/>
    <w:rsid w:val="001C733A"/>
    <w:rsid w:val="001C7783"/>
    <w:rsid w:val="001C7AC6"/>
    <w:rsid w:val="001C7B24"/>
    <w:rsid w:val="001D00E2"/>
    <w:rsid w:val="001D0667"/>
    <w:rsid w:val="001D10FB"/>
    <w:rsid w:val="001D1100"/>
    <w:rsid w:val="001D11BC"/>
    <w:rsid w:val="001D11C6"/>
    <w:rsid w:val="001D1235"/>
    <w:rsid w:val="001D1391"/>
    <w:rsid w:val="001D18A9"/>
    <w:rsid w:val="001D18B9"/>
    <w:rsid w:val="001D1A3A"/>
    <w:rsid w:val="001D1AA3"/>
    <w:rsid w:val="001D1D7E"/>
    <w:rsid w:val="001D2013"/>
    <w:rsid w:val="001D2309"/>
    <w:rsid w:val="001D25D7"/>
    <w:rsid w:val="001D2642"/>
    <w:rsid w:val="001D2735"/>
    <w:rsid w:val="001D294F"/>
    <w:rsid w:val="001D297B"/>
    <w:rsid w:val="001D2A5C"/>
    <w:rsid w:val="001D2F9F"/>
    <w:rsid w:val="001D303B"/>
    <w:rsid w:val="001D34BE"/>
    <w:rsid w:val="001D38AB"/>
    <w:rsid w:val="001D3C38"/>
    <w:rsid w:val="001D3DB9"/>
    <w:rsid w:val="001D41C8"/>
    <w:rsid w:val="001D41D2"/>
    <w:rsid w:val="001D4244"/>
    <w:rsid w:val="001D4249"/>
    <w:rsid w:val="001D4307"/>
    <w:rsid w:val="001D4A15"/>
    <w:rsid w:val="001D4CC9"/>
    <w:rsid w:val="001D4D26"/>
    <w:rsid w:val="001D4E31"/>
    <w:rsid w:val="001D5006"/>
    <w:rsid w:val="001D50B2"/>
    <w:rsid w:val="001D513F"/>
    <w:rsid w:val="001D51AD"/>
    <w:rsid w:val="001D51FA"/>
    <w:rsid w:val="001D529D"/>
    <w:rsid w:val="001D52D6"/>
    <w:rsid w:val="001D558E"/>
    <w:rsid w:val="001D5860"/>
    <w:rsid w:val="001D58B7"/>
    <w:rsid w:val="001D5AEE"/>
    <w:rsid w:val="001D5CBC"/>
    <w:rsid w:val="001D5D68"/>
    <w:rsid w:val="001D5F94"/>
    <w:rsid w:val="001D5FBB"/>
    <w:rsid w:val="001D6246"/>
    <w:rsid w:val="001D625A"/>
    <w:rsid w:val="001D63A4"/>
    <w:rsid w:val="001D64BB"/>
    <w:rsid w:val="001D671B"/>
    <w:rsid w:val="001D6734"/>
    <w:rsid w:val="001D6DB9"/>
    <w:rsid w:val="001D6E43"/>
    <w:rsid w:val="001D711C"/>
    <w:rsid w:val="001D7645"/>
    <w:rsid w:val="001D775A"/>
    <w:rsid w:val="001D7BF1"/>
    <w:rsid w:val="001D7F97"/>
    <w:rsid w:val="001E00B6"/>
    <w:rsid w:val="001E073D"/>
    <w:rsid w:val="001E0B46"/>
    <w:rsid w:val="001E0D87"/>
    <w:rsid w:val="001E0E04"/>
    <w:rsid w:val="001E0E6F"/>
    <w:rsid w:val="001E17CA"/>
    <w:rsid w:val="001E1C1B"/>
    <w:rsid w:val="001E1E24"/>
    <w:rsid w:val="001E1E86"/>
    <w:rsid w:val="001E2106"/>
    <w:rsid w:val="001E22A9"/>
    <w:rsid w:val="001E238E"/>
    <w:rsid w:val="001E2483"/>
    <w:rsid w:val="001E26DF"/>
    <w:rsid w:val="001E290C"/>
    <w:rsid w:val="001E2B1E"/>
    <w:rsid w:val="001E2C02"/>
    <w:rsid w:val="001E2CFF"/>
    <w:rsid w:val="001E2DA1"/>
    <w:rsid w:val="001E2F24"/>
    <w:rsid w:val="001E2FBE"/>
    <w:rsid w:val="001E30D4"/>
    <w:rsid w:val="001E32D3"/>
    <w:rsid w:val="001E3456"/>
    <w:rsid w:val="001E34DF"/>
    <w:rsid w:val="001E34E1"/>
    <w:rsid w:val="001E3BFE"/>
    <w:rsid w:val="001E4006"/>
    <w:rsid w:val="001E4AD0"/>
    <w:rsid w:val="001E4B9A"/>
    <w:rsid w:val="001E4E95"/>
    <w:rsid w:val="001E4EE5"/>
    <w:rsid w:val="001E4F05"/>
    <w:rsid w:val="001E4F6C"/>
    <w:rsid w:val="001E5247"/>
    <w:rsid w:val="001E52EB"/>
    <w:rsid w:val="001E543E"/>
    <w:rsid w:val="001E583F"/>
    <w:rsid w:val="001E5D21"/>
    <w:rsid w:val="001E5D4B"/>
    <w:rsid w:val="001E60F4"/>
    <w:rsid w:val="001E61D2"/>
    <w:rsid w:val="001E62C9"/>
    <w:rsid w:val="001E63F0"/>
    <w:rsid w:val="001E655A"/>
    <w:rsid w:val="001E6563"/>
    <w:rsid w:val="001E65D2"/>
    <w:rsid w:val="001E6767"/>
    <w:rsid w:val="001E6D1C"/>
    <w:rsid w:val="001E740C"/>
    <w:rsid w:val="001E746B"/>
    <w:rsid w:val="001E74BA"/>
    <w:rsid w:val="001E796B"/>
    <w:rsid w:val="001E7AB2"/>
    <w:rsid w:val="001E7C05"/>
    <w:rsid w:val="001E7ED7"/>
    <w:rsid w:val="001E7F48"/>
    <w:rsid w:val="001F0210"/>
    <w:rsid w:val="001F0285"/>
    <w:rsid w:val="001F0415"/>
    <w:rsid w:val="001F0677"/>
    <w:rsid w:val="001F0857"/>
    <w:rsid w:val="001F0D6A"/>
    <w:rsid w:val="001F10E6"/>
    <w:rsid w:val="001F1235"/>
    <w:rsid w:val="001F13B9"/>
    <w:rsid w:val="001F1401"/>
    <w:rsid w:val="001F1916"/>
    <w:rsid w:val="001F1CB3"/>
    <w:rsid w:val="001F1DE7"/>
    <w:rsid w:val="001F1E81"/>
    <w:rsid w:val="001F21A5"/>
    <w:rsid w:val="001F2D7D"/>
    <w:rsid w:val="001F34DB"/>
    <w:rsid w:val="001F372F"/>
    <w:rsid w:val="001F38B5"/>
    <w:rsid w:val="001F3D6F"/>
    <w:rsid w:val="001F4081"/>
    <w:rsid w:val="001F42C0"/>
    <w:rsid w:val="001F46FF"/>
    <w:rsid w:val="001F47B9"/>
    <w:rsid w:val="001F4C3E"/>
    <w:rsid w:val="001F4E18"/>
    <w:rsid w:val="001F518A"/>
    <w:rsid w:val="001F52F4"/>
    <w:rsid w:val="001F5532"/>
    <w:rsid w:val="001F5560"/>
    <w:rsid w:val="001F59F8"/>
    <w:rsid w:val="001F5DBE"/>
    <w:rsid w:val="001F5ED5"/>
    <w:rsid w:val="001F5EFF"/>
    <w:rsid w:val="001F5FE1"/>
    <w:rsid w:val="001F643F"/>
    <w:rsid w:val="001F697E"/>
    <w:rsid w:val="001F69B4"/>
    <w:rsid w:val="001F6B97"/>
    <w:rsid w:val="001F706A"/>
    <w:rsid w:val="001F70DD"/>
    <w:rsid w:val="001F70E6"/>
    <w:rsid w:val="001F7361"/>
    <w:rsid w:val="001F7505"/>
    <w:rsid w:val="001F7643"/>
    <w:rsid w:val="001F7AD0"/>
    <w:rsid w:val="001F7D31"/>
    <w:rsid w:val="00200C80"/>
    <w:rsid w:val="0020114B"/>
    <w:rsid w:val="002011B0"/>
    <w:rsid w:val="002012A3"/>
    <w:rsid w:val="00201383"/>
    <w:rsid w:val="002014B0"/>
    <w:rsid w:val="0020164D"/>
    <w:rsid w:val="00201B6F"/>
    <w:rsid w:val="00201FCD"/>
    <w:rsid w:val="00202031"/>
    <w:rsid w:val="00202424"/>
    <w:rsid w:val="0020250D"/>
    <w:rsid w:val="0020253B"/>
    <w:rsid w:val="00202598"/>
    <w:rsid w:val="00202793"/>
    <w:rsid w:val="002028C5"/>
    <w:rsid w:val="00203181"/>
    <w:rsid w:val="0020336A"/>
    <w:rsid w:val="00203783"/>
    <w:rsid w:val="0020385F"/>
    <w:rsid w:val="00203A67"/>
    <w:rsid w:val="00203BF8"/>
    <w:rsid w:val="00203D2A"/>
    <w:rsid w:val="00203F79"/>
    <w:rsid w:val="002046C0"/>
    <w:rsid w:val="002048B1"/>
    <w:rsid w:val="00204E72"/>
    <w:rsid w:val="002052A5"/>
    <w:rsid w:val="002057CC"/>
    <w:rsid w:val="002058AF"/>
    <w:rsid w:val="00205C52"/>
    <w:rsid w:val="00205E10"/>
    <w:rsid w:val="0020613B"/>
    <w:rsid w:val="0020613C"/>
    <w:rsid w:val="00206195"/>
    <w:rsid w:val="002061C0"/>
    <w:rsid w:val="002064FB"/>
    <w:rsid w:val="00206600"/>
    <w:rsid w:val="002068A0"/>
    <w:rsid w:val="00206B9C"/>
    <w:rsid w:val="00206BEC"/>
    <w:rsid w:val="00207021"/>
    <w:rsid w:val="0020732F"/>
    <w:rsid w:val="00207463"/>
    <w:rsid w:val="00207836"/>
    <w:rsid w:val="0020784E"/>
    <w:rsid w:val="00207973"/>
    <w:rsid w:val="00207C88"/>
    <w:rsid w:val="00207D00"/>
    <w:rsid w:val="00207D32"/>
    <w:rsid w:val="00207EC2"/>
    <w:rsid w:val="002100D6"/>
    <w:rsid w:val="00210153"/>
    <w:rsid w:val="00210178"/>
    <w:rsid w:val="00210372"/>
    <w:rsid w:val="002105C1"/>
    <w:rsid w:val="0021085F"/>
    <w:rsid w:val="00210AE4"/>
    <w:rsid w:val="00210CEF"/>
    <w:rsid w:val="00210D97"/>
    <w:rsid w:val="00210E5B"/>
    <w:rsid w:val="002111BC"/>
    <w:rsid w:val="00211572"/>
    <w:rsid w:val="002117D5"/>
    <w:rsid w:val="00211ACE"/>
    <w:rsid w:val="00211ADE"/>
    <w:rsid w:val="00211E7B"/>
    <w:rsid w:val="00211EAE"/>
    <w:rsid w:val="00211F76"/>
    <w:rsid w:val="002123FE"/>
    <w:rsid w:val="002124F6"/>
    <w:rsid w:val="0021268C"/>
    <w:rsid w:val="002126FF"/>
    <w:rsid w:val="00212B27"/>
    <w:rsid w:val="00213251"/>
    <w:rsid w:val="0021343F"/>
    <w:rsid w:val="00213A15"/>
    <w:rsid w:val="00213A99"/>
    <w:rsid w:val="00213BC0"/>
    <w:rsid w:val="00213EF5"/>
    <w:rsid w:val="002148BC"/>
    <w:rsid w:val="00214D3D"/>
    <w:rsid w:val="00215126"/>
    <w:rsid w:val="002156FD"/>
    <w:rsid w:val="00215E51"/>
    <w:rsid w:val="00215EEC"/>
    <w:rsid w:val="00215FC3"/>
    <w:rsid w:val="0021622F"/>
    <w:rsid w:val="002165AD"/>
    <w:rsid w:val="00216BF5"/>
    <w:rsid w:val="00216C94"/>
    <w:rsid w:val="00216D01"/>
    <w:rsid w:val="00216FBB"/>
    <w:rsid w:val="002170EB"/>
    <w:rsid w:val="00217172"/>
    <w:rsid w:val="00217338"/>
    <w:rsid w:val="002175CE"/>
    <w:rsid w:val="00217954"/>
    <w:rsid w:val="002179B2"/>
    <w:rsid w:val="00217BD2"/>
    <w:rsid w:val="00217DC7"/>
    <w:rsid w:val="00220056"/>
    <w:rsid w:val="002203BF"/>
    <w:rsid w:val="00220487"/>
    <w:rsid w:val="0022059D"/>
    <w:rsid w:val="00220745"/>
    <w:rsid w:val="002208B0"/>
    <w:rsid w:val="00220A7C"/>
    <w:rsid w:val="00220AE9"/>
    <w:rsid w:val="00220E84"/>
    <w:rsid w:val="00221779"/>
    <w:rsid w:val="00221809"/>
    <w:rsid w:val="00221DDF"/>
    <w:rsid w:val="00221EE0"/>
    <w:rsid w:val="00222152"/>
    <w:rsid w:val="00222689"/>
    <w:rsid w:val="002226DB"/>
    <w:rsid w:val="00222CD6"/>
    <w:rsid w:val="002231BA"/>
    <w:rsid w:val="00223580"/>
    <w:rsid w:val="002235AE"/>
    <w:rsid w:val="002237B4"/>
    <w:rsid w:val="00223B49"/>
    <w:rsid w:val="00223C01"/>
    <w:rsid w:val="00223D30"/>
    <w:rsid w:val="00223D5A"/>
    <w:rsid w:val="00223EBA"/>
    <w:rsid w:val="00223F39"/>
    <w:rsid w:val="00223F42"/>
    <w:rsid w:val="00224035"/>
    <w:rsid w:val="00224173"/>
    <w:rsid w:val="0022429F"/>
    <w:rsid w:val="002242A7"/>
    <w:rsid w:val="002242B9"/>
    <w:rsid w:val="002243A8"/>
    <w:rsid w:val="002244C8"/>
    <w:rsid w:val="002246EB"/>
    <w:rsid w:val="00224A63"/>
    <w:rsid w:val="00224D4E"/>
    <w:rsid w:val="00224DD4"/>
    <w:rsid w:val="00224F6D"/>
    <w:rsid w:val="00224FC4"/>
    <w:rsid w:val="00225082"/>
    <w:rsid w:val="0022515F"/>
    <w:rsid w:val="00225540"/>
    <w:rsid w:val="0022564D"/>
    <w:rsid w:val="002257BA"/>
    <w:rsid w:val="00225970"/>
    <w:rsid w:val="002259A3"/>
    <w:rsid w:val="00225AE8"/>
    <w:rsid w:val="002261F1"/>
    <w:rsid w:val="0022625E"/>
    <w:rsid w:val="0022627B"/>
    <w:rsid w:val="0022629F"/>
    <w:rsid w:val="00226647"/>
    <w:rsid w:val="00226657"/>
    <w:rsid w:val="0022668D"/>
    <w:rsid w:val="00226C9B"/>
    <w:rsid w:val="00226FA9"/>
    <w:rsid w:val="002270A0"/>
    <w:rsid w:val="002273CA"/>
    <w:rsid w:val="002274BA"/>
    <w:rsid w:val="002274FC"/>
    <w:rsid w:val="0022766F"/>
    <w:rsid w:val="0022778E"/>
    <w:rsid w:val="002278A0"/>
    <w:rsid w:val="00227C5B"/>
    <w:rsid w:val="002302DB"/>
    <w:rsid w:val="00230366"/>
    <w:rsid w:val="002304BA"/>
    <w:rsid w:val="00230518"/>
    <w:rsid w:val="002305D0"/>
    <w:rsid w:val="00230976"/>
    <w:rsid w:val="002309CC"/>
    <w:rsid w:val="00230BBB"/>
    <w:rsid w:val="00230BD1"/>
    <w:rsid w:val="0023139E"/>
    <w:rsid w:val="002314DE"/>
    <w:rsid w:val="002316DB"/>
    <w:rsid w:val="00231A2C"/>
    <w:rsid w:val="00231C61"/>
    <w:rsid w:val="00231C75"/>
    <w:rsid w:val="00231EF3"/>
    <w:rsid w:val="0023209F"/>
    <w:rsid w:val="002321DF"/>
    <w:rsid w:val="0023229C"/>
    <w:rsid w:val="002324BE"/>
    <w:rsid w:val="002325C9"/>
    <w:rsid w:val="002326E3"/>
    <w:rsid w:val="002327E3"/>
    <w:rsid w:val="00233C01"/>
    <w:rsid w:val="00233CCF"/>
    <w:rsid w:val="00233EB3"/>
    <w:rsid w:val="00233F6A"/>
    <w:rsid w:val="0023413C"/>
    <w:rsid w:val="0023441D"/>
    <w:rsid w:val="002344E0"/>
    <w:rsid w:val="00234546"/>
    <w:rsid w:val="002346F0"/>
    <w:rsid w:val="0023491D"/>
    <w:rsid w:val="00234A3F"/>
    <w:rsid w:val="00235178"/>
    <w:rsid w:val="0023574B"/>
    <w:rsid w:val="0023583A"/>
    <w:rsid w:val="002358D6"/>
    <w:rsid w:val="00235B87"/>
    <w:rsid w:val="00235F96"/>
    <w:rsid w:val="00236130"/>
    <w:rsid w:val="0023613A"/>
    <w:rsid w:val="0023629D"/>
    <w:rsid w:val="00236575"/>
    <w:rsid w:val="0023659D"/>
    <w:rsid w:val="00236959"/>
    <w:rsid w:val="00236BEB"/>
    <w:rsid w:val="00237255"/>
    <w:rsid w:val="0023784C"/>
    <w:rsid w:val="00240038"/>
    <w:rsid w:val="002400EE"/>
    <w:rsid w:val="00240351"/>
    <w:rsid w:val="002407DA"/>
    <w:rsid w:val="00240AC4"/>
    <w:rsid w:val="00240BE1"/>
    <w:rsid w:val="00240E3B"/>
    <w:rsid w:val="0024163D"/>
    <w:rsid w:val="00241949"/>
    <w:rsid w:val="00241F19"/>
    <w:rsid w:val="00242087"/>
    <w:rsid w:val="002424AF"/>
    <w:rsid w:val="00242540"/>
    <w:rsid w:val="0024271C"/>
    <w:rsid w:val="00242AD6"/>
    <w:rsid w:val="00242BE1"/>
    <w:rsid w:val="00242FB0"/>
    <w:rsid w:val="00243113"/>
    <w:rsid w:val="002432F7"/>
    <w:rsid w:val="00243443"/>
    <w:rsid w:val="002435B3"/>
    <w:rsid w:val="002438FA"/>
    <w:rsid w:val="002439DC"/>
    <w:rsid w:val="00243A65"/>
    <w:rsid w:val="00243CE3"/>
    <w:rsid w:val="002441D2"/>
    <w:rsid w:val="00244256"/>
    <w:rsid w:val="00244466"/>
    <w:rsid w:val="0024497A"/>
    <w:rsid w:val="00244A23"/>
    <w:rsid w:val="00244B96"/>
    <w:rsid w:val="00244DC8"/>
    <w:rsid w:val="00244EF0"/>
    <w:rsid w:val="00245081"/>
    <w:rsid w:val="002458BA"/>
    <w:rsid w:val="00245B39"/>
    <w:rsid w:val="00245B89"/>
    <w:rsid w:val="00245B95"/>
    <w:rsid w:val="00245CE9"/>
    <w:rsid w:val="002462E5"/>
    <w:rsid w:val="0024636C"/>
    <w:rsid w:val="00246598"/>
    <w:rsid w:val="00246817"/>
    <w:rsid w:val="002469D7"/>
    <w:rsid w:val="00246C68"/>
    <w:rsid w:val="00246D44"/>
    <w:rsid w:val="00246E57"/>
    <w:rsid w:val="002470C2"/>
    <w:rsid w:val="002470C7"/>
    <w:rsid w:val="0024738F"/>
    <w:rsid w:val="00247627"/>
    <w:rsid w:val="00247857"/>
    <w:rsid w:val="00247925"/>
    <w:rsid w:val="00247968"/>
    <w:rsid w:val="00250541"/>
    <w:rsid w:val="00250549"/>
    <w:rsid w:val="00250740"/>
    <w:rsid w:val="00250CE8"/>
    <w:rsid w:val="00251006"/>
    <w:rsid w:val="00251044"/>
    <w:rsid w:val="00251334"/>
    <w:rsid w:val="002514E6"/>
    <w:rsid w:val="002516BB"/>
    <w:rsid w:val="00251E27"/>
    <w:rsid w:val="0025202E"/>
    <w:rsid w:val="002524D5"/>
    <w:rsid w:val="0025269D"/>
    <w:rsid w:val="0025283A"/>
    <w:rsid w:val="002534A1"/>
    <w:rsid w:val="00253585"/>
    <w:rsid w:val="00253848"/>
    <w:rsid w:val="0025394D"/>
    <w:rsid w:val="00253B1D"/>
    <w:rsid w:val="00254296"/>
    <w:rsid w:val="0025447B"/>
    <w:rsid w:val="002544D3"/>
    <w:rsid w:val="00254577"/>
    <w:rsid w:val="00254A76"/>
    <w:rsid w:val="00254B6B"/>
    <w:rsid w:val="00254DCF"/>
    <w:rsid w:val="00254E70"/>
    <w:rsid w:val="0025534B"/>
    <w:rsid w:val="0025541C"/>
    <w:rsid w:val="00255494"/>
    <w:rsid w:val="00255756"/>
    <w:rsid w:val="00255880"/>
    <w:rsid w:val="0025596B"/>
    <w:rsid w:val="00255BB7"/>
    <w:rsid w:val="00255CE2"/>
    <w:rsid w:val="00255FA3"/>
    <w:rsid w:val="00256376"/>
    <w:rsid w:val="002566D9"/>
    <w:rsid w:val="002566F5"/>
    <w:rsid w:val="00256BA5"/>
    <w:rsid w:val="00256BE4"/>
    <w:rsid w:val="00256CB1"/>
    <w:rsid w:val="002571A3"/>
    <w:rsid w:val="0025740A"/>
    <w:rsid w:val="00257541"/>
    <w:rsid w:val="00257864"/>
    <w:rsid w:val="002578E2"/>
    <w:rsid w:val="0025790F"/>
    <w:rsid w:val="00257A39"/>
    <w:rsid w:val="00257AC4"/>
    <w:rsid w:val="00257CF6"/>
    <w:rsid w:val="00257FD5"/>
    <w:rsid w:val="002601A5"/>
    <w:rsid w:val="0026022A"/>
    <w:rsid w:val="0026030B"/>
    <w:rsid w:val="002604A5"/>
    <w:rsid w:val="002604AC"/>
    <w:rsid w:val="00260764"/>
    <w:rsid w:val="00260774"/>
    <w:rsid w:val="00260AE0"/>
    <w:rsid w:val="00260C30"/>
    <w:rsid w:val="00260CFC"/>
    <w:rsid w:val="00260D08"/>
    <w:rsid w:val="00261207"/>
    <w:rsid w:val="00261441"/>
    <w:rsid w:val="00261584"/>
    <w:rsid w:val="002618E7"/>
    <w:rsid w:val="00261A24"/>
    <w:rsid w:val="00261A69"/>
    <w:rsid w:val="00261ABE"/>
    <w:rsid w:val="00261C42"/>
    <w:rsid w:val="00261D4D"/>
    <w:rsid w:val="00261DAA"/>
    <w:rsid w:val="00261EEF"/>
    <w:rsid w:val="00262260"/>
    <w:rsid w:val="00262A1A"/>
    <w:rsid w:val="00262A87"/>
    <w:rsid w:val="00262FA2"/>
    <w:rsid w:val="0026304D"/>
    <w:rsid w:val="00263118"/>
    <w:rsid w:val="00263494"/>
    <w:rsid w:val="0026385A"/>
    <w:rsid w:val="00263995"/>
    <w:rsid w:val="00263C6E"/>
    <w:rsid w:val="00264223"/>
    <w:rsid w:val="00264447"/>
    <w:rsid w:val="002645B6"/>
    <w:rsid w:val="002647B0"/>
    <w:rsid w:val="00264D26"/>
    <w:rsid w:val="002651C7"/>
    <w:rsid w:val="00265BA8"/>
    <w:rsid w:val="00265F7E"/>
    <w:rsid w:val="002661E3"/>
    <w:rsid w:val="00266242"/>
    <w:rsid w:val="0026639C"/>
    <w:rsid w:val="00266DF9"/>
    <w:rsid w:val="00267642"/>
    <w:rsid w:val="00267956"/>
    <w:rsid w:val="00267A39"/>
    <w:rsid w:val="00267AEA"/>
    <w:rsid w:val="002700E6"/>
    <w:rsid w:val="0027031C"/>
    <w:rsid w:val="002703CA"/>
    <w:rsid w:val="0027063E"/>
    <w:rsid w:val="00270CB9"/>
    <w:rsid w:val="00270D4B"/>
    <w:rsid w:val="00270E42"/>
    <w:rsid w:val="002710C6"/>
    <w:rsid w:val="002713FE"/>
    <w:rsid w:val="00271D3C"/>
    <w:rsid w:val="00272264"/>
    <w:rsid w:val="002725B4"/>
    <w:rsid w:val="00272764"/>
    <w:rsid w:val="002728F4"/>
    <w:rsid w:val="0027294B"/>
    <w:rsid w:val="00272B86"/>
    <w:rsid w:val="00272C96"/>
    <w:rsid w:val="00272D72"/>
    <w:rsid w:val="0027307A"/>
    <w:rsid w:val="0027311C"/>
    <w:rsid w:val="0027337C"/>
    <w:rsid w:val="00273738"/>
    <w:rsid w:val="0027395D"/>
    <w:rsid w:val="00273E4D"/>
    <w:rsid w:val="00273EB4"/>
    <w:rsid w:val="00274562"/>
    <w:rsid w:val="0027467B"/>
    <w:rsid w:val="00274682"/>
    <w:rsid w:val="00274693"/>
    <w:rsid w:val="00274858"/>
    <w:rsid w:val="00274934"/>
    <w:rsid w:val="00274CF3"/>
    <w:rsid w:val="00274EA2"/>
    <w:rsid w:val="00275384"/>
    <w:rsid w:val="00275599"/>
    <w:rsid w:val="00275671"/>
    <w:rsid w:val="002759EA"/>
    <w:rsid w:val="00275A4E"/>
    <w:rsid w:val="00275BD5"/>
    <w:rsid w:val="00275C5A"/>
    <w:rsid w:val="00275D16"/>
    <w:rsid w:val="00276017"/>
    <w:rsid w:val="00276104"/>
    <w:rsid w:val="00276672"/>
    <w:rsid w:val="002767E4"/>
    <w:rsid w:val="002769AA"/>
    <w:rsid w:val="00276A5E"/>
    <w:rsid w:val="00276EA5"/>
    <w:rsid w:val="00276ED6"/>
    <w:rsid w:val="00276F15"/>
    <w:rsid w:val="00277443"/>
    <w:rsid w:val="002777EE"/>
    <w:rsid w:val="00277857"/>
    <w:rsid w:val="00277859"/>
    <w:rsid w:val="00277D3F"/>
    <w:rsid w:val="00277F83"/>
    <w:rsid w:val="002805CE"/>
    <w:rsid w:val="00280646"/>
    <w:rsid w:val="002806C5"/>
    <w:rsid w:val="002806F4"/>
    <w:rsid w:val="0028075A"/>
    <w:rsid w:val="0028085E"/>
    <w:rsid w:val="0028095B"/>
    <w:rsid w:val="00280ECD"/>
    <w:rsid w:val="00281014"/>
    <w:rsid w:val="002810A1"/>
    <w:rsid w:val="00281215"/>
    <w:rsid w:val="00281258"/>
    <w:rsid w:val="00281506"/>
    <w:rsid w:val="00281589"/>
    <w:rsid w:val="00281641"/>
    <w:rsid w:val="00281870"/>
    <w:rsid w:val="00281C5F"/>
    <w:rsid w:val="00281DEF"/>
    <w:rsid w:val="00281E90"/>
    <w:rsid w:val="00282295"/>
    <w:rsid w:val="00282374"/>
    <w:rsid w:val="00282466"/>
    <w:rsid w:val="00282701"/>
    <w:rsid w:val="0028298C"/>
    <w:rsid w:val="00282CFD"/>
    <w:rsid w:val="0028316E"/>
    <w:rsid w:val="002837D7"/>
    <w:rsid w:val="002837E7"/>
    <w:rsid w:val="0028381E"/>
    <w:rsid w:val="0028388C"/>
    <w:rsid w:val="00283B8E"/>
    <w:rsid w:val="00283F63"/>
    <w:rsid w:val="002841E8"/>
    <w:rsid w:val="0028446A"/>
    <w:rsid w:val="00284526"/>
    <w:rsid w:val="00284690"/>
    <w:rsid w:val="0028486D"/>
    <w:rsid w:val="00284A41"/>
    <w:rsid w:val="00284CBC"/>
    <w:rsid w:val="00284D1D"/>
    <w:rsid w:val="00284E71"/>
    <w:rsid w:val="00284EAC"/>
    <w:rsid w:val="00285052"/>
    <w:rsid w:val="00285678"/>
    <w:rsid w:val="002859B6"/>
    <w:rsid w:val="00285F2E"/>
    <w:rsid w:val="0028608E"/>
    <w:rsid w:val="0028616E"/>
    <w:rsid w:val="00286175"/>
    <w:rsid w:val="002861E7"/>
    <w:rsid w:val="00286220"/>
    <w:rsid w:val="002862FC"/>
    <w:rsid w:val="0028652E"/>
    <w:rsid w:val="0028665D"/>
    <w:rsid w:val="002867DB"/>
    <w:rsid w:val="0028703A"/>
    <w:rsid w:val="002873AE"/>
    <w:rsid w:val="0028752B"/>
    <w:rsid w:val="002878A0"/>
    <w:rsid w:val="002878FF"/>
    <w:rsid w:val="00287B70"/>
    <w:rsid w:val="00287B85"/>
    <w:rsid w:val="00287D85"/>
    <w:rsid w:val="002901C5"/>
    <w:rsid w:val="002902FD"/>
    <w:rsid w:val="002904BA"/>
    <w:rsid w:val="002904DF"/>
    <w:rsid w:val="002905B6"/>
    <w:rsid w:val="00290A44"/>
    <w:rsid w:val="00290A47"/>
    <w:rsid w:val="002913DC"/>
    <w:rsid w:val="00291414"/>
    <w:rsid w:val="002914DE"/>
    <w:rsid w:val="00291961"/>
    <w:rsid w:val="002919AE"/>
    <w:rsid w:val="00291E41"/>
    <w:rsid w:val="00292294"/>
    <w:rsid w:val="002924BC"/>
    <w:rsid w:val="0029277E"/>
    <w:rsid w:val="00292AEE"/>
    <w:rsid w:val="00292FF6"/>
    <w:rsid w:val="002931B4"/>
    <w:rsid w:val="002937AD"/>
    <w:rsid w:val="0029381D"/>
    <w:rsid w:val="00293855"/>
    <w:rsid w:val="002938CC"/>
    <w:rsid w:val="0029391E"/>
    <w:rsid w:val="00293F7C"/>
    <w:rsid w:val="00293FDD"/>
    <w:rsid w:val="0029402D"/>
    <w:rsid w:val="00294085"/>
    <w:rsid w:val="00294175"/>
    <w:rsid w:val="002943B5"/>
    <w:rsid w:val="002944CC"/>
    <w:rsid w:val="002946FB"/>
    <w:rsid w:val="002948E4"/>
    <w:rsid w:val="002949DD"/>
    <w:rsid w:val="00294F96"/>
    <w:rsid w:val="002956D1"/>
    <w:rsid w:val="00295766"/>
    <w:rsid w:val="0029576E"/>
    <w:rsid w:val="00295B5D"/>
    <w:rsid w:val="00295FD7"/>
    <w:rsid w:val="002960AF"/>
    <w:rsid w:val="002960FA"/>
    <w:rsid w:val="002965B5"/>
    <w:rsid w:val="00296FF0"/>
    <w:rsid w:val="00297DF4"/>
    <w:rsid w:val="002A01EC"/>
    <w:rsid w:val="002A04C6"/>
    <w:rsid w:val="002A071C"/>
    <w:rsid w:val="002A0732"/>
    <w:rsid w:val="002A0ABA"/>
    <w:rsid w:val="002A0ED8"/>
    <w:rsid w:val="002A1460"/>
    <w:rsid w:val="002A14AB"/>
    <w:rsid w:val="002A1AC9"/>
    <w:rsid w:val="002A1BB9"/>
    <w:rsid w:val="002A1FAD"/>
    <w:rsid w:val="002A25FD"/>
    <w:rsid w:val="002A2607"/>
    <w:rsid w:val="002A2615"/>
    <w:rsid w:val="002A291C"/>
    <w:rsid w:val="002A2ADE"/>
    <w:rsid w:val="002A2AE4"/>
    <w:rsid w:val="002A2B41"/>
    <w:rsid w:val="002A2CBC"/>
    <w:rsid w:val="002A2F50"/>
    <w:rsid w:val="002A2F85"/>
    <w:rsid w:val="002A3957"/>
    <w:rsid w:val="002A3E31"/>
    <w:rsid w:val="002A4349"/>
    <w:rsid w:val="002A44BD"/>
    <w:rsid w:val="002A4533"/>
    <w:rsid w:val="002A455D"/>
    <w:rsid w:val="002A45FF"/>
    <w:rsid w:val="002A46A6"/>
    <w:rsid w:val="002A4919"/>
    <w:rsid w:val="002A491E"/>
    <w:rsid w:val="002A4ACC"/>
    <w:rsid w:val="002A4BFF"/>
    <w:rsid w:val="002A4CBF"/>
    <w:rsid w:val="002A4D0C"/>
    <w:rsid w:val="002A4F2A"/>
    <w:rsid w:val="002A4FC7"/>
    <w:rsid w:val="002A503D"/>
    <w:rsid w:val="002A568F"/>
    <w:rsid w:val="002A5B92"/>
    <w:rsid w:val="002A5DA3"/>
    <w:rsid w:val="002A5E74"/>
    <w:rsid w:val="002A63C6"/>
    <w:rsid w:val="002A646B"/>
    <w:rsid w:val="002A7367"/>
    <w:rsid w:val="002A75A1"/>
    <w:rsid w:val="002A78A5"/>
    <w:rsid w:val="002A79CB"/>
    <w:rsid w:val="002A7D94"/>
    <w:rsid w:val="002A7FAA"/>
    <w:rsid w:val="002B011F"/>
    <w:rsid w:val="002B0310"/>
    <w:rsid w:val="002B0315"/>
    <w:rsid w:val="002B0437"/>
    <w:rsid w:val="002B05A1"/>
    <w:rsid w:val="002B0675"/>
    <w:rsid w:val="002B06AF"/>
    <w:rsid w:val="002B09A4"/>
    <w:rsid w:val="002B0E39"/>
    <w:rsid w:val="002B0EC2"/>
    <w:rsid w:val="002B0F0D"/>
    <w:rsid w:val="002B113A"/>
    <w:rsid w:val="002B1879"/>
    <w:rsid w:val="002B1900"/>
    <w:rsid w:val="002B1C1F"/>
    <w:rsid w:val="002B1C8D"/>
    <w:rsid w:val="002B1FF4"/>
    <w:rsid w:val="002B259D"/>
    <w:rsid w:val="002B26AA"/>
    <w:rsid w:val="002B287D"/>
    <w:rsid w:val="002B2978"/>
    <w:rsid w:val="002B302E"/>
    <w:rsid w:val="002B31BE"/>
    <w:rsid w:val="002B31D4"/>
    <w:rsid w:val="002B333A"/>
    <w:rsid w:val="002B3581"/>
    <w:rsid w:val="002B377E"/>
    <w:rsid w:val="002B39A9"/>
    <w:rsid w:val="002B3A6B"/>
    <w:rsid w:val="002B3D85"/>
    <w:rsid w:val="002B4181"/>
    <w:rsid w:val="002B423C"/>
    <w:rsid w:val="002B432F"/>
    <w:rsid w:val="002B4700"/>
    <w:rsid w:val="002B4827"/>
    <w:rsid w:val="002B4961"/>
    <w:rsid w:val="002B531C"/>
    <w:rsid w:val="002B5326"/>
    <w:rsid w:val="002B555E"/>
    <w:rsid w:val="002B5C3F"/>
    <w:rsid w:val="002B5C72"/>
    <w:rsid w:val="002B5DAC"/>
    <w:rsid w:val="002B61CF"/>
    <w:rsid w:val="002B62B3"/>
    <w:rsid w:val="002B632D"/>
    <w:rsid w:val="002B6754"/>
    <w:rsid w:val="002B68DE"/>
    <w:rsid w:val="002B6AA2"/>
    <w:rsid w:val="002B6AB1"/>
    <w:rsid w:val="002B6BBA"/>
    <w:rsid w:val="002B6CCE"/>
    <w:rsid w:val="002B6D56"/>
    <w:rsid w:val="002B7567"/>
    <w:rsid w:val="002B7689"/>
    <w:rsid w:val="002B783F"/>
    <w:rsid w:val="002B7EB0"/>
    <w:rsid w:val="002C0177"/>
    <w:rsid w:val="002C02B8"/>
    <w:rsid w:val="002C0740"/>
    <w:rsid w:val="002C07F2"/>
    <w:rsid w:val="002C08CF"/>
    <w:rsid w:val="002C0C6E"/>
    <w:rsid w:val="002C12CD"/>
    <w:rsid w:val="002C1431"/>
    <w:rsid w:val="002C2259"/>
    <w:rsid w:val="002C231C"/>
    <w:rsid w:val="002C2510"/>
    <w:rsid w:val="002C2597"/>
    <w:rsid w:val="002C2775"/>
    <w:rsid w:val="002C27C1"/>
    <w:rsid w:val="002C2909"/>
    <w:rsid w:val="002C2B3A"/>
    <w:rsid w:val="002C2B6D"/>
    <w:rsid w:val="002C2D5A"/>
    <w:rsid w:val="002C2D83"/>
    <w:rsid w:val="002C2E3D"/>
    <w:rsid w:val="002C2F79"/>
    <w:rsid w:val="002C31E3"/>
    <w:rsid w:val="002C33D2"/>
    <w:rsid w:val="002C36C7"/>
    <w:rsid w:val="002C39BC"/>
    <w:rsid w:val="002C3B12"/>
    <w:rsid w:val="002C3B35"/>
    <w:rsid w:val="002C3E5B"/>
    <w:rsid w:val="002C405F"/>
    <w:rsid w:val="002C4521"/>
    <w:rsid w:val="002C4A28"/>
    <w:rsid w:val="002C4A64"/>
    <w:rsid w:val="002C4A67"/>
    <w:rsid w:val="002C4AAF"/>
    <w:rsid w:val="002C4CE2"/>
    <w:rsid w:val="002C5099"/>
    <w:rsid w:val="002C5102"/>
    <w:rsid w:val="002C52E0"/>
    <w:rsid w:val="002C57AF"/>
    <w:rsid w:val="002C5889"/>
    <w:rsid w:val="002C58AF"/>
    <w:rsid w:val="002C58FB"/>
    <w:rsid w:val="002C5DE7"/>
    <w:rsid w:val="002C5E24"/>
    <w:rsid w:val="002C5F01"/>
    <w:rsid w:val="002C6282"/>
    <w:rsid w:val="002C66D8"/>
    <w:rsid w:val="002C6D65"/>
    <w:rsid w:val="002C71CE"/>
    <w:rsid w:val="002C72DF"/>
    <w:rsid w:val="002C7382"/>
    <w:rsid w:val="002C74E5"/>
    <w:rsid w:val="002C7585"/>
    <w:rsid w:val="002C75C9"/>
    <w:rsid w:val="002C75E2"/>
    <w:rsid w:val="002C76C3"/>
    <w:rsid w:val="002C771B"/>
    <w:rsid w:val="002D00E9"/>
    <w:rsid w:val="002D022B"/>
    <w:rsid w:val="002D02BC"/>
    <w:rsid w:val="002D034C"/>
    <w:rsid w:val="002D0442"/>
    <w:rsid w:val="002D08F8"/>
    <w:rsid w:val="002D0A4D"/>
    <w:rsid w:val="002D0E76"/>
    <w:rsid w:val="002D0FA6"/>
    <w:rsid w:val="002D0FD8"/>
    <w:rsid w:val="002D1171"/>
    <w:rsid w:val="002D1382"/>
    <w:rsid w:val="002D1685"/>
    <w:rsid w:val="002D20C5"/>
    <w:rsid w:val="002D2599"/>
    <w:rsid w:val="002D26D9"/>
    <w:rsid w:val="002D26F5"/>
    <w:rsid w:val="002D2856"/>
    <w:rsid w:val="002D28CF"/>
    <w:rsid w:val="002D2B77"/>
    <w:rsid w:val="002D2BBF"/>
    <w:rsid w:val="002D301D"/>
    <w:rsid w:val="002D30EA"/>
    <w:rsid w:val="002D30FF"/>
    <w:rsid w:val="002D3D6B"/>
    <w:rsid w:val="002D3DD0"/>
    <w:rsid w:val="002D4158"/>
    <w:rsid w:val="002D46D4"/>
    <w:rsid w:val="002D47D6"/>
    <w:rsid w:val="002D4937"/>
    <w:rsid w:val="002D4B2B"/>
    <w:rsid w:val="002D4F6F"/>
    <w:rsid w:val="002D5195"/>
    <w:rsid w:val="002D526D"/>
    <w:rsid w:val="002D52AE"/>
    <w:rsid w:val="002D577C"/>
    <w:rsid w:val="002D5E61"/>
    <w:rsid w:val="002D6372"/>
    <w:rsid w:val="002D691E"/>
    <w:rsid w:val="002D6964"/>
    <w:rsid w:val="002D6A70"/>
    <w:rsid w:val="002D6E95"/>
    <w:rsid w:val="002D7044"/>
    <w:rsid w:val="002D714E"/>
    <w:rsid w:val="002D7192"/>
    <w:rsid w:val="002D7402"/>
    <w:rsid w:val="002D7426"/>
    <w:rsid w:val="002D7C55"/>
    <w:rsid w:val="002D7E6A"/>
    <w:rsid w:val="002E001C"/>
    <w:rsid w:val="002E01B2"/>
    <w:rsid w:val="002E0795"/>
    <w:rsid w:val="002E09AA"/>
    <w:rsid w:val="002E0B0F"/>
    <w:rsid w:val="002E0E22"/>
    <w:rsid w:val="002E1071"/>
    <w:rsid w:val="002E1171"/>
    <w:rsid w:val="002E1438"/>
    <w:rsid w:val="002E15B9"/>
    <w:rsid w:val="002E168B"/>
    <w:rsid w:val="002E19D3"/>
    <w:rsid w:val="002E1B19"/>
    <w:rsid w:val="002E1C2F"/>
    <w:rsid w:val="002E2158"/>
    <w:rsid w:val="002E2277"/>
    <w:rsid w:val="002E2377"/>
    <w:rsid w:val="002E2656"/>
    <w:rsid w:val="002E2812"/>
    <w:rsid w:val="002E2861"/>
    <w:rsid w:val="002E2AF1"/>
    <w:rsid w:val="002E2C8A"/>
    <w:rsid w:val="002E2DAB"/>
    <w:rsid w:val="002E2F4B"/>
    <w:rsid w:val="002E2F6B"/>
    <w:rsid w:val="002E3236"/>
    <w:rsid w:val="002E3264"/>
    <w:rsid w:val="002E35E1"/>
    <w:rsid w:val="002E3C63"/>
    <w:rsid w:val="002E3CC5"/>
    <w:rsid w:val="002E3E6C"/>
    <w:rsid w:val="002E3E74"/>
    <w:rsid w:val="002E415E"/>
    <w:rsid w:val="002E4F02"/>
    <w:rsid w:val="002E4FE9"/>
    <w:rsid w:val="002E501B"/>
    <w:rsid w:val="002E55FF"/>
    <w:rsid w:val="002E5A23"/>
    <w:rsid w:val="002E5A67"/>
    <w:rsid w:val="002E649C"/>
    <w:rsid w:val="002E66D3"/>
    <w:rsid w:val="002E6885"/>
    <w:rsid w:val="002E69C7"/>
    <w:rsid w:val="002E6A81"/>
    <w:rsid w:val="002E6EFA"/>
    <w:rsid w:val="002E7039"/>
    <w:rsid w:val="002E70DE"/>
    <w:rsid w:val="002E75D2"/>
    <w:rsid w:val="002E7637"/>
    <w:rsid w:val="002E7722"/>
    <w:rsid w:val="002E79B0"/>
    <w:rsid w:val="002E7C15"/>
    <w:rsid w:val="002E7D73"/>
    <w:rsid w:val="002E7FFC"/>
    <w:rsid w:val="002F005B"/>
    <w:rsid w:val="002F029A"/>
    <w:rsid w:val="002F0682"/>
    <w:rsid w:val="002F0785"/>
    <w:rsid w:val="002F07BA"/>
    <w:rsid w:val="002F088D"/>
    <w:rsid w:val="002F0BE1"/>
    <w:rsid w:val="002F0DA9"/>
    <w:rsid w:val="002F1014"/>
    <w:rsid w:val="002F1A55"/>
    <w:rsid w:val="002F1A56"/>
    <w:rsid w:val="002F1D0C"/>
    <w:rsid w:val="002F1FFA"/>
    <w:rsid w:val="002F2122"/>
    <w:rsid w:val="002F2345"/>
    <w:rsid w:val="002F29C9"/>
    <w:rsid w:val="002F2AFE"/>
    <w:rsid w:val="002F2C7C"/>
    <w:rsid w:val="002F32C5"/>
    <w:rsid w:val="002F3603"/>
    <w:rsid w:val="002F39D1"/>
    <w:rsid w:val="002F3A5F"/>
    <w:rsid w:val="002F3B8F"/>
    <w:rsid w:val="002F3CC2"/>
    <w:rsid w:val="002F41B5"/>
    <w:rsid w:val="002F422A"/>
    <w:rsid w:val="002F440F"/>
    <w:rsid w:val="002F4473"/>
    <w:rsid w:val="002F4539"/>
    <w:rsid w:val="002F454C"/>
    <w:rsid w:val="002F465D"/>
    <w:rsid w:val="002F4A4B"/>
    <w:rsid w:val="002F4B08"/>
    <w:rsid w:val="002F4C0F"/>
    <w:rsid w:val="002F4FA5"/>
    <w:rsid w:val="002F5163"/>
    <w:rsid w:val="002F518E"/>
    <w:rsid w:val="002F5291"/>
    <w:rsid w:val="002F5C85"/>
    <w:rsid w:val="002F6121"/>
    <w:rsid w:val="002F6319"/>
    <w:rsid w:val="002F6413"/>
    <w:rsid w:val="002F643C"/>
    <w:rsid w:val="002F6540"/>
    <w:rsid w:val="002F668E"/>
    <w:rsid w:val="002F675E"/>
    <w:rsid w:val="002F6948"/>
    <w:rsid w:val="002F6FFD"/>
    <w:rsid w:val="002F71C0"/>
    <w:rsid w:val="002F7456"/>
    <w:rsid w:val="002F74F1"/>
    <w:rsid w:val="002F79F5"/>
    <w:rsid w:val="002F7CB6"/>
    <w:rsid w:val="002F7EDF"/>
    <w:rsid w:val="003000C2"/>
    <w:rsid w:val="003002EF"/>
    <w:rsid w:val="003005D8"/>
    <w:rsid w:val="00300D19"/>
    <w:rsid w:val="00300E1A"/>
    <w:rsid w:val="00301017"/>
    <w:rsid w:val="00301208"/>
    <w:rsid w:val="003012B5"/>
    <w:rsid w:val="003012DA"/>
    <w:rsid w:val="0030155F"/>
    <w:rsid w:val="003018AF"/>
    <w:rsid w:val="00301D6C"/>
    <w:rsid w:val="00301EC8"/>
    <w:rsid w:val="003020DF"/>
    <w:rsid w:val="003025FE"/>
    <w:rsid w:val="003028B2"/>
    <w:rsid w:val="00302A6A"/>
    <w:rsid w:val="00302D1D"/>
    <w:rsid w:val="00303051"/>
    <w:rsid w:val="00303513"/>
    <w:rsid w:val="00303AF1"/>
    <w:rsid w:val="00303EB6"/>
    <w:rsid w:val="00303FFB"/>
    <w:rsid w:val="003040B8"/>
    <w:rsid w:val="003040E0"/>
    <w:rsid w:val="00304213"/>
    <w:rsid w:val="00304553"/>
    <w:rsid w:val="003046AB"/>
    <w:rsid w:val="003049BE"/>
    <w:rsid w:val="00304C54"/>
    <w:rsid w:val="0030511C"/>
    <w:rsid w:val="0030533B"/>
    <w:rsid w:val="00305592"/>
    <w:rsid w:val="0030587B"/>
    <w:rsid w:val="00305D8A"/>
    <w:rsid w:val="00305E6C"/>
    <w:rsid w:val="0030633C"/>
    <w:rsid w:val="0030695B"/>
    <w:rsid w:val="00306AC1"/>
    <w:rsid w:val="00306AD4"/>
    <w:rsid w:val="00306CBC"/>
    <w:rsid w:val="00306D98"/>
    <w:rsid w:val="00306EA2"/>
    <w:rsid w:val="00306FDC"/>
    <w:rsid w:val="00307541"/>
    <w:rsid w:val="003075AC"/>
    <w:rsid w:val="0030786C"/>
    <w:rsid w:val="00307F28"/>
    <w:rsid w:val="003100E2"/>
    <w:rsid w:val="00310293"/>
    <w:rsid w:val="0031031A"/>
    <w:rsid w:val="00310710"/>
    <w:rsid w:val="0031071B"/>
    <w:rsid w:val="00310848"/>
    <w:rsid w:val="00310981"/>
    <w:rsid w:val="00311045"/>
    <w:rsid w:val="003113ED"/>
    <w:rsid w:val="00311763"/>
    <w:rsid w:val="00311985"/>
    <w:rsid w:val="00311AE2"/>
    <w:rsid w:val="00311B54"/>
    <w:rsid w:val="00311C72"/>
    <w:rsid w:val="00312365"/>
    <w:rsid w:val="00312415"/>
    <w:rsid w:val="003124D9"/>
    <w:rsid w:val="00312515"/>
    <w:rsid w:val="00312594"/>
    <w:rsid w:val="003127AC"/>
    <w:rsid w:val="003127FF"/>
    <w:rsid w:val="00312845"/>
    <w:rsid w:val="0031298C"/>
    <w:rsid w:val="00312A8C"/>
    <w:rsid w:val="00312DFB"/>
    <w:rsid w:val="00312F90"/>
    <w:rsid w:val="00313241"/>
    <w:rsid w:val="00313693"/>
    <w:rsid w:val="0031377D"/>
    <w:rsid w:val="00313929"/>
    <w:rsid w:val="00313BAE"/>
    <w:rsid w:val="00314045"/>
    <w:rsid w:val="0031415E"/>
    <w:rsid w:val="0031416D"/>
    <w:rsid w:val="003146EE"/>
    <w:rsid w:val="003148F4"/>
    <w:rsid w:val="00314A9E"/>
    <w:rsid w:val="00314E41"/>
    <w:rsid w:val="00314EB8"/>
    <w:rsid w:val="003150FB"/>
    <w:rsid w:val="00315498"/>
    <w:rsid w:val="00315775"/>
    <w:rsid w:val="00315B53"/>
    <w:rsid w:val="00315CA7"/>
    <w:rsid w:val="00315D6E"/>
    <w:rsid w:val="00315EAB"/>
    <w:rsid w:val="00316345"/>
    <w:rsid w:val="00316474"/>
    <w:rsid w:val="00316BFC"/>
    <w:rsid w:val="003170BB"/>
    <w:rsid w:val="003175D4"/>
    <w:rsid w:val="00317D42"/>
    <w:rsid w:val="00317F47"/>
    <w:rsid w:val="003203DF"/>
    <w:rsid w:val="00320533"/>
    <w:rsid w:val="00320712"/>
    <w:rsid w:val="003208E0"/>
    <w:rsid w:val="00320A44"/>
    <w:rsid w:val="00320F07"/>
    <w:rsid w:val="0032120B"/>
    <w:rsid w:val="00321271"/>
    <w:rsid w:val="0032155A"/>
    <w:rsid w:val="00321878"/>
    <w:rsid w:val="00322107"/>
    <w:rsid w:val="00322355"/>
    <w:rsid w:val="00322846"/>
    <w:rsid w:val="00322B6B"/>
    <w:rsid w:val="00322C1A"/>
    <w:rsid w:val="00322FA5"/>
    <w:rsid w:val="0032309F"/>
    <w:rsid w:val="003232FC"/>
    <w:rsid w:val="003234A5"/>
    <w:rsid w:val="00323815"/>
    <w:rsid w:val="003238E7"/>
    <w:rsid w:val="00323E2B"/>
    <w:rsid w:val="003242D1"/>
    <w:rsid w:val="00324333"/>
    <w:rsid w:val="0032486A"/>
    <w:rsid w:val="00324D28"/>
    <w:rsid w:val="003250E0"/>
    <w:rsid w:val="003250ED"/>
    <w:rsid w:val="003252F4"/>
    <w:rsid w:val="003256EE"/>
    <w:rsid w:val="003258EE"/>
    <w:rsid w:val="00325A59"/>
    <w:rsid w:val="00325C79"/>
    <w:rsid w:val="00326558"/>
    <w:rsid w:val="003267DD"/>
    <w:rsid w:val="00326DA7"/>
    <w:rsid w:val="00326DC0"/>
    <w:rsid w:val="003270E4"/>
    <w:rsid w:val="00327427"/>
    <w:rsid w:val="00327C27"/>
    <w:rsid w:val="00327C56"/>
    <w:rsid w:val="003301FF"/>
    <w:rsid w:val="00330520"/>
    <w:rsid w:val="00330524"/>
    <w:rsid w:val="003309C0"/>
    <w:rsid w:val="00330CE4"/>
    <w:rsid w:val="00330D1B"/>
    <w:rsid w:val="00330DAA"/>
    <w:rsid w:val="00330EEE"/>
    <w:rsid w:val="00330F5C"/>
    <w:rsid w:val="003311C1"/>
    <w:rsid w:val="0033143E"/>
    <w:rsid w:val="00331623"/>
    <w:rsid w:val="00331998"/>
    <w:rsid w:val="00331A64"/>
    <w:rsid w:val="00331DE5"/>
    <w:rsid w:val="00331E2C"/>
    <w:rsid w:val="00331F17"/>
    <w:rsid w:val="0033204C"/>
    <w:rsid w:val="00332220"/>
    <w:rsid w:val="003322A4"/>
    <w:rsid w:val="003326F7"/>
    <w:rsid w:val="00332984"/>
    <w:rsid w:val="00332AE8"/>
    <w:rsid w:val="00332DCA"/>
    <w:rsid w:val="003333B7"/>
    <w:rsid w:val="0033345E"/>
    <w:rsid w:val="0033386D"/>
    <w:rsid w:val="003341B5"/>
    <w:rsid w:val="003342E3"/>
    <w:rsid w:val="0033463F"/>
    <w:rsid w:val="00334671"/>
    <w:rsid w:val="003347AD"/>
    <w:rsid w:val="00334808"/>
    <w:rsid w:val="00334A3C"/>
    <w:rsid w:val="00334C6D"/>
    <w:rsid w:val="00334C6F"/>
    <w:rsid w:val="00334FE2"/>
    <w:rsid w:val="0033512B"/>
    <w:rsid w:val="00335307"/>
    <w:rsid w:val="00335544"/>
    <w:rsid w:val="0033571C"/>
    <w:rsid w:val="003366C9"/>
    <w:rsid w:val="00336733"/>
    <w:rsid w:val="003368E2"/>
    <w:rsid w:val="00336A92"/>
    <w:rsid w:val="003371B0"/>
    <w:rsid w:val="003374EA"/>
    <w:rsid w:val="00337569"/>
    <w:rsid w:val="003378FC"/>
    <w:rsid w:val="003379A8"/>
    <w:rsid w:val="0034099B"/>
    <w:rsid w:val="00340DBF"/>
    <w:rsid w:val="00340DD5"/>
    <w:rsid w:val="00340DF1"/>
    <w:rsid w:val="0034119F"/>
    <w:rsid w:val="00341483"/>
    <w:rsid w:val="00341513"/>
    <w:rsid w:val="00341D43"/>
    <w:rsid w:val="00341F96"/>
    <w:rsid w:val="00342CB0"/>
    <w:rsid w:val="00342DCB"/>
    <w:rsid w:val="00342DEE"/>
    <w:rsid w:val="00342EA0"/>
    <w:rsid w:val="0034316B"/>
    <w:rsid w:val="003431C3"/>
    <w:rsid w:val="003436CA"/>
    <w:rsid w:val="0034377D"/>
    <w:rsid w:val="00343ABC"/>
    <w:rsid w:val="00343ABE"/>
    <w:rsid w:val="00343AF3"/>
    <w:rsid w:val="00343D92"/>
    <w:rsid w:val="00343ED6"/>
    <w:rsid w:val="0034432A"/>
    <w:rsid w:val="003443B3"/>
    <w:rsid w:val="0034444B"/>
    <w:rsid w:val="003445B1"/>
    <w:rsid w:val="00344C10"/>
    <w:rsid w:val="00345427"/>
    <w:rsid w:val="00345788"/>
    <w:rsid w:val="003457E8"/>
    <w:rsid w:val="0034587D"/>
    <w:rsid w:val="0034593A"/>
    <w:rsid w:val="00345B61"/>
    <w:rsid w:val="00345C0D"/>
    <w:rsid w:val="00345EEC"/>
    <w:rsid w:val="00345EFA"/>
    <w:rsid w:val="0034611E"/>
    <w:rsid w:val="00346355"/>
    <w:rsid w:val="00346A9D"/>
    <w:rsid w:val="00346B92"/>
    <w:rsid w:val="00346EE2"/>
    <w:rsid w:val="00346F21"/>
    <w:rsid w:val="00347262"/>
    <w:rsid w:val="003476F2"/>
    <w:rsid w:val="0034775A"/>
    <w:rsid w:val="00347865"/>
    <w:rsid w:val="00347996"/>
    <w:rsid w:val="00347CF0"/>
    <w:rsid w:val="00350067"/>
    <w:rsid w:val="003503B6"/>
    <w:rsid w:val="00350504"/>
    <w:rsid w:val="003507C0"/>
    <w:rsid w:val="00350BDD"/>
    <w:rsid w:val="00350C21"/>
    <w:rsid w:val="003511F1"/>
    <w:rsid w:val="0035160A"/>
    <w:rsid w:val="0035175D"/>
    <w:rsid w:val="003517F9"/>
    <w:rsid w:val="00351BA9"/>
    <w:rsid w:val="00351CC8"/>
    <w:rsid w:val="00351E09"/>
    <w:rsid w:val="00351E21"/>
    <w:rsid w:val="003525BC"/>
    <w:rsid w:val="00352724"/>
    <w:rsid w:val="00352A0A"/>
    <w:rsid w:val="0035311C"/>
    <w:rsid w:val="0035314E"/>
    <w:rsid w:val="00353198"/>
    <w:rsid w:val="003531B0"/>
    <w:rsid w:val="00353224"/>
    <w:rsid w:val="00353262"/>
    <w:rsid w:val="003536CA"/>
    <w:rsid w:val="003536DF"/>
    <w:rsid w:val="003538DE"/>
    <w:rsid w:val="003539A3"/>
    <w:rsid w:val="00353B71"/>
    <w:rsid w:val="00353F3C"/>
    <w:rsid w:val="00354045"/>
    <w:rsid w:val="003541B0"/>
    <w:rsid w:val="00354D92"/>
    <w:rsid w:val="00354F64"/>
    <w:rsid w:val="00355274"/>
    <w:rsid w:val="00355672"/>
    <w:rsid w:val="00355A4F"/>
    <w:rsid w:val="00355AD8"/>
    <w:rsid w:val="00355BDE"/>
    <w:rsid w:val="00355F43"/>
    <w:rsid w:val="00355F90"/>
    <w:rsid w:val="0035620E"/>
    <w:rsid w:val="003562E2"/>
    <w:rsid w:val="00356305"/>
    <w:rsid w:val="0035632C"/>
    <w:rsid w:val="003564BF"/>
    <w:rsid w:val="0035669F"/>
    <w:rsid w:val="00356719"/>
    <w:rsid w:val="00356821"/>
    <w:rsid w:val="003568C8"/>
    <w:rsid w:val="003572C2"/>
    <w:rsid w:val="00357478"/>
    <w:rsid w:val="0035775C"/>
    <w:rsid w:val="003578F3"/>
    <w:rsid w:val="00357913"/>
    <w:rsid w:val="00357A3D"/>
    <w:rsid w:val="00360345"/>
    <w:rsid w:val="0036077C"/>
    <w:rsid w:val="00360AF7"/>
    <w:rsid w:val="00360C1E"/>
    <w:rsid w:val="00360E01"/>
    <w:rsid w:val="00360E47"/>
    <w:rsid w:val="00360F99"/>
    <w:rsid w:val="003610B7"/>
    <w:rsid w:val="0036118A"/>
    <w:rsid w:val="00361418"/>
    <w:rsid w:val="003616B7"/>
    <w:rsid w:val="003618DB"/>
    <w:rsid w:val="003619DF"/>
    <w:rsid w:val="00361A05"/>
    <w:rsid w:val="00361A98"/>
    <w:rsid w:val="00361F65"/>
    <w:rsid w:val="003621C8"/>
    <w:rsid w:val="003623CC"/>
    <w:rsid w:val="003623D0"/>
    <w:rsid w:val="00362499"/>
    <w:rsid w:val="003624C4"/>
    <w:rsid w:val="00362678"/>
    <w:rsid w:val="00362968"/>
    <w:rsid w:val="00362B43"/>
    <w:rsid w:val="00362E31"/>
    <w:rsid w:val="00362E46"/>
    <w:rsid w:val="00363071"/>
    <w:rsid w:val="0036315B"/>
    <w:rsid w:val="00363582"/>
    <w:rsid w:val="00363B00"/>
    <w:rsid w:val="00363BAD"/>
    <w:rsid w:val="0036409F"/>
    <w:rsid w:val="003644B1"/>
    <w:rsid w:val="00364823"/>
    <w:rsid w:val="00364875"/>
    <w:rsid w:val="00364B70"/>
    <w:rsid w:val="00364B91"/>
    <w:rsid w:val="00364E6D"/>
    <w:rsid w:val="00365301"/>
    <w:rsid w:val="003654AC"/>
    <w:rsid w:val="00365506"/>
    <w:rsid w:val="00365799"/>
    <w:rsid w:val="00365CC6"/>
    <w:rsid w:val="00365E89"/>
    <w:rsid w:val="00365E90"/>
    <w:rsid w:val="00366001"/>
    <w:rsid w:val="00366216"/>
    <w:rsid w:val="0036642F"/>
    <w:rsid w:val="00366578"/>
    <w:rsid w:val="0036690F"/>
    <w:rsid w:val="00366948"/>
    <w:rsid w:val="003669CC"/>
    <w:rsid w:val="003670D2"/>
    <w:rsid w:val="00367700"/>
    <w:rsid w:val="00367E79"/>
    <w:rsid w:val="0037020A"/>
    <w:rsid w:val="00370475"/>
    <w:rsid w:val="0037062D"/>
    <w:rsid w:val="0037084D"/>
    <w:rsid w:val="00370CCD"/>
    <w:rsid w:val="003710CF"/>
    <w:rsid w:val="003711AD"/>
    <w:rsid w:val="00371469"/>
    <w:rsid w:val="00371598"/>
    <w:rsid w:val="00371678"/>
    <w:rsid w:val="00371775"/>
    <w:rsid w:val="00371F6D"/>
    <w:rsid w:val="003721B0"/>
    <w:rsid w:val="00372280"/>
    <w:rsid w:val="0037243E"/>
    <w:rsid w:val="003724C9"/>
    <w:rsid w:val="003725D5"/>
    <w:rsid w:val="00372898"/>
    <w:rsid w:val="00372B6F"/>
    <w:rsid w:val="00372F37"/>
    <w:rsid w:val="003731A0"/>
    <w:rsid w:val="0037358A"/>
    <w:rsid w:val="00373A74"/>
    <w:rsid w:val="00373BA3"/>
    <w:rsid w:val="00373D35"/>
    <w:rsid w:val="00373E9B"/>
    <w:rsid w:val="00374173"/>
    <w:rsid w:val="00374463"/>
    <w:rsid w:val="003747B4"/>
    <w:rsid w:val="00374A69"/>
    <w:rsid w:val="00374ACA"/>
    <w:rsid w:val="00374EE2"/>
    <w:rsid w:val="00374F84"/>
    <w:rsid w:val="003750F6"/>
    <w:rsid w:val="00375133"/>
    <w:rsid w:val="00375212"/>
    <w:rsid w:val="003754A4"/>
    <w:rsid w:val="00375695"/>
    <w:rsid w:val="0037571C"/>
    <w:rsid w:val="003758BE"/>
    <w:rsid w:val="00375A8B"/>
    <w:rsid w:val="00375C4E"/>
    <w:rsid w:val="00375E8F"/>
    <w:rsid w:val="00375F6F"/>
    <w:rsid w:val="00375FF5"/>
    <w:rsid w:val="003760FC"/>
    <w:rsid w:val="003762F9"/>
    <w:rsid w:val="0037679A"/>
    <w:rsid w:val="0037697E"/>
    <w:rsid w:val="00376E7A"/>
    <w:rsid w:val="003771C7"/>
    <w:rsid w:val="003774C9"/>
    <w:rsid w:val="0037798F"/>
    <w:rsid w:val="003802A1"/>
    <w:rsid w:val="003808CB"/>
    <w:rsid w:val="00380A35"/>
    <w:rsid w:val="00380B08"/>
    <w:rsid w:val="00380D5C"/>
    <w:rsid w:val="00380EB0"/>
    <w:rsid w:val="00381108"/>
    <w:rsid w:val="00381345"/>
    <w:rsid w:val="0038159F"/>
    <w:rsid w:val="00381C74"/>
    <w:rsid w:val="00382184"/>
    <w:rsid w:val="0038229C"/>
    <w:rsid w:val="003823AE"/>
    <w:rsid w:val="00382618"/>
    <w:rsid w:val="0038284F"/>
    <w:rsid w:val="00382953"/>
    <w:rsid w:val="00382B32"/>
    <w:rsid w:val="00382C65"/>
    <w:rsid w:val="00382C8F"/>
    <w:rsid w:val="00382E25"/>
    <w:rsid w:val="0038305B"/>
    <w:rsid w:val="0038363B"/>
    <w:rsid w:val="0038365C"/>
    <w:rsid w:val="0038369B"/>
    <w:rsid w:val="00383B02"/>
    <w:rsid w:val="00383B78"/>
    <w:rsid w:val="00383F51"/>
    <w:rsid w:val="00384090"/>
    <w:rsid w:val="00384394"/>
    <w:rsid w:val="003843F7"/>
    <w:rsid w:val="003845F7"/>
    <w:rsid w:val="0038466D"/>
    <w:rsid w:val="003848B9"/>
    <w:rsid w:val="0038490B"/>
    <w:rsid w:val="00384D80"/>
    <w:rsid w:val="00384E85"/>
    <w:rsid w:val="00384F36"/>
    <w:rsid w:val="00385106"/>
    <w:rsid w:val="003852D1"/>
    <w:rsid w:val="00385376"/>
    <w:rsid w:val="003854C9"/>
    <w:rsid w:val="003854DA"/>
    <w:rsid w:val="003856AF"/>
    <w:rsid w:val="003856CE"/>
    <w:rsid w:val="00385A9D"/>
    <w:rsid w:val="00385B80"/>
    <w:rsid w:val="00385BF5"/>
    <w:rsid w:val="00386CBC"/>
    <w:rsid w:val="00386E3C"/>
    <w:rsid w:val="00387096"/>
    <w:rsid w:val="003874E6"/>
    <w:rsid w:val="00387BC1"/>
    <w:rsid w:val="00387CAB"/>
    <w:rsid w:val="00387DC7"/>
    <w:rsid w:val="0039007C"/>
    <w:rsid w:val="003902B1"/>
    <w:rsid w:val="003903CA"/>
    <w:rsid w:val="00390591"/>
    <w:rsid w:val="00390816"/>
    <w:rsid w:val="00390C53"/>
    <w:rsid w:val="0039100B"/>
    <w:rsid w:val="003912C7"/>
    <w:rsid w:val="003913F3"/>
    <w:rsid w:val="0039149A"/>
    <w:rsid w:val="0039178E"/>
    <w:rsid w:val="0039179C"/>
    <w:rsid w:val="00391885"/>
    <w:rsid w:val="003919A6"/>
    <w:rsid w:val="003919B4"/>
    <w:rsid w:val="003919EF"/>
    <w:rsid w:val="00391A04"/>
    <w:rsid w:val="00392124"/>
    <w:rsid w:val="0039216B"/>
    <w:rsid w:val="0039226E"/>
    <w:rsid w:val="00392323"/>
    <w:rsid w:val="00392523"/>
    <w:rsid w:val="00392544"/>
    <w:rsid w:val="00392632"/>
    <w:rsid w:val="003926A1"/>
    <w:rsid w:val="00392A12"/>
    <w:rsid w:val="00392A62"/>
    <w:rsid w:val="00392A65"/>
    <w:rsid w:val="00392BE1"/>
    <w:rsid w:val="00392C20"/>
    <w:rsid w:val="0039309A"/>
    <w:rsid w:val="00393228"/>
    <w:rsid w:val="003932F9"/>
    <w:rsid w:val="0039336D"/>
    <w:rsid w:val="00393674"/>
    <w:rsid w:val="00393C5A"/>
    <w:rsid w:val="00393D99"/>
    <w:rsid w:val="00393EE9"/>
    <w:rsid w:val="003945F2"/>
    <w:rsid w:val="003948EE"/>
    <w:rsid w:val="00394BA6"/>
    <w:rsid w:val="00394E92"/>
    <w:rsid w:val="0039529D"/>
    <w:rsid w:val="003953C0"/>
    <w:rsid w:val="00395429"/>
    <w:rsid w:val="00395540"/>
    <w:rsid w:val="003967AF"/>
    <w:rsid w:val="00396896"/>
    <w:rsid w:val="00396D1C"/>
    <w:rsid w:val="00396EDF"/>
    <w:rsid w:val="00396FD0"/>
    <w:rsid w:val="003975C3"/>
    <w:rsid w:val="00397606"/>
    <w:rsid w:val="003976F2"/>
    <w:rsid w:val="0039778A"/>
    <w:rsid w:val="003A0170"/>
    <w:rsid w:val="003A01F3"/>
    <w:rsid w:val="003A050C"/>
    <w:rsid w:val="003A081B"/>
    <w:rsid w:val="003A0894"/>
    <w:rsid w:val="003A0A99"/>
    <w:rsid w:val="003A0AA3"/>
    <w:rsid w:val="003A0B18"/>
    <w:rsid w:val="003A0D10"/>
    <w:rsid w:val="003A0EFE"/>
    <w:rsid w:val="003A0F33"/>
    <w:rsid w:val="003A10B5"/>
    <w:rsid w:val="003A1484"/>
    <w:rsid w:val="003A17B0"/>
    <w:rsid w:val="003A1868"/>
    <w:rsid w:val="003A1972"/>
    <w:rsid w:val="003A1A72"/>
    <w:rsid w:val="003A1A7A"/>
    <w:rsid w:val="003A1BAD"/>
    <w:rsid w:val="003A1C80"/>
    <w:rsid w:val="003A1D26"/>
    <w:rsid w:val="003A20B4"/>
    <w:rsid w:val="003A21D3"/>
    <w:rsid w:val="003A2388"/>
    <w:rsid w:val="003A2392"/>
    <w:rsid w:val="003A2772"/>
    <w:rsid w:val="003A2831"/>
    <w:rsid w:val="003A2C91"/>
    <w:rsid w:val="003A2CED"/>
    <w:rsid w:val="003A32E3"/>
    <w:rsid w:val="003A3705"/>
    <w:rsid w:val="003A38CB"/>
    <w:rsid w:val="003A3B2C"/>
    <w:rsid w:val="003A3CB6"/>
    <w:rsid w:val="003A3ED1"/>
    <w:rsid w:val="003A44DB"/>
    <w:rsid w:val="003A4873"/>
    <w:rsid w:val="003A4C26"/>
    <w:rsid w:val="003A4EFF"/>
    <w:rsid w:val="003A5184"/>
    <w:rsid w:val="003A535B"/>
    <w:rsid w:val="003A57BD"/>
    <w:rsid w:val="003A5904"/>
    <w:rsid w:val="003A595C"/>
    <w:rsid w:val="003A5E6D"/>
    <w:rsid w:val="003A5F31"/>
    <w:rsid w:val="003A6B46"/>
    <w:rsid w:val="003A6D35"/>
    <w:rsid w:val="003A6D60"/>
    <w:rsid w:val="003A6E43"/>
    <w:rsid w:val="003A6FDD"/>
    <w:rsid w:val="003A77A6"/>
    <w:rsid w:val="003A7C54"/>
    <w:rsid w:val="003A7E72"/>
    <w:rsid w:val="003A7F56"/>
    <w:rsid w:val="003B000E"/>
    <w:rsid w:val="003B011F"/>
    <w:rsid w:val="003B01C3"/>
    <w:rsid w:val="003B0324"/>
    <w:rsid w:val="003B0571"/>
    <w:rsid w:val="003B058C"/>
    <w:rsid w:val="003B0765"/>
    <w:rsid w:val="003B0A8D"/>
    <w:rsid w:val="003B0B6C"/>
    <w:rsid w:val="003B0C0B"/>
    <w:rsid w:val="003B0E8C"/>
    <w:rsid w:val="003B114D"/>
    <w:rsid w:val="003B1543"/>
    <w:rsid w:val="003B173C"/>
    <w:rsid w:val="003B1A3A"/>
    <w:rsid w:val="003B1B1F"/>
    <w:rsid w:val="003B1CB2"/>
    <w:rsid w:val="003B1F19"/>
    <w:rsid w:val="003B2178"/>
    <w:rsid w:val="003B24EE"/>
    <w:rsid w:val="003B2541"/>
    <w:rsid w:val="003B2AF0"/>
    <w:rsid w:val="003B2F84"/>
    <w:rsid w:val="003B2FD4"/>
    <w:rsid w:val="003B30BF"/>
    <w:rsid w:val="003B340E"/>
    <w:rsid w:val="003B3971"/>
    <w:rsid w:val="003B3B93"/>
    <w:rsid w:val="003B3C12"/>
    <w:rsid w:val="003B4237"/>
    <w:rsid w:val="003B4849"/>
    <w:rsid w:val="003B4EA2"/>
    <w:rsid w:val="003B5477"/>
    <w:rsid w:val="003B55A9"/>
    <w:rsid w:val="003B55D1"/>
    <w:rsid w:val="003B57CB"/>
    <w:rsid w:val="003B5958"/>
    <w:rsid w:val="003B5976"/>
    <w:rsid w:val="003B5B61"/>
    <w:rsid w:val="003B66CA"/>
    <w:rsid w:val="003B693C"/>
    <w:rsid w:val="003B69B1"/>
    <w:rsid w:val="003B6BBE"/>
    <w:rsid w:val="003B6CF9"/>
    <w:rsid w:val="003B71E2"/>
    <w:rsid w:val="003B7261"/>
    <w:rsid w:val="003B72E8"/>
    <w:rsid w:val="003B732E"/>
    <w:rsid w:val="003B7614"/>
    <w:rsid w:val="003B7699"/>
    <w:rsid w:val="003B7862"/>
    <w:rsid w:val="003B7A93"/>
    <w:rsid w:val="003B7F4C"/>
    <w:rsid w:val="003B7F5E"/>
    <w:rsid w:val="003C01A6"/>
    <w:rsid w:val="003C02F3"/>
    <w:rsid w:val="003C0316"/>
    <w:rsid w:val="003C031F"/>
    <w:rsid w:val="003C041D"/>
    <w:rsid w:val="003C06F0"/>
    <w:rsid w:val="003C0AB7"/>
    <w:rsid w:val="003C11AD"/>
    <w:rsid w:val="003C1326"/>
    <w:rsid w:val="003C15D0"/>
    <w:rsid w:val="003C1654"/>
    <w:rsid w:val="003C1844"/>
    <w:rsid w:val="003C1C0C"/>
    <w:rsid w:val="003C1EC3"/>
    <w:rsid w:val="003C21E5"/>
    <w:rsid w:val="003C2624"/>
    <w:rsid w:val="003C2933"/>
    <w:rsid w:val="003C2AB6"/>
    <w:rsid w:val="003C2B6F"/>
    <w:rsid w:val="003C2C85"/>
    <w:rsid w:val="003C2F57"/>
    <w:rsid w:val="003C2FD7"/>
    <w:rsid w:val="003C335B"/>
    <w:rsid w:val="003C3485"/>
    <w:rsid w:val="003C3658"/>
    <w:rsid w:val="003C367A"/>
    <w:rsid w:val="003C36BB"/>
    <w:rsid w:val="003C3820"/>
    <w:rsid w:val="003C3CF4"/>
    <w:rsid w:val="003C3EA3"/>
    <w:rsid w:val="003C3EAD"/>
    <w:rsid w:val="003C4382"/>
    <w:rsid w:val="003C47D1"/>
    <w:rsid w:val="003C4A93"/>
    <w:rsid w:val="003C4AC3"/>
    <w:rsid w:val="003C4AC9"/>
    <w:rsid w:val="003C4BAC"/>
    <w:rsid w:val="003C4F97"/>
    <w:rsid w:val="003C5358"/>
    <w:rsid w:val="003C5400"/>
    <w:rsid w:val="003C549E"/>
    <w:rsid w:val="003C5542"/>
    <w:rsid w:val="003C5618"/>
    <w:rsid w:val="003C5E59"/>
    <w:rsid w:val="003C5F6E"/>
    <w:rsid w:val="003C66F3"/>
    <w:rsid w:val="003C68C4"/>
    <w:rsid w:val="003C6DF9"/>
    <w:rsid w:val="003C6E81"/>
    <w:rsid w:val="003C6F88"/>
    <w:rsid w:val="003C6FAA"/>
    <w:rsid w:val="003C734C"/>
    <w:rsid w:val="003C739F"/>
    <w:rsid w:val="003C742D"/>
    <w:rsid w:val="003C753B"/>
    <w:rsid w:val="003C7927"/>
    <w:rsid w:val="003C7D19"/>
    <w:rsid w:val="003C7D2F"/>
    <w:rsid w:val="003D04D9"/>
    <w:rsid w:val="003D0722"/>
    <w:rsid w:val="003D091B"/>
    <w:rsid w:val="003D0CD8"/>
    <w:rsid w:val="003D15B5"/>
    <w:rsid w:val="003D1698"/>
    <w:rsid w:val="003D1828"/>
    <w:rsid w:val="003D1860"/>
    <w:rsid w:val="003D1A6F"/>
    <w:rsid w:val="003D1DE4"/>
    <w:rsid w:val="003D1E51"/>
    <w:rsid w:val="003D1E79"/>
    <w:rsid w:val="003D1E9A"/>
    <w:rsid w:val="003D21AC"/>
    <w:rsid w:val="003D2224"/>
    <w:rsid w:val="003D2249"/>
    <w:rsid w:val="003D2422"/>
    <w:rsid w:val="003D26C6"/>
    <w:rsid w:val="003D2A2D"/>
    <w:rsid w:val="003D2CAD"/>
    <w:rsid w:val="003D2CC9"/>
    <w:rsid w:val="003D31F7"/>
    <w:rsid w:val="003D36D1"/>
    <w:rsid w:val="003D3801"/>
    <w:rsid w:val="003D39A1"/>
    <w:rsid w:val="003D3A47"/>
    <w:rsid w:val="003D3D1E"/>
    <w:rsid w:val="003D3EBD"/>
    <w:rsid w:val="003D3EBF"/>
    <w:rsid w:val="003D3F5E"/>
    <w:rsid w:val="003D3FBF"/>
    <w:rsid w:val="003D4A30"/>
    <w:rsid w:val="003D4CEB"/>
    <w:rsid w:val="003D5035"/>
    <w:rsid w:val="003D55E4"/>
    <w:rsid w:val="003D57C5"/>
    <w:rsid w:val="003D5803"/>
    <w:rsid w:val="003D58F8"/>
    <w:rsid w:val="003D5E9B"/>
    <w:rsid w:val="003D5F44"/>
    <w:rsid w:val="003D62A2"/>
    <w:rsid w:val="003D653C"/>
    <w:rsid w:val="003D67E1"/>
    <w:rsid w:val="003D68F7"/>
    <w:rsid w:val="003D6947"/>
    <w:rsid w:val="003D7142"/>
    <w:rsid w:val="003D71A8"/>
    <w:rsid w:val="003D7452"/>
    <w:rsid w:val="003D7782"/>
    <w:rsid w:val="003D77AA"/>
    <w:rsid w:val="003D77BE"/>
    <w:rsid w:val="003D79BB"/>
    <w:rsid w:val="003D7A5F"/>
    <w:rsid w:val="003D7ADD"/>
    <w:rsid w:val="003D7BC0"/>
    <w:rsid w:val="003D7C98"/>
    <w:rsid w:val="003D7D41"/>
    <w:rsid w:val="003D7D9D"/>
    <w:rsid w:val="003E0236"/>
    <w:rsid w:val="003E0316"/>
    <w:rsid w:val="003E0330"/>
    <w:rsid w:val="003E0338"/>
    <w:rsid w:val="003E0543"/>
    <w:rsid w:val="003E05E6"/>
    <w:rsid w:val="003E06CB"/>
    <w:rsid w:val="003E0836"/>
    <w:rsid w:val="003E0A31"/>
    <w:rsid w:val="003E0AC3"/>
    <w:rsid w:val="003E0B80"/>
    <w:rsid w:val="003E0C15"/>
    <w:rsid w:val="003E10DC"/>
    <w:rsid w:val="003E14B8"/>
    <w:rsid w:val="003E1646"/>
    <w:rsid w:val="003E1A0C"/>
    <w:rsid w:val="003E1B75"/>
    <w:rsid w:val="003E1BA0"/>
    <w:rsid w:val="003E2035"/>
    <w:rsid w:val="003E21ED"/>
    <w:rsid w:val="003E283C"/>
    <w:rsid w:val="003E2875"/>
    <w:rsid w:val="003E2CBC"/>
    <w:rsid w:val="003E2D0D"/>
    <w:rsid w:val="003E2DF0"/>
    <w:rsid w:val="003E2E20"/>
    <w:rsid w:val="003E31CC"/>
    <w:rsid w:val="003E3537"/>
    <w:rsid w:val="003E3868"/>
    <w:rsid w:val="003E3A96"/>
    <w:rsid w:val="003E3FDC"/>
    <w:rsid w:val="003E4119"/>
    <w:rsid w:val="003E41F5"/>
    <w:rsid w:val="003E43A4"/>
    <w:rsid w:val="003E4417"/>
    <w:rsid w:val="003E45F0"/>
    <w:rsid w:val="003E4801"/>
    <w:rsid w:val="003E493E"/>
    <w:rsid w:val="003E4AF8"/>
    <w:rsid w:val="003E4D1B"/>
    <w:rsid w:val="003E4D57"/>
    <w:rsid w:val="003E4E1F"/>
    <w:rsid w:val="003E50C4"/>
    <w:rsid w:val="003E511E"/>
    <w:rsid w:val="003E52E2"/>
    <w:rsid w:val="003E5560"/>
    <w:rsid w:val="003E572C"/>
    <w:rsid w:val="003E57E4"/>
    <w:rsid w:val="003E59D7"/>
    <w:rsid w:val="003E5BCD"/>
    <w:rsid w:val="003E5D2A"/>
    <w:rsid w:val="003E5DAC"/>
    <w:rsid w:val="003E5EBB"/>
    <w:rsid w:val="003E5FEA"/>
    <w:rsid w:val="003E6034"/>
    <w:rsid w:val="003E60E5"/>
    <w:rsid w:val="003E61E6"/>
    <w:rsid w:val="003E62EB"/>
    <w:rsid w:val="003E69D3"/>
    <w:rsid w:val="003E71BF"/>
    <w:rsid w:val="003E73C8"/>
    <w:rsid w:val="003E749E"/>
    <w:rsid w:val="003E798D"/>
    <w:rsid w:val="003E7F1A"/>
    <w:rsid w:val="003F00E5"/>
    <w:rsid w:val="003F0172"/>
    <w:rsid w:val="003F050A"/>
    <w:rsid w:val="003F0BC1"/>
    <w:rsid w:val="003F0C54"/>
    <w:rsid w:val="003F0DB2"/>
    <w:rsid w:val="003F0EFD"/>
    <w:rsid w:val="003F0F6E"/>
    <w:rsid w:val="003F100B"/>
    <w:rsid w:val="003F16C3"/>
    <w:rsid w:val="003F186C"/>
    <w:rsid w:val="003F1877"/>
    <w:rsid w:val="003F196A"/>
    <w:rsid w:val="003F1AFE"/>
    <w:rsid w:val="003F1B64"/>
    <w:rsid w:val="003F21CC"/>
    <w:rsid w:val="003F221D"/>
    <w:rsid w:val="003F23AB"/>
    <w:rsid w:val="003F2D94"/>
    <w:rsid w:val="003F3432"/>
    <w:rsid w:val="003F376F"/>
    <w:rsid w:val="003F3887"/>
    <w:rsid w:val="003F3B58"/>
    <w:rsid w:val="003F40DE"/>
    <w:rsid w:val="003F4156"/>
    <w:rsid w:val="003F42E4"/>
    <w:rsid w:val="003F4794"/>
    <w:rsid w:val="003F48C4"/>
    <w:rsid w:val="003F4A07"/>
    <w:rsid w:val="003F4B1E"/>
    <w:rsid w:val="003F4D98"/>
    <w:rsid w:val="003F4E37"/>
    <w:rsid w:val="003F502C"/>
    <w:rsid w:val="003F581C"/>
    <w:rsid w:val="003F5ADF"/>
    <w:rsid w:val="003F675C"/>
    <w:rsid w:val="003F689C"/>
    <w:rsid w:val="003F6A81"/>
    <w:rsid w:val="003F6C36"/>
    <w:rsid w:val="003F7565"/>
    <w:rsid w:val="003F7780"/>
    <w:rsid w:val="003F7A39"/>
    <w:rsid w:val="003F7A60"/>
    <w:rsid w:val="003F7BB3"/>
    <w:rsid w:val="003F7D12"/>
    <w:rsid w:val="003F7DCE"/>
    <w:rsid w:val="003F7F76"/>
    <w:rsid w:val="004004BC"/>
    <w:rsid w:val="00400A9D"/>
    <w:rsid w:val="00400B1F"/>
    <w:rsid w:val="00400B29"/>
    <w:rsid w:val="00400B34"/>
    <w:rsid w:val="00400E86"/>
    <w:rsid w:val="0040129D"/>
    <w:rsid w:val="0040161F"/>
    <w:rsid w:val="00401BDC"/>
    <w:rsid w:val="00401C14"/>
    <w:rsid w:val="00401C79"/>
    <w:rsid w:val="0040200B"/>
    <w:rsid w:val="0040259F"/>
    <w:rsid w:val="00402957"/>
    <w:rsid w:val="00402B59"/>
    <w:rsid w:val="00402B79"/>
    <w:rsid w:val="00402CB9"/>
    <w:rsid w:val="00403020"/>
    <w:rsid w:val="00403118"/>
    <w:rsid w:val="00403198"/>
    <w:rsid w:val="00403A23"/>
    <w:rsid w:val="00403ACD"/>
    <w:rsid w:val="00403BB4"/>
    <w:rsid w:val="00403C66"/>
    <w:rsid w:val="00403CB5"/>
    <w:rsid w:val="00403FDA"/>
    <w:rsid w:val="004040D3"/>
    <w:rsid w:val="004043FB"/>
    <w:rsid w:val="004045D7"/>
    <w:rsid w:val="004045E0"/>
    <w:rsid w:val="0040468A"/>
    <w:rsid w:val="00404AB2"/>
    <w:rsid w:val="00404B2E"/>
    <w:rsid w:val="0040504B"/>
    <w:rsid w:val="004053C5"/>
    <w:rsid w:val="00405514"/>
    <w:rsid w:val="00405878"/>
    <w:rsid w:val="004059F4"/>
    <w:rsid w:val="00405B9F"/>
    <w:rsid w:val="00405F81"/>
    <w:rsid w:val="00406040"/>
    <w:rsid w:val="0040635D"/>
    <w:rsid w:val="00406555"/>
    <w:rsid w:val="004068C7"/>
    <w:rsid w:val="00406B84"/>
    <w:rsid w:val="00406EA4"/>
    <w:rsid w:val="00407041"/>
    <w:rsid w:val="004071D9"/>
    <w:rsid w:val="0040769F"/>
    <w:rsid w:val="00407733"/>
    <w:rsid w:val="004079C3"/>
    <w:rsid w:val="00407AEC"/>
    <w:rsid w:val="00407B10"/>
    <w:rsid w:val="00407E3B"/>
    <w:rsid w:val="00407F81"/>
    <w:rsid w:val="00407FE5"/>
    <w:rsid w:val="004101B0"/>
    <w:rsid w:val="00410326"/>
    <w:rsid w:val="004103CE"/>
    <w:rsid w:val="00410708"/>
    <w:rsid w:val="00410A88"/>
    <w:rsid w:val="00410B01"/>
    <w:rsid w:val="00410EC7"/>
    <w:rsid w:val="00411298"/>
    <w:rsid w:val="0041172D"/>
    <w:rsid w:val="00411B14"/>
    <w:rsid w:val="00411B39"/>
    <w:rsid w:val="00411C9C"/>
    <w:rsid w:val="00411DA6"/>
    <w:rsid w:val="00411DEC"/>
    <w:rsid w:val="00411E1D"/>
    <w:rsid w:val="004121AD"/>
    <w:rsid w:val="00412355"/>
    <w:rsid w:val="004127A7"/>
    <w:rsid w:val="00412D59"/>
    <w:rsid w:val="00412E08"/>
    <w:rsid w:val="00412E40"/>
    <w:rsid w:val="00412F5F"/>
    <w:rsid w:val="0041305C"/>
    <w:rsid w:val="00413387"/>
    <w:rsid w:val="0041373B"/>
    <w:rsid w:val="00413A1E"/>
    <w:rsid w:val="00414476"/>
    <w:rsid w:val="0041480D"/>
    <w:rsid w:val="00414BF9"/>
    <w:rsid w:val="00414C2E"/>
    <w:rsid w:val="00414C57"/>
    <w:rsid w:val="00414E78"/>
    <w:rsid w:val="004151CF"/>
    <w:rsid w:val="00415251"/>
    <w:rsid w:val="004156FE"/>
    <w:rsid w:val="00415A7B"/>
    <w:rsid w:val="0041628F"/>
    <w:rsid w:val="004162C3"/>
    <w:rsid w:val="0041634E"/>
    <w:rsid w:val="00416364"/>
    <w:rsid w:val="004165D0"/>
    <w:rsid w:val="004165FD"/>
    <w:rsid w:val="00416815"/>
    <w:rsid w:val="0041688E"/>
    <w:rsid w:val="00416C6F"/>
    <w:rsid w:val="00416EBF"/>
    <w:rsid w:val="004173A1"/>
    <w:rsid w:val="00417957"/>
    <w:rsid w:val="00417A37"/>
    <w:rsid w:val="00417D63"/>
    <w:rsid w:val="00417E27"/>
    <w:rsid w:val="0042047F"/>
    <w:rsid w:val="004204AC"/>
    <w:rsid w:val="0042056E"/>
    <w:rsid w:val="004208B3"/>
    <w:rsid w:val="004208CC"/>
    <w:rsid w:val="00420AA6"/>
    <w:rsid w:val="00420B9F"/>
    <w:rsid w:val="00421095"/>
    <w:rsid w:val="004210F5"/>
    <w:rsid w:val="004215E4"/>
    <w:rsid w:val="0042177A"/>
    <w:rsid w:val="004218FC"/>
    <w:rsid w:val="0042192C"/>
    <w:rsid w:val="00421CDC"/>
    <w:rsid w:val="00421D2A"/>
    <w:rsid w:val="00421F82"/>
    <w:rsid w:val="00422260"/>
    <w:rsid w:val="00422487"/>
    <w:rsid w:val="00422651"/>
    <w:rsid w:val="0042290A"/>
    <w:rsid w:val="004229F8"/>
    <w:rsid w:val="00422BCC"/>
    <w:rsid w:val="00422D4E"/>
    <w:rsid w:val="00423319"/>
    <w:rsid w:val="004234A5"/>
    <w:rsid w:val="00423968"/>
    <w:rsid w:val="00423A06"/>
    <w:rsid w:val="00423B8A"/>
    <w:rsid w:val="00423C0E"/>
    <w:rsid w:val="0042413F"/>
    <w:rsid w:val="004242D1"/>
    <w:rsid w:val="004242F0"/>
    <w:rsid w:val="004249BA"/>
    <w:rsid w:val="00424A12"/>
    <w:rsid w:val="00424E16"/>
    <w:rsid w:val="004250E7"/>
    <w:rsid w:val="0042572C"/>
    <w:rsid w:val="00425C6D"/>
    <w:rsid w:val="00425F00"/>
    <w:rsid w:val="004265A7"/>
    <w:rsid w:val="004267F1"/>
    <w:rsid w:val="00426C11"/>
    <w:rsid w:val="00426CFC"/>
    <w:rsid w:val="00426F00"/>
    <w:rsid w:val="00427255"/>
    <w:rsid w:val="00427CEF"/>
    <w:rsid w:val="00427D22"/>
    <w:rsid w:val="00427E7D"/>
    <w:rsid w:val="00430104"/>
    <w:rsid w:val="00430117"/>
    <w:rsid w:val="00430178"/>
    <w:rsid w:val="00430682"/>
    <w:rsid w:val="0043100E"/>
    <w:rsid w:val="00431163"/>
    <w:rsid w:val="00431200"/>
    <w:rsid w:val="004316A9"/>
    <w:rsid w:val="00431758"/>
    <w:rsid w:val="00431853"/>
    <w:rsid w:val="004319F8"/>
    <w:rsid w:val="00431E55"/>
    <w:rsid w:val="004320EC"/>
    <w:rsid w:val="004321F6"/>
    <w:rsid w:val="0043221A"/>
    <w:rsid w:val="0043221C"/>
    <w:rsid w:val="00432821"/>
    <w:rsid w:val="00432844"/>
    <w:rsid w:val="00432F2B"/>
    <w:rsid w:val="00433044"/>
    <w:rsid w:val="0043361A"/>
    <w:rsid w:val="00433A48"/>
    <w:rsid w:val="00433B1A"/>
    <w:rsid w:val="00433B4E"/>
    <w:rsid w:val="00434042"/>
    <w:rsid w:val="00434088"/>
    <w:rsid w:val="00434395"/>
    <w:rsid w:val="0043483F"/>
    <w:rsid w:val="00434BD6"/>
    <w:rsid w:val="00434C4F"/>
    <w:rsid w:val="004352CE"/>
    <w:rsid w:val="004355D2"/>
    <w:rsid w:val="0043586E"/>
    <w:rsid w:val="00435B12"/>
    <w:rsid w:val="00435B7B"/>
    <w:rsid w:val="00435E0D"/>
    <w:rsid w:val="0043602F"/>
    <w:rsid w:val="0043628A"/>
    <w:rsid w:val="004364BE"/>
    <w:rsid w:val="004364BF"/>
    <w:rsid w:val="004366E6"/>
    <w:rsid w:val="004366FE"/>
    <w:rsid w:val="00436A16"/>
    <w:rsid w:val="00436E8D"/>
    <w:rsid w:val="00436ED7"/>
    <w:rsid w:val="0043704D"/>
    <w:rsid w:val="0043716E"/>
    <w:rsid w:val="0043743D"/>
    <w:rsid w:val="004375B2"/>
    <w:rsid w:val="004375B9"/>
    <w:rsid w:val="00437613"/>
    <w:rsid w:val="00437971"/>
    <w:rsid w:val="00437CEE"/>
    <w:rsid w:val="00437DA1"/>
    <w:rsid w:val="00437DB8"/>
    <w:rsid w:val="0044028F"/>
    <w:rsid w:val="00440331"/>
    <w:rsid w:val="0044049A"/>
    <w:rsid w:val="00440515"/>
    <w:rsid w:val="004407CE"/>
    <w:rsid w:val="004410B7"/>
    <w:rsid w:val="00441265"/>
    <w:rsid w:val="00441B40"/>
    <w:rsid w:val="0044249B"/>
    <w:rsid w:val="00442563"/>
    <w:rsid w:val="004428D0"/>
    <w:rsid w:val="004428D6"/>
    <w:rsid w:val="004431CE"/>
    <w:rsid w:val="0044320D"/>
    <w:rsid w:val="004432E8"/>
    <w:rsid w:val="00443331"/>
    <w:rsid w:val="00443C3B"/>
    <w:rsid w:val="00443DDE"/>
    <w:rsid w:val="00443F01"/>
    <w:rsid w:val="00443FA7"/>
    <w:rsid w:val="00444185"/>
    <w:rsid w:val="004442B3"/>
    <w:rsid w:val="004443A7"/>
    <w:rsid w:val="0044442C"/>
    <w:rsid w:val="004446AB"/>
    <w:rsid w:val="004447F3"/>
    <w:rsid w:val="0044494F"/>
    <w:rsid w:val="00444AC4"/>
    <w:rsid w:val="00444DF6"/>
    <w:rsid w:val="004452CD"/>
    <w:rsid w:val="00445428"/>
    <w:rsid w:val="00445578"/>
    <w:rsid w:val="00445941"/>
    <w:rsid w:val="00445971"/>
    <w:rsid w:val="00445F87"/>
    <w:rsid w:val="004464EB"/>
    <w:rsid w:val="0044652D"/>
    <w:rsid w:val="00446611"/>
    <w:rsid w:val="00446670"/>
    <w:rsid w:val="00446680"/>
    <w:rsid w:val="0044677D"/>
    <w:rsid w:val="00446DBD"/>
    <w:rsid w:val="00447062"/>
    <w:rsid w:val="004470F6"/>
    <w:rsid w:val="0044749D"/>
    <w:rsid w:val="00447563"/>
    <w:rsid w:val="004476D5"/>
    <w:rsid w:val="00447A67"/>
    <w:rsid w:val="00447D26"/>
    <w:rsid w:val="00447DFC"/>
    <w:rsid w:val="00450191"/>
    <w:rsid w:val="00450340"/>
    <w:rsid w:val="0045051B"/>
    <w:rsid w:val="00450639"/>
    <w:rsid w:val="004507ED"/>
    <w:rsid w:val="004509B3"/>
    <w:rsid w:val="00450C19"/>
    <w:rsid w:val="00450E2B"/>
    <w:rsid w:val="00450E9A"/>
    <w:rsid w:val="00451D43"/>
    <w:rsid w:val="00451ECD"/>
    <w:rsid w:val="00451EF1"/>
    <w:rsid w:val="00451F87"/>
    <w:rsid w:val="00452212"/>
    <w:rsid w:val="00452421"/>
    <w:rsid w:val="00452536"/>
    <w:rsid w:val="00452D11"/>
    <w:rsid w:val="00452E21"/>
    <w:rsid w:val="00452F78"/>
    <w:rsid w:val="00453086"/>
    <w:rsid w:val="0045312C"/>
    <w:rsid w:val="00453B3E"/>
    <w:rsid w:val="00453C63"/>
    <w:rsid w:val="004543D0"/>
    <w:rsid w:val="004548E9"/>
    <w:rsid w:val="00454A1C"/>
    <w:rsid w:val="00454C0F"/>
    <w:rsid w:val="00454DB9"/>
    <w:rsid w:val="00454EB8"/>
    <w:rsid w:val="00454FD1"/>
    <w:rsid w:val="004550C3"/>
    <w:rsid w:val="00455417"/>
    <w:rsid w:val="004556D8"/>
    <w:rsid w:val="004556F6"/>
    <w:rsid w:val="004558C0"/>
    <w:rsid w:val="004558E9"/>
    <w:rsid w:val="00455B78"/>
    <w:rsid w:val="00455D45"/>
    <w:rsid w:val="00455F03"/>
    <w:rsid w:val="0045601E"/>
    <w:rsid w:val="00456131"/>
    <w:rsid w:val="0045617B"/>
    <w:rsid w:val="0045621A"/>
    <w:rsid w:val="0045666F"/>
    <w:rsid w:val="00456834"/>
    <w:rsid w:val="00456B62"/>
    <w:rsid w:val="00456B74"/>
    <w:rsid w:val="00456E57"/>
    <w:rsid w:val="004570D9"/>
    <w:rsid w:val="00457BC7"/>
    <w:rsid w:val="00457C1F"/>
    <w:rsid w:val="00460130"/>
    <w:rsid w:val="0046029C"/>
    <w:rsid w:val="004605F1"/>
    <w:rsid w:val="0046064B"/>
    <w:rsid w:val="00460870"/>
    <w:rsid w:val="00460A3D"/>
    <w:rsid w:val="00460FDE"/>
    <w:rsid w:val="00461561"/>
    <w:rsid w:val="004615BA"/>
    <w:rsid w:val="00461A7D"/>
    <w:rsid w:val="00461DA0"/>
    <w:rsid w:val="00461FA7"/>
    <w:rsid w:val="0046218C"/>
    <w:rsid w:val="004624FB"/>
    <w:rsid w:val="004625AF"/>
    <w:rsid w:val="00462B9E"/>
    <w:rsid w:val="00462F74"/>
    <w:rsid w:val="00463230"/>
    <w:rsid w:val="00463466"/>
    <w:rsid w:val="00463AB6"/>
    <w:rsid w:val="00463B9F"/>
    <w:rsid w:val="00463F9D"/>
    <w:rsid w:val="00464030"/>
    <w:rsid w:val="00464452"/>
    <w:rsid w:val="00464521"/>
    <w:rsid w:val="00464544"/>
    <w:rsid w:val="00464595"/>
    <w:rsid w:val="004647FC"/>
    <w:rsid w:val="0046517F"/>
    <w:rsid w:val="00465259"/>
    <w:rsid w:val="004652A2"/>
    <w:rsid w:val="004655F3"/>
    <w:rsid w:val="00465623"/>
    <w:rsid w:val="004656DD"/>
    <w:rsid w:val="00465731"/>
    <w:rsid w:val="004658B5"/>
    <w:rsid w:val="004659C2"/>
    <w:rsid w:val="00465FEA"/>
    <w:rsid w:val="00466390"/>
    <w:rsid w:val="00466475"/>
    <w:rsid w:val="004665D1"/>
    <w:rsid w:val="00466C7C"/>
    <w:rsid w:val="00466F19"/>
    <w:rsid w:val="00466FDD"/>
    <w:rsid w:val="004670F4"/>
    <w:rsid w:val="004671F0"/>
    <w:rsid w:val="004679B8"/>
    <w:rsid w:val="004679C4"/>
    <w:rsid w:val="00467B15"/>
    <w:rsid w:val="004700DC"/>
    <w:rsid w:val="00470665"/>
    <w:rsid w:val="004706E5"/>
    <w:rsid w:val="004708F5"/>
    <w:rsid w:val="00470952"/>
    <w:rsid w:val="00470EAB"/>
    <w:rsid w:val="004713D5"/>
    <w:rsid w:val="0047170B"/>
    <w:rsid w:val="004719AA"/>
    <w:rsid w:val="00471EA5"/>
    <w:rsid w:val="00471EFE"/>
    <w:rsid w:val="004723F9"/>
    <w:rsid w:val="0047244A"/>
    <w:rsid w:val="00472545"/>
    <w:rsid w:val="00472886"/>
    <w:rsid w:val="00472A79"/>
    <w:rsid w:val="00472C35"/>
    <w:rsid w:val="00472DE1"/>
    <w:rsid w:val="00473313"/>
    <w:rsid w:val="00473F19"/>
    <w:rsid w:val="004740DC"/>
    <w:rsid w:val="0047468E"/>
    <w:rsid w:val="00474737"/>
    <w:rsid w:val="00474CBA"/>
    <w:rsid w:val="00474DC6"/>
    <w:rsid w:val="00474DD2"/>
    <w:rsid w:val="00474E73"/>
    <w:rsid w:val="004750FB"/>
    <w:rsid w:val="00475542"/>
    <w:rsid w:val="004755FF"/>
    <w:rsid w:val="00475778"/>
    <w:rsid w:val="00475781"/>
    <w:rsid w:val="00475C16"/>
    <w:rsid w:val="00475E22"/>
    <w:rsid w:val="00476472"/>
    <w:rsid w:val="00476501"/>
    <w:rsid w:val="004768DD"/>
    <w:rsid w:val="0047737F"/>
    <w:rsid w:val="0047747A"/>
    <w:rsid w:val="004774CD"/>
    <w:rsid w:val="00477788"/>
    <w:rsid w:val="0047785D"/>
    <w:rsid w:val="00477D58"/>
    <w:rsid w:val="00480131"/>
    <w:rsid w:val="00480281"/>
    <w:rsid w:val="004802D7"/>
    <w:rsid w:val="00480637"/>
    <w:rsid w:val="004806D8"/>
    <w:rsid w:val="0048088E"/>
    <w:rsid w:val="004808BD"/>
    <w:rsid w:val="00480F2B"/>
    <w:rsid w:val="00480FFC"/>
    <w:rsid w:val="0048156C"/>
    <w:rsid w:val="0048168A"/>
    <w:rsid w:val="00481C69"/>
    <w:rsid w:val="00481EA1"/>
    <w:rsid w:val="00482116"/>
    <w:rsid w:val="0048259F"/>
    <w:rsid w:val="00482720"/>
    <w:rsid w:val="00482DCE"/>
    <w:rsid w:val="00483117"/>
    <w:rsid w:val="004834FC"/>
    <w:rsid w:val="004835E7"/>
    <w:rsid w:val="00483715"/>
    <w:rsid w:val="00483749"/>
    <w:rsid w:val="0048392C"/>
    <w:rsid w:val="00483D02"/>
    <w:rsid w:val="00484058"/>
    <w:rsid w:val="00484111"/>
    <w:rsid w:val="0048421E"/>
    <w:rsid w:val="00484445"/>
    <w:rsid w:val="004845A9"/>
    <w:rsid w:val="004846D5"/>
    <w:rsid w:val="00484A14"/>
    <w:rsid w:val="00484B41"/>
    <w:rsid w:val="00484D4F"/>
    <w:rsid w:val="00484F7F"/>
    <w:rsid w:val="00484FA1"/>
    <w:rsid w:val="0048529C"/>
    <w:rsid w:val="00485353"/>
    <w:rsid w:val="004853DE"/>
    <w:rsid w:val="0048556D"/>
    <w:rsid w:val="004855DE"/>
    <w:rsid w:val="004858F7"/>
    <w:rsid w:val="004859AB"/>
    <w:rsid w:val="00485C45"/>
    <w:rsid w:val="0048613B"/>
    <w:rsid w:val="004867E2"/>
    <w:rsid w:val="004868DB"/>
    <w:rsid w:val="00486D00"/>
    <w:rsid w:val="00486DE0"/>
    <w:rsid w:val="00486E86"/>
    <w:rsid w:val="00486F62"/>
    <w:rsid w:val="00487026"/>
    <w:rsid w:val="004871E9"/>
    <w:rsid w:val="00487906"/>
    <w:rsid w:val="00487D78"/>
    <w:rsid w:val="0049013B"/>
    <w:rsid w:val="00490290"/>
    <w:rsid w:val="004903C1"/>
    <w:rsid w:val="00490425"/>
    <w:rsid w:val="00490498"/>
    <w:rsid w:val="0049076D"/>
    <w:rsid w:val="0049084A"/>
    <w:rsid w:val="00490ADC"/>
    <w:rsid w:val="00490B17"/>
    <w:rsid w:val="00490CA6"/>
    <w:rsid w:val="00490CD2"/>
    <w:rsid w:val="00490F64"/>
    <w:rsid w:val="00491171"/>
    <w:rsid w:val="004912CE"/>
    <w:rsid w:val="004912F3"/>
    <w:rsid w:val="00491979"/>
    <w:rsid w:val="004919CF"/>
    <w:rsid w:val="00491B3A"/>
    <w:rsid w:val="00491B88"/>
    <w:rsid w:val="00491C85"/>
    <w:rsid w:val="00491DC5"/>
    <w:rsid w:val="00492833"/>
    <w:rsid w:val="00492CFD"/>
    <w:rsid w:val="00493004"/>
    <w:rsid w:val="004933B1"/>
    <w:rsid w:val="004933FB"/>
    <w:rsid w:val="004935A3"/>
    <w:rsid w:val="00493804"/>
    <w:rsid w:val="0049382D"/>
    <w:rsid w:val="004938F8"/>
    <w:rsid w:val="00493BBD"/>
    <w:rsid w:val="00494207"/>
    <w:rsid w:val="004947D1"/>
    <w:rsid w:val="00494AAF"/>
    <w:rsid w:val="00494C11"/>
    <w:rsid w:val="00494DD5"/>
    <w:rsid w:val="00494ECD"/>
    <w:rsid w:val="00494F43"/>
    <w:rsid w:val="0049518D"/>
    <w:rsid w:val="00495317"/>
    <w:rsid w:val="0049532D"/>
    <w:rsid w:val="00495D07"/>
    <w:rsid w:val="00495E90"/>
    <w:rsid w:val="004962D2"/>
    <w:rsid w:val="0049632E"/>
    <w:rsid w:val="00496486"/>
    <w:rsid w:val="00496487"/>
    <w:rsid w:val="00496504"/>
    <w:rsid w:val="00496DA2"/>
    <w:rsid w:val="00497438"/>
    <w:rsid w:val="00497523"/>
    <w:rsid w:val="00497560"/>
    <w:rsid w:val="004977CD"/>
    <w:rsid w:val="00497AAB"/>
    <w:rsid w:val="00497EE0"/>
    <w:rsid w:val="00497F89"/>
    <w:rsid w:val="004A0316"/>
    <w:rsid w:val="004A0338"/>
    <w:rsid w:val="004A064F"/>
    <w:rsid w:val="004A0676"/>
    <w:rsid w:val="004A0752"/>
    <w:rsid w:val="004A0A03"/>
    <w:rsid w:val="004A0D12"/>
    <w:rsid w:val="004A0DA1"/>
    <w:rsid w:val="004A1092"/>
    <w:rsid w:val="004A109A"/>
    <w:rsid w:val="004A1235"/>
    <w:rsid w:val="004A13D6"/>
    <w:rsid w:val="004A169F"/>
    <w:rsid w:val="004A1BB2"/>
    <w:rsid w:val="004A2140"/>
    <w:rsid w:val="004A2588"/>
    <w:rsid w:val="004A2615"/>
    <w:rsid w:val="004A26C1"/>
    <w:rsid w:val="004A28C1"/>
    <w:rsid w:val="004A2A24"/>
    <w:rsid w:val="004A2B2F"/>
    <w:rsid w:val="004A2CF2"/>
    <w:rsid w:val="004A3175"/>
    <w:rsid w:val="004A3195"/>
    <w:rsid w:val="004A36E1"/>
    <w:rsid w:val="004A3772"/>
    <w:rsid w:val="004A38EB"/>
    <w:rsid w:val="004A3AA7"/>
    <w:rsid w:val="004A3F1F"/>
    <w:rsid w:val="004A4056"/>
    <w:rsid w:val="004A408F"/>
    <w:rsid w:val="004A47F0"/>
    <w:rsid w:val="004A48F0"/>
    <w:rsid w:val="004A4B5E"/>
    <w:rsid w:val="004A50E2"/>
    <w:rsid w:val="004A52E9"/>
    <w:rsid w:val="004A5573"/>
    <w:rsid w:val="004A55FE"/>
    <w:rsid w:val="004A5D5E"/>
    <w:rsid w:val="004A6040"/>
    <w:rsid w:val="004A6145"/>
    <w:rsid w:val="004A6272"/>
    <w:rsid w:val="004A6597"/>
    <w:rsid w:val="004A6964"/>
    <w:rsid w:val="004A6B04"/>
    <w:rsid w:val="004A6FD1"/>
    <w:rsid w:val="004A714A"/>
    <w:rsid w:val="004A71D3"/>
    <w:rsid w:val="004A7848"/>
    <w:rsid w:val="004A797E"/>
    <w:rsid w:val="004A7CB9"/>
    <w:rsid w:val="004B0188"/>
    <w:rsid w:val="004B02B0"/>
    <w:rsid w:val="004B02E6"/>
    <w:rsid w:val="004B05DE"/>
    <w:rsid w:val="004B068A"/>
    <w:rsid w:val="004B0755"/>
    <w:rsid w:val="004B088C"/>
    <w:rsid w:val="004B0952"/>
    <w:rsid w:val="004B0BB6"/>
    <w:rsid w:val="004B0BD8"/>
    <w:rsid w:val="004B0DC2"/>
    <w:rsid w:val="004B0F65"/>
    <w:rsid w:val="004B1155"/>
    <w:rsid w:val="004B1302"/>
    <w:rsid w:val="004B13D7"/>
    <w:rsid w:val="004B1CB4"/>
    <w:rsid w:val="004B1FBD"/>
    <w:rsid w:val="004B23DE"/>
    <w:rsid w:val="004B2477"/>
    <w:rsid w:val="004B2D12"/>
    <w:rsid w:val="004B2D90"/>
    <w:rsid w:val="004B2E56"/>
    <w:rsid w:val="004B2F18"/>
    <w:rsid w:val="004B33F1"/>
    <w:rsid w:val="004B3690"/>
    <w:rsid w:val="004B36ED"/>
    <w:rsid w:val="004B3C9D"/>
    <w:rsid w:val="004B3DDB"/>
    <w:rsid w:val="004B41CF"/>
    <w:rsid w:val="004B424F"/>
    <w:rsid w:val="004B42CD"/>
    <w:rsid w:val="004B44FD"/>
    <w:rsid w:val="004B451C"/>
    <w:rsid w:val="004B4615"/>
    <w:rsid w:val="004B462A"/>
    <w:rsid w:val="004B4852"/>
    <w:rsid w:val="004B4AA7"/>
    <w:rsid w:val="004B4B0D"/>
    <w:rsid w:val="004B4EB9"/>
    <w:rsid w:val="004B4FC8"/>
    <w:rsid w:val="004B54CB"/>
    <w:rsid w:val="004B5985"/>
    <w:rsid w:val="004B5CFC"/>
    <w:rsid w:val="004B5E85"/>
    <w:rsid w:val="004B5F10"/>
    <w:rsid w:val="004B66B6"/>
    <w:rsid w:val="004B69FB"/>
    <w:rsid w:val="004B6AD7"/>
    <w:rsid w:val="004B6D98"/>
    <w:rsid w:val="004B6F79"/>
    <w:rsid w:val="004B7673"/>
    <w:rsid w:val="004B774D"/>
    <w:rsid w:val="004B77A8"/>
    <w:rsid w:val="004B7F87"/>
    <w:rsid w:val="004C001C"/>
    <w:rsid w:val="004C0049"/>
    <w:rsid w:val="004C0053"/>
    <w:rsid w:val="004C00ED"/>
    <w:rsid w:val="004C0207"/>
    <w:rsid w:val="004C047F"/>
    <w:rsid w:val="004C05DC"/>
    <w:rsid w:val="004C0778"/>
    <w:rsid w:val="004C0806"/>
    <w:rsid w:val="004C097E"/>
    <w:rsid w:val="004C09C1"/>
    <w:rsid w:val="004C0FBF"/>
    <w:rsid w:val="004C0FF8"/>
    <w:rsid w:val="004C10A8"/>
    <w:rsid w:val="004C1406"/>
    <w:rsid w:val="004C14FD"/>
    <w:rsid w:val="004C1731"/>
    <w:rsid w:val="004C19C5"/>
    <w:rsid w:val="004C1A12"/>
    <w:rsid w:val="004C1B39"/>
    <w:rsid w:val="004C27C7"/>
    <w:rsid w:val="004C2924"/>
    <w:rsid w:val="004C2C48"/>
    <w:rsid w:val="004C2D9D"/>
    <w:rsid w:val="004C2EF8"/>
    <w:rsid w:val="004C314D"/>
    <w:rsid w:val="004C353E"/>
    <w:rsid w:val="004C43A6"/>
    <w:rsid w:val="004C488E"/>
    <w:rsid w:val="004C48B9"/>
    <w:rsid w:val="004C495C"/>
    <w:rsid w:val="004C4AED"/>
    <w:rsid w:val="004C4E35"/>
    <w:rsid w:val="004C5014"/>
    <w:rsid w:val="004C527E"/>
    <w:rsid w:val="004C546B"/>
    <w:rsid w:val="004C5706"/>
    <w:rsid w:val="004C59CB"/>
    <w:rsid w:val="004C5A65"/>
    <w:rsid w:val="004C5AE9"/>
    <w:rsid w:val="004C5AFF"/>
    <w:rsid w:val="004C62DA"/>
    <w:rsid w:val="004C67AF"/>
    <w:rsid w:val="004C6856"/>
    <w:rsid w:val="004C6B57"/>
    <w:rsid w:val="004C6E19"/>
    <w:rsid w:val="004C6F06"/>
    <w:rsid w:val="004C7139"/>
    <w:rsid w:val="004C73F1"/>
    <w:rsid w:val="004C7843"/>
    <w:rsid w:val="004C78A3"/>
    <w:rsid w:val="004C7DEE"/>
    <w:rsid w:val="004D0127"/>
    <w:rsid w:val="004D0208"/>
    <w:rsid w:val="004D0262"/>
    <w:rsid w:val="004D0319"/>
    <w:rsid w:val="004D049E"/>
    <w:rsid w:val="004D05C3"/>
    <w:rsid w:val="004D0AEB"/>
    <w:rsid w:val="004D0D8B"/>
    <w:rsid w:val="004D1152"/>
    <w:rsid w:val="004D11F5"/>
    <w:rsid w:val="004D15D2"/>
    <w:rsid w:val="004D1631"/>
    <w:rsid w:val="004D186C"/>
    <w:rsid w:val="004D189F"/>
    <w:rsid w:val="004D1925"/>
    <w:rsid w:val="004D1A4E"/>
    <w:rsid w:val="004D1FAB"/>
    <w:rsid w:val="004D2070"/>
    <w:rsid w:val="004D2139"/>
    <w:rsid w:val="004D226F"/>
    <w:rsid w:val="004D247F"/>
    <w:rsid w:val="004D2A40"/>
    <w:rsid w:val="004D2C2D"/>
    <w:rsid w:val="004D2E14"/>
    <w:rsid w:val="004D2E88"/>
    <w:rsid w:val="004D36F1"/>
    <w:rsid w:val="004D39E8"/>
    <w:rsid w:val="004D3A96"/>
    <w:rsid w:val="004D3C62"/>
    <w:rsid w:val="004D3D1D"/>
    <w:rsid w:val="004D3D49"/>
    <w:rsid w:val="004D3DAE"/>
    <w:rsid w:val="004D40D8"/>
    <w:rsid w:val="004D42EA"/>
    <w:rsid w:val="004D4894"/>
    <w:rsid w:val="004D4F07"/>
    <w:rsid w:val="004D5121"/>
    <w:rsid w:val="004D5427"/>
    <w:rsid w:val="004D58AF"/>
    <w:rsid w:val="004D5C56"/>
    <w:rsid w:val="004D5E34"/>
    <w:rsid w:val="004D60BD"/>
    <w:rsid w:val="004D614D"/>
    <w:rsid w:val="004D6325"/>
    <w:rsid w:val="004D645E"/>
    <w:rsid w:val="004D64BC"/>
    <w:rsid w:val="004D68EB"/>
    <w:rsid w:val="004D69B5"/>
    <w:rsid w:val="004D6A06"/>
    <w:rsid w:val="004D6A5D"/>
    <w:rsid w:val="004D6CB5"/>
    <w:rsid w:val="004D7227"/>
    <w:rsid w:val="004D746A"/>
    <w:rsid w:val="004D74FA"/>
    <w:rsid w:val="004D753E"/>
    <w:rsid w:val="004D7CB8"/>
    <w:rsid w:val="004D7D0F"/>
    <w:rsid w:val="004D7D62"/>
    <w:rsid w:val="004D7FD2"/>
    <w:rsid w:val="004E0344"/>
    <w:rsid w:val="004E0412"/>
    <w:rsid w:val="004E0578"/>
    <w:rsid w:val="004E05DF"/>
    <w:rsid w:val="004E0630"/>
    <w:rsid w:val="004E098D"/>
    <w:rsid w:val="004E0CAA"/>
    <w:rsid w:val="004E0E7F"/>
    <w:rsid w:val="004E0EB8"/>
    <w:rsid w:val="004E11D6"/>
    <w:rsid w:val="004E141F"/>
    <w:rsid w:val="004E145F"/>
    <w:rsid w:val="004E148C"/>
    <w:rsid w:val="004E14C8"/>
    <w:rsid w:val="004E18E9"/>
    <w:rsid w:val="004E1BD4"/>
    <w:rsid w:val="004E1CE1"/>
    <w:rsid w:val="004E1D63"/>
    <w:rsid w:val="004E1EAB"/>
    <w:rsid w:val="004E1F7A"/>
    <w:rsid w:val="004E25FD"/>
    <w:rsid w:val="004E2674"/>
    <w:rsid w:val="004E2ABD"/>
    <w:rsid w:val="004E2ADC"/>
    <w:rsid w:val="004E2D03"/>
    <w:rsid w:val="004E2D41"/>
    <w:rsid w:val="004E313C"/>
    <w:rsid w:val="004E333F"/>
    <w:rsid w:val="004E3701"/>
    <w:rsid w:val="004E380A"/>
    <w:rsid w:val="004E3A45"/>
    <w:rsid w:val="004E3BBC"/>
    <w:rsid w:val="004E3EB1"/>
    <w:rsid w:val="004E43B2"/>
    <w:rsid w:val="004E43BD"/>
    <w:rsid w:val="004E440C"/>
    <w:rsid w:val="004E440F"/>
    <w:rsid w:val="004E4648"/>
    <w:rsid w:val="004E47DD"/>
    <w:rsid w:val="004E47DF"/>
    <w:rsid w:val="004E4E39"/>
    <w:rsid w:val="004E51D5"/>
    <w:rsid w:val="004E5259"/>
    <w:rsid w:val="004E52BB"/>
    <w:rsid w:val="004E53DE"/>
    <w:rsid w:val="004E5A87"/>
    <w:rsid w:val="004E5ACB"/>
    <w:rsid w:val="004E5AFD"/>
    <w:rsid w:val="004E60EB"/>
    <w:rsid w:val="004E61C5"/>
    <w:rsid w:val="004E6379"/>
    <w:rsid w:val="004E6599"/>
    <w:rsid w:val="004E6866"/>
    <w:rsid w:val="004E6C15"/>
    <w:rsid w:val="004E6C73"/>
    <w:rsid w:val="004E70B7"/>
    <w:rsid w:val="004E740B"/>
    <w:rsid w:val="004E7502"/>
    <w:rsid w:val="004E7667"/>
    <w:rsid w:val="004E77E5"/>
    <w:rsid w:val="004E7802"/>
    <w:rsid w:val="004E7F79"/>
    <w:rsid w:val="004E7FC4"/>
    <w:rsid w:val="004F0017"/>
    <w:rsid w:val="004F0092"/>
    <w:rsid w:val="004F00FB"/>
    <w:rsid w:val="004F0303"/>
    <w:rsid w:val="004F05BE"/>
    <w:rsid w:val="004F0921"/>
    <w:rsid w:val="004F0B8B"/>
    <w:rsid w:val="004F0CAF"/>
    <w:rsid w:val="004F0CE3"/>
    <w:rsid w:val="004F12D3"/>
    <w:rsid w:val="004F12EB"/>
    <w:rsid w:val="004F139D"/>
    <w:rsid w:val="004F16AE"/>
    <w:rsid w:val="004F1A20"/>
    <w:rsid w:val="004F1A63"/>
    <w:rsid w:val="004F1D02"/>
    <w:rsid w:val="004F1E8F"/>
    <w:rsid w:val="004F215E"/>
    <w:rsid w:val="004F2362"/>
    <w:rsid w:val="004F23DA"/>
    <w:rsid w:val="004F2679"/>
    <w:rsid w:val="004F270E"/>
    <w:rsid w:val="004F2851"/>
    <w:rsid w:val="004F29A3"/>
    <w:rsid w:val="004F2C3E"/>
    <w:rsid w:val="004F2F21"/>
    <w:rsid w:val="004F3DE5"/>
    <w:rsid w:val="004F4152"/>
    <w:rsid w:val="004F4283"/>
    <w:rsid w:val="004F4296"/>
    <w:rsid w:val="004F4355"/>
    <w:rsid w:val="004F4B07"/>
    <w:rsid w:val="004F4B45"/>
    <w:rsid w:val="004F5596"/>
    <w:rsid w:val="004F5619"/>
    <w:rsid w:val="004F5A7D"/>
    <w:rsid w:val="004F5E60"/>
    <w:rsid w:val="004F5E79"/>
    <w:rsid w:val="004F62B1"/>
    <w:rsid w:val="004F632A"/>
    <w:rsid w:val="004F640E"/>
    <w:rsid w:val="004F6913"/>
    <w:rsid w:val="004F69EC"/>
    <w:rsid w:val="004F6EF1"/>
    <w:rsid w:val="004F719C"/>
    <w:rsid w:val="004F73FA"/>
    <w:rsid w:val="004F762E"/>
    <w:rsid w:val="004F7791"/>
    <w:rsid w:val="004F7865"/>
    <w:rsid w:val="004F7C49"/>
    <w:rsid w:val="005000F3"/>
    <w:rsid w:val="00500999"/>
    <w:rsid w:val="00500A6E"/>
    <w:rsid w:val="00500A9F"/>
    <w:rsid w:val="00500C59"/>
    <w:rsid w:val="00500E38"/>
    <w:rsid w:val="00500E65"/>
    <w:rsid w:val="00501184"/>
    <w:rsid w:val="005011F0"/>
    <w:rsid w:val="005012AB"/>
    <w:rsid w:val="0050150E"/>
    <w:rsid w:val="005015A8"/>
    <w:rsid w:val="0050174E"/>
    <w:rsid w:val="00501854"/>
    <w:rsid w:val="005019DB"/>
    <w:rsid w:val="00501A46"/>
    <w:rsid w:val="005020E8"/>
    <w:rsid w:val="0050219B"/>
    <w:rsid w:val="00502277"/>
    <w:rsid w:val="0050227D"/>
    <w:rsid w:val="00502588"/>
    <w:rsid w:val="0050287D"/>
    <w:rsid w:val="00502901"/>
    <w:rsid w:val="00502A04"/>
    <w:rsid w:val="00502C10"/>
    <w:rsid w:val="00502C19"/>
    <w:rsid w:val="00502D3F"/>
    <w:rsid w:val="00502D69"/>
    <w:rsid w:val="00502ED9"/>
    <w:rsid w:val="00502F5F"/>
    <w:rsid w:val="00502F71"/>
    <w:rsid w:val="00503034"/>
    <w:rsid w:val="005030A1"/>
    <w:rsid w:val="00503216"/>
    <w:rsid w:val="005034F7"/>
    <w:rsid w:val="00503691"/>
    <w:rsid w:val="005036E7"/>
    <w:rsid w:val="0050399D"/>
    <w:rsid w:val="00503CA4"/>
    <w:rsid w:val="00503EE9"/>
    <w:rsid w:val="00503F17"/>
    <w:rsid w:val="00504040"/>
    <w:rsid w:val="0050424E"/>
    <w:rsid w:val="005042D4"/>
    <w:rsid w:val="005043A9"/>
    <w:rsid w:val="0050449F"/>
    <w:rsid w:val="005047C3"/>
    <w:rsid w:val="00504DD6"/>
    <w:rsid w:val="005054C5"/>
    <w:rsid w:val="005055C6"/>
    <w:rsid w:val="00505752"/>
    <w:rsid w:val="005059A7"/>
    <w:rsid w:val="00505EB9"/>
    <w:rsid w:val="00506009"/>
    <w:rsid w:val="00506054"/>
    <w:rsid w:val="005068AC"/>
    <w:rsid w:val="00506928"/>
    <w:rsid w:val="00506AE1"/>
    <w:rsid w:val="00506D79"/>
    <w:rsid w:val="00507087"/>
    <w:rsid w:val="0050712D"/>
    <w:rsid w:val="0050718B"/>
    <w:rsid w:val="00507363"/>
    <w:rsid w:val="005076AE"/>
    <w:rsid w:val="005077EF"/>
    <w:rsid w:val="00507860"/>
    <w:rsid w:val="00507CC1"/>
    <w:rsid w:val="00507E7E"/>
    <w:rsid w:val="00510159"/>
    <w:rsid w:val="00510183"/>
    <w:rsid w:val="00510704"/>
    <w:rsid w:val="00510858"/>
    <w:rsid w:val="00510BC8"/>
    <w:rsid w:val="00510EFB"/>
    <w:rsid w:val="005110A8"/>
    <w:rsid w:val="005110DD"/>
    <w:rsid w:val="005111D3"/>
    <w:rsid w:val="005113A5"/>
    <w:rsid w:val="00511914"/>
    <w:rsid w:val="00511A24"/>
    <w:rsid w:val="00511AD5"/>
    <w:rsid w:val="00511BC1"/>
    <w:rsid w:val="00511CA3"/>
    <w:rsid w:val="00511DC7"/>
    <w:rsid w:val="005128DA"/>
    <w:rsid w:val="00512A18"/>
    <w:rsid w:val="00512C5D"/>
    <w:rsid w:val="00512EB2"/>
    <w:rsid w:val="00512EBD"/>
    <w:rsid w:val="0051304D"/>
    <w:rsid w:val="005131C2"/>
    <w:rsid w:val="005131F8"/>
    <w:rsid w:val="00513327"/>
    <w:rsid w:val="005133DD"/>
    <w:rsid w:val="005140B2"/>
    <w:rsid w:val="005142C5"/>
    <w:rsid w:val="00514ACE"/>
    <w:rsid w:val="00514CF6"/>
    <w:rsid w:val="00514D53"/>
    <w:rsid w:val="0051501B"/>
    <w:rsid w:val="005152B5"/>
    <w:rsid w:val="00515507"/>
    <w:rsid w:val="005155BF"/>
    <w:rsid w:val="005157F3"/>
    <w:rsid w:val="00515921"/>
    <w:rsid w:val="00515A0C"/>
    <w:rsid w:val="005164E6"/>
    <w:rsid w:val="00516590"/>
    <w:rsid w:val="005165FC"/>
    <w:rsid w:val="005166DF"/>
    <w:rsid w:val="0051686D"/>
    <w:rsid w:val="00516D26"/>
    <w:rsid w:val="00516DF6"/>
    <w:rsid w:val="00516E57"/>
    <w:rsid w:val="00516FC7"/>
    <w:rsid w:val="00517054"/>
    <w:rsid w:val="0051784A"/>
    <w:rsid w:val="005178C9"/>
    <w:rsid w:val="0051790D"/>
    <w:rsid w:val="00517A95"/>
    <w:rsid w:val="00517C2A"/>
    <w:rsid w:val="00517F56"/>
    <w:rsid w:val="00520156"/>
    <w:rsid w:val="005205D4"/>
    <w:rsid w:val="00520861"/>
    <w:rsid w:val="0052090D"/>
    <w:rsid w:val="00520B5D"/>
    <w:rsid w:val="00520C51"/>
    <w:rsid w:val="005210FE"/>
    <w:rsid w:val="0052123C"/>
    <w:rsid w:val="00521246"/>
    <w:rsid w:val="00521319"/>
    <w:rsid w:val="00521992"/>
    <w:rsid w:val="00521A3C"/>
    <w:rsid w:val="00521B30"/>
    <w:rsid w:val="00521E33"/>
    <w:rsid w:val="005220AB"/>
    <w:rsid w:val="005220EA"/>
    <w:rsid w:val="005221B6"/>
    <w:rsid w:val="0052228C"/>
    <w:rsid w:val="005224A1"/>
    <w:rsid w:val="00522823"/>
    <w:rsid w:val="0052286B"/>
    <w:rsid w:val="0052290F"/>
    <w:rsid w:val="00522BC8"/>
    <w:rsid w:val="00522BED"/>
    <w:rsid w:val="00522D59"/>
    <w:rsid w:val="00522E63"/>
    <w:rsid w:val="00523203"/>
    <w:rsid w:val="005232B5"/>
    <w:rsid w:val="0052389F"/>
    <w:rsid w:val="00523A87"/>
    <w:rsid w:val="00523AAF"/>
    <w:rsid w:val="00523BB8"/>
    <w:rsid w:val="00523C28"/>
    <w:rsid w:val="00523CC6"/>
    <w:rsid w:val="00523D3F"/>
    <w:rsid w:val="00523F9B"/>
    <w:rsid w:val="005240C1"/>
    <w:rsid w:val="00524176"/>
    <w:rsid w:val="0052426F"/>
    <w:rsid w:val="00524345"/>
    <w:rsid w:val="00524EB6"/>
    <w:rsid w:val="0052504C"/>
    <w:rsid w:val="005255C1"/>
    <w:rsid w:val="00526636"/>
    <w:rsid w:val="00526744"/>
    <w:rsid w:val="00526C38"/>
    <w:rsid w:val="00526EAE"/>
    <w:rsid w:val="005273A3"/>
    <w:rsid w:val="0052762A"/>
    <w:rsid w:val="0052766F"/>
    <w:rsid w:val="00527844"/>
    <w:rsid w:val="0052797B"/>
    <w:rsid w:val="00527BD1"/>
    <w:rsid w:val="00527BE7"/>
    <w:rsid w:val="00527C70"/>
    <w:rsid w:val="00527D23"/>
    <w:rsid w:val="00527F8D"/>
    <w:rsid w:val="00530120"/>
    <w:rsid w:val="0053014F"/>
    <w:rsid w:val="00530320"/>
    <w:rsid w:val="00530BB7"/>
    <w:rsid w:val="00530BF8"/>
    <w:rsid w:val="005311B8"/>
    <w:rsid w:val="0053153C"/>
    <w:rsid w:val="0053176B"/>
    <w:rsid w:val="00531A47"/>
    <w:rsid w:val="00531D40"/>
    <w:rsid w:val="0053233B"/>
    <w:rsid w:val="00532BA1"/>
    <w:rsid w:val="00532BFD"/>
    <w:rsid w:val="00532CA6"/>
    <w:rsid w:val="00533163"/>
    <w:rsid w:val="0053336B"/>
    <w:rsid w:val="0053376A"/>
    <w:rsid w:val="0053390C"/>
    <w:rsid w:val="00533C7A"/>
    <w:rsid w:val="00533C8D"/>
    <w:rsid w:val="00533EC6"/>
    <w:rsid w:val="00533FDF"/>
    <w:rsid w:val="005340A6"/>
    <w:rsid w:val="00534706"/>
    <w:rsid w:val="005348BE"/>
    <w:rsid w:val="005349A7"/>
    <w:rsid w:val="00534FCA"/>
    <w:rsid w:val="0053500C"/>
    <w:rsid w:val="005351AB"/>
    <w:rsid w:val="00535224"/>
    <w:rsid w:val="005352E6"/>
    <w:rsid w:val="0053568E"/>
    <w:rsid w:val="005357AC"/>
    <w:rsid w:val="0053599B"/>
    <w:rsid w:val="005359E8"/>
    <w:rsid w:val="00536133"/>
    <w:rsid w:val="005363AA"/>
    <w:rsid w:val="005363E6"/>
    <w:rsid w:val="005366E9"/>
    <w:rsid w:val="00536924"/>
    <w:rsid w:val="005369DC"/>
    <w:rsid w:val="00536B00"/>
    <w:rsid w:val="00536CEA"/>
    <w:rsid w:val="00536EFA"/>
    <w:rsid w:val="00536F42"/>
    <w:rsid w:val="00536FB4"/>
    <w:rsid w:val="00537182"/>
    <w:rsid w:val="00537377"/>
    <w:rsid w:val="005373F1"/>
    <w:rsid w:val="00537894"/>
    <w:rsid w:val="005378BF"/>
    <w:rsid w:val="005378ED"/>
    <w:rsid w:val="00537C22"/>
    <w:rsid w:val="00540566"/>
    <w:rsid w:val="0054075C"/>
    <w:rsid w:val="00540792"/>
    <w:rsid w:val="00540CA0"/>
    <w:rsid w:val="00540DEA"/>
    <w:rsid w:val="00540EB4"/>
    <w:rsid w:val="00540EC4"/>
    <w:rsid w:val="00541064"/>
    <w:rsid w:val="005411D3"/>
    <w:rsid w:val="005411D6"/>
    <w:rsid w:val="0054143C"/>
    <w:rsid w:val="005414F8"/>
    <w:rsid w:val="005418C0"/>
    <w:rsid w:val="00541ABA"/>
    <w:rsid w:val="00541ABB"/>
    <w:rsid w:val="00541AEC"/>
    <w:rsid w:val="00541C85"/>
    <w:rsid w:val="00541C97"/>
    <w:rsid w:val="00541EDD"/>
    <w:rsid w:val="005421FF"/>
    <w:rsid w:val="0054272D"/>
    <w:rsid w:val="00542743"/>
    <w:rsid w:val="00542C28"/>
    <w:rsid w:val="00542C2D"/>
    <w:rsid w:val="00542CCF"/>
    <w:rsid w:val="00542F66"/>
    <w:rsid w:val="0054303D"/>
    <w:rsid w:val="00543501"/>
    <w:rsid w:val="00543A3F"/>
    <w:rsid w:val="005442C5"/>
    <w:rsid w:val="005443F5"/>
    <w:rsid w:val="00544489"/>
    <w:rsid w:val="0054458B"/>
    <w:rsid w:val="00544BBD"/>
    <w:rsid w:val="00544E65"/>
    <w:rsid w:val="00544F0A"/>
    <w:rsid w:val="005455E9"/>
    <w:rsid w:val="005457A0"/>
    <w:rsid w:val="0054582B"/>
    <w:rsid w:val="00545AAD"/>
    <w:rsid w:val="00545D27"/>
    <w:rsid w:val="005465CD"/>
    <w:rsid w:val="00546664"/>
    <w:rsid w:val="00546954"/>
    <w:rsid w:val="0054695C"/>
    <w:rsid w:val="00546A30"/>
    <w:rsid w:val="00546CA7"/>
    <w:rsid w:val="00546E78"/>
    <w:rsid w:val="005470DB"/>
    <w:rsid w:val="00547290"/>
    <w:rsid w:val="005472ED"/>
    <w:rsid w:val="00547606"/>
    <w:rsid w:val="005478BD"/>
    <w:rsid w:val="005479E3"/>
    <w:rsid w:val="00547D20"/>
    <w:rsid w:val="00547DAA"/>
    <w:rsid w:val="00550242"/>
    <w:rsid w:val="00550265"/>
    <w:rsid w:val="00550819"/>
    <w:rsid w:val="00550822"/>
    <w:rsid w:val="0055086F"/>
    <w:rsid w:val="005508CC"/>
    <w:rsid w:val="00550FA8"/>
    <w:rsid w:val="005517C3"/>
    <w:rsid w:val="00551985"/>
    <w:rsid w:val="00551F97"/>
    <w:rsid w:val="0055212E"/>
    <w:rsid w:val="00552BD3"/>
    <w:rsid w:val="0055326F"/>
    <w:rsid w:val="005532A0"/>
    <w:rsid w:val="005539A4"/>
    <w:rsid w:val="005539E9"/>
    <w:rsid w:val="00553CDE"/>
    <w:rsid w:val="00553E11"/>
    <w:rsid w:val="00554533"/>
    <w:rsid w:val="00554602"/>
    <w:rsid w:val="005546AC"/>
    <w:rsid w:val="00554B4C"/>
    <w:rsid w:val="00554CE6"/>
    <w:rsid w:val="00554E9E"/>
    <w:rsid w:val="005550B2"/>
    <w:rsid w:val="00555109"/>
    <w:rsid w:val="00555138"/>
    <w:rsid w:val="00555385"/>
    <w:rsid w:val="005553F0"/>
    <w:rsid w:val="0055547D"/>
    <w:rsid w:val="00555780"/>
    <w:rsid w:val="005557EE"/>
    <w:rsid w:val="0055589A"/>
    <w:rsid w:val="00555D4F"/>
    <w:rsid w:val="005562C2"/>
    <w:rsid w:val="0055650A"/>
    <w:rsid w:val="0055682F"/>
    <w:rsid w:val="00556967"/>
    <w:rsid w:val="00556B35"/>
    <w:rsid w:val="00556E75"/>
    <w:rsid w:val="00556EBF"/>
    <w:rsid w:val="00556F08"/>
    <w:rsid w:val="0055741A"/>
    <w:rsid w:val="005576DD"/>
    <w:rsid w:val="00557954"/>
    <w:rsid w:val="00557B78"/>
    <w:rsid w:val="00557C09"/>
    <w:rsid w:val="00557E23"/>
    <w:rsid w:val="00557E6B"/>
    <w:rsid w:val="00560020"/>
    <w:rsid w:val="0056006E"/>
    <w:rsid w:val="005600AB"/>
    <w:rsid w:val="005608D2"/>
    <w:rsid w:val="00560BE7"/>
    <w:rsid w:val="00560BEB"/>
    <w:rsid w:val="005610B5"/>
    <w:rsid w:val="005611B7"/>
    <w:rsid w:val="00561827"/>
    <w:rsid w:val="005618D4"/>
    <w:rsid w:val="005619C5"/>
    <w:rsid w:val="00561A48"/>
    <w:rsid w:val="00561BF7"/>
    <w:rsid w:val="00561D68"/>
    <w:rsid w:val="00562274"/>
    <w:rsid w:val="005622B4"/>
    <w:rsid w:val="005623F1"/>
    <w:rsid w:val="00562447"/>
    <w:rsid w:val="00562820"/>
    <w:rsid w:val="005629F7"/>
    <w:rsid w:val="00562BD6"/>
    <w:rsid w:val="00562FAA"/>
    <w:rsid w:val="005632D8"/>
    <w:rsid w:val="005633E2"/>
    <w:rsid w:val="00563539"/>
    <w:rsid w:val="00563596"/>
    <w:rsid w:val="0056382F"/>
    <w:rsid w:val="00563B4B"/>
    <w:rsid w:val="00563D75"/>
    <w:rsid w:val="00563F19"/>
    <w:rsid w:val="00564054"/>
    <w:rsid w:val="005640A6"/>
    <w:rsid w:val="00564AF1"/>
    <w:rsid w:val="00564D87"/>
    <w:rsid w:val="005653D9"/>
    <w:rsid w:val="0056571F"/>
    <w:rsid w:val="00565B13"/>
    <w:rsid w:val="00565B62"/>
    <w:rsid w:val="00565DF0"/>
    <w:rsid w:val="005660E5"/>
    <w:rsid w:val="005661E4"/>
    <w:rsid w:val="0056660D"/>
    <w:rsid w:val="00566700"/>
    <w:rsid w:val="00566707"/>
    <w:rsid w:val="0056696F"/>
    <w:rsid w:val="0056729F"/>
    <w:rsid w:val="00567D50"/>
    <w:rsid w:val="00570113"/>
    <w:rsid w:val="0057012F"/>
    <w:rsid w:val="005702D0"/>
    <w:rsid w:val="0057048A"/>
    <w:rsid w:val="00570A58"/>
    <w:rsid w:val="00570D25"/>
    <w:rsid w:val="00570D84"/>
    <w:rsid w:val="00570DD4"/>
    <w:rsid w:val="00570DEA"/>
    <w:rsid w:val="00570EFB"/>
    <w:rsid w:val="0057133E"/>
    <w:rsid w:val="005715F8"/>
    <w:rsid w:val="005716BA"/>
    <w:rsid w:val="00571873"/>
    <w:rsid w:val="00571EC1"/>
    <w:rsid w:val="00572269"/>
    <w:rsid w:val="005723BC"/>
    <w:rsid w:val="0057244A"/>
    <w:rsid w:val="00572465"/>
    <w:rsid w:val="00572824"/>
    <w:rsid w:val="00572939"/>
    <w:rsid w:val="00572F26"/>
    <w:rsid w:val="00572FF7"/>
    <w:rsid w:val="00573049"/>
    <w:rsid w:val="0057336F"/>
    <w:rsid w:val="00573934"/>
    <w:rsid w:val="00573E38"/>
    <w:rsid w:val="00573F70"/>
    <w:rsid w:val="00573F94"/>
    <w:rsid w:val="00574059"/>
    <w:rsid w:val="0057410C"/>
    <w:rsid w:val="0057415C"/>
    <w:rsid w:val="0057443A"/>
    <w:rsid w:val="0057499F"/>
    <w:rsid w:val="00574A18"/>
    <w:rsid w:val="00574FC1"/>
    <w:rsid w:val="005750C5"/>
    <w:rsid w:val="005752DE"/>
    <w:rsid w:val="005754B4"/>
    <w:rsid w:val="00575586"/>
    <w:rsid w:val="0057584F"/>
    <w:rsid w:val="00575A30"/>
    <w:rsid w:val="00575D8D"/>
    <w:rsid w:val="00575E38"/>
    <w:rsid w:val="00575E84"/>
    <w:rsid w:val="005760DA"/>
    <w:rsid w:val="0057641D"/>
    <w:rsid w:val="00576565"/>
    <w:rsid w:val="005765B4"/>
    <w:rsid w:val="005765CE"/>
    <w:rsid w:val="00576972"/>
    <w:rsid w:val="00576D73"/>
    <w:rsid w:val="00577223"/>
    <w:rsid w:val="005772BB"/>
    <w:rsid w:val="005776C7"/>
    <w:rsid w:val="00577887"/>
    <w:rsid w:val="00577A8D"/>
    <w:rsid w:val="00577A9D"/>
    <w:rsid w:val="00577D24"/>
    <w:rsid w:val="00580190"/>
    <w:rsid w:val="00580540"/>
    <w:rsid w:val="005806B0"/>
    <w:rsid w:val="0058081E"/>
    <w:rsid w:val="005808B1"/>
    <w:rsid w:val="00580A69"/>
    <w:rsid w:val="00580A6A"/>
    <w:rsid w:val="00581198"/>
    <w:rsid w:val="0058127A"/>
    <w:rsid w:val="005815F9"/>
    <w:rsid w:val="00581718"/>
    <w:rsid w:val="005817C7"/>
    <w:rsid w:val="005818E5"/>
    <w:rsid w:val="00581E66"/>
    <w:rsid w:val="0058214D"/>
    <w:rsid w:val="0058286E"/>
    <w:rsid w:val="00582ABB"/>
    <w:rsid w:val="00582DCD"/>
    <w:rsid w:val="00582FD1"/>
    <w:rsid w:val="00583161"/>
    <w:rsid w:val="00583699"/>
    <w:rsid w:val="00583CE4"/>
    <w:rsid w:val="00583D54"/>
    <w:rsid w:val="0058436C"/>
    <w:rsid w:val="00584460"/>
    <w:rsid w:val="0058448C"/>
    <w:rsid w:val="00584554"/>
    <w:rsid w:val="005849C5"/>
    <w:rsid w:val="00584CEB"/>
    <w:rsid w:val="00584D15"/>
    <w:rsid w:val="00584FE1"/>
    <w:rsid w:val="005850FE"/>
    <w:rsid w:val="005851E7"/>
    <w:rsid w:val="00585801"/>
    <w:rsid w:val="00585B67"/>
    <w:rsid w:val="00585CD9"/>
    <w:rsid w:val="00585CDD"/>
    <w:rsid w:val="005864A8"/>
    <w:rsid w:val="00586662"/>
    <w:rsid w:val="00586E0A"/>
    <w:rsid w:val="00586F8C"/>
    <w:rsid w:val="00586FDC"/>
    <w:rsid w:val="00587058"/>
    <w:rsid w:val="00587274"/>
    <w:rsid w:val="00587E42"/>
    <w:rsid w:val="00587FAA"/>
    <w:rsid w:val="005902A3"/>
    <w:rsid w:val="005908DC"/>
    <w:rsid w:val="00591142"/>
    <w:rsid w:val="005911B1"/>
    <w:rsid w:val="005911CE"/>
    <w:rsid w:val="005913DF"/>
    <w:rsid w:val="00591957"/>
    <w:rsid w:val="00592173"/>
    <w:rsid w:val="0059224A"/>
    <w:rsid w:val="005922E8"/>
    <w:rsid w:val="00592379"/>
    <w:rsid w:val="00592442"/>
    <w:rsid w:val="0059281B"/>
    <w:rsid w:val="00592C39"/>
    <w:rsid w:val="00592D39"/>
    <w:rsid w:val="00592E1D"/>
    <w:rsid w:val="00593350"/>
    <w:rsid w:val="0059362E"/>
    <w:rsid w:val="00593877"/>
    <w:rsid w:val="00593886"/>
    <w:rsid w:val="00593B30"/>
    <w:rsid w:val="00593D36"/>
    <w:rsid w:val="00593E04"/>
    <w:rsid w:val="00593F4D"/>
    <w:rsid w:val="005941D3"/>
    <w:rsid w:val="00594268"/>
    <w:rsid w:val="00594366"/>
    <w:rsid w:val="00595878"/>
    <w:rsid w:val="00595880"/>
    <w:rsid w:val="005959EF"/>
    <w:rsid w:val="00595D4A"/>
    <w:rsid w:val="00595D53"/>
    <w:rsid w:val="0059640F"/>
    <w:rsid w:val="005964DD"/>
    <w:rsid w:val="0059669A"/>
    <w:rsid w:val="00596779"/>
    <w:rsid w:val="0059687C"/>
    <w:rsid w:val="00596881"/>
    <w:rsid w:val="0059718C"/>
    <w:rsid w:val="00597225"/>
    <w:rsid w:val="005974E9"/>
    <w:rsid w:val="00597910"/>
    <w:rsid w:val="00597B3A"/>
    <w:rsid w:val="00597BF9"/>
    <w:rsid w:val="00597CA4"/>
    <w:rsid w:val="00597EA8"/>
    <w:rsid w:val="00597FFD"/>
    <w:rsid w:val="005A010B"/>
    <w:rsid w:val="005A0743"/>
    <w:rsid w:val="005A07FE"/>
    <w:rsid w:val="005A0816"/>
    <w:rsid w:val="005A0903"/>
    <w:rsid w:val="005A0A3A"/>
    <w:rsid w:val="005A0E8C"/>
    <w:rsid w:val="005A0EF5"/>
    <w:rsid w:val="005A13FD"/>
    <w:rsid w:val="005A1593"/>
    <w:rsid w:val="005A16F6"/>
    <w:rsid w:val="005A172E"/>
    <w:rsid w:val="005A1EF3"/>
    <w:rsid w:val="005A1F90"/>
    <w:rsid w:val="005A1F9A"/>
    <w:rsid w:val="005A202F"/>
    <w:rsid w:val="005A23E1"/>
    <w:rsid w:val="005A23EF"/>
    <w:rsid w:val="005A26C9"/>
    <w:rsid w:val="005A2978"/>
    <w:rsid w:val="005A2ABC"/>
    <w:rsid w:val="005A3050"/>
    <w:rsid w:val="005A3097"/>
    <w:rsid w:val="005A309A"/>
    <w:rsid w:val="005A3195"/>
    <w:rsid w:val="005A3525"/>
    <w:rsid w:val="005A3552"/>
    <w:rsid w:val="005A3563"/>
    <w:rsid w:val="005A373D"/>
    <w:rsid w:val="005A3CC4"/>
    <w:rsid w:val="005A3E9C"/>
    <w:rsid w:val="005A41B7"/>
    <w:rsid w:val="005A4691"/>
    <w:rsid w:val="005A4C44"/>
    <w:rsid w:val="005A514A"/>
    <w:rsid w:val="005A5683"/>
    <w:rsid w:val="005A5761"/>
    <w:rsid w:val="005A5779"/>
    <w:rsid w:val="005A5BE0"/>
    <w:rsid w:val="005A5D89"/>
    <w:rsid w:val="005A5E94"/>
    <w:rsid w:val="005A5FF9"/>
    <w:rsid w:val="005A6686"/>
    <w:rsid w:val="005A68BF"/>
    <w:rsid w:val="005A694B"/>
    <w:rsid w:val="005A6A75"/>
    <w:rsid w:val="005A6D1D"/>
    <w:rsid w:val="005A6D2F"/>
    <w:rsid w:val="005A762D"/>
    <w:rsid w:val="005A786C"/>
    <w:rsid w:val="005A7DDE"/>
    <w:rsid w:val="005A7E42"/>
    <w:rsid w:val="005B030A"/>
    <w:rsid w:val="005B0B58"/>
    <w:rsid w:val="005B0D9D"/>
    <w:rsid w:val="005B114C"/>
    <w:rsid w:val="005B13D4"/>
    <w:rsid w:val="005B1404"/>
    <w:rsid w:val="005B14E1"/>
    <w:rsid w:val="005B19EA"/>
    <w:rsid w:val="005B1BE6"/>
    <w:rsid w:val="005B1E89"/>
    <w:rsid w:val="005B1EDB"/>
    <w:rsid w:val="005B2229"/>
    <w:rsid w:val="005B2614"/>
    <w:rsid w:val="005B26E1"/>
    <w:rsid w:val="005B2779"/>
    <w:rsid w:val="005B278D"/>
    <w:rsid w:val="005B28A3"/>
    <w:rsid w:val="005B2AF8"/>
    <w:rsid w:val="005B2CF0"/>
    <w:rsid w:val="005B2E1A"/>
    <w:rsid w:val="005B34C0"/>
    <w:rsid w:val="005B3755"/>
    <w:rsid w:val="005B3C55"/>
    <w:rsid w:val="005B3E61"/>
    <w:rsid w:val="005B411D"/>
    <w:rsid w:val="005B4781"/>
    <w:rsid w:val="005B4964"/>
    <w:rsid w:val="005B499E"/>
    <w:rsid w:val="005B4E53"/>
    <w:rsid w:val="005B4ED0"/>
    <w:rsid w:val="005B5008"/>
    <w:rsid w:val="005B51AD"/>
    <w:rsid w:val="005B5857"/>
    <w:rsid w:val="005B5C04"/>
    <w:rsid w:val="005B5E2B"/>
    <w:rsid w:val="005B6097"/>
    <w:rsid w:val="005B6581"/>
    <w:rsid w:val="005B6620"/>
    <w:rsid w:val="005B6652"/>
    <w:rsid w:val="005B6938"/>
    <w:rsid w:val="005B6C8E"/>
    <w:rsid w:val="005B6E5E"/>
    <w:rsid w:val="005B70B6"/>
    <w:rsid w:val="005B7915"/>
    <w:rsid w:val="005B7B35"/>
    <w:rsid w:val="005B7BE4"/>
    <w:rsid w:val="005B7C2B"/>
    <w:rsid w:val="005B7D56"/>
    <w:rsid w:val="005C0014"/>
    <w:rsid w:val="005C015D"/>
    <w:rsid w:val="005C068A"/>
    <w:rsid w:val="005C07E3"/>
    <w:rsid w:val="005C0ACF"/>
    <w:rsid w:val="005C0CC5"/>
    <w:rsid w:val="005C1416"/>
    <w:rsid w:val="005C161A"/>
    <w:rsid w:val="005C198E"/>
    <w:rsid w:val="005C1B83"/>
    <w:rsid w:val="005C1CD5"/>
    <w:rsid w:val="005C212A"/>
    <w:rsid w:val="005C23C6"/>
    <w:rsid w:val="005C25FF"/>
    <w:rsid w:val="005C2B6E"/>
    <w:rsid w:val="005C2C47"/>
    <w:rsid w:val="005C2D55"/>
    <w:rsid w:val="005C33CC"/>
    <w:rsid w:val="005C33CE"/>
    <w:rsid w:val="005C3447"/>
    <w:rsid w:val="005C346B"/>
    <w:rsid w:val="005C3542"/>
    <w:rsid w:val="005C38A4"/>
    <w:rsid w:val="005C3990"/>
    <w:rsid w:val="005C3CE5"/>
    <w:rsid w:val="005C3F55"/>
    <w:rsid w:val="005C4466"/>
    <w:rsid w:val="005C4496"/>
    <w:rsid w:val="005C47BD"/>
    <w:rsid w:val="005C4881"/>
    <w:rsid w:val="005C4AD5"/>
    <w:rsid w:val="005C518E"/>
    <w:rsid w:val="005C52C7"/>
    <w:rsid w:val="005C5739"/>
    <w:rsid w:val="005C57FA"/>
    <w:rsid w:val="005C5BD4"/>
    <w:rsid w:val="005C5F94"/>
    <w:rsid w:val="005C604D"/>
    <w:rsid w:val="005C613F"/>
    <w:rsid w:val="005C6A2C"/>
    <w:rsid w:val="005C6D79"/>
    <w:rsid w:val="005C6F36"/>
    <w:rsid w:val="005C70CE"/>
    <w:rsid w:val="005C7361"/>
    <w:rsid w:val="005C7781"/>
    <w:rsid w:val="005C7CA0"/>
    <w:rsid w:val="005D0162"/>
    <w:rsid w:val="005D044D"/>
    <w:rsid w:val="005D0ABD"/>
    <w:rsid w:val="005D0E56"/>
    <w:rsid w:val="005D10D9"/>
    <w:rsid w:val="005D18AD"/>
    <w:rsid w:val="005D1980"/>
    <w:rsid w:val="005D20A3"/>
    <w:rsid w:val="005D26B4"/>
    <w:rsid w:val="005D2725"/>
    <w:rsid w:val="005D27B0"/>
    <w:rsid w:val="005D2C38"/>
    <w:rsid w:val="005D2DA6"/>
    <w:rsid w:val="005D318E"/>
    <w:rsid w:val="005D333C"/>
    <w:rsid w:val="005D34F4"/>
    <w:rsid w:val="005D39B3"/>
    <w:rsid w:val="005D406A"/>
    <w:rsid w:val="005D40F2"/>
    <w:rsid w:val="005D4194"/>
    <w:rsid w:val="005D4549"/>
    <w:rsid w:val="005D4665"/>
    <w:rsid w:val="005D46F0"/>
    <w:rsid w:val="005D4A65"/>
    <w:rsid w:val="005D4BF1"/>
    <w:rsid w:val="005D502D"/>
    <w:rsid w:val="005D5125"/>
    <w:rsid w:val="005D58D2"/>
    <w:rsid w:val="005D5944"/>
    <w:rsid w:val="005D5B0B"/>
    <w:rsid w:val="005D5CE0"/>
    <w:rsid w:val="005D5F48"/>
    <w:rsid w:val="005D5F87"/>
    <w:rsid w:val="005D6062"/>
    <w:rsid w:val="005D6162"/>
    <w:rsid w:val="005D6353"/>
    <w:rsid w:val="005D65B8"/>
    <w:rsid w:val="005D6835"/>
    <w:rsid w:val="005D68C6"/>
    <w:rsid w:val="005D6921"/>
    <w:rsid w:val="005D6C58"/>
    <w:rsid w:val="005D6E6E"/>
    <w:rsid w:val="005D6FDF"/>
    <w:rsid w:val="005D7074"/>
    <w:rsid w:val="005D7313"/>
    <w:rsid w:val="005D7A89"/>
    <w:rsid w:val="005D7B48"/>
    <w:rsid w:val="005E02ED"/>
    <w:rsid w:val="005E03E4"/>
    <w:rsid w:val="005E05F9"/>
    <w:rsid w:val="005E090F"/>
    <w:rsid w:val="005E0A8D"/>
    <w:rsid w:val="005E0BC4"/>
    <w:rsid w:val="005E0C88"/>
    <w:rsid w:val="005E1649"/>
    <w:rsid w:val="005E1A67"/>
    <w:rsid w:val="005E1F2D"/>
    <w:rsid w:val="005E20D9"/>
    <w:rsid w:val="005E2398"/>
    <w:rsid w:val="005E2757"/>
    <w:rsid w:val="005E28EA"/>
    <w:rsid w:val="005E292A"/>
    <w:rsid w:val="005E2F64"/>
    <w:rsid w:val="005E310C"/>
    <w:rsid w:val="005E336C"/>
    <w:rsid w:val="005E38CA"/>
    <w:rsid w:val="005E394F"/>
    <w:rsid w:val="005E397B"/>
    <w:rsid w:val="005E3AA8"/>
    <w:rsid w:val="005E3B4B"/>
    <w:rsid w:val="005E3F85"/>
    <w:rsid w:val="005E419C"/>
    <w:rsid w:val="005E4207"/>
    <w:rsid w:val="005E4767"/>
    <w:rsid w:val="005E4A8C"/>
    <w:rsid w:val="005E4C6E"/>
    <w:rsid w:val="005E4CA8"/>
    <w:rsid w:val="005E52B5"/>
    <w:rsid w:val="005E5940"/>
    <w:rsid w:val="005E5A58"/>
    <w:rsid w:val="005E66B5"/>
    <w:rsid w:val="005E6916"/>
    <w:rsid w:val="005E6B77"/>
    <w:rsid w:val="005E6CBC"/>
    <w:rsid w:val="005E6DC2"/>
    <w:rsid w:val="005E70A9"/>
    <w:rsid w:val="005E7201"/>
    <w:rsid w:val="005E72FF"/>
    <w:rsid w:val="005E73C0"/>
    <w:rsid w:val="005E7509"/>
    <w:rsid w:val="005E7554"/>
    <w:rsid w:val="005E7B49"/>
    <w:rsid w:val="005E7D9F"/>
    <w:rsid w:val="005E7FBA"/>
    <w:rsid w:val="005F0464"/>
    <w:rsid w:val="005F086D"/>
    <w:rsid w:val="005F08FD"/>
    <w:rsid w:val="005F090C"/>
    <w:rsid w:val="005F1198"/>
    <w:rsid w:val="005F121C"/>
    <w:rsid w:val="005F1369"/>
    <w:rsid w:val="005F1475"/>
    <w:rsid w:val="005F1549"/>
    <w:rsid w:val="005F1895"/>
    <w:rsid w:val="005F1C3F"/>
    <w:rsid w:val="005F1C7C"/>
    <w:rsid w:val="005F1D00"/>
    <w:rsid w:val="005F2706"/>
    <w:rsid w:val="005F2856"/>
    <w:rsid w:val="005F295B"/>
    <w:rsid w:val="005F2A45"/>
    <w:rsid w:val="005F2A5B"/>
    <w:rsid w:val="005F2A71"/>
    <w:rsid w:val="005F2B51"/>
    <w:rsid w:val="005F2D4E"/>
    <w:rsid w:val="005F2E3A"/>
    <w:rsid w:val="005F2E5A"/>
    <w:rsid w:val="005F3128"/>
    <w:rsid w:val="005F33AA"/>
    <w:rsid w:val="005F3447"/>
    <w:rsid w:val="005F3856"/>
    <w:rsid w:val="005F3EE2"/>
    <w:rsid w:val="005F42DB"/>
    <w:rsid w:val="005F43DF"/>
    <w:rsid w:val="005F444F"/>
    <w:rsid w:val="005F45A0"/>
    <w:rsid w:val="005F4726"/>
    <w:rsid w:val="005F4E8F"/>
    <w:rsid w:val="005F54EC"/>
    <w:rsid w:val="005F5636"/>
    <w:rsid w:val="005F5868"/>
    <w:rsid w:val="005F58B2"/>
    <w:rsid w:val="005F5AAC"/>
    <w:rsid w:val="005F5F4C"/>
    <w:rsid w:val="005F608B"/>
    <w:rsid w:val="005F608E"/>
    <w:rsid w:val="005F61E2"/>
    <w:rsid w:val="005F63A4"/>
    <w:rsid w:val="005F67A8"/>
    <w:rsid w:val="005F682D"/>
    <w:rsid w:val="005F68A9"/>
    <w:rsid w:val="005F6A18"/>
    <w:rsid w:val="005F6A8F"/>
    <w:rsid w:val="005F6A94"/>
    <w:rsid w:val="005F6AE8"/>
    <w:rsid w:val="005F6BB7"/>
    <w:rsid w:val="005F6C6E"/>
    <w:rsid w:val="005F7164"/>
    <w:rsid w:val="005F71CB"/>
    <w:rsid w:val="005F7478"/>
    <w:rsid w:val="005F74B3"/>
    <w:rsid w:val="005F7583"/>
    <w:rsid w:val="005F7588"/>
    <w:rsid w:val="005F79C5"/>
    <w:rsid w:val="006001AC"/>
    <w:rsid w:val="006001BF"/>
    <w:rsid w:val="0060028B"/>
    <w:rsid w:val="00600958"/>
    <w:rsid w:val="00600F24"/>
    <w:rsid w:val="006011B7"/>
    <w:rsid w:val="00601634"/>
    <w:rsid w:val="00601BE4"/>
    <w:rsid w:val="00601D2C"/>
    <w:rsid w:val="00602052"/>
    <w:rsid w:val="006022FB"/>
    <w:rsid w:val="006023B9"/>
    <w:rsid w:val="00602441"/>
    <w:rsid w:val="00602471"/>
    <w:rsid w:val="006024FC"/>
    <w:rsid w:val="00602A8A"/>
    <w:rsid w:val="00602B37"/>
    <w:rsid w:val="006030DE"/>
    <w:rsid w:val="00603288"/>
    <w:rsid w:val="006032B3"/>
    <w:rsid w:val="0060368A"/>
    <w:rsid w:val="00603753"/>
    <w:rsid w:val="0060383A"/>
    <w:rsid w:val="00603856"/>
    <w:rsid w:val="00603906"/>
    <w:rsid w:val="00603939"/>
    <w:rsid w:val="00603A70"/>
    <w:rsid w:val="00603C7F"/>
    <w:rsid w:val="00603DB9"/>
    <w:rsid w:val="00603E00"/>
    <w:rsid w:val="00603EFF"/>
    <w:rsid w:val="00603F4A"/>
    <w:rsid w:val="00604146"/>
    <w:rsid w:val="0060426E"/>
    <w:rsid w:val="00604286"/>
    <w:rsid w:val="006048AB"/>
    <w:rsid w:val="006048FD"/>
    <w:rsid w:val="006049CE"/>
    <w:rsid w:val="00604F7D"/>
    <w:rsid w:val="00605281"/>
    <w:rsid w:val="00605481"/>
    <w:rsid w:val="00605855"/>
    <w:rsid w:val="00605912"/>
    <w:rsid w:val="00605EA0"/>
    <w:rsid w:val="00606015"/>
    <w:rsid w:val="00606472"/>
    <w:rsid w:val="0060686B"/>
    <w:rsid w:val="00606D46"/>
    <w:rsid w:val="00606E18"/>
    <w:rsid w:val="00606FBA"/>
    <w:rsid w:val="00607023"/>
    <w:rsid w:val="0060755C"/>
    <w:rsid w:val="00607669"/>
    <w:rsid w:val="006076F4"/>
    <w:rsid w:val="00607AFD"/>
    <w:rsid w:val="00607EB9"/>
    <w:rsid w:val="00610238"/>
    <w:rsid w:val="006105AD"/>
    <w:rsid w:val="00610749"/>
    <w:rsid w:val="00610777"/>
    <w:rsid w:val="0061086E"/>
    <w:rsid w:val="00610AE8"/>
    <w:rsid w:val="00610F1E"/>
    <w:rsid w:val="0061120D"/>
    <w:rsid w:val="006114C0"/>
    <w:rsid w:val="00611744"/>
    <w:rsid w:val="00611838"/>
    <w:rsid w:val="0061184F"/>
    <w:rsid w:val="00611859"/>
    <w:rsid w:val="00611FA4"/>
    <w:rsid w:val="00612B80"/>
    <w:rsid w:val="00612CCA"/>
    <w:rsid w:val="00612CCD"/>
    <w:rsid w:val="00612F97"/>
    <w:rsid w:val="00613250"/>
    <w:rsid w:val="00613299"/>
    <w:rsid w:val="00613391"/>
    <w:rsid w:val="0061345D"/>
    <w:rsid w:val="00613490"/>
    <w:rsid w:val="006136FB"/>
    <w:rsid w:val="00613745"/>
    <w:rsid w:val="0061374A"/>
    <w:rsid w:val="006139FF"/>
    <w:rsid w:val="00613ABD"/>
    <w:rsid w:val="00613C6E"/>
    <w:rsid w:val="006142A7"/>
    <w:rsid w:val="0061465D"/>
    <w:rsid w:val="00614688"/>
    <w:rsid w:val="00614907"/>
    <w:rsid w:val="00614BAC"/>
    <w:rsid w:val="00614EE9"/>
    <w:rsid w:val="00614F11"/>
    <w:rsid w:val="0061537D"/>
    <w:rsid w:val="0061549B"/>
    <w:rsid w:val="006154DE"/>
    <w:rsid w:val="006156B3"/>
    <w:rsid w:val="00615821"/>
    <w:rsid w:val="00615843"/>
    <w:rsid w:val="00616263"/>
    <w:rsid w:val="006162C2"/>
    <w:rsid w:val="0061649F"/>
    <w:rsid w:val="00616802"/>
    <w:rsid w:val="00616D0A"/>
    <w:rsid w:val="00616D9E"/>
    <w:rsid w:val="006171E1"/>
    <w:rsid w:val="006173D8"/>
    <w:rsid w:val="006173EE"/>
    <w:rsid w:val="006175FC"/>
    <w:rsid w:val="0061766C"/>
    <w:rsid w:val="00617887"/>
    <w:rsid w:val="00617CA7"/>
    <w:rsid w:val="00617E12"/>
    <w:rsid w:val="00617F3A"/>
    <w:rsid w:val="00617F53"/>
    <w:rsid w:val="0062018F"/>
    <w:rsid w:val="00620333"/>
    <w:rsid w:val="006205EF"/>
    <w:rsid w:val="006206C1"/>
    <w:rsid w:val="006207D5"/>
    <w:rsid w:val="0062082A"/>
    <w:rsid w:val="006209E4"/>
    <w:rsid w:val="00620A1C"/>
    <w:rsid w:val="00620B37"/>
    <w:rsid w:val="00620C25"/>
    <w:rsid w:val="00620D32"/>
    <w:rsid w:val="00620E52"/>
    <w:rsid w:val="006210F9"/>
    <w:rsid w:val="00621334"/>
    <w:rsid w:val="006213B5"/>
    <w:rsid w:val="00621477"/>
    <w:rsid w:val="00621768"/>
    <w:rsid w:val="00621ADA"/>
    <w:rsid w:val="00621EF1"/>
    <w:rsid w:val="00622253"/>
    <w:rsid w:val="00622733"/>
    <w:rsid w:val="006227E1"/>
    <w:rsid w:val="00622BAE"/>
    <w:rsid w:val="00622C8D"/>
    <w:rsid w:val="00623A3B"/>
    <w:rsid w:val="00623A76"/>
    <w:rsid w:val="00623C27"/>
    <w:rsid w:val="00623F7B"/>
    <w:rsid w:val="00624114"/>
    <w:rsid w:val="006241E7"/>
    <w:rsid w:val="0062431C"/>
    <w:rsid w:val="00624434"/>
    <w:rsid w:val="006247CF"/>
    <w:rsid w:val="00625182"/>
    <w:rsid w:val="006253FD"/>
    <w:rsid w:val="006254A0"/>
    <w:rsid w:val="00625605"/>
    <w:rsid w:val="006258EB"/>
    <w:rsid w:val="00625A42"/>
    <w:rsid w:val="00625A7A"/>
    <w:rsid w:val="00625CBA"/>
    <w:rsid w:val="00625D13"/>
    <w:rsid w:val="00625E57"/>
    <w:rsid w:val="0062663C"/>
    <w:rsid w:val="006267B6"/>
    <w:rsid w:val="006268B0"/>
    <w:rsid w:val="00626931"/>
    <w:rsid w:val="006269DF"/>
    <w:rsid w:val="00626B4E"/>
    <w:rsid w:val="00626BEB"/>
    <w:rsid w:val="00626D56"/>
    <w:rsid w:val="00626EDE"/>
    <w:rsid w:val="00627058"/>
    <w:rsid w:val="006273F5"/>
    <w:rsid w:val="00627451"/>
    <w:rsid w:val="00627607"/>
    <w:rsid w:val="00627B79"/>
    <w:rsid w:val="0063008B"/>
    <w:rsid w:val="00630318"/>
    <w:rsid w:val="006303C9"/>
    <w:rsid w:val="0063058C"/>
    <w:rsid w:val="006305D0"/>
    <w:rsid w:val="00630BE7"/>
    <w:rsid w:val="00630C5F"/>
    <w:rsid w:val="00630CD5"/>
    <w:rsid w:val="00630D84"/>
    <w:rsid w:val="00630F52"/>
    <w:rsid w:val="0063158F"/>
    <w:rsid w:val="0063175E"/>
    <w:rsid w:val="006317B5"/>
    <w:rsid w:val="0063194C"/>
    <w:rsid w:val="00631CB0"/>
    <w:rsid w:val="00631D6B"/>
    <w:rsid w:val="00632183"/>
    <w:rsid w:val="00632956"/>
    <w:rsid w:val="006330A1"/>
    <w:rsid w:val="0063330A"/>
    <w:rsid w:val="006333ED"/>
    <w:rsid w:val="006339D3"/>
    <w:rsid w:val="00633CCE"/>
    <w:rsid w:val="00633E76"/>
    <w:rsid w:val="00633FBB"/>
    <w:rsid w:val="006342A7"/>
    <w:rsid w:val="0063479F"/>
    <w:rsid w:val="00634909"/>
    <w:rsid w:val="00634A04"/>
    <w:rsid w:val="00634A83"/>
    <w:rsid w:val="00634A9C"/>
    <w:rsid w:val="00634BF2"/>
    <w:rsid w:val="00634C67"/>
    <w:rsid w:val="00634EEE"/>
    <w:rsid w:val="006351A7"/>
    <w:rsid w:val="00635342"/>
    <w:rsid w:val="006353E0"/>
    <w:rsid w:val="006353F0"/>
    <w:rsid w:val="006354CE"/>
    <w:rsid w:val="006356E8"/>
    <w:rsid w:val="00635773"/>
    <w:rsid w:val="006357B5"/>
    <w:rsid w:val="0063648D"/>
    <w:rsid w:val="006364A1"/>
    <w:rsid w:val="0063678E"/>
    <w:rsid w:val="0063696F"/>
    <w:rsid w:val="00636A1A"/>
    <w:rsid w:val="00636D56"/>
    <w:rsid w:val="00636F00"/>
    <w:rsid w:val="006370A5"/>
    <w:rsid w:val="00637135"/>
    <w:rsid w:val="00637689"/>
    <w:rsid w:val="00637803"/>
    <w:rsid w:val="00637829"/>
    <w:rsid w:val="00637857"/>
    <w:rsid w:val="00637BFD"/>
    <w:rsid w:val="00640080"/>
    <w:rsid w:val="006400EC"/>
    <w:rsid w:val="00640241"/>
    <w:rsid w:val="00640C3D"/>
    <w:rsid w:val="00640E3D"/>
    <w:rsid w:val="006410FB"/>
    <w:rsid w:val="0064142E"/>
    <w:rsid w:val="006414D1"/>
    <w:rsid w:val="00641772"/>
    <w:rsid w:val="006417D3"/>
    <w:rsid w:val="00641C4E"/>
    <w:rsid w:val="00641EAE"/>
    <w:rsid w:val="00641FB3"/>
    <w:rsid w:val="00642420"/>
    <w:rsid w:val="0064247B"/>
    <w:rsid w:val="00642B41"/>
    <w:rsid w:val="00642B48"/>
    <w:rsid w:val="00642D52"/>
    <w:rsid w:val="00643144"/>
    <w:rsid w:val="006432FE"/>
    <w:rsid w:val="0064339B"/>
    <w:rsid w:val="00643F0C"/>
    <w:rsid w:val="00643F36"/>
    <w:rsid w:val="00643F51"/>
    <w:rsid w:val="00643FDD"/>
    <w:rsid w:val="0064407B"/>
    <w:rsid w:val="006440C3"/>
    <w:rsid w:val="006442A0"/>
    <w:rsid w:val="0064434C"/>
    <w:rsid w:val="0064478F"/>
    <w:rsid w:val="00644AE4"/>
    <w:rsid w:val="00644BD0"/>
    <w:rsid w:val="006450D3"/>
    <w:rsid w:val="00645761"/>
    <w:rsid w:val="00645CF2"/>
    <w:rsid w:val="006464AF"/>
    <w:rsid w:val="00646F2D"/>
    <w:rsid w:val="006471CC"/>
    <w:rsid w:val="0064772F"/>
    <w:rsid w:val="00647830"/>
    <w:rsid w:val="00647A29"/>
    <w:rsid w:val="00647AF7"/>
    <w:rsid w:val="00647B03"/>
    <w:rsid w:val="00647F14"/>
    <w:rsid w:val="006502DE"/>
    <w:rsid w:val="006503E4"/>
    <w:rsid w:val="0065079F"/>
    <w:rsid w:val="00650858"/>
    <w:rsid w:val="006509BE"/>
    <w:rsid w:val="00650A00"/>
    <w:rsid w:val="00650A51"/>
    <w:rsid w:val="00650D67"/>
    <w:rsid w:val="006511EC"/>
    <w:rsid w:val="00651585"/>
    <w:rsid w:val="0065158C"/>
    <w:rsid w:val="0065160D"/>
    <w:rsid w:val="006519A4"/>
    <w:rsid w:val="00651F13"/>
    <w:rsid w:val="0065214B"/>
    <w:rsid w:val="006525E5"/>
    <w:rsid w:val="00652A28"/>
    <w:rsid w:val="00652BCA"/>
    <w:rsid w:val="00652F47"/>
    <w:rsid w:val="00652FFE"/>
    <w:rsid w:val="00653273"/>
    <w:rsid w:val="006532DA"/>
    <w:rsid w:val="006534E5"/>
    <w:rsid w:val="006536E8"/>
    <w:rsid w:val="0065379F"/>
    <w:rsid w:val="0065382F"/>
    <w:rsid w:val="00653B79"/>
    <w:rsid w:val="00654A51"/>
    <w:rsid w:val="00654B6C"/>
    <w:rsid w:val="00654D1D"/>
    <w:rsid w:val="00654F74"/>
    <w:rsid w:val="006550C9"/>
    <w:rsid w:val="00655334"/>
    <w:rsid w:val="006557C0"/>
    <w:rsid w:val="0065580E"/>
    <w:rsid w:val="006558E1"/>
    <w:rsid w:val="00656188"/>
    <w:rsid w:val="006562B0"/>
    <w:rsid w:val="006564F5"/>
    <w:rsid w:val="00656B10"/>
    <w:rsid w:val="00656C6C"/>
    <w:rsid w:val="00656D8B"/>
    <w:rsid w:val="0065715A"/>
    <w:rsid w:val="006572DC"/>
    <w:rsid w:val="006574C7"/>
    <w:rsid w:val="006574F4"/>
    <w:rsid w:val="00657578"/>
    <w:rsid w:val="006576D2"/>
    <w:rsid w:val="0065783F"/>
    <w:rsid w:val="00657A74"/>
    <w:rsid w:val="00657E5F"/>
    <w:rsid w:val="00657EAC"/>
    <w:rsid w:val="00660004"/>
    <w:rsid w:val="00660052"/>
    <w:rsid w:val="006600D7"/>
    <w:rsid w:val="006601AB"/>
    <w:rsid w:val="00660320"/>
    <w:rsid w:val="00660A96"/>
    <w:rsid w:val="00660D6E"/>
    <w:rsid w:val="00660EBE"/>
    <w:rsid w:val="006610F1"/>
    <w:rsid w:val="006617B0"/>
    <w:rsid w:val="00661C6B"/>
    <w:rsid w:val="00661E50"/>
    <w:rsid w:val="00661E57"/>
    <w:rsid w:val="006625E0"/>
    <w:rsid w:val="00662A20"/>
    <w:rsid w:val="00662B23"/>
    <w:rsid w:val="00662BAB"/>
    <w:rsid w:val="00663326"/>
    <w:rsid w:val="006634B1"/>
    <w:rsid w:val="006634EB"/>
    <w:rsid w:val="006636AC"/>
    <w:rsid w:val="006638AE"/>
    <w:rsid w:val="00664E46"/>
    <w:rsid w:val="00664F44"/>
    <w:rsid w:val="00664FAD"/>
    <w:rsid w:val="0066539D"/>
    <w:rsid w:val="006653B6"/>
    <w:rsid w:val="006654A5"/>
    <w:rsid w:val="006654B5"/>
    <w:rsid w:val="0066565E"/>
    <w:rsid w:val="006659DA"/>
    <w:rsid w:val="00665AF4"/>
    <w:rsid w:val="006660A1"/>
    <w:rsid w:val="006661E5"/>
    <w:rsid w:val="00666615"/>
    <w:rsid w:val="00666750"/>
    <w:rsid w:val="00666B1C"/>
    <w:rsid w:val="00666BA2"/>
    <w:rsid w:val="00666EBF"/>
    <w:rsid w:val="00666FCF"/>
    <w:rsid w:val="006673EF"/>
    <w:rsid w:val="00667729"/>
    <w:rsid w:val="00667D92"/>
    <w:rsid w:val="00667F06"/>
    <w:rsid w:val="006701DF"/>
    <w:rsid w:val="0067033A"/>
    <w:rsid w:val="00670519"/>
    <w:rsid w:val="006705D0"/>
    <w:rsid w:val="00670A19"/>
    <w:rsid w:val="00670A7D"/>
    <w:rsid w:val="00671004"/>
    <w:rsid w:val="00671A84"/>
    <w:rsid w:val="00671BE3"/>
    <w:rsid w:val="00671ED8"/>
    <w:rsid w:val="006720CC"/>
    <w:rsid w:val="0067220C"/>
    <w:rsid w:val="00672281"/>
    <w:rsid w:val="006723DF"/>
    <w:rsid w:val="00672646"/>
    <w:rsid w:val="00672B58"/>
    <w:rsid w:val="00672C87"/>
    <w:rsid w:val="00672C96"/>
    <w:rsid w:val="00672D95"/>
    <w:rsid w:val="00672FB3"/>
    <w:rsid w:val="00672FBF"/>
    <w:rsid w:val="0067370B"/>
    <w:rsid w:val="00673AC7"/>
    <w:rsid w:val="00673B30"/>
    <w:rsid w:val="00673C3E"/>
    <w:rsid w:val="00674B48"/>
    <w:rsid w:val="00674E42"/>
    <w:rsid w:val="00675097"/>
    <w:rsid w:val="00675263"/>
    <w:rsid w:val="00675559"/>
    <w:rsid w:val="00675586"/>
    <w:rsid w:val="00675A3F"/>
    <w:rsid w:val="00675DD8"/>
    <w:rsid w:val="00675E7A"/>
    <w:rsid w:val="00675F22"/>
    <w:rsid w:val="006763DC"/>
    <w:rsid w:val="006764B8"/>
    <w:rsid w:val="00676906"/>
    <w:rsid w:val="00676A35"/>
    <w:rsid w:val="00676BDC"/>
    <w:rsid w:val="006775AA"/>
    <w:rsid w:val="006775AB"/>
    <w:rsid w:val="00677BE2"/>
    <w:rsid w:val="00677E7D"/>
    <w:rsid w:val="00680194"/>
    <w:rsid w:val="0068025C"/>
    <w:rsid w:val="00680524"/>
    <w:rsid w:val="0068082D"/>
    <w:rsid w:val="00680AF5"/>
    <w:rsid w:val="00680D01"/>
    <w:rsid w:val="00680D47"/>
    <w:rsid w:val="00680D5A"/>
    <w:rsid w:val="00680F17"/>
    <w:rsid w:val="006813F8"/>
    <w:rsid w:val="006815E6"/>
    <w:rsid w:val="006816D6"/>
    <w:rsid w:val="00681837"/>
    <w:rsid w:val="00681D1A"/>
    <w:rsid w:val="00682112"/>
    <w:rsid w:val="006822C4"/>
    <w:rsid w:val="00682487"/>
    <w:rsid w:val="0068258C"/>
    <w:rsid w:val="006829B2"/>
    <w:rsid w:val="00682B92"/>
    <w:rsid w:val="00682BA6"/>
    <w:rsid w:val="00683585"/>
    <w:rsid w:val="006839AC"/>
    <w:rsid w:val="00683BED"/>
    <w:rsid w:val="00683EDF"/>
    <w:rsid w:val="006843DB"/>
    <w:rsid w:val="0068480C"/>
    <w:rsid w:val="00684D6C"/>
    <w:rsid w:val="00684F52"/>
    <w:rsid w:val="0068508C"/>
    <w:rsid w:val="006856FE"/>
    <w:rsid w:val="00685882"/>
    <w:rsid w:val="00685A5D"/>
    <w:rsid w:val="00685E12"/>
    <w:rsid w:val="00685F3F"/>
    <w:rsid w:val="00686865"/>
    <w:rsid w:val="00686894"/>
    <w:rsid w:val="00686957"/>
    <w:rsid w:val="00686AB5"/>
    <w:rsid w:val="00686D84"/>
    <w:rsid w:val="006872BA"/>
    <w:rsid w:val="00687423"/>
    <w:rsid w:val="006879EE"/>
    <w:rsid w:val="00690165"/>
    <w:rsid w:val="00690361"/>
    <w:rsid w:val="006904F4"/>
    <w:rsid w:val="00690723"/>
    <w:rsid w:val="00690795"/>
    <w:rsid w:val="00690A42"/>
    <w:rsid w:val="00690C33"/>
    <w:rsid w:val="00690C6B"/>
    <w:rsid w:val="00691648"/>
    <w:rsid w:val="006917D7"/>
    <w:rsid w:val="00691A1C"/>
    <w:rsid w:val="00691D7C"/>
    <w:rsid w:val="00692145"/>
    <w:rsid w:val="006922D1"/>
    <w:rsid w:val="006924F3"/>
    <w:rsid w:val="006924FC"/>
    <w:rsid w:val="00692654"/>
    <w:rsid w:val="006927C1"/>
    <w:rsid w:val="006927D9"/>
    <w:rsid w:val="006927DA"/>
    <w:rsid w:val="0069284E"/>
    <w:rsid w:val="00692D9E"/>
    <w:rsid w:val="0069374D"/>
    <w:rsid w:val="00693E82"/>
    <w:rsid w:val="00693ED7"/>
    <w:rsid w:val="006940C2"/>
    <w:rsid w:val="0069417D"/>
    <w:rsid w:val="0069434C"/>
    <w:rsid w:val="00694719"/>
    <w:rsid w:val="006947EA"/>
    <w:rsid w:val="0069485E"/>
    <w:rsid w:val="00694C59"/>
    <w:rsid w:val="00694D42"/>
    <w:rsid w:val="00694E6B"/>
    <w:rsid w:val="00694EA7"/>
    <w:rsid w:val="00694F44"/>
    <w:rsid w:val="0069506F"/>
    <w:rsid w:val="00695199"/>
    <w:rsid w:val="00695207"/>
    <w:rsid w:val="006957AC"/>
    <w:rsid w:val="00696858"/>
    <w:rsid w:val="00696881"/>
    <w:rsid w:val="00696896"/>
    <w:rsid w:val="00696AF3"/>
    <w:rsid w:val="00696F51"/>
    <w:rsid w:val="00696FD0"/>
    <w:rsid w:val="006970D9"/>
    <w:rsid w:val="0069713C"/>
    <w:rsid w:val="00697193"/>
    <w:rsid w:val="0069766D"/>
    <w:rsid w:val="00697809"/>
    <w:rsid w:val="00697868"/>
    <w:rsid w:val="006979A5"/>
    <w:rsid w:val="006979C4"/>
    <w:rsid w:val="00697B51"/>
    <w:rsid w:val="00697CB5"/>
    <w:rsid w:val="00697E58"/>
    <w:rsid w:val="006A0537"/>
    <w:rsid w:val="006A07E0"/>
    <w:rsid w:val="006A1206"/>
    <w:rsid w:val="006A14B9"/>
    <w:rsid w:val="006A17D8"/>
    <w:rsid w:val="006A1B9A"/>
    <w:rsid w:val="006A1E9E"/>
    <w:rsid w:val="006A20FB"/>
    <w:rsid w:val="006A2494"/>
    <w:rsid w:val="006A2511"/>
    <w:rsid w:val="006A26E3"/>
    <w:rsid w:val="006A288F"/>
    <w:rsid w:val="006A2DEB"/>
    <w:rsid w:val="006A2E4A"/>
    <w:rsid w:val="006A2E7A"/>
    <w:rsid w:val="006A2F27"/>
    <w:rsid w:val="006A2F80"/>
    <w:rsid w:val="006A303C"/>
    <w:rsid w:val="006A305B"/>
    <w:rsid w:val="006A3125"/>
    <w:rsid w:val="006A3168"/>
    <w:rsid w:val="006A36EA"/>
    <w:rsid w:val="006A3781"/>
    <w:rsid w:val="006A383C"/>
    <w:rsid w:val="006A3A0D"/>
    <w:rsid w:val="006A3C1A"/>
    <w:rsid w:val="006A4096"/>
    <w:rsid w:val="006A4856"/>
    <w:rsid w:val="006A4BBF"/>
    <w:rsid w:val="006A4DDE"/>
    <w:rsid w:val="006A500D"/>
    <w:rsid w:val="006A523E"/>
    <w:rsid w:val="006A562A"/>
    <w:rsid w:val="006A57B2"/>
    <w:rsid w:val="006A5D75"/>
    <w:rsid w:val="006A6210"/>
    <w:rsid w:val="006A6603"/>
    <w:rsid w:val="006A6773"/>
    <w:rsid w:val="006A698F"/>
    <w:rsid w:val="006A6B99"/>
    <w:rsid w:val="006A6F2A"/>
    <w:rsid w:val="006A6F94"/>
    <w:rsid w:val="006A716C"/>
    <w:rsid w:val="006A741E"/>
    <w:rsid w:val="006A7523"/>
    <w:rsid w:val="006A77BE"/>
    <w:rsid w:val="006A78BD"/>
    <w:rsid w:val="006A78F7"/>
    <w:rsid w:val="006A7969"/>
    <w:rsid w:val="006A79B2"/>
    <w:rsid w:val="006A7A01"/>
    <w:rsid w:val="006A7B41"/>
    <w:rsid w:val="006A7B5C"/>
    <w:rsid w:val="006A7BAC"/>
    <w:rsid w:val="006A7D34"/>
    <w:rsid w:val="006A7E34"/>
    <w:rsid w:val="006A7E5F"/>
    <w:rsid w:val="006A7FD3"/>
    <w:rsid w:val="006B03B9"/>
    <w:rsid w:val="006B0779"/>
    <w:rsid w:val="006B0843"/>
    <w:rsid w:val="006B0869"/>
    <w:rsid w:val="006B0A7E"/>
    <w:rsid w:val="006B0F67"/>
    <w:rsid w:val="006B10E0"/>
    <w:rsid w:val="006B1467"/>
    <w:rsid w:val="006B14F4"/>
    <w:rsid w:val="006B18E3"/>
    <w:rsid w:val="006B19AA"/>
    <w:rsid w:val="006B21E5"/>
    <w:rsid w:val="006B261B"/>
    <w:rsid w:val="006B289A"/>
    <w:rsid w:val="006B2952"/>
    <w:rsid w:val="006B2C90"/>
    <w:rsid w:val="006B2DFE"/>
    <w:rsid w:val="006B31D3"/>
    <w:rsid w:val="006B322E"/>
    <w:rsid w:val="006B32C9"/>
    <w:rsid w:val="006B33F9"/>
    <w:rsid w:val="006B34B2"/>
    <w:rsid w:val="006B34B8"/>
    <w:rsid w:val="006B3514"/>
    <w:rsid w:val="006B3583"/>
    <w:rsid w:val="006B35E6"/>
    <w:rsid w:val="006B38E2"/>
    <w:rsid w:val="006B3E3D"/>
    <w:rsid w:val="006B3FC1"/>
    <w:rsid w:val="006B40B5"/>
    <w:rsid w:val="006B40D5"/>
    <w:rsid w:val="006B412B"/>
    <w:rsid w:val="006B465A"/>
    <w:rsid w:val="006B4671"/>
    <w:rsid w:val="006B4AFA"/>
    <w:rsid w:val="006B4D89"/>
    <w:rsid w:val="006B4EF9"/>
    <w:rsid w:val="006B5354"/>
    <w:rsid w:val="006B5C48"/>
    <w:rsid w:val="006B60D4"/>
    <w:rsid w:val="006B60DC"/>
    <w:rsid w:val="006B6169"/>
    <w:rsid w:val="006B6220"/>
    <w:rsid w:val="006B66BF"/>
    <w:rsid w:val="006B6772"/>
    <w:rsid w:val="006B6809"/>
    <w:rsid w:val="006B695B"/>
    <w:rsid w:val="006B6DD0"/>
    <w:rsid w:val="006B6DDC"/>
    <w:rsid w:val="006B715F"/>
    <w:rsid w:val="006B7389"/>
    <w:rsid w:val="006B7D2B"/>
    <w:rsid w:val="006B7DD8"/>
    <w:rsid w:val="006C0111"/>
    <w:rsid w:val="006C0399"/>
    <w:rsid w:val="006C0632"/>
    <w:rsid w:val="006C0739"/>
    <w:rsid w:val="006C0D44"/>
    <w:rsid w:val="006C0FDA"/>
    <w:rsid w:val="006C116D"/>
    <w:rsid w:val="006C11CB"/>
    <w:rsid w:val="006C1428"/>
    <w:rsid w:val="006C150C"/>
    <w:rsid w:val="006C16EC"/>
    <w:rsid w:val="006C18D4"/>
    <w:rsid w:val="006C1CCD"/>
    <w:rsid w:val="006C1D18"/>
    <w:rsid w:val="006C2064"/>
    <w:rsid w:val="006C218D"/>
    <w:rsid w:val="006C24B0"/>
    <w:rsid w:val="006C24EE"/>
    <w:rsid w:val="006C2534"/>
    <w:rsid w:val="006C26BE"/>
    <w:rsid w:val="006C27A7"/>
    <w:rsid w:val="006C27E6"/>
    <w:rsid w:val="006C280D"/>
    <w:rsid w:val="006C2A8E"/>
    <w:rsid w:val="006C2D33"/>
    <w:rsid w:val="006C2FB8"/>
    <w:rsid w:val="006C3255"/>
    <w:rsid w:val="006C33ED"/>
    <w:rsid w:val="006C366D"/>
    <w:rsid w:val="006C383A"/>
    <w:rsid w:val="006C3EE6"/>
    <w:rsid w:val="006C3F26"/>
    <w:rsid w:val="006C3FEC"/>
    <w:rsid w:val="006C47DD"/>
    <w:rsid w:val="006C4A29"/>
    <w:rsid w:val="006C4A39"/>
    <w:rsid w:val="006C4DBD"/>
    <w:rsid w:val="006C4E8B"/>
    <w:rsid w:val="006C52D2"/>
    <w:rsid w:val="006C579B"/>
    <w:rsid w:val="006C5D8B"/>
    <w:rsid w:val="006C5DCA"/>
    <w:rsid w:val="006C61A5"/>
    <w:rsid w:val="006C6C22"/>
    <w:rsid w:val="006C70B8"/>
    <w:rsid w:val="006C70DD"/>
    <w:rsid w:val="006C7764"/>
    <w:rsid w:val="006C7A4D"/>
    <w:rsid w:val="006C7B84"/>
    <w:rsid w:val="006C7D14"/>
    <w:rsid w:val="006C7DFF"/>
    <w:rsid w:val="006D05F3"/>
    <w:rsid w:val="006D0A26"/>
    <w:rsid w:val="006D0C68"/>
    <w:rsid w:val="006D0D17"/>
    <w:rsid w:val="006D0D8A"/>
    <w:rsid w:val="006D11DD"/>
    <w:rsid w:val="006D14D3"/>
    <w:rsid w:val="006D191D"/>
    <w:rsid w:val="006D1BBB"/>
    <w:rsid w:val="006D1F29"/>
    <w:rsid w:val="006D22D6"/>
    <w:rsid w:val="006D2739"/>
    <w:rsid w:val="006D2757"/>
    <w:rsid w:val="006D2C67"/>
    <w:rsid w:val="006D2FA5"/>
    <w:rsid w:val="006D2FE2"/>
    <w:rsid w:val="006D342E"/>
    <w:rsid w:val="006D3C10"/>
    <w:rsid w:val="006D3C7D"/>
    <w:rsid w:val="006D3C9A"/>
    <w:rsid w:val="006D4659"/>
    <w:rsid w:val="006D46A6"/>
    <w:rsid w:val="006D4B7A"/>
    <w:rsid w:val="006D4DD3"/>
    <w:rsid w:val="006D4EA1"/>
    <w:rsid w:val="006D4F44"/>
    <w:rsid w:val="006D50D1"/>
    <w:rsid w:val="006D59B6"/>
    <w:rsid w:val="006D59D6"/>
    <w:rsid w:val="006D5B12"/>
    <w:rsid w:val="006D5D5F"/>
    <w:rsid w:val="006D5EDE"/>
    <w:rsid w:val="006D5F93"/>
    <w:rsid w:val="006D626D"/>
    <w:rsid w:val="006D6427"/>
    <w:rsid w:val="006D679A"/>
    <w:rsid w:val="006D680B"/>
    <w:rsid w:val="006D68FB"/>
    <w:rsid w:val="006D6C1C"/>
    <w:rsid w:val="006D6E40"/>
    <w:rsid w:val="006D6FC0"/>
    <w:rsid w:val="006D717B"/>
    <w:rsid w:val="006D7347"/>
    <w:rsid w:val="006D74E3"/>
    <w:rsid w:val="006D7778"/>
    <w:rsid w:val="006D77C7"/>
    <w:rsid w:val="006D7BCA"/>
    <w:rsid w:val="006D7C24"/>
    <w:rsid w:val="006D7DEC"/>
    <w:rsid w:val="006E0268"/>
    <w:rsid w:val="006E03FE"/>
    <w:rsid w:val="006E07DB"/>
    <w:rsid w:val="006E07FE"/>
    <w:rsid w:val="006E0810"/>
    <w:rsid w:val="006E0F40"/>
    <w:rsid w:val="006E15C9"/>
    <w:rsid w:val="006E16B2"/>
    <w:rsid w:val="006E16FA"/>
    <w:rsid w:val="006E1BA0"/>
    <w:rsid w:val="006E27E3"/>
    <w:rsid w:val="006E2868"/>
    <w:rsid w:val="006E292A"/>
    <w:rsid w:val="006E2C58"/>
    <w:rsid w:val="006E2E07"/>
    <w:rsid w:val="006E36A5"/>
    <w:rsid w:val="006E3D10"/>
    <w:rsid w:val="006E4D69"/>
    <w:rsid w:val="006E5A6C"/>
    <w:rsid w:val="006E5CCA"/>
    <w:rsid w:val="006E5CD5"/>
    <w:rsid w:val="006E5D0D"/>
    <w:rsid w:val="006E5F74"/>
    <w:rsid w:val="006E60AF"/>
    <w:rsid w:val="006E6A10"/>
    <w:rsid w:val="006E6BCD"/>
    <w:rsid w:val="006E6CCC"/>
    <w:rsid w:val="006E73EC"/>
    <w:rsid w:val="006E75ED"/>
    <w:rsid w:val="006E77EA"/>
    <w:rsid w:val="006F014F"/>
    <w:rsid w:val="006F0193"/>
    <w:rsid w:val="006F01CE"/>
    <w:rsid w:val="006F0259"/>
    <w:rsid w:val="006F0478"/>
    <w:rsid w:val="006F081D"/>
    <w:rsid w:val="006F0A48"/>
    <w:rsid w:val="006F0AF7"/>
    <w:rsid w:val="006F0B81"/>
    <w:rsid w:val="006F0DF5"/>
    <w:rsid w:val="006F0F80"/>
    <w:rsid w:val="006F0FE7"/>
    <w:rsid w:val="006F1239"/>
    <w:rsid w:val="006F137F"/>
    <w:rsid w:val="006F187F"/>
    <w:rsid w:val="006F196C"/>
    <w:rsid w:val="006F1CDE"/>
    <w:rsid w:val="006F2566"/>
    <w:rsid w:val="006F2932"/>
    <w:rsid w:val="006F2B37"/>
    <w:rsid w:val="006F2D47"/>
    <w:rsid w:val="006F2F97"/>
    <w:rsid w:val="006F306C"/>
    <w:rsid w:val="006F31AE"/>
    <w:rsid w:val="006F3339"/>
    <w:rsid w:val="006F375B"/>
    <w:rsid w:val="006F3955"/>
    <w:rsid w:val="006F3D8A"/>
    <w:rsid w:val="006F3F6B"/>
    <w:rsid w:val="006F400E"/>
    <w:rsid w:val="006F4319"/>
    <w:rsid w:val="006F459B"/>
    <w:rsid w:val="006F46FD"/>
    <w:rsid w:val="006F47C9"/>
    <w:rsid w:val="006F4842"/>
    <w:rsid w:val="006F49D5"/>
    <w:rsid w:val="006F4D66"/>
    <w:rsid w:val="006F4EDA"/>
    <w:rsid w:val="006F50EA"/>
    <w:rsid w:val="006F527C"/>
    <w:rsid w:val="006F5610"/>
    <w:rsid w:val="006F5720"/>
    <w:rsid w:val="006F57DD"/>
    <w:rsid w:val="006F5AB1"/>
    <w:rsid w:val="006F5C7B"/>
    <w:rsid w:val="006F5FC9"/>
    <w:rsid w:val="006F5FCE"/>
    <w:rsid w:val="006F63A5"/>
    <w:rsid w:val="006F66D9"/>
    <w:rsid w:val="006F6DA4"/>
    <w:rsid w:val="006F6E36"/>
    <w:rsid w:val="006F7192"/>
    <w:rsid w:val="006F77CB"/>
    <w:rsid w:val="006F7A9F"/>
    <w:rsid w:val="006F7CE5"/>
    <w:rsid w:val="006F7DA7"/>
    <w:rsid w:val="006F7EFB"/>
    <w:rsid w:val="006F7F58"/>
    <w:rsid w:val="007001D9"/>
    <w:rsid w:val="007003CF"/>
    <w:rsid w:val="0070054E"/>
    <w:rsid w:val="007007F0"/>
    <w:rsid w:val="00700A3B"/>
    <w:rsid w:val="00700D91"/>
    <w:rsid w:val="00700ED5"/>
    <w:rsid w:val="0070142B"/>
    <w:rsid w:val="00701436"/>
    <w:rsid w:val="00701536"/>
    <w:rsid w:val="00701609"/>
    <w:rsid w:val="007016E6"/>
    <w:rsid w:val="00701A39"/>
    <w:rsid w:val="00701C7E"/>
    <w:rsid w:val="00702481"/>
    <w:rsid w:val="0070276E"/>
    <w:rsid w:val="00702A20"/>
    <w:rsid w:val="00702B69"/>
    <w:rsid w:val="00702C56"/>
    <w:rsid w:val="00702C97"/>
    <w:rsid w:val="00702F8F"/>
    <w:rsid w:val="00703197"/>
    <w:rsid w:val="0070344E"/>
    <w:rsid w:val="00703839"/>
    <w:rsid w:val="00703CD6"/>
    <w:rsid w:val="00703DCC"/>
    <w:rsid w:val="00703E8D"/>
    <w:rsid w:val="00703F98"/>
    <w:rsid w:val="00703FE8"/>
    <w:rsid w:val="00704076"/>
    <w:rsid w:val="00704324"/>
    <w:rsid w:val="007046A2"/>
    <w:rsid w:val="00704919"/>
    <w:rsid w:val="007049C6"/>
    <w:rsid w:val="00704BD9"/>
    <w:rsid w:val="00704D15"/>
    <w:rsid w:val="0070509A"/>
    <w:rsid w:val="00705135"/>
    <w:rsid w:val="007052B3"/>
    <w:rsid w:val="0070560C"/>
    <w:rsid w:val="0070598E"/>
    <w:rsid w:val="00705B47"/>
    <w:rsid w:val="0070609B"/>
    <w:rsid w:val="0070610F"/>
    <w:rsid w:val="00706880"/>
    <w:rsid w:val="007068F9"/>
    <w:rsid w:val="00706B83"/>
    <w:rsid w:val="00707700"/>
    <w:rsid w:val="00707864"/>
    <w:rsid w:val="0070799B"/>
    <w:rsid w:val="007079FC"/>
    <w:rsid w:val="00707B35"/>
    <w:rsid w:val="00707FB1"/>
    <w:rsid w:val="007102BC"/>
    <w:rsid w:val="00710406"/>
    <w:rsid w:val="0071096C"/>
    <w:rsid w:val="0071138B"/>
    <w:rsid w:val="007113A6"/>
    <w:rsid w:val="007119DE"/>
    <w:rsid w:val="00711A36"/>
    <w:rsid w:val="00711A4C"/>
    <w:rsid w:val="00711B4B"/>
    <w:rsid w:val="00711BB8"/>
    <w:rsid w:val="00711C9E"/>
    <w:rsid w:val="00712117"/>
    <w:rsid w:val="0071232E"/>
    <w:rsid w:val="007124A2"/>
    <w:rsid w:val="007124C5"/>
    <w:rsid w:val="007129FA"/>
    <w:rsid w:val="00712B64"/>
    <w:rsid w:val="00712C8A"/>
    <w:rsid w:val="0071348D"/>
    <w:rsid w:val="00713559"/>
    <w:rsid w:val="007137AE"/>
    <w:rsid w:val="007139DB"/>
    <w:rsid w:val="00713AB3"/>
    <w:rsid w:val="00713C8E"/>
    <w:rsid w:val="00713D3B"/>
    <w:rsid w:val="00713DC0"/>
    <w:rsid w:val="00713DDE"/>
    <w:rsid w:val="00713EE9"/>
    <w:rsid w:val="00714347"/>
    <w:rsid w:val="00714491"/>
    <w:rsid w:val="007146B7"/>
    <w:rsid w:val="00714C26"/>
    <w:rsid w:val="00714E71"/>
    <w:rsid w:val="00714F81"/>
    <w:rsid w:val="00714FFA"/>
    <w:rsid w:val="0071501B"/>
    <w:rsid w:val="00715042"/>
    <w:rsid w:val="0071525D"/>
    <w:rsid w:val="0071529C"/>
    <w:rsid w:val="007158C9"/>
    <w:rsid w:val="00715C06"/>
    <w:rsid w:val="00715CE8"/>
    <w:rsid w:val="00715CF1"/>
    <w:rsid w:val="00715D0A"/>
    <w:rsid w:val="00716323"/>
    <w:rsid w:val="0071646D"/>
    <w:rsid w:val="00716800"/>
    <w:rsid w:val="007168AA"/>
    <w:rsid w:val="007168C9"/>
    <w:rsid w:val="00716C6F"/>
    <w:rsid w:val="00716D49"/>
    <w:rsid w:val="00716D4F"/>
    <w:rsid w:val="00716F41"/>
    <w:rsid w:val="00716F9A"/>
    <w:rsid w:val="007170BE"/>
    <w:rsid w:val="007170DA"/>
    <w:rsid w:val="007172AD"/>
    <w:rsid w:val="007173E7"/>
    <w:rsid w:val="007173FB"/>
    <w:rsid w:val="007178B9"/>
    <w:rsid w:val="00717A9D"/>
    <w:rsid w:val="00717FFA"/>
    <w:rsid w:val="0072003A"/>
    <w:rsid w:val="00720080"/>
    <w:rsid w:val="00720184"/>
    <w:rsid w:val="007202C8"/>
    <w:rsid w:val="007207B3"/>
    <w:rsid w:val="00720801"/>
    <w:rsid w:val="0072086F"/>
    <w:rsid w:val="00720C6B"/>
    <w:rsid w:val="00720D00"/>
    <w:rsid w:val="00720F49"/>
    <w:rsid w:val="00720F84"/>
    <w:rsid w:val="0072134C"/>
    <w:rsid w:val="007215AE"/>
    <w:rsid w:val="00721988"/>
    <w:rsid w:val="00721B13"/>
    <w:rsid w:val="00722177"/>
    <w:rsid w:val="007223E2"/>
    <w:rsid w:val="00722579"/>
    <w:rsid w:val="00722B1B"/>
    <w:rsid w:val="00722C93"/>
    <w:rsid w:val="00723404"/>
    <w:rsid w:val="007234FF"/>
    <w:rsid w:val="00723608"/>
    <w:rsid w:val="00723807"/>
    <w:rsid w:val="00723974"/>
    <w:rsid w:val="00723A0C"/>
    <w:rsid w:val="00723DA8"/>
    <w:rsid w:val="00723E78"/>
    <w:rsid w:val="00723FB9"/>
    <w:rsid w:val="0072411C"/>
    <w:rsid w:val="00724133"/>
    <w:rsid w:val="0072416F"/>
    <w:rsid w:val="007241BE"/>
    <w:rsid w:val="00724386"/>
    <w:rsid w:val="00724938"/>
    <w:rsid w:val="00724BDA"/>
    <w:rsid w:val="00724E73"/>
    <w:rsid w:val="007252F2"/>
    <w:rsid w:val="007254DE"/>
    <w:rsid w:val="00725674"/>
    <w:rsid w:val="0072575F"/>
    <w:rsid w:val="007257D9"/>
    <w:rsid w:val="00725B24"/>
    <w:rsid w:val="00725E89"/>
    <w:rsid w:val="00726262"/>
    <w:rsid w:val="0072630C"/>
    <w:rsid w:val="007266C9"/>
    <w:rsid w:val="0072678D"/>
    <w:rsid w:val="0072683C"/>
    <w:rsid w:val="00726908"/>
    <w:rsid w:val="00726936"/>
    <w:rsid w:val="007272F6"/>
    <w:rsid w:val="007275FE"/>
    <w:rsid w:val="007278D6"/>
    <w:rsid w:val="0072793A"/>
    <w:rsid w:val="00727B5A"/>
    <w:rsid w:val="00727C94"/>
    <w:rsid w:val="00727D93"/>
    <w:rsid w:val="00730410"/>
    <w:rsid w:val="007304F5"/>
    <w:rsid w:val="007306B6"/>
    <w:rsid w:val="0073085B"/>
    <w:rsid w:val="007309EF"/>
    <w:rsid w:val="00730EF5"/>
    <w:rsid w:val="00731330"/>
    <w:rsid w:val="007319A8"/>
    <w:rsid w:val="00731B0A"/>
    <w:rsid w:val="00731DD9"/>
    <w:rsid w:val="00731EAE"/>
    <w:rsid w:val="0073213D"/>
    <w:rsid w:val="00732493"/>
    <w:rsid w:val="007327C5"/>
    <w:rsid w:val="00732ECF"/>
    <w:rsid w:val="00733073"/>
    <w:rsid w:val="00733140"/>
    <w:rsid w:val="007335C9"/>
    <w:rsid w:val="0073367E"/>
    <w:rsid w:val="00733780"/>
    <w:rsid w:val="00733BA7"/>
    <w:rsid w:val="00733F71"/>
    <w:rsid w:val="0073427F"/>
    <w:rsid w:val="007342AA"/>
    <w:rsid w:val="007343B8"/>
    <w:rsid w:val="0073445C"/>
    <w:rsid w:val="00734475"/>
    <w:rsid w:val="007346E7"/>
    <w:rsid w:val="00734993"/>
    <w:rsid w:val="007349A9"/>
    <w:rsid w:val="00734B1D"/>
    <w:rsid w:val="00734BBC"/>
    <w:rsid w:val="00735033"/>
    <w:rsid w:val="007351D7"/>
    <w:rsid w:val="00735302"/>
    <w:rsid w:val="00735328"/>
    <w:rsid w:val="00735724"/>
    <w:rsid w:val="0073587E"/>
    <w:rsid w:val="007358D0"/>
    <w:rsid w:val="00735D35"/>
    <w:rsid w:val="00735F09"/>
    <w:rsid w:val="00735FBD"/>
    <w:rsid w:val="00736120"/>
    <w:rsid w:val="007361A4"/>
    <w:rsid w:val="007361C0"/>
    <w:rsid w:val="0073685B"/>
    <w:rsid w:val="00736A15"/>
    <w:rsid w:val="00736A2A"/>
    <w:rsid w:val="00736A33"/>
    <w:rsid w:val="00736D42"/>
    <w:rsid w:val="00736E29"/>
    <w:rsid w:val="00736E59"/>
    <w:rsid w:val="007372A8"/>
    <w:rsid w:val="007378A6"/>
    <w:rsid w:val="00737D74"/>
    <w:rsid w:val="007400AE"/>
    <w:rsid w:val="0074043D"/>
    <w:rsid w:val="0074046B"/>
    <w:rsid w:val="0074081D"/>
    <w:rsid w:val="00740C09"/>
    <w:rsid w:val="00741129"/>
    <w:rsid w:val="0074126D"/>
    <w:rsid w:val="00741368"/>
    <w:rsid w:val="0074136E"/>
    <w:rsid w:val="007413B4"/>
    <w:rsid w:val="00741543"/>
    <w:rsid w:val="007418A7"/>
    <w:rsid w:val="00741B00"/>
    <w:rsid w:val="0074216E"/>
    <w:rsid w:val="00742275"/>
    <w:rsid w:val="0074288B"/>
    <w:rsid w:val="007431CA"/>
    <w:rsid w:val="00743483"/>
    <w:rsid w:val="007434CD"/>
    <w:rsid w:val="0074364A"/>
    <w:rsid w:val="0074419D"/>
    <w:rsid w:val="007449BF"/>
    <w:rsid w:val="00744B26"/>
    <w:rsid w:val="0074514C"/>
    <w:rsid w:val="0074529E"/>
    <w:rsid w:val="00745649"/>
    <w:rsid w:val="00745AD1"/>
    <w:rsid w:val="00745D83"/>
    <w:rsid w:val="00746139"/>
    <w:rsid w:val="007463F4"/>
    <w:rsid w:val="00746777"/>
    <w:rsid w:val="00746BC0"/>
    <w:rsid w:val="007470EA"/>
    <w:rsid w:val="00747165"/>
    <w:rsid w:val="00747303"/>
    <w:rsid w:val="007473E8"/>
    <w:rsid w:val="00747463"/>
    <w:rsid w:val="00747502"/>
    <w:rsid w:val="00747533"/>
    <w:rsid w:val="00747641"/>
    <w:rsid w:val="00747D31"/>
    <w:rsid w:val="007505D1"/>
    <w:rsid w:val="007510B4"/>
    <w:rsid w:val="007513D8"/>
    <w:rsid w:val="00751A33"/>
    <w:rsid w:val="00751CAC"/>
    <w:rsid w:val="00751F04"/>
    <w:rsid w:val="00751F78"/>
    <w:rsid w:val="00752125"/>
    <w:rsid w:val="00752142"/>
    <w:rsid w:val="00752178"/>
    <w:rsid w:val="007523F9"/>
    <w:rsid w:val="0075244E"/>
    <w:rsid w:val="00752530"/>
    <w:rsid w:val="00752875"/>
    <w:rsid w:val="00752A10"/>
    <w:rsid w:val="00752B4C"/>
    <w:rsid w:val="00752D9F"/>
    <w:rsid w:val="00752DBA"/>
    <w:rsid w:val="00752F60"/>
    <w:rsid w:val="00753049"/>
    <w:rsid w:val="00753297"/>
    <w:rsid w:val="007532F2"/>
    <w:rsid w:val="0075357E"/>
    <w:rsid w:val="007541A5"/>
    <w:rsid w:val="00754860"/>
    <w:rsid w:val="00754926"/>
    <w:rsid w:val="00754938"/>
    <w:rsid w:val="00755440"/>
    <w:rsid w:val="007555EE"/>
    <w:rsid w:val="007556D1"/>
    <w:rsid w:val="0075582A"/>
    <w:rsid w:val="007558F4"/>
    <w:rsid w:val="007559DF"/>
    <w:rsid w:val="00755A4C"/>
    <w:rsid w:val="00755CF6"/>
    <w:rsid w:val="00755E3A"/>
    <w:rsid w:val="00755E4F"/>
    <w:rsid w:val="007564C7"/>
    <w:rsid w:val="00756B8C"/>
    <w:rsid w:val="00756C0A"/>
    <w:rsid w:val="00756CB0"/>
    <w:rsid w:val="00756D6A"/>
    <w:rsid w:val="00756FCA"/>
    <w:rsid w:val="00757029"/>
    <w:rsid w:val="00757268"/>
    <w:rsid w:val="007573E8"/>
    <w:rsid w:val="00757671"/>
    <w:rsid w:val="00757733"/>
    <w:rsid w:val="00757745"/>
    <w:rsid w:val="00757800"/>
    <w:rsid w:val="00757FB2"/>
    <w:rsid w:val="00760232"/>
    <w:rsid w:val="00760878"/>
    <w:rsid w:val="00760C4E"/>
    <w:rsid w:val="00760D40"/>
    <w:rsid w:val="00760D93"/>
    <w:rsid w:val="00760F9E"/>
    <w:rsid w:val="007616D7"/>
    <w:rsid w:val="00761774"/>
    <w:rsid w:val="00761885"/>
    <w:rsid w:val="00761E40"/>
    <w:rsid w:val="00761EDD"/>
    <w:rsid w:val="007621D6"/>
    <w:rsid w:val="007621EB"/>
    <w:rsid w:val="007622D9"/>
    <w:rsid w:val="00762648"/>
    <w:rsid w:val="007627BE"/>
    <w:rsid w:val="00762A9F"/>
    <w:rsid w:val="007632A6"/>
    <w:rsid w:val="007638B9"/>
    <w:rsid w:val="00763A74"/>
    <w:rsid w:val="007640CE"/>
    <w:rsid w:val="00764103"/>
    <w:rsid w:val="0076463F"/>
    <w:rsid w:val="00764756"/>
    <w:rsid w:val="00764DDE"/>
    <w:rsid w:val="00764E74"/>
    <w:rsid w:val="00764F03"/>
    <w:rsid w:val="00764F48"/>
    <w:rsid w:val="00764F67"/>
    <w:rsid w:val="00764FF9"/>
    <w:rsid w:val="00765B1A"/>
    <w:rsid w:val="00765B55"/>
    <w:rsid w:val="00765C6A"/>
    <w:rsid w:val="00765E6A"/>
    <w:rsid w:val="00766374"/>
    <w:rsid w:val="0076685F"/>
    <w:rsid w:val="00766C1A"/>
    <w:rsid w:val="00766F09"/>
    <w:rsid w:val="00767389"/>
    <w:rsid w:val="00767573"/>
    <w:rsid w:val="007675B0"/>
    <w:rsid w:val="00767C3E"/>
    <w:rsid w:val="0077003F"/>
    <w:rsid w:val="007707E9"/>
    <w:rsid w:val="007709FD"/>
    <w:rsid w:val="00770BB1"/>
    <w:rsid w:val="007710C5"/>
    <w:rsid w:val="0077196E"/>
    <w:rsid w:val="00771978"/>
    <w:rsid w:val="00771A58"/>
    <w:rsid w:val="0077212E"/>
    <w:rsid w:val="007724F7"/>
    <w:rsid w:val="007725AD"/>
    <w:rsid w:val="00772633"/>
    <w:rsid w:val="0077297E"/>
    <w:rsid w:val="00772B06"/>
    <w:rsid w:val="00772B6B"/>
    <w:rsid w:val="00772D34"/>
    <w:rsid w:val="007732D0"/>
    <w:rsid w:val="00773367"/>
    <w:rsid w:val="0077351D"/>
    <w:rsid w:val="00773791"/>
    <w:rsid w:val="00773870"/>
    <w:rsid w:val="00773A09"/>
    <w:rsid w:val="00773A28"/>
    <w:rsid w:val="00773BDE"/>
    <w:rsid w:val="00773F57"/>
    <w:rsid w:val="00773F7B"/>
    <w:rsid w:val="007740F5"/>
    <w:rsid w:val="00774230"/>
    <w:rsid w:val="0077442E"/>
    <w:rsid w:val="00774627"/>
    <w:rsid w:val="007746BE"/>
    <w:rsid w:val="00774872"/>
    <w:rsid w:val="00774A20"/>
    <w:rsid w:val="00774A61"/>
    <w:rsid w:val="00774D0E"/>
    <w:rsid w:val="00774DE5"/>
    <w:rsid w:val="00774E24"/>
    <w:rsid w:val="00774E82"/>
    <w:rsid w:val="00775062"/>
    <w:rsid w:val="00775158"/>
    <w:rsid w:val="007758AC"/>
    <w:rsid w:val="007758B6"/>
    <w:rsid w:val="007758FC"/>
    <w:rsid w:val="00775CB1"/>
    <w:rsid w:val="00775F0F"/>
    <w:rsid w:val="0077641E"/>
    <w:rsid w:val="007769D3"/>
    <w:rsid w:val="00776A74"/>
    <w:rsid w:val="00776A9D"/>
    <w:rsid w:val="00776F89"/>
    <w:rsid w:val="00777019"/>
    <w:rsid w:val="00777335"/>
    <w:rsid w:val="00777427"/>
    <w:rsid w:val="007774A1"/>
    <w:rsid w:val="0077794A"/>
    <w:rsid w:val="00777B4C"/>
    <w:rsid w:val="00777DDA"/>
    <w:rsid w:val="00780012"/>
    <w:rsid w:val="00780098"/>
    <w:rsid w:val="0078015B"/>
    <w:rsid w:val="007803CE"/>
    <w:rsid w:val="007805C1"/>
    <w:rsid w:val="00780978"/>
    <w:rsid w:val="0078097A"/>
    <w:rsid w:val="00780F3E"/>
    <w:rsid w:val="00781280"/>
    <w:rsid w:val="00781DC9"/>
    <w:rsid w:val="00781E07"/>
    <w:rsid w:val="00781EE6"/>
    <w:rsid w:val="00781FBC"/>
    <w:rsid w:val="007822DA"/>
    <w:rsid w:val="007829B2"/>
    <w:rsid w:val="00782A92"/>
    <w:rsid w:val="00782BA0"/>
    <w:rsid w:val="00783214"/>
    <w:rsid w:val="007837B6"/>
    <w:rsid w:val="00783D7F"/>
    <w:rsid w:val="00783DC1"/>
    <w:rsid w:val="00783F37"/>
    <w:rsid w:val="007843F2"/>
    <w:rsid w:val="00784B48"/>
    <w:rsid w:val="00784DFE"/>
    <w:rsid w:val="0078539C"/>
    <w:rsid w:val="00785633"/>
    <w:rsid w:val="007857CB"/>
    <w:rsid w:val="00785959"/>
    <w:rsid w:val="00785A9F"/>
    <w:rsid w:val="00786562"/>
    <w:rsid w:val="00786A32"/>
    <w:rsid w:val="00786FA0"/>
    <w:rsid w:val="0078715F"/>
    <w:rsid w:val="0078728E"/>
    <w:rsid w:val="0078763B"/>
    <w:rsid w:val="00787D2C"/>
    <w:rsid w:val="00787F3E"/>
    <w:rsid w:val="007901AA"/>
    <w:rsid w:val="0079023B"/>
    <w:rsid w:val="007906AE"/>
    <w:rsid w:val="00790811"/>
    <w:rsid w:val="0079096F"/>
    <w:rsid w:val="00790BC7"/>
    <w:rsid w:val="00791103"/>
    <w:rsid w:val="0079153B"/>
    <w:rsid w:val="00791770"/>
    <w:rsid w:val="00791930"/>
    <w:rsid w:val="00791E81"/>
    <w:rsid w:val="00792118"/>
    <w:rsid w:val="007925DF"/>
    <w:rsid w:val="00792C91"/>
    <w:rsid w:val="0079309D"/>
    <w:rsid w:val="007930EC"/>
    <w:rsid w:val="00793312"/>
    <w:rsid w:val="00793789"/>
    <w:rsid w:val="007938CC"/>
    <w:rsid w:val="007938FB"/>
    <w:rsid w:val="00793A05"/>
    <w:rsid w:val="00793B6D"/>
    <w:rsid w:val="00794107"/>
    <w:rsid w:val="0079418D"/>
    <w:rsid w:val="007945F0"/>
    <w:rsid w:val="00794EA9"/>
    <w:rsid w:val="00794F15"/>
    <w:rsid w:val="00795313"/>
    <w:rsid w:val="0079538D"/>
    <w:rsid w:val="007953B4"/>
    <w:rsid w:val="007956F3"/>
    <w:rsid w:val="00795803"/>
    <w:rsid w:val="00795836"/>
    <w:rsid w:val="0079590B"/>
    <w:rsid w:val="00795AF6"/>
    <w:rsid w:val="00795CC0"/>
    <w:rsid w:val="00795FD5"/>
    <w:rsid w:val="007960CF"/>
    <w:rsid w:val="0079664F"/>
    <w:rsid w:val="00796D19"/>
    <w:rsid w:val="00797415"/>
    <w:rsid w:val="00797A12"/>
    <w:rsid w:val="00797BD0"/>
    <w:rsid w:val="00797E9C"/>
    <w:rsid w:val="007A018B"/>
    <w:rsid w:val="007A0272"/>
    <w:rsid w:val="007A0351"/>
    <w:rsid w:val="007A0401"/>
    <w:rsid w:val="007A08AA"/>
    <w:rsid w:val="007A0A12"/>
    <w:rsid w:val="007A0F5E"/>
    <w:rsid w:val="007A132D"/>
    <w:rsid w:val="007A1345"/>
    <w:rsid w:val="007A16D1"/>
    <w:rsid w:val="007A2092"/>
    <w:rsid w:val="007A21B1"/>
    <w:rsid w:val="007A2386"/>
    <w:rsid w:val="007A244E"/>
    <w:rsid w:val="007A269B"/>
    <w:rsid w:val="007A269E"/>
    <w:rsid w:val="007A28D8"/>
    <w:rsid w:val="007A29FB"/>
    <w:rsid w:val="007A2CD2"/>
    <w:rsid w:val="007A2DDB"/>
    <w:rsid w:val="007A3197"/>
    <w:rsid w:val="007A3206"/>
    <w:rsid w:val="007A3239"/>
    <w:rsid w:val="007A3476"/>
    <w:rsid w:val="007A3709"/>
    <w:rsid w:val="007A375F"/>
    <w:rsid w:val="007A38C4"/>
    <w:rsid w:val="007A3ADB"/>
    <w:rsid w:val="007A410E"/>
    <w:rsid w:val="007A426A"/>
    <w:rsid w:val="007A42C1"/>
    <w:rsid w:val="007A4319"/>
    <w:rsid w:val="007A4352"/>
    <w:rsid w:val="007A45E7"/>
    <w:rsid w:val="007A4994"/>
    <w:rsid w:val="007A49D8"/>
    <w:rsid w:val="007A4AD1"/>
    <w:rsid w:val="007A4E3C"/>
    <w:rsid w:val="007A51BE"/>
    <w:rsid w:val="007A58E3"/>
    <w:rsid w:val="007A5E05"/>
    <w:rsid w:val="007A5E97"/>
    <w:rsid w:val="007A5EB0"/>
    <w:rsid w:val="007A6085"/>
    <w:rsid w:val="007A61BA"/>
    <w:rsid w:val="007A6389"/>
    <w:rsid w:val="007A6785"/>
    <w:rsid w:val="007A685D"/>
    <w:rsid w:val="007A68AF"/>
    <w:rsid w:val="007A6A2B"/>
    <w:rsid w:val="007A6D3F"/>
    <w:rsid w:val="007A6DAE"/>
    <w:rsid w:val="007A70BA"/>
    <w:rsid w:val="007A730F"/>
    <w:rsid w:val="007A75DD"/>
    <w:rsid w:val="007B0064"/>
    <w:rsid w:val="007B0194"/>
    <w:rsid w:val="007B01E7"/>
    <w:rsid w:val="007B021C"/>
    <w:rsid w:val="007B029F"/>
    <w:rsid w:val="007B066D"/>
    <w:rsid w:val="007B0791"/>
    <w:rsid w:val="007B081A"/>
    <w:rsid w:val="007B0D60"/>
    <w:rsid w:val="007B0D68"/>
    <w:rsid w:val="007B0E32"/>
    <w:rsid w:val="007B12ED"/>
    <w:rsid w:val="007B15E4"/>
    <w:rsid w:val="007B1651"/>
    <w:rsid w:val="007B177B"/>
    <w:rsid w:val="007B18C0"/>
    <w:rsid w:val="007B18C1"/>
    <w:rsid w:val="007B1BC1"/>
    <w:rsid w:val="007B1CC0"/>
    <w:rsid w:val="007B1E05"/>
    <w:rsid w:val="007B23AE"/>
    <w:rsid w:val="007B251D"/>
    <w:rsid w:val="007B2D7F"/>
    <w:rsid w:val="007B31D7"/>
    <w:rsid w:val="007B336F"/>
    <w:rsid w:val="007B3714"/>
    <w:rsid w:val="007B3AC2"/>
    <w:rsid w:val="007B3AE7"/>
    <w:rsid w:val="007B3C0A"/>
    <w:rsid w:val="007B3E23"/>
    <w:rsid w:val="007B4927"/>
    <w:rsid w:val="007B4AE3"/>
    <w:rsid w:val="007B4B38"/>
    <w:rsid w:val="007B4F58"/>
    <w:rsid w:val="007B528D"/>
    <w:rsid w:val="007B56F8"/>
    <w:rsid w:val="007B5847"/>
    <w:rsid w:val="007B5AF7"/>
    <w:rsid w:val="007B62F2"/>
    <w:rsid w:val="007B63B6"/>
    <w:rsid w:val="007B63CA"/>
    <w:rsid w:val="007B640D"/>
    <w:rsid w:val="007B6430"/>
    <w:rsid w:val="007B6789"/>
    <w:rsid w:val="007B67E2"/>
    <w:rsid w:val="007B6F4C"/>
    <w:rsid w:val="007B71DA"/>
    <w:rsid w:val="007B752D"/>
    <w:rsid w:val="007B77D1"/>
    <w:rsid w:val="007B7A0E"/>
    <w:rsid w:val="007B7AEC"/>
    <w:rsid w:val="007B7BD9"/>
    <w:rsid w:val="007B7C5A"/>
    <w:rsid w:val="007B7F95"/>
    <w:rsid w:val="007C00FF"/>
    <w:rsid w:val="007C02CD"/>
    <w:rsid w:val="007C055E"/>
    <w:rsid w:val="007C07C7"/>
    <w:rsid w:val="007C0908"/>
    <w:rsid w:val="007C0B97"/>
    <w:rsid w:val="007C1B0E"/>
    <w:rsid w:val="007C1C80"/>
    <w:rsid w:val="007C1CD9"/>
    <w:rsid w:val="007C1CE6"/>
    <w:rsid w:val="007C20EF"/>
    <w:rsid w:val="007C214A"/>
    <w:rsid w:val="007C22A6"/>
    <w:rsid w:val="007C25AD"/>
    <w:rsid w:val="007C280B"/>
    <w:rsid w:val="007C2836"/>
    <w:rsid w:val="007C28C3"/>
    <w:rsid w:val="007C28D6"/>
    <w:rsid w:val="007C28FA"/>
    <w:rsid w:val="007C2A1E"/>
    <w:rsid w:val="007C2B60"/>
    <w:rsid w:val="007C2BA5"/>
    <w:rsid w:val="007C2D02"/>
    <w:rsid w:val="007C2D90"/>
    <w:rsid w:val="007C3032"/>
    <w:rsid w:val="007C303B"/>
    <w:rsid w:val="007C32EF"/>
    <w:rsid w:val="007C34FC"/>
    <w:rsid w:val="007C361D"/>
    <w:rsid w:val="007C3788"/>
    <w:rsid w:val="007C388A"/>
    <w:rsid w:val="007C3892"/>
    <w:rsid w:val="007C3D94"/>
    <w:rsid w:val="007C404B"/>
    <w:rsid w:val="007C47E1"/>
    <w:rsid w:val="007C4819"/>
    <w:rsid w:val="007C4AD1"/>
    <w:rsid w:val="007C4B7A"/>
    <w:rsid w:val="007C4B84"/>
    <w:rsid w:val="007C4BC3"/>
    <w:rsid w:val="007C4E51"/>
    <w:rsid w:val="007C53A5"/>
    <w:rsid w:val="007C5430"/>
    <w:rsid w:val="007C54DB"/>
    <w:rsid w:val="007C55B4"/>
    <w:rsid w:val="007C59AF"/>
    <w:rsid w:val="007C5C00"/>
    <w:rsid w:val="007C5C5C"/>
    <w:rsid w:val="007C5C7D"/>
    <w:rsid w:val="007C5C9C"/>
    <w:rsid w:val="007C5D35"/>
    <w:rsid w:val="007C60FD"/>
    <w:rsid w:val="007C61D5"/>
    <w:rsid w:val="007C6730"/>
    <w:rsid w:val="007C6850"/>
    <w:rsid w:val="007C6920"/>
    <w:rsid w:val="007C6B75"/>
    <w:rsid w:val="007C6BC1"/>
    <w:rsid w:val="007C70BB"/>
    <w:rsid w:val="007C70FF"/>
    <w:rsid w:val="007C7777"/>
    <w:rsid w:val="007C7899"/>
    <w:rsid w:val="007C7A8A"/>
    <w:rsid w:val="007C7C25"/>
    <w:rsid w:val="007C7C2F"/>
    <w:rsid w:val="007C7C63"/>
    <w:rsid w:val="007C7D75"/>
    <w:rsid w:val="007C7DF3"/>
    <w:rsid w:val="007D004F"/>
    <w:rsid w:val="007D0289"/>
    <w:rsid w:val="007D0672"/>
    <w:rsid w:val="007D0685"/>
    <w:rsid w:val="007D0B38"/>
    <w:rsid w:val="007D0D5D"/>
    <w:rsid w:val="007D0E5D"/>
    <w:rsid w:val="007D1340"/>
    <w:rsid w:val="007D1433"/>
    <w:rsid w:val="007D14CA"/>
    <w:rsid w:val="007D15E6"/>
    <w:rsid w:val="007D1625"/>
    <w:rsid w:val="007D1875"/>
    <w:rsid w:val="007D18EF"/>
    <w:rsid w:val="007D1BA8"/>
    <w:rsid w:val="007D1C45"/>
    <w:rsid w:val="007D2130"/>
    <w:rsid w:val="007D2300"/>
    <w:rsid w:val="007D26F5"/>
    <w:rsid w:val="007D2854"/>
    <w:rsid w:val="007D2A9A"/>
    <w:rsid w:val="007D2D40"/>
    <w:rsid w:val="007D2DAC"/>
    <w:rsid w:val="007D313B"/>
    <w:rsid w:val="007D318E"/>
    <w:rsid w:val="007D403F"/>
    <w:rsid w:val="007D4230"/>
    <w:rsid w:val="007D4471"/>
    <w:rsid w:val="007D448F"/>
    <w:rsid w:val="007D4FB3"/>
    <w:rsid w:val="007D4FE3"/>
    <w:rsid w:val="007D5440"/>
    <w:rsid w:val="007D559E"/>
    <w:rsid w:val="007D5692"/>
    <w:rsid w:val="007D59E9"/>
    <w:rsid w:val="007D5D01"/>
    <w:rsid w:val="007D5D6D"/>
    <w:rsid w:val="007D5EC1"/>
    <w:rsid w:val="007D604F"/>
    <w:rsid w:val="007D69EB"/>
    <w:rsid w:val="007D6A7E"/>
    <w:rsid w:val="007D6B28"/>
    <w:rsid w:val="007D7324"/>
    <w:rsid w:val="007D753C"/>
    <w:rsid w:val="007D788B"/>
    <w:rsid w:val="007D790B"/>
    <w:rsid w:val="007D7A54"/>
    <w:rsid w:val="007D7F4B"/>
    <w:rsid w:val="007E005F"/>
    <w:rsid w:val="007E03A3"/>
    <w:rsid w:val="007E03D1"/>
    <w:rsid w:val="007E040E"/>
    <w:rsid w:val="007E0570"/>
    <w:rsid w:val="007E0771"/>
    <w:rsid w:val="007E09E6"/>
    <w:rsid w:val="007E0B56"/>
    <w:rsid w:val="007E0E29"/>
    <w:rsid w:val="007E128F"/>
    <w:rsid w:val="007E155C"/>
    <w:rsid w:val="007E17B0"/>
    <w:rsid w:val="007E18FA"/>
    <w:rsid w:val="007E1A6B"/>
    <w:rsid w:val="007E1BB9"/>
    <w:rsid w:val="007E1C2F"/>
    <w:rsid w:val="007E1CD3"/>
    <w:rsid w:val="007E1FB5"/>
    <w:rsid w:val="007E2100"/>
    <w:rsid w:val="007E219B"/>
    <w:rsid w:val="007E238B"/>
    <w:rsid w:val="007E2680"/>
    <w:rsid w:val="007E26DC"/>
    <w:rsid w:val="007E2A1F"/>
    <w:rsid w:val="007E2B2F"/>
    <w:rsid w:val="007E2BFA"/>
    <w:rsid w:val="007E2F2B"/>
    <w:rsid w:val="007E2F43"/>
    <w:rsid w:val="007E32BC"/>
    <w:rsid w:val="007E389E"/>
    <w:rsid w:val="007E3F6D"/>
    <w:rsid w:val="007E49C3"/>
    <w:rsid w:val="007E49CC"/>
    <w:rsid w:val="007E4F9B"/>
    <w:rsid w:val="007E51AC"/>
    <w:rsid w:val="007E51CF"/>
    <w:rsid w:val="007E523A"/>
    <w:rsid w:val="007E5264"/>
    <w:rsid w:val="007E5ABD"/>
    <w:rsid w:val="007E62EC"/>
    <w:rsid w:val="007E63D6"/>
    <w:rsid w:val="007E6718"/>
    <w:rsid w:val="007E697B"/>
    <w:rsid w:val="007E6A79"/>
    <w:rsid w:val="007E6AB3"/>
    <w:rsid w:val="007E6C1E"/>
    <w:rsid w:val="007E70A8"/>
    <w:rsid w:val="007E710D"/>
    <w:rsid w:val="007E719B"/>
    <w:rsid w:val="007E7381"/>
    <w:rsid w:val="007E7398"/>
    <w:rsid w:val="007E7686"/>
    <w:rsid w:val="007E7F5C"/>
    <w:rsid w:val="007E7F7B"/>
    <w:rsid w:val="007F02F2"/>
    <w:rsid w:val="007F038C"/>
    <w:rsid w:val="007F0472"/>
    <w:rsid w:val="007F093B"/>
    <w:rsid w:val="007F0F84"/>
    <w:rsid w:val="007F1017"/>
    <w:rsid w:val="007F12A8"/>
    <w:rsid w:val="007F150E"/>
    <w:rsid w:val="007F16FA"/>
    <w:rsid w:val="007F1869"/>
    <w:rsid w:val="007F1995"/>
    <w:rsid w:val="007F1AD6"/>
    <w:rsid w:val="007F1C93"/>
    <w:rsid w:val="007F223B"/>
    <w:rsid w:val="007F228A"/>
    <w:rsid w:val="007F22C3"/>
    <w:rsid w:val="007F27A7"/>
    <w:rsid w:val="007F2B54"/>
    <w:rsid w:val="007F2C1A"/>
    <w:rsid w:val="007F2CA2"/>
    <w:rsid w:val="007F3158"/>
    <w:rsid w:val="007F32F8"/>
    <w:rsid w:val="007F34D3"/>
    <w:rsid w:val="007F35DB"/>
    <w:rsid w:val="007F378B"/>
    <w:rsid w:val="007F3895"/>
    <w:rsid w:val="007F3A95"/>
    <w:rsid w:val="007F3B26"/>
    <w:rsid w:val="007F3B56"/>
    <w:rsid w:val="007F408E"/>
    <w:rsid w:val="007F42E9"/>
    <w:rsid w:val="007F4A3F"/>
    <w:rsid w:val="007F4A61"/>
    <w:rsid w:val="007F5255"/>
    <w:rsid w:val="007F56CC"/>
    <w:rsid w:val="007F58ED"/>
    <w:rsid w:val="007F591F"/>
    <w:rsid w:val="007F59F1"/>
    <w:rsid w:val="007F5C1B"/>
    <w:rsid w:val="007F5E1C"/>
    <w:rsid w:val="007F5F16"/>
    <w:rsid w:val="007F5F1D"/>
    <w:rsid w:val="007F61C2"/>
    <w:rsid w:val="007F622F"/>
    <w:rsid w:val="007F6293"/>
    <w:rsid w:val="007F6923"/>
    <w:rsid w:val="007F6B53"/>
    <w:rsid w:val="007F6BEA"/>
    <w:rsid w:val="007F6C30"/>
    <w:rsid w:val="007F6D65"/>
    <w:rsid w:val="007F7103"/>
    <w:rsid w:val="007F7383"/>
    <w:rsid w:val="007F7477"/>
    <w:rsid w:val="007F766C"/>
    <w:rsid w:val="007F7839"/>
    <w:rsid w:val="007F78AC"/>
    <w:rsid w:val="007F7950"/>
    <w:rsid w:val="007F7FAA"/>
    <w:rsid w:val="00800157"/>
    <w:rsid w:val="0080028D"/>
    <w:rsid w:val="008004F1"/>
    <w:rsid w:val="00800776"/>
    <w:rsid w:val="00800809"/>
    <w:rsid w:val="00800835"/>
    <w:rsid w:val="00800983"/>
    <w:rsid w:val="00800D61"/>
    <w:rsid w:val="00800D92"/>
    <w:rsid w:val="00801007"/>
    <w:rsid w:val="0080121A"/>
    <w:rsid w:val="008016EE"/>
    <w:rsid w:val="00802225"/>
    <w:rsid w:val="0080258D"/>
    <w:rsid w:val="00802788"/>
    <w:rsid w:val="00802D77"/>
    <w:rsid w:val="00802EA4"/>
    <w:rsid w:val="00802FA8"/>
    <w:rsid w:val="008031C6"/>
    <w:rsid w:val="008033E6"/>
    <w:rsid w:val="00803726"/>
    <w:rsid w:val="00803734"/>
    <w:rsid w:val="008040C3"/>
    <w:rsid w:val="00804462"/>
    <w:rsid w:val="00805142"/>
    <w:rsid w:val="00805252"/>
    <w:rsid w:val="008053FE"/>
    <w:rsid w:val="0080564B"/>
    <w:rsid w:val="008058B9"/>
    <w:rsid w:val="00805F29"/>
    <w:rsid w:val="00805FCE"/>
    <w:rsid w:val="008063D1"/>
    <w:rsid w:val="008064FC"/>
    <w:rsid w:val="008066DD"/>
    <w:rsid w:val="008067F5"/>
    <w:rsid w:val="00806B3F"/>
    <w:rsid w:val="00806C7E"/>
    <w:rsid w:val="008074DD"/>
    <w:rsid w:val="008074F6"/>
    <w:rsid w:val="008076B3"/>
    <w:rsid w:val="00807A8B"/>
    <w:rsid w:val="00807E43"/>
    <w:rsid w:val="00807FCC"/>
    <w:rsid w:val="008102AC"/>
    <w:rsid w:val="00810EA3"/>
    <w:rsid w:val="00810EAD"/>
    <w:rsid w:val="008111A1"/>
    <w:rsid w:val="008111FF"/>
    <w:rsid w:val="00811383"/>
    <w:rsid w:val="00811633"/>
    <w:rsid w:val="00811866"/>
    <w:rsid w:val="0081186E"/>
    <w:rsid w:val="0081186F"/>
    <w:rsid w:val="008119C9"/>
    <w:rsid w:val="00811C54"/>
    <w:rsid w:val="00811CD7"/>
    <w:rsid w:val="00811F4C"/>
    <w:rsid w:val="00812149"/>
    <w:rsid w:val="008124E6"/>
    <w:rsid w:val="00812914"/>
    <w:rsid w:val="008129A1"/>
    <w:rsid w:val="00812B38"/>
    <w:rsid w:val="00812C5B"/>
    <w:rsid w:val="00812CAC"/>
    <w:rsid w:val="00812D0D"/>
    <w:rsid w:val="00813E32"/>
    <w:rsid w:val="00814024"/>
    <w:rsid w:val="008140BE"/>
    <w:rsid w:val="00814577"/>
    <w:rsid w:val="00814D4E"/>
    <w:rsid w:val="00815430"/>
    <w:rsid w:val="008154EE"/>
    <w:rsid w:val="008155BC"/>
    <w:rsid w:val="008155DE"/>
    <w:rsid w:val="0081576A"/>
    <w:rsid w:val="008158A8"/>
    <w:rsid w:val="00815B00"/>
    <w:rsid w:val="0081613B"/>
    <w:rsid w:val="0081622B"/>
    <w:rsid w:val="00816361"/>
    <w:rsid w:val="008166EF"/>
    <w:rsid w:val="00816A42"/>
    <w:rsid w:val="00816FEF"/>
    <w:rsid w:val="00817315"/>
    <w:rsid w:val="008177BC"/>
    <w:rsid w:val="00817E5B"/>
    <w:rsid w:val="008201C3"/>
    <w:rsid w:val="00820287"/>
    <w:rsid w:val="00820396"/>
    <w:rsid w:val="0082044A"/>
    <w:rsid w:val="008205EB"/>
    <w:rsid w:val="00820793"/>
    <w:rsid w:val="00820A8C"/>
    <w:rsid w:val="00820C1D"/>
    <w:rsid w:val="008210F4"/>
    <w:rsid w:val="00821219"/>
    <w:rsid w:val="008215FB"/>
    <w:rsid w:val="00821757"/>
    <w:rsid w:val="008219F9"/>
    <w:rsid w:val="00821A3A"/>
    <w:rsid w:val="00821C26"/>
    <w:rsid w:val="0082224D"/>
    <w:rsid w:val="008225DF"/>
    <w:rsid w:val="0082261A"/>
    <w:rsid w:val="008226F7"/>
    <w:rsid w:val="008227D5"/>
    <w:rsid w:val="008229A3"/>
    <w:rsid w:val="0082306E"/>
    <w:rsid w:val="008230C7"/>
    <w:rsid w:val="00823174"/>
    <w:rsid w:val="008231AC"/>
    <w:rsid w:val="00823230"/>
    <w:rsid w:val="0082342B"/>
    <w:rsid w:val="0082349E"/>
    <w:rsid w:val="008236A2"/>
    <w:rsid w:val="0082380B"/>
    <w:rsid w:val="00823EFD"/>
    <w:rsid w:val="00823F79"/>
    <w:rsid w:val="008243EE"/>
    <w:rsid w:val="008247A5"/>
    <w:rsid w:val="00824AB7"/>
    <w:rsid w:val="00824B21"/>
    <w:rsid w:val="00824B58"/>
    <w:rsid w:val="008254AC"/>
    <w:rsid w:val="00825605"/>
    <w:rsid w:val="00825751"/>
    <w:rsid w:val="008264EB"/>
    <w:rsid w:val="00826A94"/>
    <w:rsid w:val="00827239"/>
    <w:rsid w:val="00827462"/>
    <w:rsid w:val="008274AC"/>
    <w:rsid w:val="00827615"/>
    <w:rsid w:val="00827712"/>
    <w:rsid w:val="008279E7"/>
    <w:rsid w:val="00827A9B"/>
    <w:rsid w:val="00827DF4"/>
    <w:rsid w:val="00830203"/>
    <w:rsid w:val="0083094E"/>
    <w:rsid w:val="00830D06"/>
    <w:rsid w:val="00830E24"/>
    <w:rsid w:val="00830F05"/>
    <w:rsid w:val="00830F4B"/>
    <w:rsid w:val="00830FDD"/>
    <w:rsid w:val="00831F0F"/>
    <w:rsid w:val="00831F42"/>
    <w:rsid w:val="008320B5"/>
    <w:rsid w:val="008321C7"/>
    <w:rsid w:val="008324AC"/>
    <w:rsid w:val="00832F1D"/>
    <w:rsid w:val="00833422"/>
    <w:rsid w:val="00833B05"/>
    <w:rsid w:val="00833BAC"/>
    <w:rsid w:val="00834324"/>
    <w:rsid w:val="0083582C"/>
    <w:rsid w:val="00835868"/>
    <w:rsid w:val="00835DA5"/>
    <w:rsid w:val="00835EEA"/>
    <w:rsid w:val="008362B4"/>
    <w:rsid w:val="008362FF"/>
    <w:rsid w:val="008364A7"/>
    <w:rsid w:val="00836B69"/>
    <w:rsid w:val="00836C9A"/>
    <w:rsid w:val="008376CC"/>
    <w:rsid w:val="00837964"/>
    <w:rsid w:val="00837C26"/>
    <w:rsid w:val="00837D33"/>
    <w:rsid w:val="00837E52"/>
    <w:rsid w:val="00837EAB"/>
    <w:rsid w:val="00837F22"/>
    <w:rsid w:val="00837FE8"/>
    <w:rsid w:val="008401EB"/>
    <w:rsid w:val="00840301"/>
    <w:rsid w:val="00840417"/>
    <w:rsid w:val="008404CB"/>
    <w:rsid w:val="00840CA2"/>
    <w:rsid w:val="00840F86"/>
    <w:rsid w:val="008412F7"/>
    <w:rsid w:val="008416F4"/>
    <w:rsid w:val="008419C8"/>
    <w:rsid w:val="00841ED1"/>
    <w:rsid w:val="00841FE8"/>
    <w:rsid w:val="00842545"/>
    <w:rsid w:val="0084264C"/>
    <w:rsid w:val="00842AB3"/>
    <w:rsid w:val="00842B19"/>
    <w:rsid w:val="00843063"/>
    <w:rsid w:val="0084333B"/>
    <w:rsid w:val="00843356"/>
    <w:rsid w:val="0084338C"/>
    <w:rsid w:val="0084374F"/>
    <w:rsid w:val="008438F4"/>
    <w:rsid w:val="00843C98"/>
    <w:rsid w:val="00844279"/>
    <w:rsid w:val="00844A22"/>
    <w:rsid w:val="00844B88"/>
    <w:rsid w:val="00844C45"/>
    <w:rsid w:val="00844D96"/>
    <w:rsid w:val="00845081"/>
    <w:rsid w:val="008455A0"/>
    <w:rsid w:val="008457F3"/>
    <w:rsid w:val="00845AB4"/>
    <w:rsid w:val="00845DDD"/>
    <w:rsid w:val="00845F2D"/>
    <w:rsid w:val="00846724"/>
    <w:rsid w:val="0084681D"/>
    <w:rsid w:val="00847324"/>
    <w:rsid w:val="00847703"/>
    <w:rsid w:val="00847726"/>
    <w:rsid w:val="008479D8"/>
    <w:rsid w:val="00847D4D"/>
    <w:rsid w:val="00847DF5"/>
    <w:rsid w:val="00847E76"/>
    <w:rsid w:val="008500B3"/>
    <w:rsid w:val="00850105"/>
    <w:rsid w:val="00850123"/>
    <w:rsid w:val="00850426"/>
    <w:rsid w:val="00850477"/>
    <w:rsid w:val="00850674"/>
    <w:rsid w:val="00850824"/>
    <w:rsid w:val="0085099D"/>
    <w:rsid w:val="00851263"/>
    <w:rsid w:val="00851534"/>
    <w:rsid w:val="00851A47"/>
    <w:rsid w:val="00851AE3"/>
    <w:rsid w:val="00851CB2"/>
    <w:rsid w:val="00851CDF"/>
    <w:rsid w:val="00852100"/>
    <w:rsid w:val="0085214C"/>
    <w:rsid w:val="0085223D"/>
    <w:rsid w:val="00852418"/>
    <w:rsid w:val="00852A7E"/>
    <w:rsid w:val="00852BFB"/>
    <w:rsid w:val="00852E66"/>
    <w:rsid w:val="00852FB2"/>
    <w:rsid w:val="0085309D"/>
    <w:rsid w:val="008533F3"/>
    <w:rsid w:val="008533F4"/>
    <w:rsid w:val="00853643"/>
    <w:rsid w:val="00853D9E"/>
    <w:rsid w:val="00853E5F"/>
    <w:rsid w:val="008548EE"/>
    <w:rsid w:val="00854BDE"/>
    <w:rsid w:val="00854DC4"/>
    <w:rsid w:val="00854F66"/>
    <w:rsid w:val="00854FDE"/>
    <w:rsid w:val="008550D3"/>
    <w:rsid w:val="008551C5"/>
    <w:rsid w:val="00855BE9"/>
    <w:rsid w:val="00855DA7"/>
    <w:rsid w:val="00855E38"/>
    <w:rsid w:val="00855EDE"/>
    <w:rsid w:val="008563F0"/>
    <w:rsid w:val="00856897"/>
    <w:rsid w:val="00856E9A"/>
    <w:rsid w:val="008572AD"/>
    <w:rsid w:val="008578D7"/>
    <w:rsid w:val="00857922"/>
    <w:rsid w:val="00857A33"/>
    <w:rsid w:val="00857D03"/>
    <w:rsid w:val="00857E6D"/>
    <w:rsid w:val="00857F3C"/>
    <w:rsid w:val="008605FF"/>
    <w:rsid w:val="0086075D"/>
    <w:rsid w:val="00860C80"/>
    <w:rsid w:val="00860EF9"/>
    <w:rsid w:val="00861443"/>
    <w:rsid w:val="00861797"/>
    <w:rsid w:val="00861FC3"/>
    <w:rsid w:val="008621F7"/>
    <w:rsid w:val="00862233"/>
    <w:rsid w:val="008622C2"/>
    <w:rsid w:val="00862502"/>
    <w:rsid w:val="008625F0"/>
    <w:rsid w:val="0086297C"/>
    <w:rsid w:val="00862CC1"/>
    <w:rsid w:val="00862EBC"/>
    <w:rsid w:val="008634F5"/>
    <w:rsid w:val="00863972"/>
    <w:rsid w:val="00863D02"/>
    <w:rsid w:val="008647A5"/>
    <w:rsid w:val="0086490B"/>
    <w:rsid w:val="008649E6"/>
    <w:rsid w:val="00864A8F"/>
    <w:rsid w:val="00865161"/>
    <w:rsid w:val="008659D6"/>
    <w:rsid w:val="008659E2"/>
    <w:rsid w:val="00865BD2"/>
    <w:rsid w:val="00865FBA"/>
    <w:rsid w:val="0086608E"/>
    <w:rsid w:val="008660C0"/>
    <w:rsid w:val="008660D4"/>
    <w:rsid w:val="008662D8"/>
    <w:rsid w:val="00866645"/>
    <w:rsid w:val="0086692D"/>
    <w:rsid w:val="00866E49"/>
    <w:rsid w:val="00867034"/>
    <w:rsid w:val="008671F6"/>
    <w:rsid w:val="00867D76"/>
    <w:rsid w:val="00867F15"/>
    <w:rsid w:val="00867F96"/>
    <w:rsid w:val="008701BA"/>
    <w:rsid w:val="008703E0"/>
    <w:rsid w:val="0087052C"/>
    <w:rsid w:val="008706B0"/>
    <w:rsid w:val="0087089F"/>
    <w:rsid w:val="00870D6C"/>
    <w:rsid w:val="00870F76"/>
    <w:rsid w:val="0087114E"/>
    <w:rsid w:val="008714DE"/>
    <w:rsid w:val="00871866"/>
    <w:rsid w:val="00871992"/>
    <w:rsid w:val="00871A96"/>
    <w:rsid w:val="00871C70"/>
    <w:rsid w:val="00871FA9"/>
    <w:rsid w:val="00872464"/>
    <w:rsid w:val="008726A2"/>
    <w:rsid w:val="0087275C"/>
    <w:rsid w:val="008728E9"/>
    <w:rsid w:val="008731CC"/>
    <w:rsid w:val="00873246"/>
    <w:rsid w:val="00873579"/>
    <w:rsid w:val="008744B2"/>
    <w:rsid w:val="00874A18"/>
    <w:rsid w:val="00874C5A"/>
    <w:rsid w:val="00875227"/>
    <w:rsid w:val="0087580C"/>
    <w:rsid w:val="008761D6"/>
    <w:rsid w:val="008762A7"/>
    <w:rsid w:val="00876357"/>
    <w:rsid w:val="0087678F"/>
    <w:rsid w:val="008768CC"/>
    <w:rsid w:val="00876A88"/>
    <w:rsid w:val="00876AE3"/>
    <w:rsid w:val="00876C13"/>
    <w:rsid w:val="00876C6E"/>
    <w:rsid w:val="00876F6A"/>
    <w:rsid w:val="00877369"/>
    <w:rsid w:val="0087744C"/>
    <w:rsid w:val="00877523"/>
    <w:rsid w:val="008775E2"/>
    <w:rsid w:val="0087765B"/>
    <w:rsid w:val="008800C5"/>
    <w:rsid w:val="008800FC"/>
    <w:rsid w:val="00880157"/>
    <w:rsid w:val="00880719"/>
    <w:rsid w:val="00880744"/>
    <w:rsid w:val="00880806"/>
    <w:rsid w:val="008809A7"/>
    <w:rsid w:val="00880A08"/>
    <w:rsid w:val="00880D5E"/>
    <w:rsid w:val="00881086"/>
    <w:rsid w:val="008815AC"/>
    <w:rsid w:val="00881B7D"/>
    <w:rsid w:val="00881BB9"/>
    <w:rsid w:val="00881EB7"/>
    <w:rsid w:val="00882645"/>
    <w:rsid w:val="00882730"/>
    <w:rsid w:val="00882874"/>
    <w:rsid w:val="00882884"/>
    <w:rsid w:val="0088298B"/>
    <w:rsid w:val="00882A70"/>
    <w:rsid w:val="00882E3C"/>
    <w:rsid w:val="00882EEE"/>
    <w:rsid w:val="0088315B"/>
    <w:rsid w:val="0088328F"/>
    <w:rsid w:val="00883518"/>
    <w:rsid w:val="00883787"/>
    <w:rsid w:val="008837CA"/>
    <w:rsid w:val="008837E1"/>
    <w:rsid w:val="008839D4"/>
    <w:rsid w:val="008839EC"/>
    <w:rsid w:val="00883ABF"/>
    <w:rsid w:val="00883D9B"/>
    <w:rsid w:val="00883ED2"/>
    <w:rsid w:val="008847F2"/>
    <w:rsid w:val="008848B4"/>
    <w:rsid w:val="00884D7B"/>
    <w:rsid w:val="008851E4"/>
    <w:rsid w:val="0088549D"/>
    <w:rsid w:val="008855E4"/>
    <w:rsid w:val="00885818"/>
    <w:rsid w:val="00885856"/>
    <w:rsid w:val="00885A73"/>
    <w:rsid w:val="00885FE8"/>
    <w:rsid w:val="00886589"/>
    <w:rsid w:val="008866DE"/>
    <w:rsid w:val="008868D8"/>
    <w:rsid w:val="008869D4"/>
    <w:rsid w:val="00886CD2"/>
    <w:rsid w:val="00886F5A"/>
    <w:rsid w:val="008876EF"/>
    <w:rsid w:val="008878E2"/>
    <w:rsid w:val="00887E1D"/>
    <w:rsid w:val="008903A3"/>
    <w:rsid w:val="0089046A"/>
    <w:rsid w:val="00890513"/>
    <w:rsid w:val="0089057C"/>
    <w:rsid w:val="0089068C"/>
    <w:rsid w:val="008907C7"/>
    <w:rsid w:val="00890C15"/>
    <w:rsid w:val="00890D1B"/>
    <w:rsid w:val="00890EC3"/>
    <w:rsid w:val="008916E0"/>
    <w:rsid w:val="008917AA"/>
    <w:rsid w:val="008917F9"/>
    <w:rsid w:val="008918B0"/>
    <w:rsid w:val="00891901"/>
    <w:rsid w:val="00891B20"/>
    <w:rsid w:val="00891E6F"/>
    <w:rsid w:val="00891EB0"/>
    <w:rsid w:val="00892294"/>
    <w:rsid w:val="008924BA"/>
    <w:rsid w:val="0089275D"/>
    <w:rsid w:val="00892A36"/>
    <w:rsid w:val="00892B97"/>
    <w:rsid w:val="00892C55"/>
    <w:rsid w:val="00892F5F"/>
    <w:rsid w:val="00893239"/>
    <w:rsid w:val="00893372"/>
    <w:rsid w:val="008934C8"/>
    <w:rsid w:val="0089367E"/>
    <w:rsid w:val="00893862"/>
    <w:rsid w:val="0089392A"/>
    <w:rsid w:val="008939C2"/>
    <w:rsid w:val="00893BA6"/>
    <w:rsid w:val="00893BE0"/>
    <w:rsid w:val="00893F06"/>
    <w:rsid w:val="00894028"/>
    <w:rsid w:val="0089416B"/>
    <w:rsid w:val="00894274"/>
    <w:rsid w:val="00894489"/>
    <w:rsid w:val="0089448E"/>
    <w:rsid w:val="00894833"/>
    <w:rsid w:val="00894AB0"/>
    <w:rsid w:val="00894C0E"/>
    <w:rsid w:val="008957B5"/>
    <w:rsid w:val="00895987"/>
    <w:rsid w:val="008963A5"/>
    <w:rsid w:val="008966DD"/>
    <w:rsid w:val="008968EA"/>
    <w:rsid w:val="00896D5D"/>
    <w:rsid w:val="008970E7"/>
    <w:rsid w:val="008970EE"/>
    <w:rsid w:val="00897844"/>
    <w:rsid w:val="00897B5E"/>
    <w:rsid w:val="00897C52"/>
    <w:rsid w:val="00897F88"/>
    <w:rsid w:val="008A064A"/>
    <w:rsid w:val="008A06E8"/>
    <w:rsid w:val="008A0800"/>
    <w:rsid w:val="008A0AFA"/>
    <w:rsid w:val="008A0B07"/>
    <w:rsid w:val="008A0DFA"/>
    <w:rsid w:val="008A1040"/>
    <w:rsid w:val="008A16D3"/>
    <w:rsid w:val="008A1F6A"/>
    <w:rsid w:val="008A2202"/>
    <w:rsid w:val="008A223C"/>
    <w:rsid w:val="008A24AE"/>
    <w:rsid w:val="008A2606"/>
    <w:rsid w:val="008A2616"/>
    <w:rsid w:val="008A295B"/>
    <w:rsid w:val="008A2A64"/>
    <w:rsid w:val="008A3363"/>
    <w:rsid w:val="008A3371"/>
    <w:rsid w:val="008A3670"/>
    <w:rsid w:val="008A3759"/>
    <w:rsid w:val="008A3AF0"/>
    <w:rsid w:val="008A3B6B"/>
    <w:rsid w:val="008A3C12"/>
    <w:rsid w:val="008A3C3E"/>
    <w:rsid w:val="008A3C72"/>
    <w:rsid w:val="008A3EE6"/>
    <w:rsid w:val="008A41E8"/>
    <w:rsid w:val="008A438C"/>
    <w:rsid w:val="008A456F"/>
    <w:rsid w:val="008A459D"/>
    <w:rsid w:val="008A4D15"/>
    <w:rsid w:val="008A4E60"/>
    <w:rsid w:val="008A4E7D"/>
    <w:rsid w:val="008A54AF"/>
    <w:rsid w:val="008A579A"/>
    <w:rsid w:val="008A5833"/>
    <w:rsid w:val="008A587B"/>
    <w:rsid w:val="008A5A66"/>
    <w:rsid w:val="008A5C9F"/>
    <w:rsid w:val="008A61FA"/>
    <w:rsid w:val="008A694F"/>
    <w:rsid w:val="008A6B45"/>
    <w:rsid w:val="008A6B7B"/>
    <w:rsid w:val="008A6FFE"/>
    <w:rsid w:val="008A709F"/>
    <w:rsid w:val="008A712E"/>
    <w:rsid w:val="008A7843"/>
    <w:rsid w:val="008A7929"/>
    <w:rsid w:val="008A79DE"/>
    <w:rsid w:val="008A7CA7"/>
    <w:rsid w:val="008A7DCE"/>
    <w:rsid w:val="008A7EFF"/>
    <w:rsid w:val="008A7F0F"/>
    <w:rsid w:val="008B0595"/>
    <w:rsid w:val="008B08A6"/>
    <w:rsid w:val="008B0A8A"/>
    <w:rsid w:val="008B0BFC"/>
    <w:rsid w:val="008B0DF0"/>
    <w:rsid w:val="008B0FDA"/>
    <w:rsid w:val="008B11B4"/>
    <w:rsid w:val="008B1207"/>
    <w:rsid w:val="008B1681"/>
    <w:rsid w:val="008B1757"/>
    <w:rsid w:val="008B1A87"/>
    <w:rsid w:val="008B1BEC"/>
    <w:rsid w:val="008B1C44"/>
    <w:rsid w:val="008B2243"/>
    <w:rsid w:val="008B22A7"/>
    <w:rsid w:val="008B2717"/>
    <w:rsid w:val="008B272B"/>
    <w:rsid w:val="008B2B05"/>
    <w:rsid w:val="008B2E8C"/>
    <w:rsid w:val="008B2FC4"/>
    <w:rsid w:val="008B3BCA"/>
    <w:rsid w:val="008B425E"/>
    <w:rsid w:val="008B4566"/>
    <w:rsid w:val="008B4777"/>
    <w:rsid w:val="008B48F9"/>
    <w:rsid w:val="008B49E0"/>
    <w:rsid w:val="008B4A6C"/>
    <w:rsid w:val="008B4B75"/>
    <w:rsid w:val="008B4DC0"/>
    <w:rsid w:val="008B4F08"/>
    <w:rsid w:val="008B50C7"/>
    <w:rsid w:val="008B5312"/>
    <w:rsid w:val="008B588F"/>
    <w:rsid w:val="008B5CAF"/>
    <w:rsid w:val="008B5E24"/>
    <w:rsid w:val="008B63AD"/>
    <w:rsid w:val="008B64CC"/>
    <w:rsid w:val="008B66B1"/>
    <w:rsid w:val="008B6805"/>
    <w:rsid w:val="008B68F7"/>
    <w:rsid w:val="008B6950"/>
    <w:rsid w:val="008B6A31"/>
    <w:rsid w:val="008B6BB8"/>
    <w:rsid w:val="008B7547"/>
    <w:rsid w:val="008B75DC"/>
    <w:rsid w:val="008B788C"/>
    <w:rsid w:val="008B7992"/>
    <w:rsid w:val="008B7B72"/>
    <w:rsid w:val="008B7D7E"/>
    <w:rsid w:val="008C01C2"/>
    <w:rsid w:val="008C0265"/>
    <w:rsid w:val="008C04F6"/>
    <w:rsid w:val="008C08D7"/>
    <w:rsid w:val="008C09CA"/>
    <w:rsid w:val="008C0A59"/>
    <w:rsid w:val="008C0C04"/>
    <w:rsid w:val="008C0DFF"/>
    <w:rsid w:val="008C1067"/>
    <w:rsid w:val="008C12BD"/>
    <w:rsid w:val="008C1BFB"/>
    <w:rsid w:val="008C1C92"/>
    <w:rsid w:val="008C1D75"/>
    <w:rsid w:val="008C203F"/>
    <w:rsid w:val="008C2365"/>
    <w:rsid w:val="008C24AA"/>
    <w:rsid w:val="008C2537"/>
    <w:rsid w:val="008C271E"/>
    <w:rsid w:val="008C27EA"/>
    <w:rsid w:val="008C2850"/>
    <w:rsid w:val="008C2B91"/>
    <w:rsid w:val="008C31DD"/>
    <w:rsid w:val="008C3489"/>
    <w:rsid w:val="008C3641"/>
    <w:rsid w:val="008C39AE"/>
    <w:rsid w:val="008C3A8B"/>
    <w:rsid w:val="008C3AC5"/>
    <w:rsid w:val="008C3B58"/>
    <w:rsid w:val="008C3C0F"/>
    <w:rsid w:val="008C3C2C"/>
    <w:rsid w:val="008C3C72"/>
    <w:rsid w:val="008C3D04"/>
    <w:rsid w:val="008C3D0E"/>
    <w:rsid w:val="008C4109"/>
    <w:rsid w:val="008C452A"/>
    <w:rsid w:val="008C46D9"/>
    <w:rsid w:val="008C47B0"/>
    <w:rsid w:val="008C4866"/>
    <w:rsid w:val="008C4AB6"/>
    <w:rsid w:val="008C4CD4"/>
    <w:rsid w:val="008C4D7D"/>
    <w:rsid w:val="008C4EEC"/>
    <w:rsid w:val="008C5360"/>
    <w:rsid w:val="008C5610"/>
    <w:rsid w:val="008C567D"/>
    <w:rsid w:val="008C5739"/>
    <w:rsid w:val="008C577E"/>
    <w:rsid w:val="008C57F0"/>
    <w:rsid w:val="008C5814"/>
    <w:rsid w:val="008C5B26"/>
    <w:rsid w:val="008C6008"/>
    <w:rsid w:val="008C6143"/>
    <w:rsid w:val="008C6A8C"/>
    <w:rsid w:val="008C6F92"/>
    <w:rsid w:val="008C70B9"/>
    <w:rsid w:val="008C735A"/>
    <w:rsid w:val="008C7389"/>
    <w:rsid w:val="008C73F6"/>
    <w:rsid w:val="008C7C4B"/>
    <w:rsid w:val="008C7D57"/>
    <w:rsid w:val="008C7ECB"/>
    <w:rsid w:val="008C7EDF"/>
    <w:rsid w:val="008D0772"/>
    <w:rsid w:val="008D0A2C"/>
    <w:rsid w:val="008D1040"/>
    <w:rsid w:val="008D10D4"/>
    <w:rsid w:val="008D113A"/>
    <w:rsid w:val="008D11AD"/>
    <w:rsid w:val="008D161D"/>
    <w:rsid w:val="008D166B"/>
    <w:rsid w:val="008D1A1E"/>
    <w:rsid w:val="008D1C38"/>
    <w:rsid w:val="008D216E"/>
    <w:rsid w:val="008D21B3"/>
    <w:rsid w:val="008D2827"/>
    <w:rsid w:val="008D2F95"/>
    <w:rsid w:val="008D32C3"/>
    <w:rsid w:val="008D3397"/>
    <w:rsid w:val="008D391A"/>
    <w:rsid w:val="008D3B86"/>
    <w:rsid w:val="008D3CA8"/>
    <w:rsid w:val="008D3D7B"/>
    <w:rsid w:val="008D40B0"/>
    <w:rsid w:val="008D4629"/>
    <w:rsid w:val="008D4755"/>
    <w:rsid w:val="008D490D"/>
    <w:rsid w:val="008D4977"/>
    <w:rsid w:val="008D4C3D"/>
    <w:rsid w:val="008D5130"/>
    <w:rsid w:val="008D5424"/>
    <w:rsid w:val="008D5571"/>
    <w:rsid w:val="008D57B0"/>
    <w:rsid w:val="008D592E"/>
    <w:rsid w:val="008D598F"/>
    <w:rsid w:val="008D6597"/>
    <w:rsid w:val="008D668B"/>
    <w:rsid w:val="008D6A6C"/>
    <w:rsid w:val="008D6B60"/>
    <w:rsid w:val="008D6ECC"/>
    <w:rsid w:val="008D6FFB"/>
    <w:rsid w:val="008D7300"/>
    <w:rsid w:val="008D742F"/>
    <w:rsid w:val="008D743C"/>
    <w:rsid w:val="008D79A0"/>
    <w:rsid w:val="008D7AE6"/>
    <w:rsid w:val="008D7D45"/>
    <w:rsid w:val="008D7F1F"/>
    <w:rsid w:val="008E032C"/>
    <w:rsid w:val="008E0761"/>
    <w:rsid w:val="008E096D"/>
    <w:rsid w:val="008E0D3C"/>
    <w:rsid w:val="008E1673"/>
    <w:rsid w:val="008E1909"/>
    <w:rsid w:val="008E1B9E"/>
    <w:rsid w:val="008E1CA7"/>
    <w:rsid w:val="008E1D4B"/>
    <w:rsid w:val="008E22AE"/>
    <w:rsid w:val="008E2F39"/>
    <w:rsid w:val="008E303B"/>
    <w:rsid w:val="008E3199"/>
    <w:rsid w:val="008E3392"/>
    <w:rsid w:val="008E351E"/>
    <w:rsid w:val="008E36DF"/>
    <w:rsid w:val="008E3A0B"/>
    <w:rsid w:val="008E3CAD"/>
    <w:rsid w:val="008E3D50"/>
    <w:rsid w:val="008E4136"/>
    <w:rsid w:val="008E417D"/>
    <w:rsid w:val="008E43B5"/>
    <w:rsid w:val="008E4537"/>
    <w:rsid w:val="008E4917"/>
    <w:rsid w:val="008E4AEE"/>
    <w:rsid w:val="008E4CAC"/>
    <w:rsid w:val="008E55AB"/>
    <w:rsid w:val="008E56CE"/>
    <w:rsid w:val="008E5750"/>
    <w:rsid w:val="008E588A"/>
    <w:rsid w:val="008E58C2"/>
    <w:rsid w:val="008E58FF"/>
    <w:rsid w:val="008E5D00"/>
    <w:rsid w:val="008E5DAF"/>
    <w:rsid w:val="008E6043"/>
    <w:rsid w:val="008E6192"/>
    <w:rsid w:val="008E6558"/>
    <w:rsid w:val="008E665D"/>
    <w:rsid w:val="008E6A05"/>
    <w:rsid w:val="008E6A52"/>
    <w:rsid w:val="008E6A91"/>
    <w:rsid w:val="008E6BCF"/>
    <w:rsid w:val="008E6D33"/>
    <w:rsid w:val="008E6E1F"/>
    <w:rsid w:val="008E7079"/>
    <w:rsid w:val="008E7175"/>
    <w:rsid w:val="008E73EC"/>
    <w:rsid w:val="008E77C2"/>
    <w:rsid w:val="008E790A"/>
    <w:rsid w:val="008E7A3D"/>
    <w:rsid w:val="008E7C84"/>
    <w:rsid w:val="008F0438"/>
    <w:rsid w:val="008F0440"/>
    <w:rsid w:val="008F0536"/>
    <w:rsid w:val="008F065E"/>
    <w:rsid w:val="008F08C4"/>
    <w:rsid w:val="008F09C6"/>
    <w:rsid w:val="008F09E1"/>
    <w:rsid w:val="008F0AC5"/>
    <w:rsid w:val="008F0CAE"/>
    <w:rsid w:val="008F1189"/>
    <w:rsid w:val="008F120A"/>
    <w:rsid w:val="008F13E5"/>
    <w:rsid w:val="008F161A"/>
    <w:rsid w:val="008F1898"/>
    <w:rsid w:val="008F1916"/>
    <w:rsid w:val="008F1AB2"/>
    <w:rsid w:val="008F2177"/>
    <w:rsid w:val="008F2488"/>
    <w:rsid w:val="008F256C"/>
    <w:rsid w:val="008F27E0"/>
    <w:rsid w:val="008F2CC2"/>
    <w:rsid w:val="008F2F1E"/>
    <w:rsid w:val="008F31E0"/>
    <w:rsid w:val="008F36E8"/>
    <w:rsid w:val="008F37FA"/>
    <w:rsid w:val="008F3B0D"/>
    <w:rsid w:val="008F42A1"/>
    <w:rsid w:val="008F43AC"/>
    <w:rsid w:val="008F447B"/>
    <w:rsid w:val="008F48EB"/>
    <w:rsid w:val="008F4A84"/>
    <w:rsid w:val="008F4F0B"/>
    <w:rsid w:val="008F50DB"/>
    <w:rsid w:val="008F510F"/>
    <w:rsid w:val="008F5246"/>
    <w:rsid w:val="008F53B3"/>
    <w:rsid w:val="008F53F8"/>
    <w:rsid w:val="008F55FE"/>
    <w:rsid w:val="008F5755"/>
    <w:rsid w:val="008F5952"/>
    <w:rsid w:val="008F5BA2"/>
    <w:rsid w:val="008F5CB0"/>
    <w:rsid w:val="008F608F"/>
    <w:rsid w:val="008F60C2"/>
    <w:rsid w:val="008F65AF"/>
    <w:rsid w:val="008F689E"/>
    <w:rsid w:val="008F6A6E"/>
    <w:rsid w:val="008F6CCF"/>
    <w:rsid w:val="008F6D5F"/>
    <w:rsid w:val="008F6D82"/>
    <w:rsid w:val="008F70CC"/>
    <w:rsid w:val="008F72D2"/>
    <w:rsid w:val="008F7344"/>
    <w:rsid w:val="008F7965"/>
    <w:rsid w:val="008F7C9E"/>
    <w:rsid w:val="00900018"/>
    <w:rsid w:val="0090042E"/>
    <w:rsid w:val="00900A14"/>
    <w:rsid w:val="00901144"/>
    <w:rsid w:val="009018B0"/>
    <w:rsid w:val="00901A0C"/>
    <w:rsid w:val="00901A93"/>
    <w:rsid w:val="00901B82"/>
    <w:rsid w:val="00901C32"/>
    <w:rsid w:val="00901C8D"/>
    <w:rsid w:val="00901D48"/>
    <w:rsid w:val="009021C3"/>
    <w:rsid w:val="009022C9"/>
    <w:rsid w:val="00902369"/>
    <w:rsid w:val="00902596"/>
    <w:rsid w:val="00902726"/>
    <w:rsid w:val="0090292E"/>
    <w:rsid w:val="0090299D"/>
    <w:rsid w:val="009029C2"/>
    <w:rsid w:val="00902BD4"/>
    <w:rsid w:val="00902D41"/>
    <w:rsid w:val="00902D83"/>
    <w:rsid w:val="00903099"/>
    <w:rsid w:val="0090345A"/>
    <w:rsid w:val="0090365B"/>
    <w:rsid w:val="0090384C"/>
    <w:rsid w:val="009038AB"/>
    <w:rsid w:val="00903A6F"/>
    <w:rsid w:val="00903B55"/>
    <w:rsid w:val="00903CAA"/>
    <w:rsid w:val="00903D1E"/>
    <w:rsid w:val="00903F21"/>
    <w:rsid w:val="00904261"/>
    <w:rsid w:val="00904295"/>
    <w:rsid w:val="00904341"/>
    <w:rsid w:val="009044C0"/>
    <w:rsid w:val="009046C4"/>
    <w:rsid w:val="00904810"/>
    <w:rsid w:val="0090487B"/>
    <w:rsid w:val="009048E4"/>
    <w:rsid w:val="00904918"/>
    <w:rsid w:val="009049D4"/>
    <w:rsid w:val="00904EFB"/>
    <w:rsid w:val="00905563"/>
    <w:rsid w:val="00905699"/>
    <w:rsid w:val="00905837"/>
    <w:rsid w:val="009060C3"/>
    <w:rsid w:val="009062A5"/>
    <w:rsid w:val="00907071"/>
    <w:rsid w:val="00907080"/>
    <w:rsid w:val="00907227"/>
    <w:rsid w:val="009073A7"/>
    <w:rsid w:val="009073C4"/>
    <w:rsid w:val="009074A1"/>
    <w:rsid w:val="0090772B"/>
    <w:rsid w:val="0090788F"/>
    <w:rsid w:val="009079E2"/>
    <w:rsid w:val="0091008A"/>
    <w:rsid w:val="009102E4"/>
    <w:rsid w:val="00910387"/>
    <w:rsid w:val="009104A2"/>
    <w:rsid w:val="0091078A"/>
    <w:rsid w:val="00910AC4"/>
    <w:rsid w:val="00910BF0"/>
    <w:rsid w:val="00910C84"/>
    <w:rsid w:val="00910FA7"/>
    <w:rsid w:val="00911272"/>
    <w:rsid w:val="00911348"/>
    <w:rsid w:val="009113F7"/>
    <w:rsid w:val="00911C6D"/>
    <w:rsid w:val="00911D6F"/>
    <w:rsid w:val="00911F2D"/>
    <w:rsid w:val="009123DB"/>
    <w:rsid w:val="009126E7"/>
    <w:rsid w:val="00912787"/>
    <w:rsid w:val="009128EC"/>
    <w:rsid w:val="00912ABA"/>
    <w:rsid w:val="00912AED"/>
    <w:rsid w:val="00912B79"/>
    <w:rsid w:val="009135AA"/>
    <w:rsid w:val="009135D6"/>
    <w:rsid w:val="00913961"/>
    <w:rsid w:val="00913D9C"/>
    <w:rsid w:val="00913E4D"/>
    <w:rsid w:val="00913F61"/>
    <w:rsid w:val="0091418F"/>
    <w:rsid w:val="00914542"/>
    <w:rsid w:val="009148F1"/>
    <w:rsid w:val="009149BC"/>
    <w:rsid w:val="00914C77"/>
    <w:rsid w:val="00914E73"/>
    <w:rsid w:val="00914F3E"/>
    <w:rsid w:val="00915419"/>
    <w:rsid w:val="0091571E"/>
    <w:rsid w:val="0091579D"/>
    <w:rsid w:val="00915FDC"/>
    <w:rsid w:val="00916001"/>
    <w:rsid w:val="009160E1"/>
    <w:rsid w:val="009161E9"/>
    <w:rsid w:val="009167B9"/>
    <w:rsid w:val="009167C0"/>
    <w:rsid w:val="00916B43"/>
    <w:rsid w:val="00916DC9"/>
    <w:rsid w:val="00917268"/>
    <w:rsid w:val="00917305"/>
    <w:rsid w:val="009173E2"/>
    <w:rsid w:val="009174A4"/>
    <w:rsid w:val="009174C9"/>
    <w:rsid w:val="00917514"/>
    <w:rsid w:val="0091776C"/>
    <w:rsid w:val="009178E0"/>
    <w:rsid w:val="0092018D"/>
    <w:rsid w:val="009201EB"/>
    <w:rsid w:val="00920258"/>
    <w:rsid w:val="00920454"/>
    <w:rsid w:val="009204B5"/>
    <w:rsid w:val="00920505"/>
    <w:rsid w:val="00920552"/>
    <w:rsid w:val="0092074C"/>
    <w:rsid w:val="00920876"/>
    <w:rsid w:val="00920AFC"/>
    <w:rsid w:val="00920FF6"/>
    <w:rsid w:val="009210C7"/>
    <w:rsid w:val="00921114"/>
    <w:rsid w:val="00921ACB"/>
    <w:rsid w:val="00922249"/>
    <w:rsid w:val="009223ED"/>
    <w:rsid w:val="0092288A"/>
    <w:rsid w:val="009229C5"/>
    <w:rsid w:val="00922D0D"/>
    <w:rsid w:val="009231D4"/>
    <w:rsid w:val="009232B9"/>
    <w:rsid w:val="009234C2"/>
    <w:rsid w:val="009234FA"/>
    <w:rsid w:val="0092368F"/>
    <w:rsid w:val="0092369B"/>
    <w:rsid w:val="009237EA"/>
    <w:rsid w:val="00924138"/>
    <w:rsid w:val="0092423E"/>
    <w:rsid w:val="00924427"/>
    <w:rsid w:val="0092478D"/>
    <w:rsid w:val="00924974"/>
    <w:rsid w:val="00924B2F"/>
    <w:rsid w:val="00925002"/>
    <w:rsid w:val="0092503C"/>
    <w:rsid w:val="0092516F"/>
    <w:rsid w:val="009251B1"/>
    <w:rsid w:val="009251F0"/>
    <w:rsid w:val="00925472"/>
    <w:rsid w:val="00926098"/>
    <w:rsid w:val="00926560"/>
    <w:rsid w:val="00926A1D"/>
    <w:rsid w:val="00926C7B"/>
    <w:rsid w:val="00926DBC"/>
    <w:rsid w:val="00926DBF"/>
    <w:rsid w:val="00926E3A"/>
    <w:rsid w:val="00926F54"/>
    <w:rsid w:val="0092732C"/>
    <w:rsid w:val="00927382"/>
    <w:rsid w:val="009276F9"/>
    <w:rsid w:val="0092778F"/>
    <w:rsid w:val="009278CE"/>
    <w:rsid w:val="00927AEA"/>
    <w:rsid w:val="00927D03"/>
    <w:rsid w:val="0093085E"/>
    <w:rsid w:val="009308EE"/>
    <w:rsid w:val="009308FB"/>
    <w:rsid w:val="00930B84"/>
    <w:rsid w:val="00930C63"/>
    <w:rsid w:val="00930CB1"/>
    <w:rsid w:val="0093100E"/>
    <w:rsid w:val="00931E16"/>
    <w:rsid w:val="00932036"/>
    <w:rsid w:val="009320C1"/>
    <w:rsid w:val="00932108"/>
    <w:rsid w:val="00932684"/>
    <w:rsid w:val="00932A85"/>
    <w:rsid w:val="00933226"/>
    <w:rsid w:val="00933D07"/>
    <w:rsid w:val="00933D62"/>
    <w:rsid w:val="00933D95"/>
    <w:rsid w:val="00933E0B"/>
    <w:rsid w:val="00934262"/>
    <w:rsid w:val="00934468"/>
    <w:rsid w:val="0093460B"/>
    <w:rsid w:val="0093478F"/>
    <w:rsid w:val="00934988"/>
    <w:rsid w:val="00934AB0"/>
    <w:rsid w:val="009355E8"/>
    <w:rsid w:val="00935DB5"/>
    <w:rsid w:val="00936636"/>
    <w:rsid w:val="00936722"/>
    <w:rsid w:val="00936746"/>
    <w:rsid w:val="009369EF"/>
    <w:rsid w:val="00937089"/>
    <w:rsid w:val="00937120"/>
    <w:rsid w:val="009374C9"/>
    <w:rsid w:val="0093751E"/>
    <w:rsid w:val="009377FA"/>
    <w:rsid w:val="009379F1"/>
    <w:rsid w:val="00937B3D"/>
    <w:rsid w:val="00937B84"/>
    <w:rsid w:val="00940663"/>
    <w:rsid w:val="009408A4"/>
    <w:rsid w:val="009408B2"/>
    <w:rsid w:val="00940B42"/>
    <w:rsid w:val="00940BE6"/>
    <w:rsid w:val="00940C21"/>
    <w:rsid w:val="00940C4D"/>
    <w:rsid w:val="00940F8E"/>
    <w:rsid w:val="009412D1"/>
    <w:rsid w:val="0094150D"/>
    <w:rsid w:val="0094166E"/>
    <w:rsid w:val="00941746"/>
    <w:rsid w:val="0094181E"/>
    <w:rsid w:val="00941AEF"/>
    <w:rsid w:val="00941B76"/>
    <w:rsid w:val="00941F17"/>
    <w:rsid w:val="009420D0"/>
    <w:rsid w:val="009426BE"/>
    <w:rsid w:val="00942720"/>
    <w:rsid w:val="0094362A"/>
    <w:rsid w:val="00943B55"/>
    <w:rsid w:val="00943B62"/>
    <w:rsid w:val="00943F8D"/>
    <w:rsid w:val="009441B1"/>
    <w:rsid w:val="009444AA"/>
    <w:rsid w:val="009446BE"/>
    <w:rsid w:val="00944B23"/>
    <w:rsid w:val="00944E5A"/>
    <w:rsid w:val="00944F8A"/>
    <w:rsid w:val="009458BD"/>
    <w:rsid w:val="00945A3C"/>
    <w:rsid w:val="00945D88"/>
    <w:rsid w:val="00945F4D"/>
    <w:rsid w:val="009464AA"/>
    <w:rsid w:val="0094654F"/>
    <w:rsid w:val="0094710D"/>
    <w:rsid w:val="009471CC"/>
    <w:rsid w:val="00947341"/>
    <w:rsid w:val="00947AE7"/>
    <w:rsid w:val="00947C43"/>
    <w:rsid w:val="00947DAB"/>
    <w:rsid w:val="009503F7"/>
    <w:rsid w:val="009504A0"/>
    <w:rsid w:val="009505D5"/>
    <w:rsid w:val="00950F51"/>
    <w:rsid w:val="009510A2"/>
    <w:rsid w:val="009510F5"/>
    <w:rsid w:val="009510F9"/>
    <w:rsid w:val="00951151"/>
    <w:rsid w:val="009517E3"/>
    <w:rsid w:val="00951A7F"/>
    <w:rsid w:val="00951BAB"/>
    <w:rsid w:val="009521D6"/>
    <w:rsid w:val="0095233D"/>
    <w:rsid w:val="00952AE9"/>
    <w:rsid w:val="00952C5E"/>
    <w:rsid w:val="00952CE5"/>
    <w:rsid w:val="00952DE7"/>
    <w:rsid w:val="00953257"/>
    <w:rsid w:val="009533A3"/>
    <w:rsid w:val="009533CC"/>
    <w:rsid w:val="00953979"/>
    <w:rsid w:val="00953A33"/>
    <w:rsid w:val="00953D6A"/>
    <w:rsid w:val="00953EC0"/>
    <w:rsid w:val="00953EE3"/>
    <w:rsid w:val="00954182"/>
    <w:rsid w:val="0095420B"/>
    <w:rsid w:val="009546E3"/>
    <w:rsid w:val="0095474C"/>
    <w:rsid w:val="0095483F"/>
    <w:rsid w:val="00954878"/>
    <w:rsid w:val="00954E09"/>
    <w:rsid w:val="00955077"/>
    <w:rsid w:val="009554FB"/>
    <w:rsid w:val="00956015"/>
    <w:rsid w:val="00956042"/>
    <w:rsid w:val="009560A8"/>
    <w:rsid w:val="0095626A"/>
    <w:rsid w:val="009563C8"/>
    <w:rsid w:val="0095644B"/>
    <w:rsid w:val="0095647B"/>
    <w:rsid w:val="00956C7C"/>
    <w:rsid w:val="00957111"/>
    <w:rsid w:val="00957129"/>
    <w:rsid w:val="009571A7"/>
    <w:rsid w:val="009572D5"/>
    <w:rsid w:val="0095778A"/>
    <w:rsid w:val="009577F2"/>
    <w:rsid w:val="009579B7"/>
    <w:rsid w:val="00957CDE"/>
    <w:rsid w:val="00957EBB"/>
    <w:rsid w:val="00960B4D"/>
    <w:rsid w:val="00960C45"/>
    <w:rsid w:val="009610BE"/>
    <w:rsid w:val="009615A8"/>
    <w:rsid w:val="009616FB"/>
    <w:rsid w:val="00961C42"/>
    <w:rsid w:val="00961C64"/>
    <w:rsid w:val="00961E85"/>
    <w:rsid w:val="009620F7"/>
    <w:rsid w:val="00962254"/>
    <w:rsid w:val="00962378"/>
    <w:rsid w:val="009623DE"/>
    <w:rsid w:val="00962686"/>
    <w:rsid w:val="009626DE"/>
    <w:rsid w:val="00962B09"/>
    <w:rsid w:val="00962CB9"/>
    <w:rsid w:val="00962D40"/>
    <w:rsid w:val="00962F18"/>
    <w:rsid w:val="00963049"/>
    <w:rsid w:val="00963203"/>
    <w:rsid w:val="00963334"/>
    <w:rsid w:val="00963386"/>
    <w:rsid w:val="00963518"/>
    <w:rsid w:val="00963A79"/>
    <w:rsid w:val="00963C36"/>
    <w:rsid w:val="00963D17"/>
    <w:rsid w:val="00963F8B"/>
    <w:rsid w:val="00964088"/>
    <w:rsid w:val="00964312"/>
    <w:rsid w:val="00964318"/>
    <w:rsid w:val="0096499D"/>
    <w:rsid w:val="00964C2F"/>
    <w:rsid w:val="00964ECD"/>
    <w:rsid w:val="009650E8"/>
    <w:rsid w:val="009651C3"/>
    <w:rsid w:val="0096535D"/>
    <w:rsid w:val="0096539D"/>
    <w:rsid w:val="009653EA"/>
    <w:rsid w:val="00965B8A"/>
    <w:rsid w:val="00965E79"/>
    <w:rsid w:val="00966191"/>
    <w:rsid w:val="009661C0"/>
    <w:rsid w:val="009663EE"/>
    <w:rsid w:val="0096648D"/>
    <w:rsid w:val="0096658B"/>
    <w:rsid w:val="00966854"/>
    <w:rsid w:val="00966BEB"/>
    <w:rsid w:val="00966C55"/>
    <w:rsid w:val="00966C8C"/>
    <w:rsid w:val="00966E17"/>
    <w:rsid w:val="00966E1C"/>
    <w:rsid w:val="00967033"/>
    <w:rsid w:val="00967190"/>
    <w:rsid w:val="00967358"/>
    <w:rsid w:val="00967367"/>
    <w:rsid w:val="009676DB"/>
    <w:rsid w:val="00967822"/>
    <w:rsid w:val="00967AB8"/>
    <w:rsid w:val="00967C9D"/>
    <w:rsid w:val="00967EBF"/>
    <w:rsid w:val="00967F11"/>
    <w:rsid w:val="0097055C"/>
    <w:rsid w:val="00970634"/>
    <w:rsid w:val="0097071F"/>
    <w:rsid w:val="0097074D"/>
    <w:rsid w:val="00970D1F"/>
    <w:rsid w:val="00971023"/>
    <w:rsid w:val="009710F6"/>
    <w:rsid w:val="009711E5"/>
    <w:rsid w:val="009711F9"/>
    <w:rsid w:val="009717AC"/>
    <w:rsid w:val="009717AF"/>
    <w:rsid w:val="00971821"/>
    <w:rsid w:val="00971934"/>
    <w:rsid w:val="009719C3"/>
    <w:rsid w:val="00971C47"/>
    <w:rsid w:val="00971CC7"/>
    <w:rsid w:val="009720BC"/>
    <w:rsid w:val="0097226D"/>
    <w:rsid w:val="009724A7"/>
    <w:rsid w:val="00972655"/>
    <w:rsid w:val="009726E5"/>
    <w:rsid w:val="009729AE"/>
    <w:rsid w:val="00972F44"/>
    <w:rsid w:val="009731F9"/>
    <w:rsid w:val="0097343B"/>
    <w:rsid w:val="00973613"/>
    <w:rsid w:val="0097366E"/>
    <w:rsid w:val="00973BFF"/>
    <w:rsid w:val="00973F95"/>
    <w:rsid w:val="0097427F"/>
    <w:rsid w:val="00974287"/>
    <w:rsid w:val="009744E8"/>
    <w:rsid w:val="00974632"/>
    <w:rsid w:val="00974684"/>
    <w:rsid w:val="00974A73"/>
    <w:rsid w:val="00974A9F"/>
    <w:rsid w:val="00974C9C"/>
    <w:rsid w:val="00974F9D"/>
    <w:rsid w:val="009751C1"/>
    <w:rsid w:val="009751D7"/>
    <w:rsid w:val="0097528B"/>
    <w:rsid w:val="009754A1"/>
    <w:rsid w:val="0097597C"/>
    <w:rsid w:val="00975CBF"/>
    <w:rsid w:val="00975D3B"/>
    <w:rsid w:val="00975D44"/>
    <w:rsid w:val="009761FE"/>
    <w:rsid w:val="009764B9"/>
    <w:rsid w:val="00976820"/>
    <w:rsid w:val="009769F8"/>
    <w:rsid w:val="00976A9F"/>
    <w:rsid w:val="00976D76"/>
    <w:rsid w:val="009772DA"/>
    <w:rsid w:val="0097789C"/>
    <w:rsid w:val="00977DB2"/>
    <w:rsid w:val="00977E4B"/>
    <w:rsid w:val="009800EF"/>
    <w:rsid w:val="0098038D"/>
    <w:rsid w:val="00980497"/>
    <w:rsid w:val="009806BB"/>
    <w:rsid w:val="00980839"/>
    <w:rsid w:val="009808ED"/>
    <w:rsid w:val="00980C16"/>
    <w:rsid w:val="00980F16"/>
    <w:rsid w:val="009811F1"/>
    <w:rsid w:val="00981B96"/>
    <w:rsid w:val="00981C8C"/>
    <w:rsid w:val="00981CF5"/>
    <w:rsid w:val="00982842"/>
    <w:rsid w:val="00982963"/>
    <w:rsid w:val="009829BC"/>
    <w:rsid w:val="00982C38"/>
    <w:rsid w:val="00982E4F"/>
    <w:rsid w:val="0098326A"/>
    <w:rsid w:val="00983310"/>
    <w:rsid w:val="009834A9"/>
    <w:rsid w:val="0098352F"/>
    <w:rsid w:val="00983E57"/>
    <w:rsid w:val="00984206"/>
    <w:rsid w:val="009844A4"/>
    <w:rsid w:val="00984DA0"/>
    <w:rsid w:val="009850D8"/>
    <w:rsid w:val="00985131"/>
    <w:rsid w:val="009851DF"/>
    <w:rsid w:val="00985753"/>
    <w:rsid w:val="009857EF"/>
    <w:rsid w:val="009859D5"/>
    <w:rsid w:val="00985A9C"/>
    <w:rsid w:val="00985B89"/>
    <w:rsid w:val="00985CD5"/>
    <w:rsid w:val="00985DE2"/>
    <w:rsid w:val="00986208"/>
    <w:rsid w:val="0098645C"/>
    <w:rsid w:val="0098675D"/>
    <w:rsid w:val="00986800"/>
    <w:rsid w:val="0098686C"/>
    <w:rsid w:val="00986A84"/>
    <w:rsid w:val="00986A9A"/>
    <w:rsid w:val="00986F8E"/>
    <w:rsid w:val="009875FB"/>
    <w:rsid w:val="00990229"/>
    <w:rsid w:val="0099061C"/>
    <w:rsid w:val="00990853"/>
    <w:rsid w:val="00990EC1"/>
    <w:rsid w:val="00990EC8"/>
    <w:rsid w:val="00991121"/>
    <w:rsid w:val="00991263"/>
    <w:rsid w:val="00991725"/>
    <w:rsid w:val="009918EE"/>
    <w:rsid w:val="0099215E"/>
    <w:rsid w:val="00992294"/>
    <w:rsid w:val="009922BC"/>
    <w:rsid w:val="0099238B"/>
    <w:rsid w:val="009925E7"/>
    <w:rsid w:val="009926E0"/>
    <w:rsid w:val="009927B1"/>
    <w:rsid w:val="00992BBE"/>
    <w:rsid w:val="00993D9B"/>
    <w:rsid w:val="00994034"/>
    <w:rsid w:val="00994329"/>
    <w:rsid w:val="0099444A"/>
    <w:rsid w:val="00994466"/>
    <w:rsid w:val="009944C5"/>
    <w:rsid w:val="0099451E"/>
    <w:rsid w:val="00994910"/>
    <w:rsid w:val="00994ACC"/>
    <w:rsid w:val="00994EAD"/>
    <w:rsid w:val="009951CA"/>
    <w:rsid w:val="00995240"/>
    <w:rsid w:val="009955BA"/>
    <w:rsid w:val="0099594C"/>
    <w:rsid w:val="00995C04"/>
    <w:rsid w:val="00995E2B"/>
    <w:rsid w:val="00995F89"/>
    <w:rsid w:val="00996081"/>
    <w:rsid w:val="009961C7"/>
    <w:rsid w:val="00996668"/>
    <w:rsid w:val="009968B0"/>
    <w:rsid w:val="00996A86"/>
    <w:rsid w:val="00996B1A"/>
    <w:rsid w:val="00996BAC"/>
    <w:rsid w:val="00996CDF"/>
    <w:rsid w:val="0099736C"/>
    <w:rsid w:val="0099737F"/>
    <w:rsid w:val="00997744"/>
    <w:rsid w:val="00997DCB"/>
    <w:rsid w:val="009A0068"/>
    <w:rsid w:val="009A05A0"/>
    <w:rsid w:val="009A0613"/>
    <w:rsid w:val="009A08B0"/>
    <w:rsid w:val="009A09C8"/>
    <w:rsid w:val="009A0A65"/>
    <w:rsid w:val="009A0AF3"/>
    <w:rsid w:val="009A0B7D"/>
    <w:rsid w:val="009A0BD7"/>
    <w:rsid w:val="009A0D7E"/>
    <w:rsid w:val="009A0F12"/>
    <w:rsid w:val="009A0F94"/>
    <w:rsid w:val="009A10C9"/>
    <w:rsid w:val="009A130D"/>
    <w:rsid w:val="009A1949"/>
    <w:rsid w:val="009A194C"/>
    <w:rsid w:val="009A1970"/>
    <w:rsid w:val="009A198A"/>
    <w:rsid w:val="009A199A"/>
    <w:rsid w:val="009A1C16"/>
    <w:rsid w:val="009A1D42"/>
    <w:rsid w:val="009A2038"/>
    <w:rsid w:val="009A24A3"/>
    <w:rsid w:val="009A2511"/>
    <w:rsid w:val="009A25BC"/>
    <w:rsid w:val="009A2609"/>
    <w:rsid w:val="009A2625"/>
    <w:rsid w:val="009A26AC"/>
    <w:rsid w:val="009A26AE"/>
    <w:rsid w:val="009A26FB"/>
    <w:rsid w:val="009A2742"/>
    <w:rsid w:val="009A2793"/>
    <w:rsid w:val="009A2971"/>
    <w:rsid w:val="009A2AD4"/>
    <w:rsid w:val="009A2B43"/>
    <w:rsid w:val="009A2DCC"/>
    <w:rsid w:val="009A32BA"/>
    <w:rsid w:val="009A3654"/>
    <w:rsid w:val="009A369A"/>
    <w:rsid w:val="009A42AF"/>
    <w:rsid w:val="009A4347"/>
    <w:rsid w:val="009A447C"/>
    <w:rsid w:val="009A4556"/>
    <w:rsid w:val="009A4561"/>
    <w:rsid w:val="009A469F"/>
    <w:rsid w:val="009A46B0"/>
    <w:rsid w:val="009A472C"/>
    <w:rsid w:val="009A49C1"/>
    <w:rsid w:val="009A4B2F"/>
    <w:rsid w:val="009A514C"/>
    <w:rsid w:val="009A545E"/>
    <w:rsid w:val="009A551F"/>
    <w:rsid w:val="009A5603"/>
    <w:rsid w:val="009A5ABC"/>
    <w:rsid w:val="009A5BE0"/>
    <w:rsid w:val="009A6013"/>
    <w:rsid w:val="009A6A2A"/>
    <w:rsid w:val="009A6A68"/>
    <w:rsid w:val="009A6AAD"/>
    <w:rsid w:val="009A6FF8"/>
    <w:rsid w:val="009A73F5"/>
    <w:rsid w:val="009A7472"/>
    <w:rsid w:val="009A7EAB"/>
    <w:rsid w:val="009A7F10"/>
    <w:rsid w:val="009B036B"/>
    <w:rsid w:val="009B0568"/>
    <w:rsid w:val="009B0BA1"/>
    <w:rsid w:val="009B1892"/>
    <w:rsid w:val="009B18BB"/>
    <w:rsid w:val="009B1B3D"/>
    <w:rsid w:val="009B1EDB"/>
    <w:rsid w:val="009B1F37"/>
    <w:rsid w:val="009B2A91"/>
    <w:rsid w:val="009B34E8"/>
    <w:rsid w:val="009B352D"/>
    <w:rsid w:val="009B3872"/>
    <w:rsid w:val="009B38B5"/>
    <w:rsid w:val="009B392B"/>
    <w:rsid w:val="009B3BD8"/>
    <w:rsid w:val="009B3E26"/>
    <w:rsid w:val="009B402F"/>
    <w:rsid w:val="009B4037"/>
    <w:rsid w:val="009B43E2"/>
    <w:rsid w:val="009B4E51"/>
    <w:rsid w:val="009B502D"/>
    <w:rsid w:val="009B5075"/>
    <w:rsid w:val="009B55B9"/>
    <w:rsid w:val="009B59C2"/>
    <w:rsid w:val="009B5D7B"/>
    <w:rsid w:val="009B639E"/>
    <w:rsid w:val="009B650C"/>
    <w:rsid w:val="009B6EE2"/>
    <w:rsid w:val="009B7056"/>
    <w:rsid w:val="009B7980"/>
    <w:rsid w:val="009B7A2B"/>
    <w:rsid w:val="009B7BEC"/>
    <w:rsid w:val="009B7C0C"/>
    <w:rsid w:val="009B7E6E"/>
    <w:rsid w:val="009B7FED"/>
    <w:rsid w:val="009C045D"/>
    <w:rsid w:val="009C05EB"/>
    <w:rsid w:val="009C0740"/>
    <w:rsid w:val="009C08EA"/>
    <w:rsid w:val="009C09D4"/>
    <w:rsid w:val="009C0CA2"/>
    <w:rsid w:val="009C0E15"/>
    <w:rsid w:val="009C1451"/>
    <w:rsid w:val="009C155B"/>
    <w:rsid w:val="009C18A8"/>
    <w:rsid w:val="009C2115"/>
    <w:rsid w:val="009C23DC"/>
    <w:rsid w:val="009C256C"/>
    <w:rsid w:val="009C2632"/>
    <w:rsid w:val="009C29AB"/>
    <w:rsid w:val="009C29F6"/>
    <w:rsid w:val="009C2B2B"/>
    <w:rsid w:val="009C2B55"/>
    <w:rsid w:val="009C2EB7"/>
    <w:rsid w:val="009C3021"/>
    <w:rsid w:val="009C3380"/>
    <w:rsid w:val="009C3706"/>
    <w:rsid w:val="009C3A3A"/>
    <w:rsid w:val="009C3B13"/>
    <w:rsid w:val="009C3C8C"/>
    <w:rsid w:val="009C4830"/>
    <w:rsid w:val="009C4FC3"/>
    <w:rsid w:val="009C5324"/>
    <w:rsid w:val="009C56B6"/>
    <w:rsid w:val="009C58A4"/>
    <w:rsid w:val="009C5969"/>
    <w:rsid w:val="009C59F1"/>
    <w:rsid w:val="009C5A05"/>
    <w:rsid w:val="009C5A38"/>
    <w:rsid w:val="009C5BF2"/>
    <w:rsid w:val="009C5E88"/>
    <w:rsid w:val="009C5EB1"/>
    <w:rsid w:val="009C60F7"/>
    <w:rsid w:val="009C62B3"/>
    <w:rsid w:val="009C6A53"/>
    <w:rsid w:val="009C6B09"/>
    <w:rsid w:val="009C6CEA"/>
    <w:rsid w:val="009C6DB2"/>
    <w:rsid w:val="009C740F"/>
    <w:rsid w:val="009C7982"/>
    <w:rsid w:val="009C7B5C"/>
    <w:rsid w:val="009C7B85"/>
    <w:rsid w:val="009D0147"/>
    <w:rsid w:val="009D0254"/>
    <w:rsid w:val="009D0B47"/>
    <w:rsid w:val="009D16CD"/>
    <w:rsid w:val="009D1A19"/>
    <w:rsid w:val="009D1A64"/>
    <w:rsid w:val="009D1E2F"/>
    <w:rsid w:val="009D21E4"/>
    <w:rsid w:val="009D24BD"/>
    <w:rsid w:val="009D25E0"/>
    <w:rsid w:val="009D2714"/>
    <w:rsid w:val="009D2796"/>
    <w:rsid w:val="009D27D3"/>
    <w:rsid w:val="009D2B56"/>
    <w:rsid w:val="009D2D16"/>
    <w:rsid w:val="009D3294"/>
    <w:rsid w:val="009D32CA"/>
    <w:rsid w:val="009D390F"/>
    <w:rsid w:val="009D39B6"/>
    <w:rsid w:val="009D3BC8"/>
    <w:rsid w:val="009D3C6C"/>
    <w:rsid w:val="009D3DB2"/>
    <w:rsid w:val="009D48C6"/>
    <w:rsid w:val="009D4B77"/>
    <w:rsid w:val="009D4C9F"/>
    <w:rsid w:val="009D5197"/>
    <w:rsid w:val="009D51E6"/>
    <w:rsid w:val="009D57A7"/>
    <w:rsid w:val="009D58E7"/>
    <w:rsid w:val="009D5B91"/>
    <w:rsid w:val="009D5EFB"/>
    <w:rsid w:val="009D5F28"/>
    <w:rsid w:val="009D68EA"/>
    <w:rsid w:val="009D6BC1"/>
    <w:rsid w:val="009D6DBC"/>
    <w:rsid w:val="009D71B6"/>
    <w:rsid w:val="009D792E"/>
    <w:rsid w:val="009D7AFC"/>
    <w:rsid w:val="009D7D5B"/>
    <w:rsid w:val="009E002E"/>
    <w:rsid w:val="009E010F"/>
    <w:rsid w:val="009E0B47"/>
    <w:rsid w:val="009E0CA5"/>
    <w:rsid w:val="009E0DFE"/>
    <w:rsid w:val="009E0F70"/>
    <w:rsid w:val="009E10A3"/>
    <w:rsid w:val="009E1112"/>
    <w:rsid w:val="009E120F"/>
    <w:rsid w:val="009E1562"/>
    <w:rsid w:val="009E15A6"/>
    <w:rsid w:val="009E15B5"/>
    <w:rsid w:val="009E1738"/>
    <w:rsid w:val="009E1DE4"/>
    <w:rsid w:val="009E26AB"/>
    <w:rsid w:val="009E2C04"/>
    <w:rsid w:val="009E2DDB"/>
    <w:rsid w:val="009E306D"/>
    <w:rsid w:val="009E3188"/>
    <w:rsid w:val="009E31F6"/>
    <w:rsid w:val="009E3711"/>
    <w:rsid w:val="009E3AB2"/>
    <w:rsid w:val="009E3C04"/>
    <w:rsid w:val="009E3C61"/>
    <w:rsid w:val="009E3CFA"/>
    <w:rsid w:val="009E3F31"/>
    <w:rsid w:val="009E4372"/>
    <w:rsid w:val="009E4964"/>
    <w:rsid w:val="009E496F"/>
    <w:rsid w:val="009E4C07"/>
    <w:rsid w:val="009E4C7A"/>
    <w:rsid w:val="009E519B"/>
    <w:rsid w:val="009E55C3"/>
    <w:rsid w:val="009E5A14"/>
    <w:rsid w:val="009E5CA8"/>
    <w:rsid w:val="009E5CB4"/>
    <w:rsid w:val="009E5D16"/>
    <w:rsid w:val="009E62E5"/>
    <w:rsid w:val="009E636E"/>
    <w:rsid w:val="009E6501"/>
    <w:rsid w:val="009E662C"/>
    <w:rsid w:val="009E68B5"/>
    <w:rsid w:val="009E71F0"/>
    <w:rsid w:val="009E73FD"/>
    <w:rsid w:val="009E78F1"/>
    <w:rsid w:val="009E79CD"/>
    <w:rsid w:val="009E7B45"/>
    <w:rsid w:val="009E7C8A"/>
    <w:rsid w:val="009F03D1"/>
    <w:rsid w:val="009F0424"/>
    <w:rsid w:val="009F0521"/>
    <w:rsid w:val="009F0627"/>
    <w:rsid w:val="009F06C3"/>
    <w:rsid w:val="009F0761"/>
    <w:rsid w:val="009F076B"/>
    <w:rsid w:val="009F078B"/>
    <w:rsid w:val="009F0AD7"/>
    <w:rsid w:val="009F0CCB"/>
    <w:rsid w:val="009F10E8"/>
    <w:rsid w:val="009F1131"/>
    <w:rsid w:val="009F122D"/>
    <w:rsid w:val="009F148B"/>
    <w:rsid w:val="009F14A3"/>
    <w:rsid w:val="009F18F0"/>
    <w:rsid w:val="009F19FB"/>
    <w:rsid w:val="009F1D0C"/>
    <w:rsid w:val="009F1D43"/>
    <w:rsid w:val="009F1DDE"/>
    <w:rsid w:val="009F1DDF"/>
    <w:rsid w:val="009F1F1B"/>
    <w:rsid w:val="009F2104"/>
    <w:rsid w:val="009F2146"/>
    <w:rsid w:val="009F21D0"/>
    <w:rsid w:val="009F22DD"/>
    <w:rsid w:val="009F266A"/>
    <w:rsid w:val="009F266F"/>
    <w:rsid w:val="009F26DF"/>
    <w:rsid w:val="009F27B3"/>
    <w:rsid w:val="009F29BD"/>
    <w:rsid w:val="009F3146"/>
    <w:rsid w:val="009F3153"/>
    <w:rsid w:val="009F3281"/>
    <w:rsid w:val="009F347E"/>
    <w:rsid w:val="009F37E9"/>
    <w:rsid w:val="009F3C9F"/>
    <w:rsid w:val="009F4755"/>
    <w:rsid w:val="009F4789"/>
    <w:rsid w:val="009F4B68"/>
    <w:rsid w:val="009F4D26"/>
    <w:rsid w:val="009F4DCE"/>
    <w:rsid w:val="009F4FD5"/>
    <w:rsid w:val="009F552B"/>
    <w:rsid w:val="009F5B0E"/>
    <w:rsid w:val="009F5B61"/>
    <w:rsid w:val="009F5BEC"/>
    <w:rsid w:val="009F5E42"/>
    <w:rsid w:val="009F65BF"/>
    <w:rsid w:val="009F66F1"/>
    <w:rsid w:val="009F6860"/>
    <w:rsid w:val="009F6FD9"/>
    <w:rsid w:val="009F711B"/>
    <w:rsid w:val="009F7803"/>
    <w:rsid w:val="009F795E"/>
    <w:rsid w:val="009F7C08"/>
    <w:rsid w:val="00A00150"/>
    <w:rsid w:val="00A0032B"/>
    <w:rsid w:val="00A00624"/>
    <w:rsid w:val="00A00651"/>
    <w:rsid w:val="00A006FB"/>
    <w:rsid w:val="00A0074F"/>
    <w:rsid w:val="00A007D9"/>
    <w:rsid w:val="00A00C88"/>
    <w:rsid w:val="00A01184"/>
    <w:rsid w:val="00A0132B"/>
    <w:rsid w:val="00A01388"/>
    <w:rsid w:val="00A015B9"/>
    <w:rsid w:val="00A01A5A"/>
    <w:rsid w:val="00A01C2A"/>
    <w:rsid w:val="00A01C61"/>
    <w:rsid w:val="00A01FBB"/>
    <w:rsid w:val="00A01FC3"/>
    <w:rsid w:val="00A02241"/>
    <w:rsid w:val="00A02349"/>
    <w:rsid w:val="00A02386"/>
    <w:rsid w:val="00A02590"/>
    <w:rsid w:val="00A02B94"/>
    <w:rsid w:val="00A02C4C"/>
    <w:rsid w:val="00A02CF0"/>
    <w:rsid w:val="00A02F6A"/>
    <w:rsid w:val="00A03283"/>
    <w:rsid w:val="00A034A6"/>
    <w:rsid w:val="00A036BE"/>
    <w:rsid w:val="00A036D7"/>
    <w:rsid w:val="00A037C2"/>
    <w:rsid w:val="00A03862"/>
    <w:rsid w:val="00A03D08"/>
    <w:rsid w:val="00A03D43"/>
    <w:rsid w:val="00A03F1F"/>
    <w:rsid w:val="00A04115"/>
    <w:rsid w:val="00A04235"/>
    <w:rsid w:val="00A04380"/>
    <w:rsid w:val="00A0458E"/>
    <w:rsid w:val="00A045E9"/>
    <w:rsid w:val="00A046D6"/>
    <w:rsid w:val="00A04884"/>
    <w:rsid w:val="00A048B2"/>
    <w:rsid w:val="00A04A91"/>
    <w:rsid w:val="00A04ACA"/>
    <w:rsid w:val="00A04E3C"/>
    <w:rsid w:val="00A05134"/>
    <w:rsid w:val="00A0529F"/>
    <w:rsid w:val="00A052D0"/>
    <w:rsid w:val="00A053F7"/>
    <w:rsid w:val="00A05472"/>
    <w:rsid w:val="00A0583E"/>
    <w:rsid w:val="00A058BF"/>
    <w:rsid w:val="00A05A9E"/>
    <w:rsid w:val="00A05BBE"/>
    <w:rsid w:val="00A05C32"/>
    <w:rsid w:val="00A05EF5"/>
    <w:rsid w:val="00A05FCC"/>
    <w:rsid w:val="00A060CF"/>
    <w:rsid w:val="00A0653F"/>
    <w:rsid w:val="00A067C5"/>
    <w:rsid w:val="00A06CCB"/>
    <w:rsid w:val="00A06F12"/>
    <w:rsid w:val="00A071AC"/>
    <w:rsid w:val="00A072CA"/>
    <w:rsid w:val="00A079FB"/>
    <w:rsid w:val="00A07FB6"/>
    <w:rsid w:val="00A101D7"/>
    <w:rsid w:val="00A10214"/>
    <w:rsid w:val="00A103EE"/>
    <w:rsid w:val="00A106FD"/>
    <w:rsid w:val="00A108C6"/>
    <w:rsid w:val="00A10908"/>
    <w:rsid w:val="00A10A67"/>
    <w:rsid w:val="00A10B01"/>
    <w:rsid w:val="00A10F3E"/>
    <w:rsid w:val="00A11586"/>
    <w:rsid w:val="00A11A97"/>
    <w:rsid w:val="00A11BEF"/>
    <w:rsid w:val="00A11C60"/>
    <w:rsid w:val="00A11CC0"/>
    <w:rsid w:val="00A11CD0"/>
    <w:rsid w:val="00A11D98"/>
    <w:rsid w:val="00A11E2F"/>
    <w:rsid w:val="00A11E4E"/>
    <w:rsid w:val="00A11EB9"/>
    <w:rsid w:val="00A11F64"/>
    <w:rsid w:val="00A12140"/>
    <w:rsid w:val="00A121B1"/>
    <w:rsid w:val="00A1242E"/>
    <w:rsid w:val="00A12601"/>
    <w:rsid w:val="00A12625"/>
    <w:rsid w:val="00A12BF1"/>
    <w:rsid w:val="00A1388B"/>
    <w:rsid w:val="00A13948"/>
    <w:rsid w:val="00A13A67"/>
    <w:rsid w:val="00A13A72"/>
    <w:rsid w:val="00A13B52"/>
    <w:rsid w:val="00A13B93"/>
    <w:rsid w:val="00A14282"/>
    <w:rsid w:val="00A144F9"/>
    <w:rsid w:val="00A14551"/>
    <w:rsid w:val="00A14631"/>
    <w:rsid w:val="00A147EC"/>
    <w:rsid w:val="00A14946"/>
    <w:rsid w:val="00A1497F"/>
    <w:rsid w:val="00A14B8D"/>
    <w:rsid w:val="00A14D1B"/>
    <w:rsid w:val="00A14DE8"/>
    <w:rsid w:val="00A1516B"/>
    <w:rsid w:val="00A151B1"/>
    <w:rsid w:val="00A15528"/>
    <w:rsid w:val="00A1555B"/>
    <w:rsid w:val="00A155C5"/>
    <w:rsid w:val="00A157F2"/>
    <w:rsid w:val="00A15A95"/>
    <w:rsid w:val="00A16403"/>
    <w:rsid w:val="00A16AD8"/>
    <w:rsid w:val="00A16B08"/>
    <w:rsid w:val="00A16D9F"/>
    <w:rsid w:val="00A16DFE"/>
    <w:rsid w:val="00A173EF"/>
    <w:rsid w:val="00A17409"/>
    <w:rsid w:val="00A176B2"/>
    <w:rsid w:val="00A17958"/>
    <w:rsid w:val="00A17998"/>
    <w:rsid w:val="00A17C34"/>
    <w:rsid w:val="00A17CA1"/>
    <w:rsid w:val="00A17E45"/>
    <w:rsid w:val="00A17FA2"/>
    <w:rsid w:val="00A20463"/>
    <w:rsid w:val="00A20714"/>
    <w:rsid w:val="00A20AAF"/>
    <w:rsid w:val="00A20E13"/>
    <w:rsid w:val="00A20FA2"/>
    <w:rsid w:val="00A2103A"/>
    <w:rsid w:val="00A2107F"/>
    <w:rsid w:val="00A211EA"/>
    <w:rsid w:val="00A212E9"/>
    <w:rsid w:val="00A213A5"/>
    <w:rsid w:val="00A2194B"/>
    <w:rsid w:val="00A21A77"/>
    <w:rsid w:val="00A21B1A"/>
    <w:rsid w:val="00A21C95"/>
    <w:rsid w:val="00A21CF3"/>
    <w:rsid w:val="00A21EE6"/>
    <w:rsid w:val="00A2206C"/>
    <w:rsid w:val="00A22991"/>
    <w:rsid w:val="00A22DCA"/>
    <w:rsid w:val="00A22DCB"/>
    <w:rsid w:val="00A22E35"/>
    <w:rsid w:val="00A23047"/>
    <w:rsid w:val="00A2340B"/>
    <w:rsid w:val="00A2354E"/>
    <w:rsid w:val="00A2375B"/>
    <w:rsid w:val="00A237C6"/>
    <w:rsid w:val="00A23E5B"/>
    <w:rsid w:val="00A24088"/>
    <w:rsid w:val="00A242A2"/>
    <w:rsid w:val="00A246C9"/>
    <w:rsid w:val="00A24813"/>
    <w:rsid w:val="00A24A7E"/>
    <w:rsid w:val="00A24EA1"/>
    <w:rsid w:val="00A24FD7"/>
    <w:rsid w:val="00A25C4B"/>
    <w:rsid w:val="00A260CE"/>
    <w:rsid w:val="00A261EC"/>
    <w:rsid w:val="00A2638A"/>
    <w:rsid w:val="00A26E80"/>
    <w:rsid w:val="00A26F67"/>
    <w:rsid w:val="00A27214"/>
    <w:rsid w:val="00A27291"/>
    <w:rsid w:val="00A27393"/>
    <w:rsid w:val="00A27469"/>
    <w:rsid w:val="00A2776C"/>
    <w:rsid w:val="00A27AEC"/>
    <w:rsid w:val="00A27BE0"/>
    <w:rsid w:val="00A27CC9"/>
    <w:rsid w:val="00A27E56"/>
    <w:rsid w:val="00A30798"/>
    <w:rsid w:val="00A3102A"/>
    <w:rsid w:val="00A312CE"/>
    <w:rsid w:val="00A317AE"/>
    <w:rsid w:val="00A319EC"/>
    <w:rsid w:val="00A31D12"/>
    <w:rsid w:val="00A31D4E"/>
    <w:rsid w:val="00A31DB7"/>
    <w:rsid w:val="00A31EEE"/>
    <w:rsid w:val="00A320DB"/>
    <w:rsid w:val="00A32131"/>
    <w:rsid w:val="00A323B9"/>
    <w:rsid w:val="00A32A41"/>
    <w:rsid w:val="00A32BEB"/>
    <w:rsid w:val="00A32D60"/>
    <w:rsid w:val="00A32EB2"/>
    <w:rsid w:val="00A331D2"/>
    <w:rsid w:val="00A33486"/>
    <w:rsid w:val="00A33E9A"/>
    <w:rsid w:val="00A3408A"/>
    <w:rsid w:val="00A34287"/>
    <w:rsid w:val="00A34339"/>
    <w:rsid w:val="00A34478"/>
    <w:rsid w:val="00A3453D"/>
    <w:rsid w:val="00A34573"/>
    <w:rsid w:val="00A34678"/>
    <w:rsid w:val="00A347DD"/>
    <w:rsid w:val="00A34B9A"/>
    <w:rsid w:val="00A34EB7"/>
    <w:rsid w:val="00A3532A"/>
    <w:rsid w:val="00A35726"/>
    <w:rsid w:val="00A3598C"/>
    <w:rsid w:val="00A35B33"/>
    <w:rsid w:val="00A35B7B"/>
    <w:rsid w:val="00A35D16"/>
    <w:rsid w:val="00A35D4A"/>
    <w:rsid w:val="00A360D0"/>
    <w:rsid w:val="00A36214"/>
    <w:rsid w:val="00A36493"/>
    <w:rsid w:val="00A365BF"/>
    <w:rsid w:val="00A36613"/>
    <w:rsid w:val="00A36940"/>
    <w:rsid w:val="00A37473"/>
    <w:rsid w:val="00A3760E"/>
    <w:rsid w:val="00A378C3"/>
    <w:rsid w:val="00A37AAA"/>
    <w:rsid w:val="00A37BCD"/>
    <w:rsid w:val="00A37E18"/>
    <w:rsid w:val="00A406E9"/>
    <w:rsid w:val="00A40838"/>
    <w:rsid w:val="00A40A6C"/>
    <w:rsid w:val="00A40AC9"/>
    <w:rsid w:val="00A410D9"/>
    <w:rsid w:val="00A41689"/>
    <w:rsid w:val="00A4184D"/>
    <w:rsid w:val="00A419FD"/>
    <w:rsid w:val="00A41DAB"/>
    <w:rsid w:val="00A41E21"/>
    <w:rsid w:val="00A4209A"/>
    <w:rsid w:val="00A42592"/>
    <w:rsid w:val="00A425EA"/>
    <w:rsid w:val="00A4266A"/>
    <w:rsid w:val="00A42AE1"/>
    <w:rsid w:val="00A42BC1"/>
    <w:rsid w:val="00A437F5"/>
    <w:rsid w:val="00A43A72"/>
    <w:rsid w:val="00A43B92"/>
    <w:rsid w:val="00A43C59"/>
    <w:rsid w:val="00A43D08"/>
    <w:rsid w:val="00A43D51"/>
    <w:rsid w:val="00A43EE8"/>
    <w:rsid w:val="00A43FDE"/>
    <w:rsid w:val="00A4414C"/>
    <w:rsid w:val="00A44A0A"/>
    <w:rsid w:val="00A44B4D"/>
    <w:rsid w:val="00A44BD0"/>
    <w:rsid w:val="00A4513E"/>
    <w:rsid w:val="00A45403"/>
    <w:rsid w:val="00A45B86"/>
    <w:rsid w:val="00A45D51"/>
    <w:rsid w:val="00A45F06"/>
    <w:rsid w:val="00A45F62"/>
    <w:rsid w:val="00A45FA6"/>
    <w:rsid w:val="00A4601D"/>
    <w:rsid w:val="00A462BF"/>
    <w:rsid w:val="00A462C9"/>
    <w:rsid w:val="00A46409"/>
    <w:rsid w:val="00A46547"/>
    <w:rsid w:val="00A465F0"/>
    <w:rsid w:val="00A46670"/>
    <w:rsid w:val="00A46B86"/>
    <w:rsid w:val="00A47B14"/>
    <w:rsid w:val="00A47C2A"/>
    <w:rsid w:val="00A500A5"/>
    <w:rsid w:val="00A501FF"/>
    <w:rsid w:val="00A508E3"/>
    <w:rsid w:val="00A50902"/>
    <w:rsid w:val="00A50ECD"/>
    <w:rsid w:val="00A50EE0"/>
    <w:rsid w:val="00A512FA"/>
    <w:rsid w:val="00A5137C"/>
    <w:rsid w:val="00A513C9"/>
    <w:rsid w:val="00A51596"/>
    <w:rsid w:val="00A5171E"/>
    <w:rsid w:val="00A51760"/>
    <w:rsid w:val="00A518F3"/>
    <w:rsid w:val="00A519DD"/>
    <w:rsid w:val="00A51DD3"/>
    <w:rsid w:val="00A52592"/>
    <w:rsid w:val="00A52729"/>
    <w:rsid w:val="00A52866"/>
    <w:rsid w:val="00A52E9E"/>
    <w:rsid w:val="00A52F44"/>
    <w:rsid w:val="00A53056"/>
    <w:rsid w:val="00A5324B"/>
    <w:rsid w:val="00A53419"/>
    <w:rsid w:val="00A53552"/>
    <w:rsid w:val="00A53675"/>
    <w:rsid w:val="00A53877"/>
    <w:rsid w:val="00A53B4E"/>
    <w:rsid w:val="00A53C81"/>
    <w:rsid w:val="00A540C5"/>
    <w:rsid w:val="00A542FF"/>
    <w:rsid w:val="00A5462E"/>
    <w:rsid w:val="00A54774"/>
    <w:rsid w:val="00A54862"/>
    <w:rsid w:val="00A54899"/>
    <w:rsid w:val="00A54A29"/>
    <w:rsid w:val="00A54ABF"/>
    <w:rsid w:val="00A54AD1"/>
    <w:rsid w:val="00A54FA8"/>
    <w:rsid w:val="00A550C7"/>
    <w:rsid w:val="00A55865"/>
    <w:rsid w:val="00A55B37"/>
    <w:rsid w:val="00A564D7"/>
    <w:rsid w:val="00A56B6A"/>
    <w:rsid w:val="00A56BE0"/>
    <w:rsid w:val="00A56C03"/>
    <w:rsid w:val="00A56F7A"/>
    <w:rsid w:val="00A570B6"/>
    <w:rsid w:val="00A572AD"/>
    <w:rsid w:val="00A57458"/>
    <w:rsid w:val="00A575B6"/>
    <w:rsid w:val="00A5774E"/>
    <w:rsid w:val="00A578DC"/>
    <w:rsid w:val="00A5790C"/>
    <w:rsid w:val="00A579C2"/>
    <w:rsid w:val="00A57AA4"/>
    <w:rsid w:val="00A57BCD"/>
    <w:rsid w:val="00A57C1D"/>
    <w:rsid w:val="00A60059"/>
    <w:rsid w:val="00A608BA"/>
    <w:rsid w:val="00A60C8D"/>
    <w:rsid w:val="00A616F3"/>
    <w:rsid w:val="00A61C2A"/>
    <w:rsid w:val="00A61CBB"/>
    <w:rsid w:val="00A61E60"/>
    <w:rsid w:val="00A620DA"/>
    <w:rsid w:val="00A62109"/>
    <w:rsid w:val="00A62433"/>
    <w:rsid w:val="00A625D9"/>
    <w:rsid w:val="00A62623"/>
    <w:rsid w:val="00A62729"/>
    <w:rsid w:val="00A6290D"/>
    <w:rsid w:val="00A62CAD"/>
    <w:rsid w:val="00A62E30"/>
    <w:rsid w:val="00A63358"/>
    <w:rsid w:val="00A633DC"/>
    <w:rsid w:val="00A63739"/>
    <w:rsid w:val="00A6386C"/>
    <w:rsid w:val="00A63C8D"/>
    <w:rsid w:val="00A63E0A"/>
    <w:rsid w:val="00A640E2"/>
    <w:rsid w:val="00A643F0"/>
    <w:rsid w:val="00A649DA"/>
    <w:rsid w:val="00A64B89"/>
    <w:rsid w:val="00A64D65"/>
    <w:rsid w:val="00A64E63"/>
    <w:rsid w:val="00A65453"/>
    <w:rsid w:val="00A654E5"/>
    <w:rsid w:val="00A65577"/>
    <w:rsid w:val="00A655A2"/>
    <w:rsid w:val="00A65B18"/>
    <w:rsid w:val="00A65DA8"/>
    <w:rsid w:val="00A65FD0"/>
    <w:rsid w:val="00A66021"/>
    <w:rsid w:val="00A6662E"/>
    <w:rsid w:val="00A666F7"/>
    <w:rsid w:val="00A6722D"/>
    <w:rsid w:val="00A6725B"/>
    <w:rsid w:val="00A672CD"/>
    <w:rsid w:val="00A674DD"/>
    <w:rsid w:val="00A67667"/>
    <w:rsid w:val="00A67AE3"/>
    <w:rsid w:val="00A67DE9"/>
    <w:rsid w:val="00A67E78"/>
    <w:rsid w:val="00A70322"/>
    <w:rsid w:val="00A70605"/>
    <w:rsid w:val="00A70942"/>
    <w:rsid w:val="00A71227"/>
    <w:rsid w:val="00A71263"/>
    <w:rsid w:val="00A71360"/>
    <w:rsid w:val="00A71912"/>
    <w:rsid w:val="00A71AAE"/>
    <w:rsid w:val="00A71FD2"/>
    <w:rsid w:val="00A71FDE"/>
    <w:rsid w:val="00A7202A"/>
    <w:rsid w:val="00A723A7"/>
    <w:rsid w:val="00A72680"/>
    <w:rsid w:val="00A72AD1"/>
    <w:rsid w:val="00A72C7A"/>
    <w:rsid w:val="00A72D28"/>
    <w:rsid w:val="00A72F72"/>
    <w:rsid w:val="00A72F79"/>
    <w:rsid w:val="00A72FD1"/>
    <w:rsid w:val="00A7311D"/>
    <w:rsid w:val="00A73134"/>
    <w:rsid w:val="00A732C1"/>
    <w:rsid w:val="00A73388"/>
    <w:rsid w:val="00A7386A"/>
    <w:rsid w:val="00A73BE7"/>
    <w:rsid w:val="00A7467E"/>
    <w:rsid w:val="00A747F9"/>
    <w:rsid w:val="00A748AA"/>
    <w:rsid w:val="00A74C13"/>
    <w:rsid w:val="00A74D0D"/>
    <w:rsid w:val="00A74EF7"/>
    <w:rsid w:val="00A74FDE"/>
    <w:rsid w:val="00A752C1"/>
    <w:rsid w:val="00A75505"/>
    <w:rsid w:val="00A756D9"/>
    <w:rsid w:val="00A75965"/>
    <w:rsid w:val="00A75E6F"/>
    <w:rsid w:val="00A76001"/>
    <w:rsid w:val="00A762F0"/>
    <w:rsid w:val="00A76328"/>
    <w:rsid w:val="00A76479"/>
    <w:rsid w:val="00A7650D"/>
    <w:rsid w:val="00A76664"/>
    <w:rsid w:val="00A76A74"/>
    <w:rsid w:val="00A76A8A"/>
    <w:rsid w:val="00A76DFA"/>
    <w:rsid w:val="00A77000"/>
    <w:rsid w:val="00A7715F"/>
    <w:rsid w:val="00A77230"/>
    <w:rsid w:val="00A77460"/>
    <w:rsid w:val="00A777B2"/>
    <w:rsid w:val="00A778A1"/>
    <w:rsid w:val="00A77F0F"/>
    <w:rsid w:val="00A800F9"/>
    <w:rsid w:val="00A80494"/>
    <w:rsid w:val="00A804C7"/>
    <w:rsid w:val="00A80519"/>
    <w:rsid w:val="00A80762"/>
    <w:rsid w:val="00A80F90"/>
    <w:rsid w:val="00A80FFB"/>
    <w:rsid w:val="00A815FF"/>
    <w:rsid w:val="00A81976"/>
    <w:rsid w:val="00A81A76"/>
    <w:rsid w:val="00A81DFC"/>
    <w:rsid w:val="00A81E6C"/>
    <w:rsid w:val="00A825D4"/>
    <w:rsid w:val="00A828F6"/>
    <w:rsid w:val="00A82A56"/>
    <w:rsid w:val="00A82AC0"/>
    <w:rsid w:val="00A82B6D"/>
    <w:rsid w:val="00A82B73"/>
    <w:rsid w:val="00A82BCC"/>
    <w:rsid w:val="00A82C84"/>
    <w:rsid w:val="00A82E1B"/>
    <w:rsid w:val="00A82ED5"/>
    <w:rsid w:val="00A830C9"/>
    <w:rsid w:val="00A831D0"/>
    <w:rsid w:val="00A835C6"/>
    <w:rsid w:val="00A837E3"/>
    <w:rsid w:val="00A83885"/>
    <w:rsid w:val="00A83E13"/>
    <w:rsid w:val="00A8404A"/>
    <w:rsid w:val="00A8434D"/>
    <w:rsid w:val="00A84A6E"/>
    <w:rsid w:val="00A84CF6"/>
    <w:rsid w:val="00A8506A"/>
    <w:rsid w:val="00A853D9"/>
    <w:rsid w:val="00A8545A"/>
    <w:rsid w:val="00A85F5C"/>
    <w:rsid w:val="00A86523"/>
    <w:rsid w:val="00A86584"/>
    <w:rsid w:val="00A86A32"/>
    <w:rsid w:val="00A86E8B"/>
    <w:rsid w:val="00A87164"/>
    <w:rsid w:val="00A872C0"/>
    <w:rsid w:val="00A87841"/>
    <w:rsid w:val="00A8798D"/>
    <w:rsid w:val="00A87D37"/>
    <w:rsid w:val="00A87DF1"/>
    <w:rsid w:val="00A903B9"/>
    <w:rsid w:val="00A9058A"/>
    <w:rsid w:val="00A90B22"/>
    <w:rsid w:val="00A90BA6"/>
    <w:rsid w:val="00A90E6C"/>
    <w:rsid w:val="00A91206"/>
    <w:rsid w:val="00A913C5"/>
    <w:rsid w:val="00A918F2"/>
    <w:rsid w:val="00A91AA3"/>
    <w:rsid w:val="00A91DEC"/>
    <w:rsid w:val="00A9204D"/>
    <w:rsid w:val="00A92138"/>
    <w:rsid w:val="00A92145"/>
    <w:rsid w:val="00A921D4"/>
    <w:rsid w:val="00A925EB"/>
    <w:rsid w:val="00A9266C"/>
    <w:rsid w:val="00A92690"/>
    <w:rsid w:val="00A92BC4"/>
    <w:rsid w:val="00A92DE7"/>
    <w:rsid w:val="00A92EEC"/>
    <w:rsid w:val="00A93072"/>
    <w:rsid w:val="00A93161"/>
    <w:rsid w:val="00A93467"/>
    <w:rsid w:val="00A93534"/>
    <w:rsid w:val="00A93687"/>
    <w:rsid w:val="00A93882"/>
    <w:rsid w:val="00A938BD"/>
    <w:rsid w:val="00A93953"/>
    <w:rsid w:val="00A9395B"/>
    <w:rsid w:val="00A93B94"/>
    <w:rsid w:val="00A93C5D"/>
    <w:rsid w:val="00A93E75"/>
    <w:rsid w:val="00A93EDD"/>
    <w:rsid w:val="00A941EF"/>
    <w:rsid w:val="00A9449C"/>
    <w:rsid w:val="00A9451B"/>
    <w:rsid w:val="00A945CA"/>
    <w:rsid w:val="00A94777"/>
    <w:rsid w:val="00A94BEF"/>
    <w:rsid w:val="00A94E35"/>
    <w:rsid w:val="00A94E56"/>
    <w:rsid w:val="00A951BA"/>
    <w:rsid w:val="00A95310"/>
    <w:rsid w:val="00A956E2"/>
    <w:rsid w:val="00A95913"/>
    <w:rsid w:val="00A959D8"/>
    <w:rsid w:val="00A9614E"/>
    <w:rsid w:val="00A96325"/>
    <w:rsid w:val="00A96383"/>
    <w:rsid w:val="00A965D4"/>
    <w:rsid w:val="00A96825"/>
    <w:rsid w:val="00A96DFA"/>
    <w:rsid w:val="00A970B0"/>
    <w:rsid w:val="00A977AD"/>
    <w:rsid w:val="00A97960"/>
    <w:rsid w:val="00A97A7C"/>
    <w:rsid w:val="00A97F69"/>
    <w:rsid w:val="00A97F71"/>
    <w:rsid w:val="00AA016C"/>
    <w:rsid w:val="00AA01C3"/>
    <w:rsid w:val="00AA0371"/>
    <w:rsid w:val="00AA0758"/>
    <w:rsid w:val="00AA0786"/>
    <w:rsid w:val="00AA0BA5"/>
    <w:rsid w:val="00AA0F87"/>
    <w:rsid w:val="00AA1103"/>
    <w:rsid w:val="00AA113D"/>
    <w:rsid w:val="00AA1260"/>
    <w:rsid w:val="00AA127E"/>
    <w:rsid w:val="00AA12C6"/>
    <w:rsid w:val="00AA12FC"/>
    <w:rsid w:val="00AA19E0"/>
    <w:rsid w:val="00AA1DE8"/>
    <w:rsid w:val="00AA220E"/>
    <w:rsid w:val="00AA2377"/>
    <w:rsid w:val="00AA270E"/>
    <w:rsid w:val="00AA278C"/>
    <w:rsid w:val="00AA2974"/>
    <w:rsid w:val="00AA3419"/>
    <w:rsid w:val="00AA35CC"/>
    <w:rsid w:val="00AA35E0"/>
    <w:rsid w:val="00AA35F9"/>
    <w:rsid w:val="00AA3F82"/>
    <w:rsid w:val="00AA4529"/>
    <w:rsid w:val="00AA4A87"/>
    <w:rsid w:val="00AA4CAB"/>
    <w:rsid w:val="00AA4FEE"/>
    <w:rsid w:val="00AA5160"/>
    <w:rsid w:val="00AA5278"/>
    <w:rsid w:val="00AA54DF"/>
    <w:rsid w:val="00AA59C6"/>
    <w:rsid w:val="00AA5B43"/>
    <w:rsid w:val="00AA5C74"/>
    <w:rsid w:val="00AA6193"/>
    <w:rsid w:val="00AA63B3"/>
    <w:rsid w:val="00AA6B2D"/>
    <w:rsid w:val="00AA6BD5"/>
    <w:rsid w:val="00AA6BD8"/>
    <w:rsid w:val="00AA6C7D"/>
    <w:rsid w:val="00AA6CC2"/>
    <w:rsid w:val="00AA7512"/>
    <w:rsid w:val="00AA7B4F"/>
    <w:rsid w:val="00AA7FD6"/>
    <w:rsid w:val="00AB042A"/>
    <w:rsid w:val="00AB05AD"/>
    <w:rsid w:val="00AB0F24"/>
    <w:rsid w:val="00AB15D5"/>
    <w:rsid w:val="00AB162F"/>
    <w:rsid w:val="00AB16EA"/>
    <w:rsid w:val="00AB1997"/>
    <w:rsid w:val="00AB19C1"/>
    <w:rsid w:val="00AB19EF"/>
    <w:rsid w:val="00AB1AFF"/>
    <w:rsid w:val="00AB1FD3"/>
    <w:rsid w:val="00AB2288"/>
    <w:rsid w:val="00AB2564"/>
    <w:rsid w:val="00AB27AF"/>
    <w:rsid w:val="00AB27BC"/>
    <w:rsid w:val="00AB2844"/>
    <w:rsid w:val="00AB28E1"/>
    <w:rsid w:val="00AB2979"/>
    <w:rsid w:val="00AB2D34"/>
    <w:rsid w:val="00AB314A"/>
    <w:rsid w:val="00AB31C6"/>
    <w:rsid w:val="00AB3430"/>
    <w:rsid w:val="00AB37B9"/>
    <w:rsid w:val="00AB3954"/>
    <w:rsid w:val="00AB3AAB"/>
    <w:rsid w:val="00AB4180"/>
    <w:rsid w:val="00AB4434"/>
    <w:rsid w:val="00AB444C"/>
    <w:rsid w:val="00AB465F"/>
    <w:rsid w:val="00AB47BA"/>
    <w:rsid w:val="00AB4A7D"/>
    <w:rsid w:val="00AB4AD1"/>
    <w:rsid w:val="00AB504A"/>
    <w:rsid w:val="00AB5647"/>
    <w:rsid w:val="00AB5817"/>
    <w:rsid w:val="00AB59E5"/>
    <w:rsid w:val="00AB5ACE"/>
    <w:rsid w:val="00AB5B36"/>
    <w:rsid w:val="00AB5C8F"/>
    <w:rsid w:val="00AB5D94"/>
    <w:rsid w:val="00AB5E07"/>
    <w:rsid w:val="00AB5F39"/>
    <w:rsid w:val="00AB634A"/>
    <w:rsid w:val="00AB65FF"/>
    <w:rsid w:val="00AB666C"/>
    <w:rsid w:val="00AB6690"/>
    <w:rsid w:val="00AB6ADD"/>
    <w:rsid w:val="00AB6B42"/>
    <w:rsid w:val="00AB6BAE"/>
    <w:rsid w:val="00AB6BBC"/>
    <w:rsid w:val="00AB6ECB"/>
    <w:rsid w:val="00AB6EEB"/>
    <w:rsid w:val="00AB6F6F"/>
    <w:rsid w:val="00AB71C4"/>
    <w:rsid w:val="00AB73EA"/>
    <w:rsid w:val="00AB7593"/>
    <w:rsid w:val="00AB7718"/>
    <w:rsid w:val="00AB79C7"/>
    <w:rsid w:val="00AB7B76"/>
    <w:rsid w:val="00AB7CFA"/>
    <w:rsid w:val="00AB7DA2"/>
    <w:rsid w:val="00AC00AA"/>
    <w:rsid w:val="00AC02D7"/>
    <w:rsid w:val="00AC0475"/>
    <w:rsid w:val="00AC0884"/>
    <w:rsid w:val="00AC090A"/>
    <w:rsid w:val="00AC0983"/>
    <w:rsid w:val="00AC0AFE"/>
    <w:rsid w:val="00AC0BD7"/>
    <w:rsid w:val="00AC0C61"/>
    <w:rsid w:val="00AC114E"/>
    <w:rsid w:val="00AC11F8"/>
    <w:rsid w:val="00AC1292"/>
    <w:rsid w:val="00AC12E6"/>
    <w:rsid w:val="00AC139A"/>
    <w:rsid w:val="00AC14F9"/>
    <w:rsid w:val="00AC1679"/>
    <w:rsid w:val="00AC1831"/>
    <w:rsid w:val="00AC19E1"/>
    <w:rsid w:val="00AC1F52"/>
    <w:rsid w:val="00AC1F8F"/>
    <w:rsid w:val="00AC26E3"/>
    <w:rsid w:val="00AC270A"/>
    <w:rsid w:val="00AC2B9E"/>
    <w:rsid w:val="00AC2E1C"/>
    <w:rsid w:val="00AC3125"/>
    <w:rsid w:val="00AC315E"/>
    <w:rsid w:val="00AC3200"/>
    <w:rsid w:val="00AC3306"/>
    <w:rsid w:val="00AC3765"/>
    <w:rsid w:val="00AC39E4"/>
    <w:rsid w:val="00AC3A8E"/>
    <w:rsid w:val="00AC4155"/>
    <w:rsid w:val="00AC439E"/>
    <w:rsid w:val="00AC4876"/>
    <w:rsid w:val="00AC52E7"/>
    <w:rsid w:val="00AC53E9"/>
    <w:rsid w:val="00AC59D1"/>
    <w:rsid w:val="00AC5B48"/>
    <w:rsid w:val="00AC5CE9"/>
    <w:rsid w:val="00AC5E3A"/>
    <w:rsid w:val="00AC5E40"/>
    <w:rsid w:val="00AC5F59"/>
    <w:rsid w:val="00AC6155"/>
    <w:rsid w:val="00AC620D"/>
    <w:rsid w:val="00AC647D"/>
    <w:rsid w:val="00AC659E"/>
    <w:rsid w:val="00AC66C4"/>
    <w:rsid w:val="00AC6721"/>
    <w:rsid w:val="00AC6983"/>
    <w:rsid w:val="00AC6C46"/>
    <w:rsid w:val="00AC6EB1"/>
    <w:rsid w:val="00AC6F5D"/>
    <w:rsid w:val="00AC7207"/>
    <w:rsid w:val="00AC795F"/>
    <w:rsid w:val="00AC7B65"/>
    <w:rsid w:val="00AC7D3F"/>
    <w:rsid w:val="00AD0540"/>
    <w:rsid w:val="00AD06C5"/>
    <w:rsid w:val="00AD08FE"/>
    <w:rsid w:val="00AD09CB"/>
    <w:rsid w:val="00AD0BAB"/>
    <w:rsid w:val="00AD0EE7"/>
    <w:rsid w:val="00AD0F85"/>
    <w:rsid w:val="00AD1199"/>
    <w:rsid w:val="00AD11F6"/>
    <w:rsid w:val="00AD13A6"/>
    <w:rsid w:val="00AD1450"/>
    <w:rsid w:val="00AD14E2"/>
    <w:rsid w:val="00AD1634"/>
    <w:rsid w:val="00AD1D7B"/>
    <w:rsid w:val="00AD1EE8"/>
    <w:rsid w:val="00AD1EF7"/>
    <w:rsid w:val="00AD2062"/>
    <w:rsid w:val="00AD26AD"/>
    <w:rsid w:val="00AD2D68"/>
    <w:rsid w:val="00AD3107"/>
    <w:rsid w:val="00AD3167"/>
    <w:rsid w:val="00AD31D8"/>
    <w:rsid w:val="00AD33AE"/>
    <w:rsid w:val="00AD3794"/>
    <w:rsid w:val="00AD3BC7"/>
    <w:rsid w:val="00AD3F38"/>
    <w:rsid w:val="00AD42F7"/>
    <w:rsid w:val="00AD4318"/>
    <w:rsid w:val="00AD4783"/>
    <w:rsid w:val="00AD520B"/>
    <w:rsid w:val="00AD5622"/>
    <w:rsid w:val="00AD5718"/>
    <w:rsid w:val="00AD5739"/>
    <w:rsid w:val="00AD576E"/>
    <w:rsid w:val="00AD624A"/>
    <w:rsid w:val="00AD64FA"/>
    <w:rsid w:val="00AD6502"/>
    <w:rsid w:val="00AD67AA"/>
    <w:rsid w:val="00AD6F1A"/>
    <w:rsid w:val="00AD7241"/>
    <w:rsid w:val="00AD73C1"/>
    <w:rsid w:val="00AD752C"/>
    <w:rsid w:val="00AD76CD"/>
    <w:rsid w:val="00AD777A"/>
    <w:rsid w:val="00AD7E5D"/>
    <w:rsid w:val="00AE02BC"/>
    <w:rsid w:val="00AE03D1"/>
    <w:rsid w:val="00AE0538"/>
    <w:rsid w:val="00AE0695"/>
    <w:rsid w:val="00AE11CE"/>
    <w:rsid w:val="00AE13DD"/>
    <w:rsid w:val="00AE1506"/>
    <w:rsid w:val="00AE1594"/>
    <w:rsid w:val="00AE1611"/>
    <w:rsid w:val="00AE1648"/>
    <w:rsid w:val="00AE18EA"/>
    <w:rsid w:val="00AE1F3C"/>
    <w:rsid w:val="00AE2224"/>
    <w:rsid w:val="00AE22D1"/>
    <w:rsid w:val="00AE26D5"/>
    <w:rsid w:val="00AE2B97"/>
    <w:rsid w:val="00AE2C58"/>
    <w:rsid w:val="00AE2DB5"/>
    <w:rsid w:val="00AE2DE2"/>
    <w:rsid w:val="00AE2E7A"/>
    <w:rsid w:val="00AE3B26"/>
    <w:rsid w:val="00AE3BB4"/>
    <w:rsid w:val="00AE3E7E"/>
    <w:rsid w:val="00AE406C"/>
    <w:rsid w:val="00AE418B"/>
    <w:rsid w:val="00AE4321"/>
    <w:rsid w:val="00AE4576"/>
    <w:rsid w:val="00AE457A"/>
    <w:rsid w:val="00AE475B"/>
    <w:rsid w:val="00AE49B0"/>
    <w:rsid w:val="00AE4A48"/>
    <w:rsid w:val="00AE4C7C"/>
    <w:rsid w:val="00AE53A6"/>
    <w:rsid w:val="00AE54C1"/>
    <w:rsid w:val="00AE58F5"/>
    <w:rsid w:val="00AE5A61"/>
    <w:rsid w:val="00AE5A6D"/>
    <w:rsid w:val="00AE5B28"/>
    <w:rsid w:val="00AE5D2D"/>
    <w:rsid w:val="00AE5F88"/>
    <w:rsid w:val="00AE62C4"/>
    <w:rsid w:val="00AE661C"/>
    <w:rsid w:val="00AE6956"/>
    <w:rsid w:val="00AE6A1A"/>
    <w:rsid w:val="00AE71DB"/>
    <w:rsid w:val="00AE728B"/>
    <w:rsid w:val="00AE735F"/>
    <w:rsid w:val="00AE7538"/>
    <w:rsid w:val="00AE75B4"/>
    <w:rsid w:val="00AE79A3"/>
    <w:rsid w:val="00AE79C7"/>
    <w:rsid w:val="00AE7BF7"/>
    <w:rsid w:val="00AF0509"/>
    <w:rsid w:val="00AF0B98"/>
    <w:rsid w:val="00AF0CD5"/>
    <w:rsid w:val="00AF0E1F"/>
    <w:rsid w:val="00AF0EF5"/>
    <w:rsid w:val="00AF1315"/>
    <w:rsid w:val="00AF157C"/>
    <w:rsid w:val="00AF1595"/>
    <w:rsid w:val="00AF1772"/>
    <w:rsid w:val="00AF18DF"/>
    <w:rsid w:val="00AF18F3"/>
    <w:rsid w:val="00AF19BF"/>
    <w:rsid w:val="00AF1A48"/>
    <w:rsid w:val="00AF1B24"/>
    <w:rsid w:val="00AF1BB3"/>
    <w:rsid w:val="00AF2072"/>
    <w:rsid w:val="00AF234E"/>
    <w:rsid w:val="00AF28AE"/>
    <w:rsid w:val="00AF2925"/>
    <w:rsid w:val="00AF2DC3"/>
    <w:rsid w:val="00AF2FAE"/>
    <w:rsid w:val="00AF3229"/>
    <w:rsid w:val="00AF3409"/>
    <w:rsid w:val="00AF3BB9"/>
    <w:rsid w:val="00AF3C5A"/>
    <w:rsid w:val="00AF3F2A"/>
    <w:rsid w:val="00AF41F4"/>
    <w:rsid w:val="00AF43BB"/>
    <w:rsid w:val="00AF4670"/>
    <w:rsid w:val="00AF468E"/>
    <w:rsid w:val="00AF47B5"/>
    <w:rsid w:val="00AF47C7"/>
    <w:rsid w:val="00AF4D02"/>
    <w:rsid w:val="00AF4D86"/>
    <w:rsid w:val="00AF5175"/>
    <w:rsid w:val="00AF58AD"/>
    <w:rsid w:val="00AF5DDF"/>
    <w:rsid w:val="00AF5FB9"/>
    <w:rsid w:val="00AF61E4"/>
    <w:rsid w:val="00AF63B7"/>
    <w:rsid w:val="00AF67CC"/>
    <w:rsid w:val="00AF6D6F"/>
    <w:rsid w:val="00AF6EFE"/>
    <w:rsid w:val="00AF7601"/>
    <w:rsid w:val="00AF77E3"/>
    <w:rsid w:val="00AF783A"/>
    <w:rsid w:val="00B00015"/>
    <w:rsid w:val="00B0042E"/>
    <w:rsid w:val="00B00673"/>
    <w:rsid w:val="00B006E9"/>
    <w:rsid w:val="00B011BE"/>
    <w:rsid w:val="00B017C4"/>
    <w:rsid w:val="00B01AAB"/>
    <w:rsid w:val="00B01D49"/>
    <w:rsid w:val="00B02314"/>
    <w:rsid w:val="00B0235A"/>
    <w:rsid w:val="00B02701"/>
    <w:rsid w:val="00B02A8C"/>
    <w:rsid w:val="00B02BB6"/>
    <w:rsid w:val="00B02C11"/>
    <w:rsid w:val="00B033E5"/>
    <w:rsid w:val="00B0376F"/>
    <w:rsid w:val="00B038D0"/>
    <w:rsid w:val="00B03A63"/>
    <w:rsid w:val="00B03A93"/>
    <w:rsid w:val="00B03C16"/>
    <w:rsid w:val="00B04361"/>
    <w:rsid w:val="00B0440A"/>
    <w:rsid w:val="00B0444E"/>
    <w:rsid w:val="00B04487"/>
    <w:rsid w:val="00B044BC"/>
    <w:rsid w:val="00B04614"/>
    <w:rsid w:val="00B04ABD"/>
    <w:rsid w:val="00B04FCD"/>
    <w:rsid w:val="00B0533B"/>
    <w:rsid w:val="00B05608"/>
    <w:rsid w:val="00B057C1"/>
    <w:rsid w:val="00B05E32"/>
    <w:rsid w:val="00B05FED"/>
    <w:rsid w:val="00B06370"/>
    <w:rsid w:val="00B063B7"/>
    <w:rsid w:val="00B0642E"/>
    <w:rsid w:val="00B06586"/>
    <w:rsid w:val="00B06AF1"/>
    <w:rsid w:val="00B06D21"/>
    <w:rsid w:val="00B06D61"/>
    <w:rsid w:val="00B06E29"/>
    <w:rsid w:val="00B071DF"/>
    <w:rsid w:val="00B07227"/>
    <w:rsid w:val="00B07245"/>
    <w:rsid w:val="00B0755C"/>
    <w:rsid w:val="00B07BD6"/>
    <w:rsid w:val="00B07C64"/>
    <w:rsid w:val="00B10281"/>
    <w:rsid w:val="00B104B8"/>
    <w:rsid w:val="00B104BE"/>
    <w:rsid w:val="00B10628"/>
    <w:rsid w:val="00B1097E"/>
    <w:rsid w:val="00B112F6"/>
    <w:rsid w:val="00B113D6"/>
    <w:rsid w:val="00B11582"/>
    <w:rsid w:val="00B11936"/>
    <w:rsid w:val="00B11AA4"/>
    <w:rsid w:val="00B11B04"/>
    <w:rsid w:val="00B11DAD"/>
    <w:rsid w:val="00B1238B"/>
    <w:rsid w:val="00B12A4D"/>
    <w:rsid w:val="00B12C37"/>
    <w:rsid w:val="00B12EE5"/>
    <w:rsid w:val="00B136B3"/>
    <w:rsid w:val="00B13795"/>
    <w:rsid w:val="00B138F0"/>
    <w:rsid w:val="00B13A07"/>
    <w:rsid w:val="00B14031"/>
    <w:rsid w:val="00B1432F"/>
    <w:rsid w:val="00B143CA"/>
    <w:rsid w:val="00B143F2"/>
    <w:rsid w:val="00B14A2D"/>
    <w:rsid w:val="00B14A4D"/>
    <w:rsid w:val="00B14B44"/>
    <w:rsid w:val="00B14B83"/>
    <w:rsid w:val="00B14E3D"/>
    <w:rsid w:val="00B14F0C"/>
    <w:rsid w:val="00B14FFB"/>
    <w:rsid w:val="00B152F6"/>
    <w:rsid w:val="00B15568"/>
    <w:rsid w:val="00B155EC"/>
    <w:rsid w:val="00B156F7"/>
    <w:rsid w:val="00B15AAE"/>
    <w:rsid w:val="00B165F2"/>
    <w:rsid w:val="00B1671B"/>
    <w:rsid w:val="00B167AC"/>
    <w:rsid w:val="00B167BF"/>
    <w:rsid w:val="00B16949"/>
    <w:rsid w:val="00B170F8"/>
    <w:rsid w:val="00B171C2"/>
    <w:rsid w:val="00B1723B"/>
    <w:rsid w:val="00B17884"/>
    <w:rsid w:val="00B17B6B"/>
    <w:rsid w:val="00B17B91"/>
    <w:rsid w:val="00B17D32"/>
    <w:rsid w:val="00B17E35"/>
    <w:rsid w:val="00B20074"/>
    <w:rsid w:val="00B2014A"/>
    <w:rsid w:val="00B201A4"/>
    <w:rsid w:val="00B201D1"/>
    <w:rsid w:val="00B2072A"/>
    <w:rsid w:val="00B208DA"/>
    <w:rsid w:val="00B20E36"/>
    <w:rsid w:val="00B21237"/>
    <w:rsid w:val="00B21261"/>
    <w:rsid w:val="00B213A6"/>
    <w:rsid w:val="00B2161B"/>
    <w:rsid w:val="00B216E4"/>
    <w:rsid w:val="00B2174A"/>
    <w:rsid w:val="00B2180A"/>
    <w:rsid w:val="00B218F2"/>
    <w:rsid w:val="00B2191F"/>
    <w:rsid w:val="00B2197A"/>
    <w:rsid w:val="00B21CB0"/>
    <w:rsid w:val="00B222A1"/>
    <w:rsid w:val="00B223F3"/>
    <w:rsid w:val="00B2241A"/>
    <w:rsid w:val="00B2244D"/>
    <w:rsid w:val="00B2266C"/>
    <w:rsid w:val="00B2271F"/>
    <w:rsid w:val="00B228CB"/>
    <w:rsid w:val="00B229DF"/>
    <w:rsid w:val="00B2329D"/>
    <w:rsid w:val="00B23423"/>
    <w:rsid w:val="00B235B0"/>
    <w:rsid w:val="00B2391A"/>
    <w:rsid w:val="00B23999"/>
    <w:rsid w:val="00B23F22"/>
    <w:rsid w:val="00B24C1F"/>
    <w:rsid w:val="00B24D7B"/>
    <w:rsid w:val="00B24DF6"/>
    <w:rsid w:val="00B24F3A"/>
    <w:rsid w:val="00B24F88"/>
    <w:rsid w:val="00B2507E"/>
    <w:rsid w:val="00B25112"/>
    <w:rsid w:val="00B25192"/>
    <w:rsid w:val="00B252D0"/>
    <w:rsid w:val="00B25358"/>
    <w:rsid w:val="00B253A0"/>
    <w:rsid w:val="00B253D6"/>
    <w:rsid w:val="00B253FD"/>
    <w:rsid w:val="00B25601"/>
    <w:rsid w:val="00B25DD7"/>
    <w:rsid w:val="00B25E42"/>
    <w:rsid w:val="00B25F10"/>
    <w:rsid w:val="00B26854"/>
    <w:rsid w:val="00B26A4F"/>
    <w:rsid w:val="00B26E03"/>
    <w:rsid w:val="00B2734E"/>
    <w:rsid w:val="00B27746"/>
    <w:rsid w:val="00B27A8E"/>
    <w:rsid w:val="00B27B91"/>
    <w:rsid w:val="00B30111"/>
    <w:rsid w:val="00B302B4"/>
    <w:rsid w:val="00B308BA"/>
    <w:rsid w:val="00B3097E"/>
    <w:rsid w:val="00B30B89"/>
    <w:rsid w:val="00B30D8E"/>
    <w:rsid w:val="00B30FC9"/>
    <w:rsid w:val="00B31274"/>
    <w:rsid w:val="00B312A1"/>
    <w:rsid w:val="00B3142E"/>
    <w:rsid w:val="00B31F23"/>
    <w:rsid w:val="00B322EA"/>
    <w:rsid w:val="00B32705"/>
    <w:rsid w:val="00B327AB"/>
    <w:rsid w:val="00B327B4"/>
    <w:rsid w:val="00B32BC4"/>
    <w:rsid w:val="00B33091"/>
    <w:rsid w:val="00B33225"/>
    <w:rsid w:val="00B3353A"/>
    <w:rsid w:val="00B33BB8"/>
    <w:rsid w:val="00B33BC4"/>
    <w:rsid w:val="00B33CB5"/>
    <w:rsid w:val="00B33CC6"/>
    <w:rsid w:val="00B33DB0"/>
    <w:rsid w:val="00B33E35"/>
    <w:rsid w:val="00B34198"/>
    <w:rsid w:val="00B34476"/>
    <w:rsid w:val="00B346D2"/>
    <w:rsid w:val="00B34B75"/>
    <w:rsid w:val="00B34BBC"/>
    <w:rsid w:val="00B34D2E"/>
    <w:rsid w:val="00B34FE2"/>
    <w:rsid w:val="00B35166"/>
    <w:rsid w:val="00B35284"/>
    <w:rsid w:val="00B355A5"/>
    <w:rsid w:val="00B357D8"/>
    <w:rsid w:val="00B35BD8"/>
    <w:rsid w:val="00B35F53"/>
    <w:rsid w:val="00B35F90"/>
    <w:rsid w:val="00B360F4"/>
    <w:rsid w:val="00B363E7"/>
    <w:rsid w:val="00B36462"/>
    <w:rsid w:val="00B3689B"/>
    <w:rsid w:val="00B368B0"/>
    <w:rsid w:val="00B36A00"/>
    <w:rsid w:val="00B36D85"/>
    <w:rsid w:val="00B36DFE"/>
    <w:rsid w:val="00B36F86"/>
    <w:rsid w:val="00B3712E"/>
    <w:rsid w:val="00B373DC"/>
    <w:rsid w:val="00B376F7"/>
    <w:rsid w:val="00B37B40"/>
    <w:rsid w:val="00B37BCB"/>
    <w:rsid w:val="00B37BFC"/>
    <w:rsid w:val="00B37C53"/>
    <w:rsid w:val="00B37D69"/>
    <w:rsid w:val="00B37E7A"/>
    <w:rsid w:val="00B40358"/>
    <w:rsid w:val="00B40A2A"/>
    <w:rsid w:val="00B40E05"/>
    <w:rsid w:val="00B40EDA"/>
    <w:rsid w:val="00B415FA"/>
    <w:rsid w:val="00B41614"/>
    <w:rsid w:val="00B417F4"/>
    <w:rsid w:val="00B41AD9"/>
    <w:rsid w:val="00B41F2E"/>
    <w:rsid w:val="00B41FB3"/>
    <w:rsid w:val="00B41FCE"/>
    <w:rsid w:val="00B421BF"/>
    <w:rsid w:val="00B4231C"/>
    <w:rsid w:val="00B4282A"/>
    <w:rsid w:val="00B42851"/>
    <w:rsid w:val="00B42F00"/>
    <w:rsid w:val="00B42F80"/>
    <w:rsid w:val="00B4319B"/>
    <w:rsid w:val="00B43343"/>
    <w:rsid w:val="00B435CB"/>
    <w:rsid w:val="00B43793"/>
    <w:rsid w:val="00B438BC"/>
    <w:rsid w:val="00B4398A"/>
    <w:rsid w:val="00B43C45"/>
    <w:rsid w:val="00B44078"/>
    <w:rsid w:val="00B4422D"/>
    <w:rsid w:val="00B44B44"/>
    <w:rsid w:val="00B44E63"/>
    <w:rsid w:val="00B44F8B"/>
    <w:rsid w:val="00B454E8"/>
    <w:rsid w:val="00B45560"/>
    <w:rsid w:val="00B45688"/>
    <w:rsid w:val="00B45746"/>
    <w:rsid w:val="00B45756"/>
    <w:rsid w:val="00B45928"/>
    <w:rsid w:val="00B467BE"/>
    <w:rsid w:val="00B469EF"/>
    <w:rsid w:val="00B46EEC"/>
    <w:rsid w:val="00B470B4"/>
    <w:rsid w:val="00B47712"/>
    <w:rsid w:val="00B47942"/>
    <w:rsid w:val="00B479F6"/>
    <w:rsid w:val="00B47B66"/>
    <w:rsid w:val="00B47BE8"/>
    <w:rsid w:val="00B47E88"/>
    <w:rsid w:val="00B5010E"/>
    <w:rsid w:val="00B50142"/>
    <w:rsid w:val="00B5047D"/>
    <w:rsid w:val="00B504DF"/>
    <w:rsid w:val="00B505C8"/>
    <w:rsid w:val="00B50615"/>
    <w:rsid w:val="00B50921"/>
    <w:rsid w:val="00B50ABB"/>
    <w:rsid w:val="00B50DB8"/>
    <w:rsid w:val="00B5117B"/>
    <w:rsid w:val="00B511CF"/>
    <w:rsid w:val="00B5126D"/>
    <w:rsid w:val="00B51BE4"/>
    <w:rsid w:val="00B5224D"/>
    <w:rsid w:val="00B52458"/>
    <w:rsid w:val="00B5286D"/>
    <w:rsid w:val="00B52B97"/>
    <w:rsid w:val="00B534AB"/>
    <w:rsid w:val="00B53654"/>
    <w:rsid w:val="00B536E9"/>
    <w:rsid w:val="00B536F9"/>
    <w:rsid w:val="00B53905"/>
    <w:rsid w:val="00B53CB8"/>
    <w:rsid w:val="00B53DE8"/>
    <w:rsid w:val="00B544F8"/>
    <w:rsid w:val="00B54AB2"/>
    <w:rsid w:val="00B54B5B"/>
    <w:rsid w:val="00B54FCC"/>
    <w:rsid w:val="00B551D7"/>
    <w:rsid w:val="00B5562E"/>
    <w:rsid w:val="00B5566D"/>
    <w:rsid w:val="00B55C89"/>
    <w:rsid w:val="00B55D65"/>
    <w:rsid w:val="00B55E2A"/>
    <w:rsid w:val="00B56316"/>
    <w:rsid w:val="00B57000"/>
    <w:rsid w:val="00B5771F"/>
    <w:rsid w:val="00B577F7"/>
    <w:rsid w:val="00B57A02"/>
    <w:rsid w:val="00B57CE1"/>
    <w:rsid w:val="00B600B9"/>
    <w:rsid w:val="00B604C1"/>
    <w:rsid w:val="00B6064C"/>
    <w:rsid w:val="00B606E7"/>
    <w:rsid w:val="00B60712"/>
    <w:rsid w:val="00B60802"/>
    <w:rsid w:val="00B60939"/>
    <w:rsid w:val="00B60AFD"/>
    <w:rsid w:val="00B60FE8"/>
    <w:rsid w:val="00B613F5"/>
    <w:rsid w:val="00B61970"/>
    <w:rsid w:val="00B61CCC"/>
    <w:rsid w:val="00B62060"/>
    <w:rsid w:val="00B62715"/>
    <w:rsid w:val="00B62B10"/>
    <w:rsid w:val="00B62C83"/>
    <w:rsid w:val="00B62E0B"/>
    <w:rsid w:val="00B6304F"/>
    <w:rsid w:val="00B63A25"/>
    <w:rsid w:val="00B63BAD"/>
    <w:rsid w:val="00B63ED0"/>
    <w:rsid w:val="00B641AA"/>
    <w:rsid w:val="00B6436D"/>
    <w:rsid w:val="00B6442B"/>
    <w:rsid w:val="00B646F6"/>
    <w:rsid w:val="00B648B6"/>
    <w:rsid w:val="00B64A4A"/>
    <w:rsid w:val="00B64B70"/>
    <w:rsid w:val="00B64FA4"/>
    <w:rsid w:val="00B65036"/>
    <w:rsid w:val="00B65611"/>
    <w:rsid w:val="00B658A8"/>
    <w:rsid w:val="00B65A00"/>
    <w:rsid w:val="00B65B80"/>
    <w:rsid w:val="00B65E25"/>
    <w:rsid w:val="00B6650A"/>
    <w:rsid w:val="00B66571"/>
    <w:rsid w:val="00B6689F"/>
    <w:rsid w:val="00B668D4"/>
    <w:rsid w:val="00B6693E"/>
    <w:rsid w:val="00B66A8D"/>
    <w:rsid w:val="00B6702A"/>
    <w:rsid w:val="00B671AF"/>
    <w:rsid w:val="00B672FA"/>
    <w:rsid w:val="00B67423"/>
    <w:rsid w:val="00B67464"/>
    <w:rsid w:val="00B674C6"/>
    <w:rsid w:val="00B678AA"/>
    <w:rsid w:val="00B67A60"/>
    <w:rsid w:val="00B67A79"/>
    <w:rsid w:val="00B67DD0"/>
    <w:rsid w:val="00B7025B"/>
    <w:rsid w:val="00B70480"/>
    <w:rsid w:val="00B704AF"/>
    <w:rsid w:val="00B70577"/>
    <w:rsid w:val="00B70657"/>
    <w:rsid w:val="00B707B1"/>
    <w:rsid w:val="00B70A21"/>
    <w:rsid w:val="00B70A6B"/>
    <w:rsid w:val="00B70BE5"/>
    <w:rsid w:val="00B70C02"/>
    <w:rsid w:val="00B70C22"/>
    <w:rsid w:val="00B70CC9"/>
    <w:rsid w:val="00B70E8E"/>
    <w:rsid w:val="00B70F7D"/>
    <w:rsid w:val="00B714A1"/>
    <w:rsid w:val="00B7174B"/>
    <w:rsid w:val="00B717E6"/>
    <w:rsid w:val="00B71B97"/>
    <w:rsid w:val="00B71FCC"/>
    <w:rsid w:val="00B7200D"/>
    <w:rsid w:val="00B7211F"/>
    <w:rsid w:val="00B72177"/>
    <w:rsid w:val="00B72398"/>
    <w:rsid w:val="00B724D9"/>
    <w:rsid w:val="00B72AEE"/>
    <w:rsid w:val="00B72C35"/>
    <w:rsid w:val="00B72D65"/>
    <w:rsid w:val="00B72DA2"/>
    <w:rsid w:val="00B732C8"/>
    <w:rsid w:val="00B734A8"/>
    <w:rsid w:val="00B73BDD"/>
    <w:rsid w:val="00B741F5"/>
    <w:rsid w:val="00B74266"/>
    <w:rsid w:val="00B7529B"/>
    <w:rsid w:val="00B75427"/>
    <w:rsid w:val="00B75691"/>
    <w:rsid w:val="00B75753"/>
    <w:rsid w:val="00B75886"/>
    <w:rsid w:val="00B75D4C"/>
    <w:rsid w:val="00B7618A"/>
    <w:rsid w:val="00B762D3"/>
    <w:rsid w:val="00B76319"/>
    <w:rsid w:val="00B76336"/>
    <w:rsid w:val="00B765A7"/>
    <w:rsid w:val="00B76C92"/>
    <w:rsid w:val="00B76D76"/>
    <w:rsid w:val="00B7730A"/>
    <w:rsid w:val="00B7798B"/>
    <w:rsid w:val="00B77B33"/>
    <w:rsid w:val="00B77E3C"/>
    <w:rsid w:val="00B77EE8"/>
    <w:rsid w:val="00B77EFA"/>
    <w:rsid w:val="00B77F5A"/>
    <w:rsid w:val="00B77FE8"/>
    <w:rsid w:val="00B8014C"/>
    <w:rsid w:val="00B80555"/>
    <w:rsid w:val="00B807B0"/>
    <w:rsid w:val="00B80859"/>
    <w:rsid w:val="00B80A62"/>
    <w:rsid w:val="00B80CA9"/>
    <w:rsid w:val="00B80CFF"/>
    <w:rsid w:val="00B81087"/>
    <w:rsid w:val="00B81133"/>
    <w:rsid w:val="00B81508"/>
    <w:rsid w:val="00B8158F"/>
    <w:rsid w:val="00B818A4"/>
    <w:rsid w:val="00B81C7B"/>
    <w:rsid w:val="00B81D7D"/>
    <w:rsid w:val="00B81F2E"/>
    <w:rsid w:val="00B8202E"/>
    <w:rsid w:val="00B82294"/>
    <w:rsid w:val="00B825E0"/>
    <w:rsid w:val="00B8261E"/>
    <w:rsid w:val="00B826F3"/>
    <w:rsid w:val="00B8297A"/>
    <w:rsid w:val="00B82AA0"/>
    <w:rsid w:val="00B82F94"/>
    <w:rsid w:val="00B82FFD"/>
    <w:rsid w:val="00B836BB"/>
    <w:rsid w:val="00B838F8"/>
    <w:rsid w:val="00B83E43"/>
    <w:rsid w:val="00B83E9B"/>
    <w:rsid w:val="00B84117"/>
    <w:rsid w:val="00B8484B"/>
    <w:rsid w:val="00B84858"/>
    <w:rsid w:val="00B84ACD"/>
    <w:rsid w:val="00B84ACE"/>
    <w:rsid w:val="00B85497"/>
    <w:rsid w:val="00B8561B"/>
    <w:rsid w:val="00B858F0"/>
    <w:rsid w:val="00B85962"/>
    <w:rsid w:val="00B85967"/>
    <w:rsid w:val="00B85AA2"/>
    <w:rsid w:val="00B85D82"/>
    <w:rsid w:val="00B860CB"/>
    <w:rsid w:val="00B8649C"/>
    <w:rsid w:val="00B8695D"/>
    <w:rsid w:val="00B86A85"/>
    <w:rsid w:val="00B86BE8"/>
    <w:rsid w:val="00B86E46"/>
    <w:rsid w:val="00B8752F"/>
    <w:rsid w:val="00B87F0A"/>
    <w:rsid w:val="00B903F0"/>
    <w:rsid w:val="00B90426"/>
    <w:rsid w:val="00B904C1"/>
    <w:rsid w:val="00B914A2"/>
    <w:rsid w:val="00B91A75"/>
    <w:rsid w:val="00B9201A"/>
    <w:rsid w:val="00B92148"/>
    <w:rsid w:val="00B9289B"/>
    <w:rsid w:val="00B92D0B"/>
    <w:rsid w:val="00B92DF1"/>
    <w:rsid w:val="00B92E91"/>
    <w:rsid w:val="00B92F98"/>
    <w:rsid w:val="00B92FE8"/>
    <w:rsid w:val="00B93236"/>
    <w:rsid w:val="00B9326E"/>
    <w:rsid w:val="00B93399"/>
    <w:rsid w:val="00B934F3"/>
    <w:rsid w:val="00B938FD"/>
    <w:rsid w:val="00B93DDD"/>
    <w:rsid w:val="00B93E46"/>
    <w:rsid w:val="00B93E5F"/>
    <w:rsid w:val="00B94823"/>
    <w:rsid w:val="00B948AF"/>
    <w:rsid w:val="00B948F7"/>
    <w:rsid w:val="00B94945"/>
    <w:rsid w:val="00B949B7"/>
    <w:rsid w:val="00B949C5"/>
    <w:rsid w:val="00B94AD5"/>
    <w:rsid w:val="00B94DD6"/>
    <w:rsid w:val="00B94E35"/>
    <w:rsid w:val="00B950A5"/>
    <w:rsid w:val="00B951BE"/>
    <w:rsid w:val="00B955EC"/>
    <w:rsid w:val="00B95E1F"/>
    <w:rsid w:val="00B95F23"/>
    <w:rsid w:val="00B95F3D"/>
    <w:rsid w:val="00B9624E"/>
    <w:rsid w:val="00B96784"/>
    <w:rsid w:val="00B969F3"/>
    <w:rsid w:val="00B96B71"/>
    <w:rsid w:val="00B96DEE"/>
    <w:rsid w:val="00B96E5D"/>
    <w:rsid w:val="00B9707B"/>
    <w:rsid w:val="00B973AA"/>
    <w:rsid w:val="00B9745E"/>
    <w:rsid w:val="00B974DA"/>
    <w:rsid w:val="00B976B3"/>
    <w:rsid w:val="00B97ADB"/>
    <w:rsid w:val="00B97B27"/>
    <w:rsid w:val="00B97BBD"/>
    <w:rsid w:val="00B97D6D"/>
    <w:rsid w:val="00B97D9D"/>
    <w:rsid w:val="00B97E08"/>
    <w:rsid w:val="00BA0099"/>
    <w:rsid w:val="00BA0A00"/>
    <w:rsid w:val="00BA0A4C"/>
    <w:rsid w:val="00BA0EBE"/>
    <w:rsid w:val="00BA1192"/>
    <w:rsid w:val="00BA1667"/>
    <w:rsid w:val="00BA1747"/>
    <w:rsid w:val="00BA19BB"/>
    <w:rsid w:val="00BA1E8F"/>
    <w:rsid w:val="00BA23DE"/>
    <w:rsid w:val="00BA296A"/>
    <w:rsid w:val="00BA2AF3"/>
    <w:rsid w:val="00BA3168"/>
    <w:rsid w:val="00BA322D"/>
    <w:rsid w:val="00BA331F"/>
    <w:rsid w:val="00BA3554"/>
    <w:rsid w:val="00BA3677"/>
    <w:rsid w:val="00BA3794"/>
    <w:rsid w:val="00BA38E0"/>
    <w:rsid w:val="00BA4069"/>
    <w:rsid w:val="00BA40A4"/>
    <w:rsid w:val="00BA4885"/>
    <w:rsid w:val="00BA48D2"/>
    <w:rsid w:val="00BA4A8E"/>
    <w:rsid w:val="00BA4B48"/>
    <w:rsid w:val="00BA4B4E"/>
    <w:rsid w:val="00BA4B8C"/>
    <w:rsid w:val="00BA4C41"/>
    <w:rsid w:val="00BA4EC9"/>
    <w:rsid w:val="00BA515E"/>
    <w:rsid w:val="00BA52C2"/>
    <w:rsid w:val="00BA53DD"/>
    <w:rsid w:val="00BA5623"/>
    <w:rsid w:val="00BA58A2"/>
    <w:rsid w:val="00BA5B92"/>
    <w:rsid w:val="00BA5C5B"/>
    <w:rsid w:val="00BA60B0"/>
    <w:rsid w:val="00BA6367"/>
    <w:rsid w:val="00BA63FA"/>
    <w:rsid w:val="00BA644C"/>
    <w:rsid w:val="00BA6751"/>
    <w:rsid w:val="00BA6A20"/>
    <w:rsid w:val="00BA6BF0"/>
    <w:rsid w:val="00BA6E2F"/>
    <w:rsid w:val="00BA6F00"/>
    <w:rsid w:val="00BA6F75"/>
    <w:rsid w:val="00BA7331"/>
    <w:rsid w:val="00BA79EF"/>
    <w:rsid w:val="00BA7C3F"/>
    <w:rsid w:val="00BA7D71"/>
    <w:rsid w:val="00BA7E7C"/>
    <w:rsid w:val="00BA7FFC"/>
    <w:rsid w:val="00BB00B3"/>
    <w:rsid w:val="00BB0616"/>
    <w:rsid w:val="00BB0BDD"/>
    <w:rsid w:val="00BB0C4A"/>
    <w:rsid w:val="00BB0CFB"/>
    <w:rsid w:val="00BB0DF3"/>
    <w:rsid w:val="00BB0E9A"/>
    <w:rsid w:val="00BB1102"/>
    <w:rsid w:val="00BB154A"/>
    <w:rsid w:val="00BB1731"/>
    <w:rsid w:val="00BB176C"/>
    <w:rsid w:val="00BB1894"/>
    <w:rsid w:val="00BB1D91"/>
    <w:rsid w:val="00BB1EEF"/>
    <w:rsid w:val="00BB2127"/>
    <w:rsid w:val="00BB23A5"/>
    <w:rsid w:val="00BB2595"/>
    <w:rsid w:val="00BB2772"/>
    <w:rsid w:val="00BB2A73"/>
    <w:rsid w:val="00BB2D00"/>
    <w:rsid w:val="00BB2DCD"/>
    <w:rsid w:val="00BB2E3C"/>
    <w:rsid w:val="00BB34B9"/>
    <w:rsid w:val="00BB3A45"/>
    <w:rsid w:val="00BB3B3B"/>
    <w:rsid w:val="00BB3C0D"/>
    <w:rsid w:val="00BB3CF2"/>
    <w:rsid w:val="00BB414A"/>
    <w:rsid w:val="00BB4160"/>
    <w:rsid w:val="00BB42FD"/>
    <w:rsid w:val="00BB49E9"/>
    <w:rsid w:val="00BB4ACC"/>
    <w:rsid w:val="00BB4DEE"/>
    <w:rsid w:val="00BB4FAD"/>
    <w:rsid w:val="00BB50F8"/>
    <w:rsid w:val="00BB56CC"/>
    <w:rsid w:val="00BB59B7"/>
    <w:rsid w:val="00BB6443"/>
    <w:rsid w:val="00BB6B18"/>
    <w:rsid w:val="00BB6C67"/>
    <w:rsid w:val="00BB6E09"/>
    <w:rsid w:val="00BB6F5D"/>
    <w:rsid w:val="00BB6FB1"/>
    <w:rsid w:val="00BB703E"/>
    <w:rsid w:val="00BB7258"/>
    <w:rsid w:val="00BB732D"/>
    <w:rsid w:val="00BB7405"/>
    <w:rsid w:val="00BB7DE6"/>
    <w:rsid w:val="00BB7E43"/>
    <w:rsid w:val="00BB7FD2"/>
    <w:rsid w:val="00BC0334"/>
    <w:rsid w:val="00BC0572"/>
    <w:rsid w:val="00BC0950"/>
    <w:rsid w:val="00BC0A96"/>
    <w:rsid w:val="00BC0BBE"/>
    <w:rsid w:val="00BC0D5B"/>
    <w:rsid w:val="00BC0FCE"/>
    <w:rsid w:val="00BC12C3"/>
    <w:rsid w:val="00BC14F2"/>
    <w:rsid w:val="00BC1A3B"/>
    <w:rsid w:val="00BC1C84"/>
    <w:rsid w:val="00BC254F"/>
    <w:rsid w:val="00BC265E"/>
    <w:rsid w:val="00BC2C71"/>
    <w:rsid w:val="00BC2FA2"/>
    <w:rsid w:val="00BC3631"/>
    <w:rsid w:val="00BC3659"/>
    <w:rsid w:val="00BC4112"/>
    <w:rsid w:val="00BC4186"/>
    <w:rsid w:val="00BC4506"/>
    <w:rsid w:val="00BC514E"/>
    <w:rsid w:val="00BC5366"/>
    <w:rsid w:val="00BC591F"/>
    <w:rsid w:val="00BC5C7D"/>
    <w:rsid w:val="00BC6882"/>
    <w:rsid w:val="00BC688C"/>
    <w:rsid w:val="00BC6903"/>
    <w:rsid w:val="00BC6B9A"/>
    <w:rsid w:val="00BC713A"/>
    <w:rsid w:val="00BC75B4"/>
    <w:rsid w:val="00BC77F6"/>
    <w:rsid w:val="00BC7B0C"/>
    <w:rsid w:val="00BC7C7B"/>
    <w:rsid w:val="00BC7D6D"/>
    <w:rsid w:val="00BC7F7E"/>
    <w:rsid w:val="00BD0004"/>
    <w:rsid w:val="00BD0035"/>
    <w:rsid w:val="00BD0072"/>
    <w:rsid w:val="00BD03BC"/>
    <w:rsid w:val="00BD066B"/>
    <w:rsid w:val="00BD0732"/>
    <w:rsid w:val="00BD0D29"/>
    <w:rsid w:val="00BD191A"/>
    <w:rsid w:val="00BD1A0A"/>
    <w:rsid w:val="00BD1A98"/>
    <w:rsid w:val="00BD1AA7"/>
    <w:rsid w:val="00BD1EE7"/>
    <w:rsid w:val="00BD1FA9"/>
    <w:rsid w:val="00BD1FD7"/>
    <w:rsid w:val="00BD2108"/>
    <w:rsid w:val="00BD2173"/>
    <w:rsid w:val="00BD27F4"/>
    <w:rsid w:val="00BD285B"/>
    <w:rsid w:val="00BD2BE2"/>
    <w:rsid w:val="00BD2F9B"/>
    <w:rsid w:val="00BD32A5"/>
    <w:rsid w:val="00BD33A8"/>
    <w:rsid w:val="00BD345E"/>
    <w:rsid w:val="00BD361D"/>
    <w:rsid w:val="00BD37D2"/>
    <w:rsid w:val="00BD380C"/>
    <w:rsid w:val="00BD3830"/>
    <w:rsid w:val="00BD38D1"/>
    <w:rsid w:val="00BD3A73"/>
    <w:rsid w:val="00BD3A74"/>
    <w:rsid w:val="00BD3C7D"/>
    <w:rsid w:val="00BD3CD0"/>
    <w:rsid w:val="00BD40E4"/>
    <w:rsid w:val="00BD42BB"/>
    <w:rsid w:val="00BD42F6"/>
    <w:rsid w:val="00BD4507"/>
    <w:rsid w:val="00BD4533"/>
    <w:rsid w:val="00BD4864"/>
    <w:rsid w:val="00BD4AE5"/>
    <w:rsid w:val="00BD4BD7"/>
    <w:rsid w:val="00BD52E3"/>
    <w:rsid w:val="00BD5362"/>
    <w:rsid w:val="00BD5952"/>
    <w:rsid w:val="00BD5BE8"/>
    <w:rsid w:val="00BD6064"/>
    <w:rsid w:val="00BD6120"/>
    <w:rsid w:val="00BD6261"/>
    <w:rsid w:val="00BD635B"/>
    <w:rsid w:val="00BD639C"/>
    <w:rsid w:val="00BD6452"/>
    <w:rsid w:val="00BD6571"/>
    <w:rsid w:val="00BD6816"/>
    <w:rsid w:val="00BD68A3"/>
    <w:rsid w:val="00BD6938"/>
    <w:rsid w:val="00BD6BC2"/>
    <w:rsid w:val="00BD6CC0"/>
    <w:rsid w:val="00BD6CF3"/>
    <w:rsid w:val="00BD71C7"/>
    <w:rsid w:val="00BD780B"/>
    <w:rsid w:val="00BD7C7E"/>
    <w:rsid w:val="00BD7CC6"/>
    <w:rsid w:val="00BD7D23"/>
    <w:rsid w:val="00BD7DA7"/>
    <w:rsid w:val="00BE00D2"/>
    <w:rsid w:val="00BE0219"/>
    <w:rsid w:val="00BE054E"/>
    <w:rsid w:val="00BE0A00"/>
    <w:rsid w:val="00BE0CD8"/>
    <w:rsid w:val="00BE0D6C"/>
    <w:rsid w:val="00BE0ECA"/>
    <w:rsid w:val="00BE12B5"/>
    <w:rsid w:val="00BE1560"/>
    <w:rsid w:val="00BE15F7"/>
    <w:rsid w:val="00BE1AAE"/>
    <w:rsid w:val="00BE1AFB"/>
    <w:rsid w:val="00BE1BC2"/>
    <w:rsid w:val="00BE1BF3"/>
    <w:rsid w:val="00BE1F5C"/>
    <w:rsid w:val="00BE1FDF"/>
    <w:rsid w:val="00BE2180"/>
    <w:rsid w:val="00BE21EC"/>
    <w:rsid w:val="00BE21F2"/>
    <w:rsid w:val="00BE2244"/>
    <w:rsid w:val="00BE230D"/>
    <w:rsid w:val="00BE24EE"/>
    <w:rsid w:val="00BE2595"/>
    <w:rsid w:val="00BE273B"/>
    <w:rsid w:val="00BE274C"/>
    <w:rsid w:val="00BE2D72"/>
    <w:rsid w:val="00BE2EBA"/>
    <w:rsid w:val="00BE317C"/>
    <w:rsid w:val="00BE324D"/>
    <w:rsid w:val="00BE3A19"/>
    <w:rsid w:val="00BE3BC3"/>
    <w:rsid w:val="00BE4275"/>
    <w:rsid w:val="00BE4374"/>
    <w:rsid w:val="00BE467D"/>
    <w:rsid w:val="00BE5161"/>
    <w:rsid w:val="00BE5452"/>
    <w:rsid w:val="00BE5501"/>
    <w:rsid w:val="00BE56D1"/>
    <w:rsid w:val="00BE59F2"/>
    <w:rsid w:val="00BE5B3C"/>
    <w:rsid w:val="00BE6443"/>
    <w:rsid w:val="00BE6589"/>
    <w:rsid w:val="00BE6752"/>
    <w:rsid w:val="00BE6A24"/>
    <w:rsid w:val="00BE6B8C"/>
    <w:rsid w:val="00BE6BF3"/>
    <w:rsid w:val="00BE6F0C"/>
    <w:rsid w:val="00BE717A"/>
    <w:rsid w:val="00BE7238"/>
    <w:rsid w:val="00BE7651"/>
    <w:rsid w:val="00BE789B"/>
    <w:rsid w:val="00BE7991"/>
    <w:rsid w:val="00BF0009"/>
    <w:rsid w:val="00BF009C"/>
    <w:rsid w:val="00BF01D1"/>
    <w:rsid w:val="00BF05D3"/>
    <w:rsid w:val="00BF06AE"/>
    <w:rsid w:val="00BF06FD"/>
    <w:rsid w:val="00BF0F95"/>
    <w:rsid w:val="00BF151D"/>
    <w:rsid w:val="00BF15AF"/>
    <w:rsid w:val="00BF17F1"/>
    <w:rsid w:val="00BF1838"/>
    <w:rsid w:val="00BF19C7"/>
    <w:rsid w:val="00BF1B8F"/>
    <w:rsid w:val="00BF1DA1"/>
    <w:rsid w:val="00BF2433"/>
    <w:rsid w:val="00BF29F6"/>
    <w:rsid w:val="00BF2A31"/>
    <w:rsid w:val="00BF2B84"/>
    <w:rsid w:val="00BF3016"/>
    <w:rsid w:val="00BF376F"/>
    <w:rsid w:val="00BF3770"/>
    <w:rsid w:val="00BF3888"/>
    <w:rsid w:val="00BF3A72"/>
    <w:rsid w:val="00BF3CC6"/>
    <w:rsid w:val="00BF3D1C"/>
    <w:rsid w:val="00BF424E"/>
    <w:rsid w:val="00BF4D2B"/>
    <w:rsid w:val="00BF4EB9"/>
    <w:rsid w:val="00BF50B1"/>
    <w:rsid w:val="00BF5A1A"/>
    <w:rsid w:val="00BF61BC"/>
    <w:rsid w:val="00BF61C9"/>
    <w:rsid w:val="00BF6325"/>
    <w:rsid w:val="00BF6C94"/>
    <w:rsid w:val="00BF722B"/>
    <w:rsid w:val="00BF7382"/>
    <w:rsid w:val="00BF786F"/>
    <w:rsid w:val="00BF796B"/>
    <w:rsid w:val="00BF7B18"/>
    <w:rsid w:val="00BF7B70"/>
    <w:rsid w:val="00BF7C04"/>
    <w:rsid w:val="00BF7C76"/>
    <w:rsid w:val="00C00424"/>
    <w:rsid w:val="00C004F8"/>
    <w:rsid w:val="00C005A5"/>
    <w:rsid w:val="00C00950"/>
    <w:rsid w:val="00C00C09"/>
    <w:rsid w:val="00C00DB3"/>
    <w:rsid w:val="00C00EAB"/>
    <w:rsid w:val="00C01094"/>
    <w:rsid w:val="00C015B3"/>
    <w:rsid w:val="00C019D0"/>
    <w:rsid w:val="00C01DEF"/>
    <w:rsid w:val="00C01FFF"/>
    <w:rsid w:val="00C025A7"/>
    <w:rsid w:val="00C02664"/>
    <w:rsid w:val="00C029D3"/>
    <w:rsid w:val="00C03375"/>
    <w:rsid w:val="00C03C07"/>
    <w:rsid w:val="00C040A5"/>
    <w:rsid w:val="00C0424B"/>
    <w:rsid w:val="00C044B8"/>
    <w:rsid w:val="00C044FC"/>
    <w:rsid w:val="00C04616"/>
    <w:rsid w:val="00C04978"/>
    <w:rsid w:val="00C04D10"/>
    <w:rsid w:val="00C04EED"/>
    <w:rsid w:val="00C04F18"/>
    <w:rsid w:val="00C05004"/>
    <w:rsid w:val="00C05659"/>
    <w:rsid w:val="00C05711"/>
    <w:rsid w:val="00C0588F"/>
    <w:rsid w:val="00C05B07"/>
    <w:rsid w:val="00C05BDC"/>
    <w:rsid w:val="00C05E4A"/>
    <w:rsid w:val="00C05E9E"/>
    <w:rsid w:val="00C0631C"/>
    <w:rsid w:val="00C064B4"/>
    <w:rsid w:val="00C068B6"/>
    <w:rsid w:val="00C06AC4"/>
    <w:rsid w:val="00C06C7E"/>
    <w:rsid w:val="00C06DB7"/>
    <w:rsid w:val="00C06F9D"/>
    <w:rsid w:val="00C0705D"/>
    <w:rsid w:val="00C07AD0"/>
    <w:rsid w:val="00C07CEC"/>
    <w:rsid w:val="00C07F56"/>
    <w:rsid w:val="00C07F7F"/>
    <w:rsid w:val="00C07F99"/>
    <w:rsid w:val="00C07FA0"/>
    <w:rsid w:val="00C100FC"/>
    <w:rsid w:val="00C10361"/>
    <w:rsid w:val="00C1048B"/>
    <w:rsid w:val="00C104B9"/>
    <w:rsid w:val="00C10AC6"/>
    <w:rsid w:val="00C10C01"/>
    <w:rsid w:val="00C10D1C"/>
    <w:rsid w:val="00C10E02"/>
    <w:rsid w:val="00C10E56"/>
    <w:rsid w:val="00C10F81"/>
    <w:rsid w:val="00C10FF0"/>
    <w:rsid w:val="00C11486"/>
    <w:rsid w:val="00C11560"/>
    <w:rsid w:val="00C1179F"/>
    <w:rsid w:val="00C11C0E"/>
    <w:rsid w:val="00C11E38"/>
    <w:rsid w:val="00C11EC3"/>
    <w:rsid w:val="00C11F55"/>
    <w:rsid w:val="00C11F98"/>
    <w:rsid w:val="00C12128"/>
    <w:rsid w:val="00C12A3A"/>
    <w:rsid w:val="00C12BEE"/>
    <w:rsid w:val="00C12C14"/>
    <w:rsid w:val="00C13706"/>
    <w:rsid w:val="00C13DD4"/>
    <w:rsid w:val="00C14617"/>
    <w:rsid w:val="00C1478B"/>
    <w:rsid w:val="00C14B5F"/>
    <w:rsid w:val="00C14B93"/>
    <w:rsid w:val="00C14D24"/>
    <w:rsid w:val="00C14F9A"/>
    <w:rsid w:val="00C15226"/>
    <w:rsid w:val="00C15AE5"/>
    <w:rsid w:val="00C15F04"/>
    <w:rsid w:val="00C162F1"/>
    <w:rsid w:val="00C163B9"/>
    <w:rsid w:val="00C165B6"/>
    <w:rsid w:val="00C167D7"/>
    <w:rsid w:val="00C16927"/>
    <w:rsid w:val="00C16EE8"/>
    <w:rsid w:val="00C170B4"/>
    <w:rsid w:val="00C172F7"/>
    <w:rsid w:val="00C176AA"/>
    <w:rsid w:val="00C177E8"/>
    <w:rsid w:val="00C17804"/>
    <w:rsid w:val="00C179B3"/>
    <w:rsid w:val="00C179E7"/>
    <w:rsid w:val="00C17E3F"/>
    <w:rsid w:val="00C17EC6"/>
    <w:rsid w:val="00C20080"/>
    <w:rsid w:val="00C200AA"/>
    <w:rsid w:val="00C20388"/>
    <w:rsid w:val="00C2099D"/>
    <w:rsid w:val="00C20E2B"/>
    <w:rsid w:val="00C20F65"/>
    <w:rsid w:val="00C217C3"/>
    <w:rsid w:val="00C21D17"/>
    <w:rsid w:val="00C21D88"/>
    <w:rsid w:val="00C21DC9"/>
    <w:rsid w:val="00C220B6"/>
    <w:rsid w:val="00C2217D"/>
    <w:rsid w:val="00C226DD"/>
    <w:rsid w:val="00C22748"/>
    <w:rsid w:val="00C22E8F"/>
    <w:rsid w:val="00C231A5"/>
    <w:rsid w:val="00C232EA"/>
    <w:rsid w:val="00C2332E"/>
    <w:rsid w:val="00C234AC"/>
    <w:rsid w:val="00C237C3"/>
    <w:rsid w:val="00C237ED"/>
    <w:rsid w:val="00C243E2"/>
    <w:rsid w:val="00C2441F"/>
    <w:rsid w:val="00C24632"/>
    <w:rsid w:val="00C24659"/>
    <w:rsid w:val="00C24B08"/>
    <w:rsid w:val="00C24BB2"/>
    <w:rsid w:val="00C24DA5"/>
    <w:rsid w:val="00C24FB1"/>
    <w:rsid w:val="00C25418"/>
    <w:rsid w:val="00C2552E"/>
    <w:rsid w:val="00C256C2"/>
    <w:rsid w:val="00C257EC"/>
    <w:rsid w:val="00C25A5D"/>
    <w:rsid w:val="00C25D9C"/>
    <w:rsid w:val="00C25DBE"/>
    <w:rsid w:val="00C2604C"/>
    <w:rsid w:val="00C2664F"/>
    <w:rsid w:val="00C26892"/>
    <w:rsid w:val="00C26ABA"/>
    <w:rsid w:val="00C26EED"/>
    <w:rsid w:val="00C26F44"/>
    <w:rsid w:val="00C26FB3"/>
    <w:rsid w:val="00C275E1"/>
    <w:rsid w:val="00C2778B"/>
    <w:rsid w:val="00C277BE"/>
    <w:rsid w:val="00C27853"/>
    <w:rsid w:val="00C2790A"/>
    <w:rsid w:val="00C2793C"/>
    <w:rsid w:val="00C27A52"/>
    <w:rsid w:val="00C27BBD"/>
    <w:rsid w:val="00C27BD5"/>
    <w:rsid w:val="00C27E11"/>
    <w:rsid w:val="00C27E59"/>
    <w:rsid w:val="00C27E6B"/>
    <w:rsid w:val="00C3019C"/>
    <w:rsid w:val="00C303C2"/>
    <w:rsid w:val="00C30599"/>
    <w:rsid w:val="00C30965"/>
    <w:rsid w:val="00C30EB0"/>
    <w:rsid w:val="00C31617"/>
    <w:rsid w:val="00C31649"/>
    <w:rsid w:val="00C31910"/>
    <w:rsid w:val="00C31B9B"/>
    <w:rsid w:val="00C31C98"/>
    <w:rsid w:val="00C31E15"/>
    <w:rsid w:val="00C31E5E"/>
    <w:rsid w:val="00C32037"/>
    <w:rsid w:val="00C3211F"/>
    <w:rsid w:val="00C322A3"/>
    <w:rsid w:val="00C327F7"/>
    <w:rsid w:val="00C329D9"/>
    <w:rsid w:val="00C32BFF"/>
    <w:rsid w:val="00C32DAC"/>
    <w:rsid w:val="00C32FD3"/>
    <w:rsid w:val="00C33426"/>
    <w:rsid w:val="00C33FA0"/>
    <w:rsid w:val="00C3434C"/>
    <w:rsid w:val="00C34898"/>
    <w:rsid w:val="00C348EE"/>
    <w:rsid w:val="00C3495B"/>
    <w:rsid w:val="00C34BEA"/>
    <w:rsid w:val="00C34C20"/>
    <w:rsid w:val="00C35406"/>
    <w:rsid w:val="00C3561E"/>
    <w:rsid w:val="00C3562D"/>
    <w:rsid w:val="00C357C8"/>
    <w:rsid w:val="00C3582E"/>
    <w:rsid w:val="00C35949"/>
    <w:rsid w:val="00C359E3"/>
    <w:rsid w:val="00C35BBC"/>
    <w:rsid w:val="00C35DA7"/>
    <w:rsid w:val="00C361E3"/>
    <w:rsid w:val="00C36426"/>
    <w:rsid w:val="00C364CB"/>
    <w:rsid w:val="00C36757"/>
    <w:rsid w:val="00C36866"/>
    <w:rsid w:val="00C3694E"/>
    <w:rsid w:val="00C36D7C"/>
    <w:rsid w:val="00C36EC8"/>
    <w:rsid w:val="00C374BF"/>
    <w:rsid w:val="00C375A7"/>
    <w:rsid w:val="00C37883"/>
    <w:rsid w:val="00C37A6F"/>
    <w:rsid w:val="00C37A8F"/>
    <w:rsid w:val="00C37D95"/>
    <w:rsid w:val="00C40385"/>
    <w:rsid w:val="00C40474"/>
    <w:rsid w:val="00C40646"/>
    <w:rsid w:val="00C40996"/>
    <w:rsid w:val="00C40C0A"/>
    <w:rsid w:val="00C40CB5"/>
    <w:rsid w:val="00C40CEB"/>
    <w:rsid w:val="00C40D2B"/>
    <w:rsid w:val="00C4130D"/>
    <w:rsid w:val="00C413EC"/>
    <w:rsid w:val="00C4144B"/>
    <w:rsid w:val="00C41768"/>
    <w:rsid w:val="00C418D0"/>
    <w:rsid w:val="00C41B9F"/>
    <w:rsid w:val="00C41BF5"/>
    <w:rsid w:val="00C42044"/>
    <w:rsid w:val="00C42538"/>
    <w:rsid w:val="00C4274C"/>
    <w:rsid w:val="00C42936"/>
    <w:rsid w:val="00C42C45"/>
    <w:rsid w:val="00C43014"/>
    <w:rsid w:val="00C43209"/>
    <w:rsid w:val="00C4340C"/>
    <w:rsid w:val="00C436CF"/>
    <w:rsid w:val="00C439CC"/>
    <w:rsid w:val="00C43AA3"/>
    <w:rsid w:val="00C43B7A"/>
    <w:rsid w:val="00C44694"/>
    <w:rsid w:val="00C44BE4"/>
    <w:rsid w:val="00C452AF"/>
    <w:rsid w:val="00C4592D"/>
    <w:rsid w:val="00C45AD1"/>
    <w:rsid w:val="00C45CC1"/>
    <w:rsid w:val="00C45E48"/>
    <w:rsid w:val="00C46107"/>
    <w:rsid w:val="00C468FA"/>
    <w:rsid w:val="00C4733D"/>
    <w:rsid w:val="00C475AA"/>
    <w:rsid w:val="00C47609"/>
    <w:rsid w:val="00C4775E"/>
    <w:rsid w:val="00C47A2C"/>
    <w:rsid w:val="00C5010C"/>
    <w:rsid w:val="00C50362"/>
    <w:rsid w:val="00C50983"/>
    <w:rsid w:val="00C50B6C"/>
    <w:rsid w:val="00C50C2E"/>
    <w:rsid w:val="00C50EAA"/>
    <w:rsid w:val="00C5138C"/>
    <w:rsid w:val="00C51679"/>
    <w:rsid w:val="00C516B7"/>
    <w:rsid w:val="00C519F5"/>
    <w:rsid w:val="00C5224A"/>
    <w:rsid w:val="00C52428"/>
    <w:rsid w:val="00C52527"/>
    <w:rsid w:val="00C525A6"/>
    <w:rsid w:val="00C52B7E"/>
    <w:rsid w:val="00C52CE3"/>
    <w:rsid w:val="00C52DBA"/>
    <w:rsid w:val="00C52E50"/>
    <w:rsid w:val="00C5384D"/>
    <w:rsid w:val="00C53B42"/>
    <w:rsid w:val="00C53C26"/>
    <w:rsid w:val="00C53C98"/>
    <w:rsid w:val="00C53C9B"/>
    <w:rsid w:val="00C53DF1"/>
    <w:rsid w:val="00C5402E"/>
    <w:rsid w:val="00C54087"/>
    <w:rsid w:val="00C54177"/>
    <w:rsid w:val="00C54253"/>
    <w:rsid w:val="00C54435"/>
    <w:rsid w:val="00C54DD2"/>
    <w:rsid w:val="00C54F1B"/>
    <w:rsid w:val="00C5506B"/>
    <w:rsid w:val="00C550BA"/>
    <w:rsid w:val="00C553DD"/>
    <w:rsid w:val="00C55826"/>
    <w:rsid w:val="00C558C9"/>
    <w:rsid w:val="00C56227"/>
    <w:rsid w:val="00C563AA"/>
    <w:rsid w:val="00C56C70"/>
    <w:rsid w:val="00C56E9C"/>
    <w:rsid w:val="00C56FCF"/>
    <w:rsid w:val="00C57132"/>
    <w:rsid w:val="00C57149"/>
    <w:rsid w:val="00C578DC"/>
    <w:rsid w:val="00C57B6C"/>
    <w:rsid w:val="00C57D96"/>
    <w:rsid w:val="00C60040"/>
    <w:rsid w:val="00C6010C"/>
    <w:rsid w:val="00C60276"/>
    <w:rsid w:val="00C604ED"/>
    <w:rsid w:val="00C60AD2"/>
    <w:rsid w:val="00C60CEF"/>
    <w:rsid w:val="00C60F47"/>
    <w:rsid w:val="00C6121B"/>
    <w:rsid w:val="00C612A5"/>
    <w:rsid w:val="00C614D7"/>
    <w:rsid w:val="00C61982"/>
    <w:rsid w:val="00C619BA"/>
    <w:rsid w:val="00C61AF5"/>
    <w:rsid w:val="00C61B13"/>
    <w:rsid w:val="00C61BA6"/>
    <w:rsid w:val="00C62764"/>
    <w:rsid w:val="00C628A6"/>
    <w:rsid w:val="00C62A7A"/>
    <w:rsid w:val="00C62E3A"/>
    <w:rsid w:val="00C633AF"/>
    <w:rsid w:val="00C63804"/>
    <w:rsid w:val="00C63CCB"/>
    <w:rsid w:val="00C63D7A"/>
    <w:rsid w:val="00C63DAB"/>
    <w:rsid w:val="00C63E31"/>
    <w:rsid w:val="00C6433A"/>
    <w:rsid w:val="00C64344"/>
    <w:rsid w:val="00C645E6"/>
    <w:rsid w:val="00C64D9D"/>
    <w:rsid w:val="00C64E1C"/>
    <w:rsid w:val="00C64EB9"/>
    <w:rsid w:val="00C65108"/>
    <w:rsid w:val="00C65576"/>
    <w:rsid w:val="00C65728"/>
    <w:rsid w:val="00C65F8A"/>
    <w:rsid w:val="00C66101"/>
    <w:rsid w:val="00C66165"/>
    <w:rsid w:val="00C663E4"/>
    <w:rsid w:val="00C6665A"/>
    <w:rsid w:val="00C66A70"/>
    <w:rsid w:val="00C66BEC"/>
    <w:rsid w:val="00C675B7"/>
    <w:rsid w:val="00C6777B"/>
    <w:rsid w:val="00C67C4B"/>
    <w:rsid w:val="00C67D18"/>
    <w:rsid w:val="00C67D9A"/>
    <w:rsid w:val="00C67FA0"/>
    <w:rsid w:val="00C7060A"/>
    <w:rsid w:val="00C70D75"/>
    <w:rsid w:val="00C70E58"/>
    <w:rsid w:val="00C71108"/>
    <w:rsid w:val="00C71407"/>
    <w:rsid w:val="00C7151A"/>
    <w:rsid w:val="00C715F4"/>
    <w:rsid w:val="00C717E3"/>
    <w:rsid w:val="00C71919"/>
    <w:rsid w:val="00C71EB4"/>
    <w:rsid w:val="00C71EBC"/>
    <w:rsid w:val="00C71F60"/>
    <w:rsid w:val="00C71F86"/>
    <w:rsid w:val="00C720B4"/>
    <w:rsid w:val="00C721D7"/>
    <w:rsid w:val="00C72241"/>
    <w:rsid w:val="00C7245B"/>
    <w:rsid w:val="00C72475"/>
    <w:rsid w:val="00C728E3"/>
    <w:rsid w:val="00C73263"/>
    <w:rsid w:val="00C732A4"/>
    <w:rsid w:val="00C733A3"/>
    <w:rsid w:val="00C733BE"/>
    <w:rsid w:val="00C734E8"/>
    <w:rsid w:val="00C750C8"/>
    <w:rsid w:val="00C75367"/>
    <w:rsid w:val="00C75402"/>
    <w:rsid w:val="00C7560F"/>
    <w:rsid w:val="00C75697"/>
    <w:rsid w:val="00C756E5"/>
    <w:rsid w:val="00C75746"/>
    <w:rsid w:val="00C759C2"/>
    <w:rsid w:val="00C75A0B"/>
    <w:rsid w:val="00C75B86"/>
    <w:rsid w:val="00C75EC7"/>
    <w:rsid w:val="00C76059"/>
    <w:rsid w:val="00C76359"/>
    <w:rsid w:val="00C76395"/>
    <w:rsid w:val="00C76793"/>
    <w:rsid w:val="00C7697E"/>
    <w:rsid w:val="00C7709A"/>
    <w:rsid w:val="00C772C3"/>
    <w:rsid w:val="00C773B8"/>
    <w:rsid w:val="00C77491"/>
    <w:rsid w:val="00C779EA"/>
    <w:rsid w:val="00C77E06"/>
    <w:rsid w:val="00C77EC4"/>
    <w:rsid w:val="00C77F1B"/>
    <w:rsid w:val="00C802AD"/>
    <w:rsid w:val="00C8039C"/>
    <w:rsid w:val="00C80716"/>
    <w:rsid w:val="00C807BC"/>
    <w:rsid w:val="00C807CD"/>
    <w:rsid w:val="00C80A0E"/>
    <w:rsid w:val="00C80A2C"/>
    <w:rsid w:val="00C80A74"/>
    <w:rsid w:val="00C80B61"/>
    <w:rsid w:val="00C813ED"/>
    <w:rsid w:val="00C8158F"/>
    <w:rsid w:val="00C81A51"/>
    <w:rsid w:val="00C81CBA"/>
    <w:rsid w:val="00C81CBE"/>
    <w:rsid w:val="00C820AC"/>
    <w:rsid w:val="00C8213F"/>
    <w:rsid w:val="00C82149"/>
    <w:rsid w:val="00C8245F"/>
    <w:rsid w:val="00C824AF"/>
    <w:rsid w:val="00C82820"/>
    <w:rsid w:val="00C82B5D"/>
    <w:rsid w:val="00C82D5D"/>
    <w:rsid w:val="00C82D8D"/>
    <w:rsid w:val="00C82E8E"/>
    <w:rsid w:val="00C82FA3"/>
    <w:rsid w:val="00C83032"/>
    <w:rsid w:val="00C83098"/>
    <w:rsid w:val="00C83161"/>
    <w:rsid w:val="00C8326E"/>
    <w:rsid w:val="00C83878"/>
    <w:rsid w:val="00C83A6D"/>
    <w:rsid w:val="00C83E80"/>
    <w:rsid w:val="00C84016"/>
    <w:rsid w:val="00C84388"/>
    <w:rsid w:val="00C8482D"/>
    <w:rsid w:val="00C84A08"/>
    <w:rsid w:val="00C84A5B"/>
    <w:rsid w:val="00C84CE7"/>
    <w:rsid w:val="00C84DB9"/>
    <w:rsid w:val="00C84F5C"/>
    <w:rsid w:val="00C85154"/>
    <w:rsid w:val="00C85308"/>
    <w:rsid w:val="00C86097"/>
    <w:rsid w:val="00C861ED"/>
    <w:rsid w:val="00C8649A"/>
    <w:rsid w:val="00C8677A"/>
    <w:rsid w:val="00C869DE"/>
    <w:rsid w:val="00C86AF1"/>
    <w:rsid w:val="00C86F44"/>
    <w:rsid w:val="00C8721B"/>
    <w:rsid w:val="00C8734A"/>
    <w:rsid w:val="00C87689"/>
    <w:rsid w:val="00C8779D"/>
    <w:rsid w:val="00C878B5"/>
    <w:rsid w:val="00C8797A"/>
    <w:rsid w:val="00C879B9"/>
    <w:rsid w:val="00C87B2A"/>
    <w:rsid w:val="00C87C72"/>
    <w:rsid w:val="00C900B8"/>
    <w:rsid w:val="00C9053B"/>
    <w:rsid w:val="00C90553"/>
    <w:rsid w:val="00C908D2"/>
    <w:rsid w:val="00C90C71"/>
    <w:rsid w:val="00C90FA3"/>
    <w:rsid w:val="00C91032"/>
    <w:rsid w:val="00C914CF"/>
    <w:rsid w:val="00C918A9"/>
    <w:rsid w:val="00C91B86"/>
    <w:rsid w:val="00C91BE0"/>
    <w:rsid w:val="00C91DE5"/>
    <w:rsid w:val="00C91E51"/>
    <w:rsid w:val="00C91FD1"/>
    <w:rsid w:val="00C920B3"/>
    <w:rsid w:val="00C92239"/>
    <w:rsid w:val="00C9229E"/>
    <w:rsid w:val="00C92382"/>
    <w:rsid w:val="00C92440"/>
    <w:rsid w:val="00C924F6"/>
    <w:rsid w:val="00C927BF"/>
    <w:rsid w:val="00C92A9C"/>
    <w:rsid w:val="00C92CD4"/>
    <w:rsid w:val="00C931CF"/>
    <w:rsid w:val="00C933D6"/>
    <w:rsid w:val="00C93854"/>
    <w:rsid w:val="00C938CF"/>
    <w:rsid w:val="00C93A7F"/>
    <w:rsid w:val="00C93EA1"/>
    <w:rsid w:val="00C94053"/>
    <w:rsid w:val="00C94865"/>
    <w:rsid w:val="00C94956"/>
    <w:rsid w:val="00C9498E"/>
    <w:rsid w:val="00C94A1D"/>
    <w:rsid w:val="00C94D95"/>
    <w:rsid w:val="00C94DFE"/>
    <w:rsid w:val="00C9523C"/>
    <w:rsid w:val="00C95259"/>
    <w:rsid w:val="00C955BE"/>
    <w:rsid w:val="00C9624D"/>
    <w:rsid w:val="00C96307"/>
    <w:rsid w:val="00C96703"/>
    <w:rsid w:val="00C96745"/>
    <w:rsid w:val="00C969C3"/>
    <w:rsid w:val="00C969DA"/>
    <w:rsid w:val="00C96BCF"/>
    <w:rsid w:val="00C96CDC"/>
    <w:rsid w:val="00C96D6E"/>
    <w:rsid w:val="00C96DF9"/>
    <w:rsid w:val="00C96E15"/>
    <w:rsid w:val="00C9706E"/>
    <w:rsid w:val="00C97474"/>
    <w:rsid w:val="00C975A8"/>
    <w:rsid w:val="00C97873"/>
    <w:rsid w:val="00C978F2"/>
    <w:rsid w:val="00C979AD"/>
    <w:rsid w:val="00C97B92"/>
    <w:rsid w:val="00C97C7D"/>
    <w:rsid w:val="00C97EC2"/>
    <w:rsid w:val="00CA018B"/>
    <w:rsid w:val="00CA0245"/>
    <w:rsid w:val="00CA0328"/>
    <w:rsid w:val="00CA0584"/>
    <w:rsid w:val="00CA06BC"/>
    <w:rsid w:val="00CA0C18"/>
    <w:rsid w:val="00CA0DD7"/>
    <w:rsid w:val="00CA0E84"/>
    <w:rsid w:val="00CA11AD"/>
    <w:rsid w:val="00CA12ED"/>
    <w:rsid w:val="00CA1519"/>
    <w:rsid w:val="00CA1656"/>
    <w:rsid w:val="00CA188A"/>
    <w:rsid w:val="00CA1A03"/>
    <w:rsid w:val="00CA1DD8"/>
    <w:rsid w:val="00CA1E04"/>
    <w:rsid w:val="00CA1FEB"/>
    <w:rsid w:val="00CA22E3"/>
    <w:rsid w:val="00CA283D"/>
    <w:rsid w:val="00CA29FA"/>
    <w:rsid w:val="00CA2C77"/>
    <w:rsid w:val="00CA2EC5"/>
    <w:rsid w:val="00CA3098"/>
    <w:rsid w:val="00CA3540"/>
    <w:rsid w:val="00CA394C"/>
    <w:rsid w:val="00CA4326"/>
    <w:rsid w:val="00CA4412"/>
    <w:rsid w:val="00CA444F"/>
    <w:rsid w:val="00CA48E5"/>
    <w:rsid w:val="00CA4B56"/>
    <w:rsid w:val="00CA4EAC"/>
    <w:rsid w:val="00CA50FC"/>
    <w:rsid w:val="00CA5245"/>
    <w:rsid w:val="00CA534C"/>
    <w:rsid w:val="00CA5671"/>
    <w:rsid w:val="00CA576D"/>
    <w:rsid w:val="00CA5D1B"/>
    <w:rsid w:val="00CA5DD5"/>
    <w:rsid w:val="00CA6056"/>
    <w:rsid w:val="00CA6728"/>
    <w:rsid w:val="00CA67FF"/>
    <w:rsid w:val="00CA6A7C"/>
    <w:rsid w:val="00CA6CB9"/>
    <w:rsid w:val="00CA6E86"/>
    <w:rsid w:val="00CA7035"/>
    <w:rsid w:val="00CA70C6"/>
    <w:rsid w:val="00CA71F4"/>
    <w:rsid w:val="00CA730D"/>
    <w:rsid w:val="00CA7364"/>
    <w:rsid w:val="00CA772D"/>
    <w:rsid w:val="00CA7898"/>
    <w:rsid w:val="00CA79D9"/>
    <w:rsid w:val="00CA7A1F"/>
    <w:rsid w:val="00CA7ADD"/>
    <w:rsid w:val="00CA7B09"/>
    <w:rsid w:val="00CA7C54"/>
    <w:rsid w:val="00CA7CBC"/>
    <w:rsid w:val="00CA7EB0"/>
    <w:rsid w:val="00CB02BB"/>
    <w:rsid w:val="00CB058F"/>
    <w:rsid w:val="00CB07C8"/>
    <w:rsid w:val="00CB08F6"/>
    <w:rsid w:val="00CB0B3B"/>
    <w:rsid w:val="00CB11A1"/>
    <w:rsid w:val="00CB12A5"/>
    <w:rsid w:val="00CB137B"/>
    <w:rsid w:val="00CB1A6E"/>
    <w:rsid w:val="00CB1CAC"/>
    <w:rsid w:val="00CB2088"/>
    <w:rsid w:val="00CB225A"/>
    <w:rsid w:val="00CB25EE"/>
    <w:rsid w:val="00CB267C"/>
    <w:rsid w:val="00CB26AB"/>
    <w:rsid w:val="00CB2B8C"/>
    <w:rsid w:val="00CB2C26"/>
    <w:rsid w:val="00CB2D28"/>
    <w:rsid w:val="00CB2DA8"/>
    <w:rsid w:val="00CB2F01"/>
    <w:rsid w:val="00CB2F2A"/>
    <w:rsid w:val="00CB320E"/>
    <w:rsid w:val="00CB3405"/>
    <w:rsid w:val="00CB3505"/>
    <w:rsid w:val="00CB3968"/>
    <w:rsid w:val="00CB3A95"/>
    <w:rsid w:val="00CB3AF0"/>
    <w:rsid w:val="00CB3BB6"/>
    <w:rsid w:val="00CB3D3B"/>
    <w:rsid w:val="00CB3ED4"/>
    <w:rsid w:val="00CB3F60"/>
    <w:rsid w:val="00CB446A"/>
    <w:rsid w:val="00CB4554"/>
    <w:rsid w:val="00CB46AC"/>
    <w:rsid w:val="00CB476A"/>
    <w:rsid w:val="00CB4A8E"/>
    <w:rsid w:val="00CB4AB8"/>
    <w:rsid w:val="00CB51C2"/>
    <w:rsid w:val="00CB5711"/>
    <w:rsid w:val="00CB5B1A"/>
    <w:rsid w:val="00CB614F"/>
    <w:rsid w:val="00CB6B22"/>
    <w:rsid w:val="00CB7133"/>
    <w:rsid w:val="00CB74E0"/>
    <w:rsid w:val="00CB7616"/>
    <w:rsid w:val="00CB7829"/>
    <w:rsid w:val="00CB7D52"/>
    <w:rsid w:val="00CB7F5E"/>
    <w:rsid w:val="00CB7F5F"/>
    <w:rsid w:val="00CC0269"/>
    <w:rsid w:val="00CC0399"/>
    <w:rsid w:val="00CC0653"/>
    <w:rsid w:val="00CC087D"/>
    <w:rsid w:val="00CC0B60"/>
    <w:rsid w:val="00CC0CA0"/>
    <w:rsid w:val="00CC1960"/>
    <w:rsid w:val="00CC1AFA"/>
    <w:rsid w:val="00CC1B39"/>
    <w:rsid w:val="00CC21C2"/>
    <w:rsid w:val="00CC22D6"/>
    <w:rsid w:val="00CC2853"/>
    <w:rsid w:val="00CC2B3A"/>
    <w:rsid w:val="00CC2FF8"/>
    <w:rsid w:val="00CC30AF"/>
    <w:rsid w:val="00CC3154"/>
    <w:rsid w:val="00CC31C5"/>
    <w:rsid w:val="00CC329E"/>
    <w:rsid w:val="00CC34AE"/>
    <w:rsid w:val="00CC355B"/>
    <w:rsid w:val="00CC3561"/>
    <w:rsid w:val="00CC35EA"/>
    <w:rsid w:val="00CC3848"/>
    <w:rsid w:val="00CC39EF"/>
    <w:rsid w:val="00CC411F"/>
    <w:rsid w:val="00CC4149"/>
    <w:rsid w:val="00CC4471"/>
    <w:rsid w:val="00CC45C5"/>
    <w:rsid w:val="00CC4716"/>
    <w:rsid w:val="00CC4AF6"/>
    <w:rsid w:val="00CC4B4C"/>
    <w:rsid w:val="00CC5353"/>
    <w:rsid w:val="00CC540A"/>
    <w:rsid w:val="00CC5782"/>
    <w:rsid w:val="00CC598D"/>
    <w:rsid w:val="00CC5A43"/>
    <w:rsid w:val="00CC5D22"/>
    <w:rsid w:val="00CC5E77"/>
    <w:rsid w:val="00CC5ED9"/>
    <w:rsid w:val="00CC604D"/>
    <w:rsid w:val="00CC6228"/>
    <w:rsid w:val="00CC6576"/>
    <w:rsid w:val="00CC68AA"/>
    <w:rsid w:val="00CC690E"/>
    <w:rsid w:val="00CC6953"/>
    <w:rsid w:val="00CC6A14"/>
    <w:rsid w:val="00CC6CFD"/>
    <w:rsid w:val="00CC6E4D"/>
    <w:rsid w:val="00CC7002"/>
    <w:rsid w:val="00CC77B8"/>
    <w:rsid w:val="00CD0224"/>
    <w:rsid w:val="00CD0450"/>
    <w:rsid w:val="00CD052F"/>
    <w:rsid w:val="00CD0576"/>
    <w:rsid w:val="00CD0727"/>
    <w:rsid w:val="00CD0822"/>
    <w:rsid w:val="00CD0A39"/>
    <w:rsid w:val="00CD13A6"/>
    <w:rsid w:val="00CD19BA"/>
    <w:rsid w:val="00CD1BFE"/>
    <w:rsid w:val="00CD1E3E"/>
    <w:rsid w:val="00CD1F67"/>
    <w:rsid w:val="00CD1FFD"/>
    <w:rsid w:val="00CD22B8"/>
    <w:rsid w:val="00CD2482"/>
    <w:rsid w:val="00CD251D"/>
    <w:rsid w:val="00CD275A"/>
    <w:rsid w:val="00CD2A50"/>
    <w:rsid w:val="00CD2FE5"/>
    <w:rsid w:val="00CD318B"/>
    <w:rsid w:val="00CD3295"/>
    <w:rsid w:val="00CD33CA"/>
    <w:rsid w:val="00CD3501"/>
    <w:rsid w:val="00CD3989"/>
    <w:rsid w:val="00CD39F8"/>
    <w:rsid w:val="00CD3A21"/>
    <w:rsid w:val="00CD3CD3"/>
    <w:rsid w:val="00CD3E95"/>
    <w:rsid w:val="00CD3F4C"/>
    <w:rsid w:val="00CD3F77"/>
    <w:rsid w:val="00CD48D6"/>
    <w:rsid w:val="00CD49DB"/>
    <w:rsid w:val="00CD4B06"/>
    <w:rsid w:val="00CD4B5B"/>
    <w:rsid w:val="00CD4F57"/>
    <w:rsid w:val="00CD506C"/>
    <w:rsid w:val="00CD54D0"/>
    <w:rsid w:val="00CD5501"/>
    <w:rsid w:val="00CD5556"/>
    <w:rsid w:val="00CD5609"/>
    <w:rsid w:val="00CD5E1A"/>
    <w:rsid w:val="00CD5F84"/>
    <w:rsid w:val="00CD6228"/>
    <w:rsid w:val="00CD6309"/>
    <w:rsid w:val="00CD6A99"/>
    <w:rsid w:val="00CD6ADC"/>
    <w:rsid w:val="00CD6CEE"/>
    <w:rsid w:val="00CD7193"/>
    <w:rsid w:val="00CD72F9"/>
    <w:rsid w:val="00CD742D"/>
    <w:rsid w:val="00CD7568"/>
    <w:rsid w:val="00CD75B9"/>
    <w:rsid w:val="00CD7697"/>
    <w:rsid w:val="00CD78DD"/>
    <w:rsid w:val="00CD7A70"/>
    <w:rsid w:val="00CD7D32"/>
    <w:rsid w:val="00CD7D46"/>
    <w:rsid w:val="00CD7D5B"/>
    <w:rsid w:val="00CD7EB0"/>
    <w:rsid w:val="00CD7F4E"/>
    <w:rsid w:val="00CE02BA"/>
    <w:rsid w:val="00CE0307"/>
    <w:rsid w:val="00CE0668"/>
    <w:rsid w:val="00CE086B"/>
    <w:rsid w:val="00CE09AD"/>
    <w:rsid w:val="00CE09D7"/>
    <w:rsid w:val="00CE0E27"/>
    <w:rsid w:val="00CE1481"/>
    <w:rsid w:val="00CE21AE"/>
    <w:rsid w:val="00CE24F1"/>
    <w:rsid w:val="00CE27CD"/>
    <w:rsid w:val="00CE2E1A"/>
    <w:rsid w:val="00CE2FC3"/>
    <w:rsid w:val="00CE3501"/>
    <w:rsid w:val="00CE37F1"/>
    <w:rsid w:val="00CE38B8"/>
    <w:rsid w:val="00CE38C8"/>
    <w:rsid w:val="00CE3A26"/>
    <w:rsid w:val="00CE3C44"/>
    <w:rsid w:val="00CE3D08"/>
    <w:rsid w:val="00CE4059"/>
    <w:rsid w:val="00CE4171"/>
    <w:rsid w:val="00CE47F3"/>
    <w:rsid w:val="00CE4985"/>
    <w:rsid w:val="00CE4A0D"/>
    <w:rsid w:val="00CE4DC8"/>
    <w:rsid w:val="00CE4E34"/>
    <w:rsid w:val="00CE4E4C"/>
    <w:rsid w:val="00CE4E92"/>
    <w:rsid w:val="00CE52C2"/>
    <w:rsid w:val="00CE5DE2"/>
    <w:rsid w:val="00CE61CF"/>
    <w:rsid w:val="00CE6274"/>
    <w:rsid w:val="00CE6338"/>
    <w:rsid w:val="00CE644A"/>
    <w:rsid w:val="00CE64C0"/>
    <w:rsid w:val="00CE70BD"/>
    <w:rsid w:val="00CE70E8"/>
    <w:rsid w:val="00CE743E"/>
    <w:rsid w:val="00CE7454"/>
    <w:rsid w:val="00CE77B6"/>
    <w:rsid w:val="00CE7A80"/>
    <w:rsid w:val="00CE7B7D"/>
    <w:rsid w:val="00CE7C03"/>
    <w:rsid w:val="00CE7EE7"/>
    <w:rsid w:val="00CF0D4F"/>
    <w:rsid w:val="00CF0D6D"/>
    <w:rsid w:val="00CF10F9"/>
    <w:rsid w:val="00CF11E2"/>
    <w:rsid w:val="00CF161A"/>
    <w:rsid w:val="00CF1756"/>
    <w:rsid w:val="00CF1C49"/>
    <w:rsid w:val="00CF1D54"/>
    <w:rsid w:val="00CF1E09"/>
    <w:rsid w:val="00CF1E30"/>
    <w:rsid w:val="00CF2410"/>
    <w:rsid w:val="00CF2560"/>
    <w:rsid w:val="00CF2594"/>
    <w:rsid w:val="00CF25EC"/>
    <w:rsid w:val="00CF25F9"/>
    <w:rsid w:val="00CF27F4"/>
    <w:rsid w:val="00CF2B8D"/>
    <w:rsid w:val="00CF30A1"/>
    <w:rsid w:val="00CF31AB"/>
    <w:rsid w:val="00CF31AC"/>
    <w:rsid w:val="00CF3461"/>
    <w:rsid w:val="00CF39F8"/>
    <w:rsid w:val="00CF3F4B"/>
    <w:rsid w:val="00CF418F"/>
    <w:rsid w:val="00CF4277"/>
    <w:rsid w:val="00CF4281"/>
    <w:rsid w:val="00CF456B"/>
    <w:rsid w:val="00CF4715"/>
    <w:rsid w:val="00CF4F97"/>
    <w:rsid w:val="00CF4FFC"/>
    <w:rsid w:val="00CF540D"/>
    <w:rsid w:val="00CF5590"/>
    <w:rsid w:val="00CF5938"/>
    <w:rsid w:val="00CF5A1B"/>
    <w:rsid w:val="00CF5A22"/>
    <w:rsid w:val="00CF5AAA"/>
    <w:rsid w:val="00CF5D3F"/>
    <w:rsid w:val="00CF5E54"/>
    <w:rsid w:val="00CF5F6E"/>
    <w:rsid w:val="00CF5F96"/>
    <w:rsid w:val="00CF6155"/>
    <w:rsid w:val="00CF6270"/>
    <w:rsid w:val="00CF62A5"/>
    <w:rsid w:val="00CF63FA"/>
    <w:rsid w:val="00CF646B"/>
    <w:rsid w:val="00CF681A"/>
    <w:rsid w:val="00CF6ACA"/>
    <w:rsid w:val="00CF6B8B"/>
    <w:rsid w:val="00CF701A"/>
    <w:rsid w:val="00CF7575"/>
    <w:rsid w:val="00CF7C08"/>
    <w:rsid w:val="00CF7C6F"/>
    <w:rsid w:val="00CF7CDA"/>
    <w:rsid w:val="00CF7E0A"/>
    <w:rsid w:val="00D00165"/>
    <w:rsid w:val="00D009E9"/>
    <w:rsid w:val="00D018E7"/>
    <w:rsid w:val="00D019B5"/>
    <w:rsid w:val="00D01AB1"/>
    <w:rsid w:val="00D01CE4"/>
    <w:rsid w:val="00D0220B"/>
    <w:rsid w:val="00D02305"/>
    <w:rsid w:val="00D024B5"/>
    <w:rsid w:val="00D0262E"/>
    <w:rsid w:val="00D02681"/>
    <w:rsid w:val="00D026DD"/>
    <w:rsid w:val="00D02B47"/>
    <w:rsid w:val="00D030DF"/>
    <w:rsid w:val="00D031B5"/>
    <w:rsid w:val="00D03204"/>
    <w:rsid w:val="00D033C0"/>
    <w:rsid w:val="00D033F3"/>
    <w:rsid w:val="00D03542"/>
    <w:rsid w:val="00D03672"/>
    <w:rsid w:val="00D0384E"/>
    <w:rsid w:val="00D03D3C"/>
    <w:rsid w:val="00D03E53"/>
    <w:rsid w:val="00D04498"/>
    <w:rsid w:val="00D047C5"/>
    <w:rsid w:val="00D04991"/>
    <w:rsid w:val="00D04A8F"/>
    <w:rsid w:val="00D04BE2"/>
    <w:rsid w:val="00D04E14"/>
    <w:rsid w:val="00D0533C"/>
    <w:rsid w:val="00D0534B"/>
    <w:rsid w:val="00D054FC"/>
    <w:rsid w:val="00D057A8"/>
    <w:rsid w:val="00D05A64"/>
    <w:rsid w:val="00D05B78"/>
    <w:rsid w:val="00D05D1A"/>
    <w:rsid w:val="00D05E3D"/>
    <w:rsid w:val="00D05F54"/>
    <w:rsid w:val="00D06139"/>
    <w:rsid w:val="00D063EF"/>
    <w:rsid w:val="00D0646C"/>
    <w:rsid w:val="00D06A78"/>
    <w:rsid w:val="00D06E26"/>
    <w:rsid w:val="00D07487"/>
    <w:rsid w:val="00D074DF"/>
    <w:rsid w:val="00D076E5"/>
    <w:rsid w:val="00D07DE3"/>
    <w:rsid w:val="00D1009F"/>
    <w:rsid w:val="00D10237"/>
    <w:rsid w:val="00D10688"/>
    <w:rsid w:val="00D10804"/>
    <w:rsid w:val="00D10955"/>
    <w:rsid w:val="00D10BFB"/>
    <w:rsid w:val="00D10CF8"/>
    <w:rsid w:val="00D110BD"/>
    <w:rsid w:val="00D112B8"/>
    <w:rsid w:val="00D118C2"/>
    <w:rsid w:val="00D11A7F"/>
    <w:rsid w:val="00D11CDB"/>
    <w:rsid w:val="00D11EB9"/>
    <w:rsid w:val="00D12010"/>
    <w:rsid w:val="00D123B2"/>
    <w:rsid w:val="00D125C3"/>
    <w:rsid w:val="00D1265B"/>
    <w:rsid w:val="00D127F3"/>
    <w:rsid w:val="00D12833"/>
    <w:rsid w:val="00D1296E"/>
    <w:rsid w:val="00D12A8A"/>
    <w:rsid w:val="00D12B47"/>
    <w:rsid w:val="00D130C3"/>
    <w:rsid w:val="00D130FC"/>
    <w:rsid w:val="00D131F6"/>
    <w:rsid w:val="00D135BE"/>
    <w:rsid w:val="00D13675"/>
    <w:rsid w:val="00D13718"/>
    <w:rsid w:val="00D13767"/>
    <w:rsid w:val="00D13837"/>
    <w:rsid w:val="00D13997"/>
    <w:rsid w:val="00D1399B"/>
    <w:rsid w:val="00D13BB9"/>
    <w:rsid w:val="00D13E99"/>
    <w:rsid w:val="00D14009"/>
    <w:rsid w:val="00D14063"/>
    <w:rsid w:val="00D1418A"/>
    <w:rsid w:val="00D141E1"/>
    <w:rsid w:val="00D14236"/>
    <w:rsid w:val="00D14A8A"/>
    <w:rsid w:val="00D14DBB"/>
    <w:rsid w:val="00D150AB"/>
    <w:rsid w:val="00D152B1"/>
    <w:rsid w:val="00D15314"/>
    <w:rsid w:val="00D15422"/>
    <w:rsid w:val="00D155B1"/>
    <w:rsid w:val="00D156F0"/>
    <w:rsid w:val="00D1599A"/>
    <w:rsid w:val="00D15A6B"/>
    <w:rsid w:val="00D15E99"/>
    <w:rsid w:val="00D16143"/>
    <w:rsid w:val="00D161BF"/>
    <w:rsid w:val="00D162C2"/>
    <w:rsid w:val="00D162DB"/>
    <w:rsid w:val="00D163DE"/>
    <w:rsid w:val="00D16493"/>
    <w:rsid w:val="00D16942"/>
    <w:rsid w:val="00D16B24"/>
    <w:rsid w:val="00D171E8"/>
    <w:rsid w:val="00D1723B"/>
    <w:rsid w:val="00D17265"/>
    <w:rsid w:val="00D1746F"/>
    <w:rsid w:val="00D1795F"/>
    <w:rsid w:val="00D17ACC"/>
    <w:rsid w:val="00D17B76"/>
    <w:rsid w:val="00D17D6C"/>
    <w:rsid w:val="00D17F77"/>
    <w:rsid w:val="00D17FC8"/>
    <w:rsid w:val="00D202FA"/>
    <w:rsid w:val="00D20432"/>
    <w:rsid w:val="00D206AA"/>
    <w:rsid w:val="00D206B5"/>
    <w:rsid w:val="00D20D20"/>
    <w:rsid w:val="00D21058"/>
    <w:rsid w:val="00D214E5"/>
    <w:rsid w:val="00D2155B"/>
    <w:rsid w:val="00D21598"/>
    <w:rsid w:val="00D215CB"/>
    <w:rsid w:val="00D21879"/>
    <w:rsid w:val="00D219DA"/>
    <w:rsid w:val="00D21CD3"/>
    <w:rsid w:val="00D21D06"/>
    <w:rsid w:val="00D21DF1"/>
    <w:rsid w:val="00D221CF"/>
    <w:rsid w:val="00D22499"/>
    <w:rsid w:val="00D2254B"/>
    <w:rsid w:val="00D22964"/>
    <w:rsid w:val="00D2296E"/>
    <w:rsid w:val="00D22D4A"/>
    <w:rsid w:val="00D22E97"/>
    <w:rsid w:val="00D23BA7"/>
    <w:rsid w:val="00D23D11"/>
    <w:rsid w:val="00D23E58"/>
    <w:rsid w:val="00D23F18"/>
    <w:rsid w:val="00D24194"/>
    <w:rsid w:val="00D24219"/>
    <w:rsid w:val="00D242E2"/>
    <w:rsid w:val="00D24411"/>
    <w:rsid w:val="00D244B6"/>
    <w:rsid w:val="00D245DE"/>
    <w:rsid w:val="00D24632"/>
    <w:rsid w:val="00D248C2"/>
    <w:rsid w:val="00D24ADE"/>
    <w:rsid w:val="00D24D31"/>
    <w:rsid w:val="00D24D61"/>
    <w:rsid w:val="00D24DB7"/>
    <w:rsid w:val="00D24E5A"/>
    <w:rsid w:val="00D25687"/>
    <w:rsid w:val="00D25B14"/>
    <w:rsid w:val="00D25D65"/>
    <w:rsid w:val="00D25F2D"/>
    <w:rsid w:val="00D265C2"/>
    <w:rsid w:val="00D266D0"/>
    <w:rsid w:val="00D2689D"/>
    <w:rsid w:val="00D2754D"/>
    <w:rsid w:val="00D27661"/>
    <w:rsid w:val="00D27B27"/>
    <w:rsid w:val="00D27EBF"/>
    <w:rsid w:val="00D27F7F"/>
    <w:rsid w:val="00D3007D"/>
    <w:rsid w:val="00D300C8"/>
    <w:rsid w:val="00D303C7"/>
    <w:rsid w:val="00D30518"/>
    <w:rsid w:val="00D30C1A"/>
    <w:rsid w:val="00D30C24"/>
    <w:rsid w:val="00D30D42"/>
    <w:rsid w:val="00D30D4F"/>
    <w:rsid w:val="00D30FF9"/>
    <w:rsid w:val="00D31582"/>
    <w:rsid w:val="00D315BB"/>
    <w:rsid w:val="00D31AE4"/>
    <w:rsid w:val="00D31B60"/>
    <w:rsid w:val="00D31B63"/>
    <w:rsid w:val="00D31C6F"/>
    <w:rsid w:val="00D31EB5"/>
    <w:rsid w:val="00D32507"/>
    <w:rsid w:val="00D32C0F"/>
    <w:rsid w:val="00D32E85"/>
    <w:rsid w:val="00D32FAE"/>
    <w:rsid w:val="00D33710"/>
    <w:rsid w:val="00D3377E"/>
    <w:rsid w:val="00D33878"/>
    <w:rsid w:val="00D33BE9"/>
    <w:rsid w:val="00D33E85"/>
    <w:rsid w:val="00D33F93"/>
    <w:rsid w:val="00D33FBA"/>
    <w:rsid w:val="00D340C7"/>
    <w:rsid w:val="00D34290"/>
    <w:rsid w:val="00D345FE"/>
    <w:rsid w:val="00D34C63"/>
    <w:rsid w:val="00D34EC5"/>
    <w:rsid w:val="00D35385"/>
    <w:rsid w:val="00D357FF"/>
    <w:rsid w:val="00D35992"/>
    <w:rsid w:val="00D36CB2"/>
    <w:rsid w:val="00D374F4"/>
    <w:rsid w:val="00D3756D"/>
    <w:rsid w:val="00D375FD"/>
    <w:rsid w:val="00D37CA4"/>
    <w:rsid w:val="00D406AB"/>
    <w:rsid w:val="00D40764"/>
    <w:rsid w:val="00D40C9E"/>
    <w:rsid w:val="00D410E4"/>
    <w:rsid w:val="00D41186"/>
    <w:rsid w:val="00D41384"/>
    <w:rsid w:val="00D41588"/>
    <w:rsid w:val="00D415BA"/>
    <w:rsid w:val="00D416AD"/>
    <w:rsid w:val="00D41711"/>
    <w:rsid w:val="00D41A64"/>
    <w:rsid w:val="00D41B01"/>
    <w:rsid w:val="00D41E5A"/>
    <w:rsid w:val="00D41FDC"/>
    <w:rsid w:val="00D42373"/>
    <w:rsid w:val="00D42427"/>
    <w:rsid w:val="00D424C7"/>
    <w:rsid w:val="00D4273A"/>
    <w:rsid w:val="00D431B5"/>
    <w:rsid w:val="00D434BB"/>
    <w:rsid w:val="00D43701"/>
    <w:rsid w:val="00D43964"/>
    <w:rsid w:val="00D43B2A"/>
    <w:rsid w:val="00D43D83"/>
    <w:rsid w:val="00D43DDC"/>
    <w:rsid w:val="00D440B4"/>
    <w:rsid w:val="00D4421E"/>
    <w:rsid w:val="00D444EB"/>
    <w:rsid w:val="00D445B9"/>
    <w:rsid w:val="00D44618"/>
    <w:rsid w:val="00D4477C"/>
    <w:rsid w:val="00D44AB2"/>
    <w:rsid w:val="00D44BC5"/>
    <w:rsid w:val="00D44CC2"/>
    <w:rsid w:val="00D456D1"/>
    <w:rsid w:val="00D45B0B"/>
    <w:rsid w:val="00D45C7B"/>
    <w:rsid w:val="00D45F64"/>
    <w:rsid w:val="00D461AF"/>
    <w:rsid w:val="00D464E5"/>
    <w:rsid w:val="00D4695C"/>
    <w:rsid w:val="00D46C22"/>
    <w:rsid w:val="00D473A6"/>
    <w:rsid w:val="00D474EB"/>
    <w:rsid w:val="00D47575"/>
    <w:rsid w:val="00D47ACE"/>
    <w:rsid w:val="00D47BFA"/>
    <w:rsid w:val="00D50244"/>
    <w:rsid w:val="00D5027E"/>
    <w:rsid w:val="00D50DCD"/>
    <w:rsid w:val="00D50EBC"/>
    <w:rsid w:val="00D5135F"/>
    <w:rsid w:val="00D51424"/>
    <w:rsid w:val="00D516DE"/>
    <w:rsid w:val="00D5180C"/>
    <w:rsid w:val="00D51A4A"/>
    <w:rsid w:val="00D51FE5"/>
    <w:rsid w:val="00D52106"/>
    <w:rsid w:val="00D5243B"/>
    <w:rsid w:val="00D5253B"/>
    <w:rsid w:val="00D5287D"/>
    <w:rsid w:val="00D52C23"/>
    <w:rsid w:val="00D52CE1"/>
    <w:rsid w:val="00D52D98"/>
    <w:rsid w:val="00D52DCD"/>
    <w:rsid w:val="00D52E21"/>
    <w:rsid w:val="00D533EC"/>
    <w:rsid w:val="00D5363E"/>
    <w:rsid w:val="00D53861"/>
    <w:rsid w:val="00D53AAD"/>
    <w:rsid w:val="00D53D0C"/>
    <w:rsid w:val="00D53DF3"/>
    <w:rsid w:val="00D54172"/>
    <w:rsid w:val="00D542C6"/>
    <w:rsid w:val="00D5447D"/>
    <w:rsid w:val="00D54B25"/>
    <w:rsid w:val="00D54B35"/>
    <w:rsid w:val="00D54EEB"/>
    <w:rsid w:val="00D54FDE"/>
    <w:rsid w:val="00D55939"/>
    <w:rsid w:val="00D560DF"/>
    <w:rsid w:val="00D56A95"/>
    <w:rsid w:val="00D56E63"/>
    <w:rsid w:val="00D57AB3"/>
    <w:rsid w:val="00D6023C"/>
    <w:rsid w:val="00D606D3"/>
    <w:rsid w:val="00D60C4D"/>
    <w:rsid w:val="00D60CE0"/>
    <w:rsid w:val="00D60EAF"/>
    <w:rsid w:val="00D616B9"/>
    <w:rsid w:val="00D616F3"/>
    <w:rsid w:val="00D61887"/>
    <w:rsid w:val="00D61DD8"/>
    <w:rsid w:val="00D61EBF"/>
    <w:rsid w:val="00D62193"/>
    <w:rsid w:val="00D625D8"/>
    <w:rsid w:val="00D62819"/>
    <w:rsid w:val="00D62BFA"/>
    <w:rsid w:val="00D62C35"/>
    <w:rsid w:val="00D62CB9"/>
    <w:rsid w:val="00D63418"/>
    <w:rsid w:val="00D634B8"/>
    <w:rsid w:val="00D63697"/>
    <w:rsid w:val="00D6387E"/>
    <w:rsid w:val="00D63D67"/>
    <w:rsid w:val="00D64A65"/>
    <w:rsid w:val="00D652EE"/>
    <w:rsid w:val="00D654C6"/>
    <w:rsid w:val="00D654FD"/>
    <w:rsid w:val="00D65661"/>
    <w:rsid w:val="00D65925"/>
    <w:rsid w:val="00D65A75"/>
    <w:rsid w:val="00D65D6F"/>
    <w:rsid w:val="00D6618E"/>
    <w:rsid w:val="00D6620B"/>
    <w:rsid w:val="00D664AE"/>
    <w:rsid w:val="00D66646"/>
    <w:rsid w:val="00D66A0E"/>
    <w:rsid w:val="00D66E4E"/>
    <w:rsid w:val="00D66FFD"/>
    <w:rsid w:val="00D673BA"/>
    <w:rsid w:val="00D67414"/>
    <w:rsid w:val="00D67654"/>
    <w:rsid w:val="00D6788C"/>
    <w:rsid w:val="00D67956"/>
    <w:rsid w:val="00D67A07"/>
    <w:rsid w:val="00D67B0F"/>
    <w:rsid w:val="00D67D6E"/>
    <w:rsid w:val="00D70409"/>
    <w:rsid w:val="00D70601"/>
    <w:rsid w:val="00D70A1C"/>
    <w:rsid w:val="00D70B88"/>
    <w:rsid w:val="00D70D0E"/>
    <w:rsid w:val="00D70F16"/>
    <w:rsid w:val="00D710D8"/>
    <w:rsid w:val="00D721B4"/>
    <w:rsid w:val="00D724C2"/>
    <w:rsid w:val="00D72848"/>
    <w:rsid w:val="00D72C41"/>
    <w:rsid w:val="00D72F57"/>
    <w:rsid w:val="00D73176"/>
    <w:rsid w:val="00D7338B"/>
    <w:rsid w:val="00D73709"/>
    <w:rsid w:val="00D73782"/>
    <w:rsid w:val="00D737AC"/>
    <w:rsid w:val="00D739D3"/>
    <w:rsid w:val="00D73BE4"/>
    <w:rsid w:val="00D73C7E"/>
    <w:rsid w:val="00D746CE"/>
    <w:rsid w:val="00D74A29"/>
    <w:rsid w:val="00D74AE9"/>
    <w:rsid w:val="00D74C8F"/>
    <w:rsid w:val="00D74D9B"/>
    <w:rsid w:val="00D74E5B"/>
    <w:rsid w:val="00D75086"/>
    <w:rsid w:val="00D75202"/>
    <w:rsid w:val="00D75218"/>
    <w:rsid w:val="00D7562B"/>
    <w:rsid w:val="00D75CC2"/>
    <w:rsid w:val="00D760BA"/>
    <w:rsid w:val="00D763D2"/>
    <w:rsid w:val="00D763DB"/>
    <w:rsid w:val="00D76774"/>
    <w:rsid w:val="00D76A44"/>
    <w:rsid w:val="00D76B8F"/>
    <w:rsid w:val="00D76CB8"/>
    <w:rsid w:val="00D76E61"/>
    <w:rsid w:val="00D7710A"/>
    <w:rsid w:val="00D771D1"/>
    <w:rsid w:val="00D7745B"/>
    <w:rsid w:val="00D779CF"/>
    <w:rsid w:val="00D77C72"/>
    <w:rsid w:val="00D77D80"/>
    <w:rsid w:val="00D8042A"/>
    <w:rsid w:val="00D8083E"/>
    <w:rsid w:val="00D80980"/>
    <w:rsid w:val="00D80CAF"/>
    <w:rsid w:val="00D815EF"/>
    <w:rsid w:val="00D816E4"/>
    <w:rsid w:val="00D8175B"/>
    <w:rsid w:val="00D81A21"/>
    <w:rsid w:val="00D81A8B"/>
    <w:rsid w:val="00D81B34"/>
    <w:rsid w:val="00D81B48"/>
    <w:rsid w:val="00D81CF0"/>
    <w:rsid w:val="00D81F26"/>
    <w:rsid w:val="00D82535"/>
    <w:rsid w:val="00D82A5D"/>
    <w:rsid w:val="00D82B64"/>
    <w:rsid w:val="00D83328"/>
    <w:rsid w:val="00D836CB"/>
    <w:rsid w:val="00D837CC"/>
    <w:rsid w:val="00D83A2D"/>
    <w:rsid w:val="00D83C7C"/>
    <w:rsid w:val="00D8415D"/>
    <w:rsid w:val="00D841ED"/>
    <w:rsid w:val="00D84328"/>
    <w:rsid w:val="00D84394"/>
    <w:rsid w:val="00D84600"/>
    <w:rsid w:val="00D8488A"/>
    <w:rsid w:val="00D84DAC"/>
    <w:rsid w:val="00D84F29"/>
    <w:rsid w:val="00D84F81"/>
    <w:rsid w:val="00D84F99"/>
    <w:rsid w:val="00D8507F"/>
    <w:rsid w:val="00D850A0"/>
    <w:rsid w:val="00D855DF"/>
    <w:rsid w:val="00D856FD"/>
    <w:rsid w:val="00D8598B"/>
    <w:rsid w:val="00D85A07"/>
    <w:rsid w:val="00D85C99"/>
    <w:rsid w:val="00D86144"/>
    <w:rsid w:val="00D86231"/>
    <w:rsid w:val="00D86232"/>
    <w:rsid w:val="00D86406"/>
    <w:rsid w:val="00D86538"/>
    <w:rsid w:val="00D8664A"/>
    <w:rsid w:val="00D86A57"/>
    <w:rsid w:val="00D871E4"/>
    <w:rsid w:val="00D872AB"/>
    <w:rsid w:val="00D872E3"/>
    <w:rsid w:val="00D877BA"/>
    <w:rsid w:val="00D87913"/>
    <w:rsid w:val="00D87BB8"/>
    <w:rsid w:val="00D87C68"/>
    <w:rsid w:val="00D87EE9"/>
    <w:rsid w:val="00D90090"/>
    <w:rsid w:val="00D904F5"/>
    <w:rsid w:val="00D9069F"/>
    <w:rsid w:val="00D90A03"/>
    <w:rsid w:val="00D90C61"/>
    <w:rsid w:val="00D9108C"/>
    <w:rsid w:val="00D91101"/>
    <w:rsid w:val="00D91213"/>
    <w:rsid w:val="00D912D2"/>
    <w:rsid w:val="00D913DA"/>
    <w:rsid w:val="00D91535"/>
    <w:rsid w:val="00D91923"/>
    <w:rsid w:val="00D91DA8"/>
    <w:rsid w:val="00D92006"/>
    <w:rsid w:val="00D92008"/>
    <w:rsid w:val="00D922F2"/>
    <w:rsid w:val="00D92393"/>
    <w:rsid w:val="00D925AF"/>
    <w:rsid w:val="00D92789"/>
    <w:rsid w:val="00D92BE3"/>
    <w:rsid w:val="00D9330D"/>
    <w:rsid w:val="00D93492"/>
    <w:rsid w:val="00D93753"/>
    <w:rsid w:val="00D93C8A"/>
    <w:rsid w:val="00D93DAF"/>
    <w:rsid w:val="00D93FFE"/>
    <w:rsid w:val="00D9411D"/>
    <w:rsid w:val="00D942DF"/>
    <w:rsid w:val="00D9446D"/>
    <w:rsid w:val="00D947E5"/>
    <w:rsid w:val="00D949BC"/>
    <w:rsid w:val="00D94D8D"/>
    <w:rsid w:val="00D94DEE"/>
    <w:rsid w:val="00D94F80"/>
    <w:rsid w:val="00D94F82"/>
    <w:rsid w:val="00D95223"/>
    <w:rsid w:val="00D95B0A"/>
    <w:rsid w:val="00D95D9D"/>
    <w:rsid w:val="00D96305"/>
    <w:rsid w:val="00D9639D"/>
    <w:rsid w:val="00D9645A"/>
    <w:rsid w:val="00D9646D"/>
    <w:rsid w:val="00D965DF"/>
    <w:rsid w:val="00D969BC"/>
    <w:rsid w:val="00D96EAC"/>
    <w:rsid w:val="00D97270"/>
    <w:rsid w:val="00D97CD7"/>
    <w:rsid w:val="00D97D61"/>
    <w:rsid w:val="00D97D63"/>
    <w:rsid w:val="00D97DB3"/>
    <w:rsid w:val="00D97EBD"/>
    <w:rsid w:val="00D97F80"/>
    <w:rsid w:val="00DA042B"/>
    <w:rsid w:val="00DA0488"/>
    <w:rsid w:val="00DA05E8"/>
    <w:rsid w:val="00DA065B"/>
    <w:rsid w:val="00DA066E"/>
    <w:rsid w:val="00DA06E3"/>
    <w:rsid w:val="00DA12F8"/>
    <w:rsid w:val="00DA15A8"/>
    <w:rsid w:val="00DA1E77"/>
    <w:rsid w:val="00DA21AC"/>
    <w:rsid w:val="00DA224D"/>
    <w:rsid w:val="00DA29D7"/>
    <w:rsid w:val="00DA2B48"/>
    <w:rsid w:val="00DA2E3D"/>
    <w:rsid w:val="00DA3167"/>
    <w:rsid w:val="00DA3188"/>
    <w:rsid w:val="00DA32B6"/>
    <w:rsid w:val="00DA3572"/>
    <w:rsid w:val="00DA371B"/>
    <w:rsid w:val="00DA3977"/>
    <w:rsid w:val="00DA3A6E"/>
    <w:rsid w:val="00DA3C91"/>
    <w:rsid w:val="00DA4076"/>
    <w:rsid w:val="00DA411A"/>
    <w:rsid w:val="00DA41C2"/>
    <w:rsid w:val="00DA421A"/>
    <w:rsid w:val="00DA447F"/>
    <w:rsid w:val="00DA44F6"/>
    <w:rsid w:val="00DA46B4"/>
    <w:rsid w:val="00DA48F6"/>
    <w:rsid w:val="00DA4973"/>
    <w:rsid w:val="00DA4DC3"/>
    <w:rsid w:val="00DA55D5"/>
    <w:rsid w:val="00DA581C"/>
    <w:rsid w:val="00DA58AA"/>
    <w:rsid w:val="00DA5F3E"/>
    <w:rsid w:val="00DA63B9"/>
    <w:rsid w:val="00DA696C"/>
    <w:rsid w:val="00DA6C4A"/>
    <w:rsid w:val="00DA72C8"/>
    <w:rsid w:val="00DA77A5"/>
    <w:rsid w:val="00DA7922"/>
    <w:rsid w:val="00DA7C23"/>
    <w:rsid w:val="00DA7F34"/>
    <w:rsid w:val="00DB055A"/>
    <w:rsid w:val="00DB0795"/>
    <w:rsid w:val="00DB0975"/>
    <w:rsid w:val="00DB0C15"/>
    <w:rsid w:val="00DB0D48"/>
    <w:rsid w:val="00DB12D5"/>
    <w:rsid w:val="00DB1A26"/>
    <w:rsid w:val="00DB1C6E"/>
    <w:rsid w:val="00DB1FD9"/>
    <w:rsid w:val="00DB201A"/>
    <w:rsid w:val="00DB201E"/>
    <w:rsid w:val="00DB209F"/>
    <w:rsid w:val="00DB216D"/>
    <w:rsid w:val="00DB23B1"/>
    <w:rsid w:val="00DB2764"/>
    <w:rsid w:val="00DB2F40"/>
    <w:rsid w:val="00DB3227"/>
    <w:rsid w:val="00DB3369"/>
    <w:rsid w:val="00DB33D2"/>
    <w:rsid w:val="00DB3535"/>
    <w:rsid w:val="00DB3618"/>
    <w:rsid w:val="00DB3626"/>
    <w:rsid w:val="00DB38C1"/>
    <w:rsid w:val="00DB3C08"/>
    <w:rsid w:val="00DB3DBF"/>
    <w:rsid w:val="00DB3EE8"/>
    <w:rsid w:val="00DB3FAA"/>
    <w:rsid w:val="00DB4392"/>
    <w:rsid w:val="00DB484F"/>
    <w:rsid w:val="00DB4F11"/>
    <w:rsid w:val="00DB518C"/>
    <w:rsid w:val="00DB55B1"/>
    <w:rsid w:val="00DB579C"/>
    <w:rsid w:val="00DB618C"/>
    <w:rsid w:val="00DB6848"/>
    <w:rsid w:val="00DB69F1"/>
    <w:rsid w:val="00DB6F78"/>
    <w:rsid w:val="00DB742B"/>
    <w:rsid w:val="00DB748A"/>
    <w:rsid w:val="00DB7765"/>
    <w:rsid w:val="00DB798C"/>
    <w:rsid w:val="00DB7BD5"/>
    <w:rsid w:val="00DB7D82"/>
    <w:rsid w:val="00DC0032"/>
    <w:rsid w:val="00DC0093"/>
    <w:rsid w:val="00DC021D"/>
    <w:rsid w:val="00DC0247"/>
    <w:rsid w:val="00DC04F6"/>
    <w:rsid w:val="00DC0630"/>
    <w:rsid w:val="00DC0690"/>
    <w:rsid w:val="00DC0693"/>
    <w:rsid w:val="00DC078B"/>
    <w:rsid w:val="00DC0817"/>
    <w:rsid w:val="00DC089D"/>
    <w:rsid w:val="00DC0971"/>
    <w:rsid w:val="00DC1367"/>
    <w:rsid w:val="00DC165A"/>
    <w:rsid w:val="00DC166E"/>
    <w:rsid w:val="00DC1800"/>
    <w:rsid w:val="00DC1D65"/>
    <w:rsid w:val="00DC277D"/>
    <w:rsid w:val="00DC2AD1"/>
    <w:rsid w:val="00DC2BB2"/>
    <w:rsid w:val="00DC335B"/>
    <w:rsid w:val="00DC3429"/>
    <w:rsid w:val="00DC3675"/>
    <w:rsid w:val="00DC3A90"/>
    <w:rsid w:val="00DC3C57"/>
    <w:rsid w:val="00DC3F7E"/>
    <w:rsid w:val="00DC4258"/>
    <w:rsid w:val="00DC427B"/>
    <w:rsid w:val="00DC48D8"/>
    <w:rsid w:val="00DC5501"/>
    <w:rsid w:val="00DC5721"/>
    <w:rsid w:val="00DC5A47"/>
    <w:rsid w:val="00DC5B7C"/>
    <w:rsid w:val="00DC5EA2"/>
    <w:rsid w:val="00DC60E3"/>
    <w:rsid w:val="00DC66C1"/>
    <w:rsid w:val="00DC679D"/>
    <w:rsid w:val="00DC6E42"/>
    <w:rsid w:val="00DC7154"/>
    <w:rsid w:val="00DC7748"/>
    <w:rsid w:val="00DC7AF4"/>
    <w:rsid w:val="00DC7E8A"/>
    <w:rsid w:val="00DD023D"/>
    <w:rsid w:val="00DD0284"/>
    <w:rsid w:val="00DD0568"/>
    <w:rsid w:val="00DD05AE"/>
    <w:rsid w:val="00DD0AF5"/>
    <w:rsid w:val="00DD0D2D"/>
    <w:rsid w:val="00DD0E3F"/>
    <w:rsid w:val="00DD0F78"/>
    <w:rsid w:val="00DD1197"/>
    <w:rsid w:val="00DD120B"/>
    <w:rsid w:val="00DD13A5"/>
    <w:rsid w:val="00DD1415"/>
    <w:rsid w:val="00DD14BC"/>
    <w:rsid w:val="00DD15DF"/>
    <w:rsid w:val="00DD185E"/>
    <w:rsid w:val="00DD2175"/>
    <w:rsid w:val="00DD219C"/>
    <w:rsid w:val="00DD223D"/>
    <w:rsid w:val="00DD2637"/>
    <w:rsid w:val="00DD273C"/>
    <w:rsid w:val="00DD28D3"/>
    <w:rsid w:val="00DD2964"/>
    <w:rsid w:val="00DD2971"/>
    <w:rsid w:val="00DD29E0"/>
    <w:rsid w:val="00DD2D4E"/>
    <w:rsid w:val="00DD2F8E"/>
    <w:rsid w:val="00DD30AA"/>
    <w:rsid w:val="00DD30EF"/>
    <w:rsid w:val="00DD3180"/>
    <w:rsid w:val="00DD31BD"/>
    <w:rsid w:val="00DD329C"/>
    <w:rsid w:val="00DD365C"/>
    <w:rsid w:val="00DD385F"/>
    <w:rsid w:val="00DD3A47"/>
    <w:rsid w:val="00DD3C69"/>
    <w:rsid w:val="00DD3CD2"/>
    <w:rsid w:val="00DD3D1E"/>
    <w:rsid w:val="00DD3DBC"/>
    <w:rsid w:val="00DD3F28"/>
    <w:rsid w:val="00DD3FFC"/>
    <w:rsid w:val="00DD4233"/>
    <w:rsid w:val="00DD4452"/>
    <w:rsid w:val="00DD4537"/>
    <w:rsid w:val="00DD457B"/>
    <w:rsid w:val="00DD45A6"/>
    <w:rsid w:val="00DD4A4B"/>
    <w:rsid w:val="00DD4E15"/>
    <w:rsid w:val="00DD4EE7"/>
    <w:rsid w:val="00DD53F1"/>
    <w:rsid w:val="00DD5B3D"/>
    <w:rsid w:val="00DD5BF1"/>
    <w:rsid w:val="00DD5DB5"/>
    <w:rsid w:val="00DD5E5F"/>
    <w:rsid w:val="00DD5EB8"/>
    <w:rsid w:val="00DD6793"/>
    <w:rsid w:val="00DD6926"/>
    <w:rsid w:val="00DD69B6"/>
    <w:rsid w:val="00DD6D56"/>
    <w:rsid w:val="00DD6E21"/>
    <w:rsid w:val="00DD6E2F"/>
    <w:rsid w:val="00DD7292"/>
    <w:rsid w:val="00DD73EE"/>
    <w:rsid w:val="00DD7A82"/>
    <w:rsid w:val="00DD7EA8"/>
    <w:rsid w:val="00DD7EAC"/>
    <w:rsid w:val="00DE0045"/>
    <w:rsid w:val="00DE00B7"/>
    <w:rsid w:val="00DE03A2"/>
    <w:rsid w:val="00DE08A1"/>
    <w:rsid w:val="00DE10F3"/>
    <w:rsid w:val="00DE183D"/>
    <w:rsid w:val="00DE21B6"/>
    <w:rsid w:val="00DE22FA"/>
    <w:rsid w:val="00DE2304"/>
    <w:rsid w:val="00DE2382"/>
    <w:rsid w:val="00DE28F9"/>
    <w:rsid w:val="00DE2C53"/>
    <w:rsid w:val="00DE2C92"/>
    <w:rsid w:val="00DE2D85"/>
    <w:rsid w:val="00DE2F6D"/>
    <w:rsid w:val="00DE3138"/>
    <w:rsid w:val="00DE3230"/>
    <w:rsid w:val="00DE337C"/>
    <w:rsid w:val="00DE33D9"/>
    <w:rsid w:val="00DE37F8"/>
    <w:rsid w:val="00DE3934"/>
    <w:rsid w:val="00DE449B"/>
    <w:rsid w:val="00DE451E"/>
    <w:rsid w:val="00DE46EE"/>
    <w:rsid w:val="00DE4B70"/>
    <w:rsid w:val="00DE4DDC"/>
    <w:rsid w:val="00DE4FCB"/>
    <w:rsid w:val="00DE55B8"/>
    <w:rsid w:val="00DE5702"/>
    <w:rsid w:val="00DE57E9"/>
    <w:rsid w:val="00DE5830"/>
    <w:rsid w:val="00DE5A73"/>
    <w:rsid w:val="00DE5D07"/>
    <w:rsid w:val="00DE623E"/>
    <w:rsid w:val="00DE6279"/>
    <w:rsid w:val="00DE628E"/>
    <w:rsid w:val="00DE673E"/>
    <w:rsid w:val="00DE69AF"/>
    <w:rsid w:val="00DE6EA1"/>
    <w:rsid w:val="00DE72A7"/>
    <w:rsid w:val="00DE7666"/>
    <w:rsid w:val="00DE7832"/>
    <w:rsid w:val="00DF0050"/>
    <w:rsid w:val="00DF0236"/>
    <w:rsid w:val="00DF02A1"/>
    <w:rsid w:val="00DF0307"/>
    <w:rsid w:val="00DF1305"/>
    <w:rsid w:val="00DF167B"/>
    <w:rsid w:val="00DF1683"/>
    <w:rsid w:val="00DF18FC"/>
    <w:rsid w:val="00DF1D93"/>
    <w:rsid w:val="00DF22B1"/>
    <w:rsid w:val="00DF2422"/>
    <w:rsid w:val="00DF2A2D"/>
    <w:rsid w:val="00DF2A31"/>
    <w:rsid w:val="00DF2C2B"/>
    <w:rsid w:val="00DF2D44"/>
    <w:rsid w:val="00DF30F1"/>
    <w:rsid w:val="00DF381C"/>
    <w:rsid w:val="00DF3831"/>
    <w:rsid w:val="00DF4036"/>
    <w:rsid w:val="00DF427E"/>
    <w:rsid w:val="00DF46F5"/>
    <w:rsid w:val="00DF483F"/>
    <w:rsid w:val="00DF4AAA"/>
    <w:rsid w:val="00DF4DB1"/>
    <w:rsid w:val="00DF4F09"/>
    <w:rsid w:val="00DF4FD5"/>
    <w:rsid w:val="00DF5164"/>
    <w:rsid w:val="00DF554D"/>
    <w:rsid w:val="00DF59E4"/>
    <w:rsid w:val="00DF5B59"/>
    <w:rsid w:val="00DF5C02"/>
    <w:rsid w:val="00DF5D2B"/>
    <w:rsid w:val="00DF64A4"/>
    <w:rsid w:val="00DF6586"/>
    <w:rsid w:val="00DF67D0"/>
    <w:rsid w:val="00DF6867"/>
    <w:rsid w:val="00DF6DAC"/>
    <w:rsid w:val="00DF71C2"/>
    <w:rsid w:val="00DF71D7"/>
    <w:rsid w:val="00DF746D"/>
    <w:rsid w:val="00DF7688"/>
    <w:rsid w:val="00DF7851"/>
    <w:rsid w:val="00DF7A06"/>
    <w:rsid w:val="00E00128"/>
    <w:rsid w:val="00E0022A"/>
    <w:rsid w:val="00E00450"/>
    <w:rsid w:val="00E009F7"/>
    <w:rsid w:val="00E00C8C"/>
    <w:rsid w:val="00E00E8E"/>
    <w:rsid w:val="00E00EDB"/>
    <w:rsid w:val="00E01270"/>
    <w:rsid w:val="00E014FA"/>
    <w:rsid w:val="00E015B8"/>
    <w:rsid w:val="00E01735"/>
    <w:rsid w:val="00E01E14"/>
    <w:rsid w:val="00E01E6A"/>
    <w:rsid w:val="00E02C37"/>
    <w:rsid w:val="00E03619"/>
    <w:rsid w:val="00E0368B"/>
    <w:rsid w:val="00E0399D"/>
    <w:rsid w:val="00E03C20"/>
    <w:rsid w:val="00E03C55"/>
    <w:rsid w:val="00E03D06"/>
    <w:rsid w:val="00E03FF9"/>
    <w:rsid w:val="00E04387"/>
    <w:rsid w:val="00E04629"/>
    <w:rsid w:val="00E046E3"/>
    <w:rsid w:val="00E0482C"/>
    <w:rsid w:val="00E04924"/>
    <w:rsid w:val="00E04B84"/>
    <w:rsid w:val="00E04CF3"/>
    <w:rsid w:val="00E04E57"/>
    <w:rsid w:val="00E05135"/>
    <w:rsid w:val="00E05365"/>
    <w:rsid w:val="00E05630"/>
    <w:rsid w:val="00E05DCB"/>
    <w:rsid w:val="00E05E86"/>
    <w:rsid w:val="00E06541"/>
    <w:rsid w:val="00E06956"/>
    <w:rsid w:val="00E06DBB"/>
    <w:rsid w:val="00E06EB0"/>
    <w:rsid w:val="00E06EE3"/>
    <w:rsid w:val="00E0707A"/>
    <w:rsid w:val="00E07455"/>
    <w:rsid w:val="00E07474"/>
    <w:rsid w:val="00E0756C"/>
    <w:rsid w:val="00E0772B"/>
    <w:rsid w:val="00E0797D"/>
    <w:rsid w:val="00E07A93"/>
    <w:rsid w:val="00E07AE0"/>
    <w:rsid w:val="00E07B78"/>
    <w:rsid w:val="00E10149"/>
    <w:rsid w:val="00E10621"/>
    <w:rsid w:val="00E10E27"/>
    <w:rsid w:val="00E10EDF"/>
    <w:rsid w:val="00E11340"/>
    <w:rsid w:val="00E119CC"/>
    <w:rsid w:val="00E11D1D"/>
    <w:rsid w:val="00E12093"/>
    <w:rsid w:val="00E122A1"/>
    <w:rsid w:val="00E1282B"/>
    <w:rsid w:val="00E12A73"/>
    <w:rsid w:val="00E12B74"/>
    <w:rsid w:val="00E12C67"/>
    <w:rsid w:val="00E12C76"/>
    <w:rsid w:val="00E12DE9"/>
    <w:rsid w:val="00E133AC"/>
    <w:rsid w:val="00E14063"/>
    <w:rsid w:val="00E143C6"/>
    <w:rsid w:val="00E144A2"/>
    <w:rsid w:val="00E14665"/>
    <w:rsid w:val="00E14AED"/>
    <w:rsid w:val="00E14E75"/>
    <w:rsid w:val="00E14F9E"/>
    <w:rsid w:val="00E153CD"/>
    <w:rsid w:val="00E1545E"/>
    <w:rsid w:val="00E154ED"/>
    <w:rsid w:val="00E15546"/>
    <w:rsid w:val="00E157F5"/>
    <w:rsid w:val="00E1586E"/>
    <w:rsid w:val="00E15C9D"/>
    <w:rsid w:val="00E161F9"/>
    <w:rsid w:val="00E1626D"/>
    <w:rsid w:val="00E16372"/>
    <w:rsid w:val="00E16B13"/>
    <w:rsid w:val="00E16BA9"/>
    <w:rsid w:val="00E16D60"/>
    <w:rsid w:val="00E16ECE"/>
    <w:rsid w:val="00E16F32"/>
    <w:rsid w:val="00E17073"/>
    <w:rsid w:val="00E170D4"/>
    <w:rsid w:val="00E173D7"/>
    <w:rsid w:val="00E175A9"/>
    <w:rsid w:val="00E17C61"/>
    <w:rsid w:val="00E17F1B"/>
    <w:rsid w:val="00E17FCE"/>
    <w:rsid w:val="00E208AB"/>
    <w:rsid w:val="00E20E4D"/>
    <w:rsid w:val="00E20ED6"/>
    <w:rsid w:val="00E2112C"/>
    <w:rsid w:val="00E211CD"/>
    <w:rsid w:val="00E21358"/>
    <w:rsid w:val="00E21385"/>
    <w:rsid w:val="00E213DE"/>
    <w:rsid w:val="00E2155E"/>
    <w:rsid w:val="00E21621"/>
    <w:rsid w:val="00E21C73"/>
    <w:rsid w:val="00E22059"/>
    <w:rsid w:val="00E2249B"/>
    <w:rsid w:val="00E22503"/>
    <w:rsid w:val="00E22636"/>
    <w:rsid w:val="00E226B3"/>
    <w:rsid w:val="00E22A0D"/>
    <w:rsid w:val="00E22C7B"/>
    <w:rsid w:val="00E22F41"/>
    <w:rsid w:val="00E2388B"/>
    <w:rsid w:val="00E2397A"/>
    <w:rsid w:val="00E23C98"/>
    <w:rsid w:val="00E23F93"/>
    <w:rsid w:val="00E243D3"/>
    <w:rsid w:val="00E244F6"/>
    <w:rsid w:val="00E245B0"/>
    <w:rsid w:val="00E24AF1"/>
    <w:rsid w:val="00E24D05"/>
    <w:rsid w:val="00E25233"/>
    <w:rsid w:val="00E252EF"/>
    <w:rsid w:val="00E25494"/>
    <w:rsid w:val="00E2551B"/>
    <w:rsid w:val="00E255F0"/>
    <w:rsid w:val="00E2564D"/>
    <w:rsid w:val="00E25991"/>
    <w:rsid w:val="00E25AA7"/>
    <w:rsid w:val="00E25C05"/>
    <w:rsid w:val="00E268B7"/>
    <w:rsid w:val="00E2771E"/>
    <w:rsid w:val="00E27A5C"/>
    <w:rsid w:val="00E27E5D"/>
    <w:rsid w:val="00E30158"/>
    <w:rsid w:val="00E3032C"/>
    <w:rsid w:val="00E3043A"/>
    <w:rsid w:val="00E30584"/>
    <w:rsid w:val="00E3078F"/>
    <w:rsid w:val="00E3095E"/>
    <w:rsid w:val="00E309DF"/>
    <w:rsid w:val="00E311EF"/>
    <w:rsid w:val="00E31213"/>
    <w:rsid w:val="00E31535"/>
    <w:rsid w:val="00E31DED"/>
    <w:rsid w:val="00E31E46"/>
    <w:rsid w:val="00E31E5C"/>
    <w:rsid w:val="00E31EFD"/>
    <w:rsid w:val="00E31F63"/>
    <w:rsid w:val="00E32116"/>
    <w:rsid w:val="00E3217A"/>
    <w:rsid w:val="00E32180"/>
    <w:rsid w:val="00E327D4"/>
    <w:rsid w:val="00E32963"/>
    <w:rsid w:val="00E32A1A"/>
    <w:rsid w:val="00E32A90"/>
    <w:rsid w:val="00E32EEA"/>
    <w:rsid w:val="00E32EEB"/>
    <w:rsid w:val="00E32F21"/>
    <w:rsid w:val="00E32F6F"/>
    <w:rsid w:val="00E33207"/>
    <w:rsid w:val="00E33BEC"/>
    <w:rsid w:val="00E33C39"/>
    <w:rsid w:val="00E33CF8"/>
    <w:rsid w:val="00E33F60"/>
    <w:rsid w:val="00E34205"/>
    <w:rsid w:val="00E3436A"/>
    <w:rsid w:val="00E3445A"/>
    <w:rsid w:val="00E34948"/>
    <w:rsid w:val="00E34963"/>
    <w:rsid w:val="00E34A85"/>
    <w:rsid w:val="00E34C8D"/>
    <w:rsid w:val="00E34D38"/>
    <w:rsid w:val="00E34DC8"/>
    <w:rsid w:val="00E350DA"/>
    <w:rsid w:val="00E35102"/>
    <w:rsid w:val="00E35167"/>
    <w:rsid w:val="00E351B3"/>
    <w:rsid w:val="00E35336"/>
    <w:rsid w:val="00E353DF"/>
    <w:rsid w:val="00E35664"/>
    <w:rsid w:val="00E35CBC"/>
    <w:rsid w:val="00E36AC1"/>
    <w:rsid w:val="00E36B91"/>
    <w:rsid w:val="00E36DC5"/>
    <w:rsid w:val="00E36EEC"/>
    <w:rsid w:val="00E37208"/>
    <w:rsid w:val="00E37297"/>
    <w:rsid w:val="00E37569"/>
    <w:rsid w:val="00E37A5F"/>
    <w:rsid w:val="00E37C59"/>
    <w:rsid w:val="00E37EB3"/>
    <w:rsid w:val="00E401B2"/>
    <w:rsid w:val="00E4034A"/>
    <w:rsid w:val="00E4038A"/>
    <w:rsid w:val="00E403E7"/>
    <w:rsid w:val="00E40790"/>
    <w:rsid w:val="00E40A66"/>
    <w:rsid w:val="00E40B60"/>
    <w:rsid w:val="00E40D65"/>
    <w:rsid w:val="00E41123"/>
    <w:rsid w:val="00E413ED"/>
    <w:rsid w:val="00E41650"/>
    <w:rsid w:val="00E41696"/>
    <w:rsid w:val="00E416A1"/>
    <w:rsid w:val="00E416F9"/>
    <w:rsid w:val="00E41A9B"/>
    <w:rsid w:val="00E41D64"/>
    <w:rsid w:val="00E41E30"/>
    <w:rsid w:val="00E422F2"/>
    <w:rsid w:val="00E423D5"/>
    <w:rsid w:val="00E426EE"/>
    <w:rsid w:val="00E42727"/>
    <w:rsid w:val="00E428D2"/>
    <w:rsid w:val="00E42A18"/>
    <w:rsid w:val="00E42F73"/>
    <w:rsid w:val="00E43025"/>
    <w:rsid w:val="00E433A2"/>
    <w:rsid w:val="00E43981"/>
    <w:rsid w:val="00E43C58"/>
    <w:rsid w:val="00E43CD9"/>
    <w:rsid w:val="00E43D70"/>
    <w:rsid w:val="00E43F39"/>
    <w:rsid w:val="00E4402B"/>
    <w:rsid w:val="00E44392"/>
    <w:rsid w:val="00E4441D"/>
    <w:rsid w:val="00E44595"/>
    <w:rsid w:val="00E447FC"/>
    <w:rsid w:val="00E44800"/>
    <w:rsid w:val="00E44C3F"/>
    <w:rsid w:val="00E44E77"/>
    <w:rsid w:val="00E450C9"/>
    <w:rsid w:val="00E45236"/>
    <w:rsid w:val="00E45630"/>
    <w:rsid w:val="00E458F2"/>
    <w:rsid w:val="00E45D0F"/>
    <w:rsid w:val="00E45E29"/>
    <w:rsid w:val="00E463A8"/>
    <w:rsid w:val="00E466F3"/>
    <w:rsid w:val="00E47047"/>
    <w:rsid w:val="00E470E5"/>
    <w:rsid w:val="00E47634"/>
    <w:rsid w:val="00E47AF0"/>
    <w:rsid w:val="00E47B2C"/>
    <w:rsid w:val="00E47BF5"/>
    <w:rsid w:val="00E47F3B"/>
    <w:rsid w:val="00E501E3"/>
    <w:rsid w:val="00E50388"/>
    <w:rsid w:val="00E507BC"/>
    <w:rsid w:val="00E509E8"/>
    <w:rsid w:val="00E5108A"/>
    <w:rsid w:val="00E51190"/>
    <w:rsid w:val="00E513B1"/>
    <w:rsid w:val="00E51560"/>
    <w:rsid w:val="00E515A5"/>
    <w:rsid w:val="00E51697"/>
    <w:rsid w:val="00E51F0A"/>
    <w:rsid w:val="00E52835"/>
    <w:rsid w:val="00E52875"/>
    <w:rsid w:val="00E52D1E"/>
    <w:rsid w:val="00E53100"/>
    <w:rsid w:val="00E536FC"/>
    <w:rsid w:val="00E53FC8"/>
    <w:rsid w:val="00E54289"/>
    <w:rsid w:val="00E54347"/>
    <w:rsid w:val="00E543B3"/>
    <w:rsid w:val="00E54427"/>
    <w:rsid w:val="00E5443A"/>
    <w:rsid w:val="00E54756"/>
    <w:rsid w:val="00E547CE"/>
    <w:rsid w:val="00E54881"/>
    <w:rsid w:val="00E549FD"/>
    <w:rsid w:val="00E54B1F"/>
    <w:rsid w:val="00E55309"/>
    <w:rsid w:val="00E55424"/>
    <w:rsid w:val="00E557D6"/>
    <w:rsid w:val="00E557F2"/>
    <w:rsid w:val="00E55915"/>
    <w:rsid w:val="00E55B7A"/>
    <w:rsid w:val="00E55BB5"/>
    <w:rsid w:val="00E564BF"/>
    <w:rsid w:val="00E565B5"/>
    <w:rsid w:val="00E56704"/>
    <w:rsid w:val="00E567E6"/>
    <w:rsid w:val="00E56876"/>
    <w:rsid w:val="00E56B2A"/>
    <w:rsid w:val="00E56DE9"/>
    <w:rsid w:val="00E56E13"/>
    <w:rsid w:val="00E56FA5"/>
    <w:rsid w:val="00E57236"/>
    <w:rsid w:val="00E577E0"/>
    <w:rsid w:val="00E57A43"/>
    <w:rsid w:val="00E57A7A"/>
    <w:rsid w:val="00E57B11"/>
    <w:rsid w:val="00E600F1"/>
    <w:rsid w:val="00E6059A"/>
    <w:rsid w:val="00E6093B"/>
    <w:rsid w:val="00E6094F"/>
    <w:rsid w:val="00E60A28"/>
    <w:rsid w:val="00E60B7B"/>
    <w:rsid w:val="00E60B9B"/>
    <w:rsid w:val="00E61037"/>
    <w:rsid w:val="00E610B8"/>
    <w:rsid w:val="00E61356"/>
    <w:rsid w:val="00E61706"/>
    <w:rsid w:val="00E6172B"/>
    <w:rsid w:val="00E61824"/>
    <w:rsid w:val="00E61829"/>
    <w:rsid w:val="00E61CC3"/>
    <w:rsid w:val="00E61D45"/>
    <w:rsid w:val="00E61DA2"/>
    <w:rsid w:val="00E61EE8"/>
    <w:rsid w:val="00E621DE"/>
    <w:rsid w:val="00E622AA"/>
    <w:rsid w:val="00E62D71"/>
    <w:rsid w:val="00E62DE4"/>
    <w:rsid w:val="00E63330"/>
    <w:rsid w:val="00E635CF"/>
    <w:rsid w:val="00E63AAA"/>
    <w:rsid w:val="00E63AD5"/>
    <w:rsid w:val="00E63B03"/>
    <w:rsid w:val="00E63C2C"/>
    <w:rsid w:val="00E63CA6"/>
    <w:rsid w:val="00E63DBB"/>
    <w:rsid w:val="00E63EB1"/>
    <w:rsid w:val="00E63F9C"/>
    <w:rsid w:val="00E64D28"/>
    <w:rsid w:val="00E6519C"/>
    <w:rsid w:val="00E65428"/>
    <w:rsid w:val="00E655A1"/>
    <w:rsid w:val="00E656FA"/>
    <w:rsid w:val="00E65716"/>
    <w:rsid w:val="00E65BD5"/>
    <w:rsid w:val="00E65DBD"/>
    <w:rsid w:val="00E65E79"/>
    <w:rsid w:val="00E65F84"/>
    <w:rsid w:val="00E66437"/>
    <w:rsid w:val="00E6664C"/>
    <w:rsid w:val="00E66831"/>
    <w:rsid w:val="00E66995"/>
    <w:rsid w:val="00E669BC"/>
    <w:rsid w:val="00E66BA2"/>
    <w:rsid w:val="00E66D65"/>
    <w:rsid w:val="00E66D84"/>
    <w:rsid w:val="00E66EC8"/>
    <w:rsid w:val="00E67015"/>
    <w:rsid w:val="00E67049"/>
    <w:rsid w:val="00E6708E"/>
    <w:rsid w:val="00E671DF"/>
    <w:rsid w:val="00E67243"/>
    <w:rsid w:val="00E67299"/>
    <w:rsid w:val="00E672E8"/>
    <w:rsid w:val="00E67416"/>
    <w:rsid w:val="00E67491"/>
    <w:rsid w:val="00E67563"/>
    <w:rsid w:val="00E677E1"/>
    <w:rsid w:val="00E678EB"/>
    <w:rsid w:val="00E67DA8"/>
    <w:rsid w:val="00E7007B"/>
    <w:rsid w:val="00E700E2"/>
    <w:rsid w:val="00E70145"/>
    <w:rsid w:val="00E7023F"/>
    <w:rsid w:val="00E704DE"/>
    <w:rsid w:val="00E707F3"/>
    <w:rsid w:val="00E708A5"/>
    <w:rsid w:val="00E70F0C"/>
    <w:rsid w:val="00E7149F"/>
    <w:rsid w:val="00E716D7"/>
    <w:rsid w:val="00E71757"/>
    <w:rsid w:val="00E718A9"/>
    <w:rsid w:val="00E718B6"/>
    <w:rsid w:val="00E7236D"/>
    <w:rsid w:val="00E723BA"/>
    <w:rsid w:val="00E7283C"/>
    <w:rsid w:val="00E729F1"/>
    <w:rsid w:val="00E72D38"/>
    <w:rsid w:val="00E72E26"/>
    <w:rsid w:val="00E72E59"/>
    <w:rsid w:val="00E72F1F"/>
    <w:rsid w:val="00E733BA"/>
    <w:rsid w:val="00E733D9"/>
    <w:rsid w:val="00E734ED"/>
    <w:rsid w:val="00E73581"/>
    <w:rsid w:val="00E7372D"/>
    <w:rsid w:val="00E739FB"/>
    <w:rsid w:val="00E73A0A"/>
    <w:rsid w:val="00E73F95"/>
    <w:rsid w:val="00E7422F"/>
    <w:rsid w:val="00E7426F"/>
    <w:rsid w:val="00E74CB3"/>
    <w:rsid w:val="00E7539D"/>
    <w:rsid w:val="00E75520"/>
    <w:rsid w:val="00E75681"/>
    <w:rsid w:val="00E76076"/>
    <w:rsid w:val="00E76784"/>
    <w:rsid w:val="00E76A7F"/>
    <w:rsid w:val="00E76C05"/>
    <w:rsid w:val="00E76D7D"/>
    <w:rsid w:val="00E76F45"/>
    <w:rsid w:val="00E771E8"/>
    <w:rsid w:val="00E77285"/>
    <w:rsid w:val="00E77363"/>
    <w:rsid w:val="00E77807"/>
    <w:rsid w:val="00E779EB"/>
    <w:rsid w:val="00E77B3C"/>
    <w:rsid w:val="00E77FBE"/>
    <w:rsid w:val="00E80070"/>
    <w:rsid w:val="00E8028E"/>
    <w:rsid w:val="00E8033E"/>
    <w:rsid w:val="00E80435"/>
    <w:rsid w:val="00E8085F"/>
    <w:rsid w:val="00E80A5E"/>
    <w:rsid w:val="00E80E1C"/>
    <w:rsid w:val="00E81135"/>
    <w:rsid w:val="00E817BC"/>
    <w:rsid w:val="00E8186D"/>
    <w:rsid w:val="00E82230"/>
    <w:rsid w:val="00E82C74"/>
    <w:rsid w:val="00E82FC3"/>
    <w:rsid w:val="00E83029"/>
    <w:rsid w:val="00E83237"/>
    <w:rsid w:val="00E8324B"/>
    <w:rsid w:val="00E833F7"/>
    <w:rsid w:val="00E834F4"/>
    <w:rsid w:val="00E838E5"/>
    <w:rsid w:val="00E839E9"/>
    <w:rsid w:val="00E83B09"/>
    <w:rsid w:val="00E83BDF"/>
    <w:rsid w:val="00E8401B"/>
    <w:rsid w:val="00E840A9"/>
    <w:rsid w:val="00E840C2"/>
    <w:rsid w:val="00E84122"/>
    <w:rsid w:val="00E8425F"/>
    <w:rsid w:val="00E842CC"/>
    <w:rsid w:val="00E842DF"/>
    <w:rsid w:val="00E84503"/>
    <w:rsid w:val="00E845BE"/>
    <w:rsid w:val="00E84678"/>
    <w:rsid w:val="00E8483A"/>
    <w:rsid w:val="00E84A8E"/>
    <w:rsid w:val="00E84AF4"/>
    <w:rsid w:val="00E84BEB"/>
    <w:rsid w:val="00E84C0C"/>
    <w:rsid w:val="00E851EF"/>
    <w:rsid w:val="00E8526B"/>
    <w:rsid w:val="00E85343"/>
    <w:rsid w:val="00E854AE"/>
    <w:rsid w:val="00E85557"/>
    <w:rsid w:val="00E85894"/>
    <w:rsid w:val="00E85B99"/>
    <w:rsid w:val="00E86B7A"/>
    <w:rsid w:val="00E86EC2"/>
    <w:rsid w:val="00E8716F"/>
    <w:rsid w:val="00E87234"/>
    <w:rsid w:val="00E873E2"/>
    <w:rsid w:val="00E87717"/>
    <w:rsid w:val="00E8797D"/>
    <w:rsid w:val="00E879FF"/>
    <w:rsid w:val="00E87A1D"/>
    <w:rsid w:val="00E87E6E"/>
    <w:rsid w:val="00E90117"/>
    <w:rsid w:val="00E9046C"/>
    <w:rsid w:val="00E905DE"/>
    <w:rsid w:val="00E9061C"/>
    <w:rsid w:val="00E9094A"/>
    <w:rsid w:val="00E90951"/>
    <w:rsid w:val="00E9097A"/>
    <w:rsid w:val="00E90D84"/>
    <w:rsid w:val="00E910EE"/>
    <w:rsid w:val="00E91686"/>
    <w:rsid w:val="00E919C4"/>
    <w:rsid w:val="00E91B41"/>
    <w:rsid w:val="00E91D35"/>
    <w:rsid w:val="00E91DC7"/>
    <w:rsid w:val="00E91EB2"/>
    <w:rsid w:val="00E91F1D"/>
    <w:rsid w:val="00E920BF"/>
    <w:rsid w:val="00E92613"/>
    <w:rsid w:val="00E926A5"/>
    <w:rsid w:val="00E9286F"/>
    <w:rsid w:val="00E92963"/>
    <w:rsid w:val="00E931D5"/>
    <w:rsid w:val="00E9369B"/>
    <w:rsid w:val="00E93707"/>
    <w:rsid w:val="00E93DD9"/>
    <w:rsid w:val="00E940AC"/>
    <w:rsid w:val="00E946B1"/>
    <w:rsid w:val="00E9497E"/>
    <w:rsid w:val="00E94AA3"/>
    <w:rsid w:val="00E94EE5"/>
    <w:rsid w:val="00E95490"/>
    <w:rsid w:val="00E9594C"/>
    <w:rsid w:val="00E95AF4"/>
    <w:rsid w:val="00E95F3E"/>
    <w:rsid w:val="00E96253"/>
    <w:rsid w:val="00E96299"/>
    <w:rsid w:val="00E962A0"/>
    <w:rsid w:val="00E96C1B"/>
    <w:rsid w:val="00E96C48"/>
    <w:rsid w:val="00E96CAB"/>
    <w:rsid w:val="00E97081"/>
    <w:rsid w:val="00E97286"/>
    <w:rsid w:val="00E9768D"/>
    <w:rsid w:val="00E97A58"/>
    <w:rsid w:val="00EA0123"/>
    <w:rsid w:val="00EA0250"/>
    <w:rsid w:val="00EA02E3"/>
    <w:rsid w:val="00EA03E5"/>
    <w:rsid w:val="00EA054C"/>
    <w:rsid w:val="00EA05F8"/>
    <w:rsid w:val="00EA0A6A"/>
    <w:rsid w:val="00EA0CBC"/>
    <w:rsid w:val="00EA0D5C"/>
    <w:rsid w:val="00EA0EAA"/>
    <w:rsid w:val="00EA0FAC"/>
    <w:rsid w:val="00EA1078"/>
    <w:rsid w:val="00EA116D"/>
    <w:rsid w:val="00EA11A2"/>
    <w:rsid w:val="00EA148D"/>
    <w:rsid w:val="00EA17C3"/>
    <w:rsid w:val="00EA1843"/>
    <w:rsid w:val="00EA194C"/>
    <w:rsid w:val="00EA1FF8"/>
    <w:rsid w:val="00EA20E9"/>
    <w:rsid w:val="00EA2A5A"/>
    <w:rsid w:val="00EA2CAA"/>
    <w:rsid w:val="00EA3171"/>
    <w:rsid w:val="00EA3294"/>
    <w:rsid w:val="00EA35B5"/>
    <w:rsid w:val="00EA3864"/>
    <w:rsid w:val="00EA3888"/>
    <w:rsid w:val="00EA3BC0"/>
    <w:rsid w:val="00EA3C4B"/>
    <w:rsid w:val="00EA3FAA"/>
    <w:rsid w:val="00EA40DB"/>
    <w:rsid w:val="00EA41EF"/>
    <w:rsid w:val="00EA424A"/>
    <w:rsid w:val="00EA4505"/>
    <w:rsid w:val="00EA45BC"/>
    <w:rsid w:val="00EA46C0"/>
    <w:rsid w:val="00EA4868"/>
    <w:rsid w:val="00EA4CF2"/>
    <w:rsid w:val="00EA4EDA"/>
    <w:rsid w:val="00EA50CD"/>
    <w:rsid w:val="00EA565D"/>
    <w:rsid w:val="00EA5693"/>
    <w:rsid w:val="00EA5E66"/>
    <w:rsid w:val="00EA5E8D"/>
    <w:rsid w:val="00EA5EE0"/>
    <w:rsid w:val="00EA603E"/>
    <w:rsid w:val="00EA645F"/>
    <w:rsid w:val="00EA69D2"/>
    <w:rsid w:val="00EA6B30"/>
    <w:rsid w:val="00EA709F"/>
    <w:rsid w:val="00EA70B3"/>
    <w:rsid w:val="00EA7203"/>
    <w:rsid w:val="00EA7638"/>
    <w:rsid w:val="00EA7D75"/>
    <w:rsid w:val="00EA7F1C"/>
    <w:rsid w:val="00EB021F"/>
    <w:rsid w:val="00EB0980"/>
    <w:rsid w:val="00EB0A41"/>
    <w:rsid w:val="00EB0A4A"/>
    <w:rsid w:val="00EB0CFB"/>
    <w:rsid w:val="00EB0F20"/>
    <w:rsid w:val="00EB1504"/>
    <w:rsid w:val="00EB15B6"/>
    <w:rsid w:val="00EB17F6"/>
    <w:rsid w:val="00EB1874"/>
    <w:rsid w:val="00EB1A5E"/>
    <w:rsid w:val="00EB1B57"/>
    <w:rsid w:val="00EB1B8B"/>
    <w:rsid w:val="00EB1D4B"/>
    <w:rsid w:val="00EB1EC3"/>
    <w:rsid w:val="00EB1F01"/>
    <w:rsid w:val="00EB2523"/>
    <w:rsid w:val="00EB328C"/>
    <w:rsid w:val="00EB34FC"/>
    <w:rsid w:val="00EB3606"/>
    <w:rsid w:val="00EB3993"/>
    <w:rsid w:val="00EB3D06"/>
    <w:rsid w:val="00EB3DDC"/>
    <w:rsid w:val="00EB3F37"/>
    <w:rsid w:val="00EB4447"/>
    <w:rsid w:val="00EB4466"/>
    <w:rsid w:val="00EB455C"/>
    <w:rsid w:val="00EB45F6"/>
    <w:rsid w:val="00EB4863"/>
    <w:rsid w:val="00EB48E6"/>
    <w:rsid w:val="00EB4916"/>
    <w:rsid w:val="00EB509D"/>
    <w:rsid w:val="00EB5891"/>
    <w:rsid w:val="00EB59C6"/>
    <w:rsid w:val="00EB5AEE"/>
    <w:rsid w:val="00EB5B0F"/>
    <w:rsid w:val="00EB627E"/>
    <w:rsid w:val="00EB66E4"/>
    <w:rsid w:val="00EB6706"/>
    <w:rsid w:val="00EB6A19"/>
    <w:rsid w:val="00EB6BE3"/>
    <w:rsid w:val="00EB70BA"/>
    <w:rsid w:val="00EB71C2"/>
    <w:rsid w:val="00EB71F4"/>
    <w:rsid w:val="00EB7283"/>
    <w:rsid w:val="00EB7681"/>
    <w:rsid w:val="00EB7A24"/>
    <w:rsid w:val="00EB7C58"/>
    <w:rsid w:val="00EB7CD2"/>
    <w:rsid w:val="00EB7E1C"/>
    <w:rsid w:val="00EC00C9"/>
    <w:rsid w:val="00EC0560"/>
    <w:rsid w:val="00EC0774"/>
    <w:rsid w:val="00EC0A28"/>
    <w:rsid w:val="00EC0C96"/>
    <w:rsid w:val="00EC0DD9"/>
    <w:rsid w:val="00EC0EB8"/>
    <w:rsid w:val="00EC0F71"/>
    <w:rsid w:val="00EC1732"/>
    <w:rsid w:val="00EC189D"/>
    <w:rsid w:val="00EC1FD0"/>
    <w:rsid w:val="00EC2134"/>
    <w:rsid w:val="00EC2238"/>
    <w:rsid w:val="00EC2239"/>
    <w:rsid w:val="00EC2256"/>
    <w:rsid w:val="00EC2304"/>
    <w:rsid w:val="00EC24DD"/>
    <w:rsid w:val="00EC2649"/>
    <w:rsid w:val="00EC269B"/>
    <w:rsid w:val="00EC2CF1"/>
    <w:rsid w:val="00EC31ED"/>
    <w:rsid w:val="00EC3619"/>
    <w:rsid w:val="00EC37A5"/>
    <w:rsid w:val="00EC385C"/>
    <w:rsid w:val="00EC3CAC"/>
    <w:rsid w:val="00EC3F9D"/>
    <w:rsid w:val="00EC42C2"/>
    <w:rsid w:val="00EC4476"/>
    <w:rsid w:val="00EC458E"/>
    <w:rsid w:val="00EC46BA"/>
    <w:rsid w:val="00EC47E6"/>
    <w:rsid w:val="00EC4F34"/>
    <w:rsid w:val="00EC5271"/>
    <w:rsid w:val="00EC55B6"/>
    <w:rsid w:val="00EC57A2"/>
    <w:rsid w:val="00EC5836"/>
    <w:rsid w:val="00EC5F50"/>
    <w:rsid w:val="00EC60CB"/>
    <w:rsid w:val="00EC61E6"/>
    <w:rsid w:val="00EC6304"/>
    <w:rsid w:val="00EC641B"/>
    <w:rsid w:val="00EC6498"/>
    <w:rsid w:val="00EC653A"/>
    <w:rsid w:val="00EC688C"/>
    <w:rsid w:val="00EC6AAE"/>
    <w:rsid w:val="00EC6B9A"/>
    <w:rsid w:val="00EC6DF6"/>
    <w:rsid w:val="00EC79E0"/>
    <w:rsid w:val="00EC7BB4"/>
    <w:rsid w:val="00EC7CAF"/>
    <w:rsid w:val="00ED013C"/>
    <w:rsid w:val="00ED01CD"/>
    <w:rsid w:val="00ED069A"/>
    <w:rsid w:val="00ED0B14"/>
    <w:rsid w:val="00ED0DBF"/>
    <w:rsid w:val="00ED0E47"/>
    <w:rsid w:val="00ED109B"/>
    <w:rsid w:val="00ED1511"/>
    <w:rsid w:val="00ED1C06"/>
    <w:rsid w:val="00ED1C5E"/>
    <w:rsid w:val="00ED1DDE"/>
    <w:rsid w:val="00ED1EA7"/>
    <w:rsid w:val="00ED2357"/>
    <w:rsid w:val="00ED2985"/>
    <w:rsid w:val="00ED2B1A"/>
    <w:rsid w:val="00ED3ACD"/>
    <w:rsid w:val="00ED3DE9"/>
    <w:rsid w:val="00ED3E99"/>
    <w:rsid w:val="00ED3F7A"/>
    <w:rsid w:val="00ED425C"/>
    <w:rsid w:val="00ED50EB"/>
    <w:rsid w:val="00ED519D"/>
    <w:rsid w:val="00ED51E7"/>
    <w:rsid w:val="00ED5580"/>
    <w:rsid w:val="00ED5743"/>
    <w:rsid w:val="00ED57EA"/>
    <w:rsid w:val="00ED5BD4"/>
    <w:rsid w:val="00ED5F49"/>
    <w:rsid w:val="00ED62E6"/>
    <w:rsid w:val="00ED6709"/>
    <w:rsid w:val="00ED6DEC"/>
    <w:rsid w:val="00ED70FD"/>
    <w:rsid w:val="00ED73DC"/>
    <w:rsid w:val="00ED73EE"/>
    <w:rsid w:val="00ED7560"/>
    <w:rsid w:val="00ED7628"/>
    <w:rsid w:val="00ED7760"/>
    <w:rsid w:val="00ED7A00"/>
    <w:rsid w:val="00ED7E17"/>
    <w:rsid w:val="00ED7E1C"/>
    <w:rsid w:val="00EE0189"/>
    <w:rsid w:val="00EE033D"/>
    <w:rsid w:val="00EE03B3"/>
    <w:rsid w:val="00EE05FA"/>
    <w:rsid w:val="00EE07D3"/>
    <w:rsid w:val="00EE081D"/>
    <w:rsid w:val="00EE08E2"/>
    <w:rsid w:val="00EE0C1A"/>
    <w:rsid w:val="00EE0C61"/>
    <w:rsid w:val="00EE0D60"/>
    <w:rsid w:val="00EE0E09"/>
    <w:rsid w:val="00EE0EEC"/>
    <w:rsid w:val="00EE14D5"/>
    <w:rsid w:val="00EE1542"/>
    <w:rsid w:val="00EE15A8"/>
    <w:rsid w:val="00EE1712"/>
    <w:rsid w:val="00EE1996"/>
    <w:rsid w:val="00EE1B65"/>
    <w:rsid w:val="00EE1BD1"/>
    <w:rsid w:val="00EE1C01"/>
    <w:rsid w:val="00EE1E0D"/>
    <w:rsid w:val="00EE1EB6"/>
    <w:rsid w:val="00EE201C"/>
    <w:rsid w:val="00EE228A"/>
    <w:rsid w:val="00EE22AF"/>
    <w:rsid w:val="00EE234E"/>
    <w:rsid w:val="00EE26F3"/>
    <w:rsid w:val="00EE2C74"/>
    <w:rsid w:val="00EE30BB"/>
    <w:rsid w:val="00EE31C2"/>
    <w:rsid w:val="00EE3748"/>
    <w:rsid w:val="00EE37C2"/>
    <w:rsid w:val="00EE3832"/>
    <w:rsid w:val="00EE41EE"/>
    <w:rsid w:val="00EE450C"/>
    <w:rsid w:val="00EE458F"/>
    <w:rsid w:val="00EE4AB8"/>
    <w:rsid w:val="00EE510A"/>
    <w:rsid w:val="00EE5321"/>
    <w:rsid w:val="00EE54CA"/>
    <w:rsid w:val="00EE5566"/>
    <w:rsid w:val="00EE560E"/>
    <w:rsid w:val="00EE57E8"/>
    <w:rsid w:val="00EE5AC2"/>
    <w:rsid w:val="00EE5F14"/>
    <w:rsid w:val="00EE5F29"/>
    <w:rsid w:val="00EE5F59"/>
    <w:rsid w:val="00EE623B"/>
    <w:rsid w:val="00EE65C8"/>
    <w:rsid w:val="00EE66DA"/>
    <w:rsid w:val="00EE67CA"/>
    <w:rsid w:val="00EE6E25"/>
    <w:rsid w:val="00EE7676"/>
    <w:rsid w:val="00EE7BC7"/>
    <w:rsid w:val="00EE7D18"/>
    <w:rsid w:val="00EF005E"/>
    <w:rsid w:val="00EF0171"/>
    <w:rsid w:val="00EF02DC"/>
    <w:rsid w:val="00EF0452"/>
    <w:rsid w:val="00EF05AB"/>
    <w:rsid w:val="00EF05ED"/>
    <w:rsid w:val="00EF0635"/>
    <w:rsid w:val="00EF073A"/>
    <w:rsid w:val="00EF0765"/>
    <w:rsid w:val="00EF09D0"/>
    <w:rsid w:val="00EF09E8"/>
    <w:rsid w:val="00EF09F8"/>
    <w:rsid w:val="00EF0A8E"/>
    <w:rsid w:val="00EF107F"/>
    <w:rsid w:val="00EF10D5"/>
    <w:rsid w:val="00EF1670"/>
    <w:rsid w:val="00EF1825"/>
    <w:rsid w:val="00EF1845"/>
    <w:rsid w:val="00EF1975"/>
    <w:rsid w:val="00EF1B25"/>
    <w:rsid w:val="00EF1DA0"/>
    <w:rsid w:val="00EF25A7"/>
    <w:rsid w:val="00EF27C2"/>
    <w:rsid w:val="00EF28C1"/>
    <w:rsid w:val="00EF2984"/>
    <w:rsid w:val="00EF2B2C"/>
    <w:rsid w:val="00EF3399"/>
    <w:rsid w:val="00EF3412"/>
    <w:rsid w:val="00EF364C"/>
    <w:rsid w:val="00EF3AF6"/>
    <w:rsid w:val="00EF3CDF"/>
    <w:rsid w:val="00EF3E3C"/>
    <w:rsid w:val="00EF4747"/>
    <w:rsid w:val="00EF4778"/>
    <w:rsid w:val="00EF4BF8"/>
    <w:rsid w:val="00EF4DD3"/>
    <w:rsid w:val="00EF5007"/>
    <w:rsid w:val="00EF5019"/>
    <w:rsid w:val="00EF56C9"/>
    <w:rsid w:val="00EF5A52"/>
    <w:rsid w:val="00EF5C55"/>
    <w:rsid w:val="00EF5F64"/>
    <w:rsid w:val="00EF62BD"/>
    <w:rsid w:val="00EF630F"/>
    <w:rsid w:val="00EF6336"/>
    <w:rsid w:val="00EF6383"/>
    <w:rsid w:val="00EF6454"/>
    <w:rsid w:val="00EF6C53"/>
    <w:rsid w:val="00EF7289"/>
    <w:rsid w:val="00EF7428"/>
    <w:rsid w:val="00EF74D9"/>
    <w:rsid w:val="00EF76BB"/>
    <w:rsid w:val="00EF7755"/>
    <w:rsid w:val="00EF79CA"/>
    <w:rsid w:val="00EF7BC3"/>
    <w:rsid w:val="00EF7F87"/>
    <w:rsid w:val="00F001E3"/>
    <w:rsid w:val="00F00420"/>
    <w:rsid w:val="00F0051F"/>
    <w:rsid w:val="00F00661"/>
    <w:rsid w:val="00F006CF"/>
    <w:rsid w:val="00F00ABD"/>
    <w:rsid w:val="00F01352"/>
    <w:rsid w:val="00F01A0B"/>
    <w:rsid w:val="00F01A31"/>
    <w:rsid w:val="00F01D39"/>
    <w:rsid w:val="00F02253"/>
    <w:rsid w:val="00F02288"/>
    <w:rsid w:val="00F02948"/>
    <w:rsid w:val="00F02A33"/>
    <w:rsid w:val="00F02B0B"/>
    <w:rsid w:val="00F02CCA"/>
    <w:rsid w:val="00F02EF9"/>
    <w:rsid w:val="00F02F3D"/>
    <w:rsid w:val="00F02FF5"/>
    <w:rsid w:val="00F0306F"/>
    <w:rsid w:val="00F0350D"/>
    <w:rsid w:val="00F035A5"/>
    <w:rsid w:val="00F0378F"/>
    <w:rsid w:val="00F039CC"/>
    <w:rsid w:val="00F03ABF"/>
    <w:rsid w:val="00F03C2E"/>
    <w:rsid w:val="00F03D4F"/>
    <w:rsid w:val="00F03D6A"/>
    <w:rsid w:val="00F041FE"/>
    <w:rsid w:val="00F042D0"/>
    <w:rsid w:val="00F043A9"/>
    <w:rsid w:val="00F045D6"/>
    <w:rsid w:val="00F045FF"/>
    <w:rsid w:val="00F04629"/>
    <w:rsid w:val="00F04A3C"/>
    <w:rsid w:val="00F04A66"/>
    <w:rsid w:val="00F04B4B"/>
    <w:rsid w:val="00F04F5C"/>
    <w:rsid w:val="00F04F94"/>
    <w:rsid w:val="00F050E6"/>
    <w:rsid w:val="00F0516C"/>
    <w:rsid w:val="00F05B29"/>
    <w:rsid w:val="00F05C1D"/>
    <w:rsid w:val="00F06159"/>
    <w:rsid w:val="00F0640B"/>
    <w:rsid w:val="00F0654C"/>
    <w:rsid w:val="00F0662B"/>
    <w:rsid w:val="00F067A2"/>
    <w:rsid w:val="00F0684C"/>
    <w:rsid w:val="00F069F6"/>
    <w:rsid w:val="00F06ADD"/>
    <w:rsid w:val="00F06DBD"/>
    <w:rsid w:val="00F070CF"/>
    <w:rsid w:val="00F073D5"/>
    <w:rsid w:val="00F075A4"/>
    <w:rsid w:val="00F076FA"/>
    <w:rsid w:val="00F07B93"/>
    <w:rsid w:val="00F07B9E"/>
    <w:rsid w:val="00F07BB3"/>
    <w:rsid w:val="00F07F59"/>
    <w:rsid w:val="00F1028E"/>
    <w:rsid w:val="00F102BE"/>
    <w:rsid w:val="00F1053C"/>
    <w:rsid w:val="00F1058F"/>
    <w:rsid w:val="00F10B26"/>
    <w:rsid w:val="00F10DE5"/>
    <w:rsid w:val="00F1100F"/>
    <w:rsid w:val="00F110EA"/>
    <w:rsid w:val="00F1116F"/>
    <w:rsid w:val="00F1144C"/>
    <w:rsid w:val="00F11590"/>
    <w:rsid w:val="00F115EA"/>
    <w:rsid w:val="00F11602"/>
    <w:rsid w:val="00F116EA"/>
    <w:rsid w:val="00F11862"/>
    <w:rsid w:val="00F119BD"/>
    <w:rsid w:val="00F11AB1"/>
    <w:rsid w:val="00F11DED"/>
    <w:rsid w:val="00F11F36"/>
    <w:rsid w:val="00F123E1"/>
    <w:rsid w:val="00F12405"/>
    <w:rsid w:val="00F12489"/>
    <w:rsid w:val="00F124B0"/>
    <w:rsid w:val="00F1263A"/>
    <w:rsid w:val="00F126A7"/>
    <w:rsid w:val="00F1280D"/>
    <w:rsid w:val="00F12920"/>
    <w:rsid w:val="00F129A0"/>
    <w:rsid w:val="00F12B11"/>
    <w:rsid w:val="00F133E8"/>
    <w:rsid w:val="00F13CE2"/>
    <w:rsid w:val="00F13E7C"/>
    <w:rsid w:val="00F1428D"/>
    <w:rsid w:val="00F14657"/>
    <w:rsid w:val="00F148C9"/>
    <w:rsid w:val="00F149FD"/>
    <w:rsid w:val="00F14C24"/>
    <w:rsid w:val="00F14F5A"/>
    <w:rsid w:val="00F150A3"/>
    <w:rsid w:val="00F15141"/>
    <w:rsid w:val="00F15675"/>
    <w:rsid w:val="00F15B77"/>
    <w:rsid w:val="00F15E4F"/>
    <w:rsid w:val="00F15F00"/>
    <w:rsid w:val="00F16296"/>
    <w:rsid w:val="00F1657F"/>
    <w:rsid w:val="00F16F03"/>
    <w:rsid w:val="00F16FA3"/>
    <w:rsid w:val="00F16FC7"/>
    <w:rsid w:val="00F1711E"/>
    <w:rsid w:val="00F171A5"/>
    <w:rsid w:val="00F175A1"/>
    <w:rsid w:val="00F176BB"/>
    <w:rsid w:val="00F177E5"/>
    <w:rsid w:val="00F17D04"/>
    <w:rsid w:val="00F2002B"/>
    <w:rsid w:val="00F2012E"/>
    <w:rsid w:val="00F20294"/>
    <w:rsid w:val="00F20481"/>
    <w:rsid w:val="00F205AE"/>
    <w:rsid w:val="00F206B0"/>
    <w:rsid w:val="00F207BA"/>
    <w:rsid w:val="00F208D3"/>
    <w:rsid w:val="00F20ABE"/>
    <w:rsid w:val="00F20F7C"/>
    <w:rsid w:val="00F211EA"/>
    <w:rsid w:val="00F21217"/>
    <w:rsid w:val="00F21659"/>
    <w:rsid w:val="00F2177D"/>
    <w:rsid w:val="00F21894"/>
    <w:rsid w:val="00F21A89"/>
    <w:rsid w:val="00F21CF3"/>
    <w:rsid w:val="00F21EFC"/>
    <w:rsid w:val="00F21F17"/>
    <w:rsid w:val="00F22089"/>
    <w:rsid w:val="00F220D0"/>
    <w:rsid w:val="00F22301"/>
    <w:rsid w:val="00F22640"/>
    <w:rsid w:val="00F226CC"/>
    <w:rsid w:val="00F228F8"/>
    <w:rsid w:val="00F22907"/>
    <w:rsid w:val="00F22CDF"/>
    <w:rsid w:val="00F22E41"/>
    <w:rsid w:val="00F22F7B"/>
    <w:rsid w:val="00F23062"/>
    <w:rsid w:val="00F23267"/>
    <w:rsid w:val="00F238E2"/>
    <w:rsid w:val="00F239AD"/>
    <w:rsid w:val="00F23A74"/>
    <w:rsid w:val="00F23AB3"/>
    <w:rsid w:val="00F23C16"/>
    <w:rsid w:val="00F2401B"/>
    <w:rsid w:val="00F240F4"/>
    <w:rsid w:val="00F2410C"/>
    <w:rsid w:val="00F24837"/>
    <w:rsid w:val="00F251E8"/>
    <w:rsid w:val="00F25203"/>
    <w:rsid w:val="00F2575F"/>
    <w:rsid w:val="00F25BFE"/>
    <w:rsid w:val="00F25CA5"/>
    <w:rsid w:val="00F268C6"/>
    <w:rsid w:val="00F26A7F"/>
    <w:rsid w:val="00F26BB8"/>
    <w:rsid w:val="00F26D08"/>
    <w:rsid w:val="00F26D7B"/>
    <w:rsid w:val="00F27071"/>
    <w:rsid w:val="00F27220"/>
    <w:rsid w:val="00F2728D"/>
    <w:rsid w:val="00F27344"/>
    <w:rsid w:val="00F27565"/>
    <w:rsid w:val="00F27571"/>
    <w:rsid w:val="00F27AC0"/>
    <w:rsid w:val="00F27DFB"/>
    <w:rsid w:val="00F27E3F"/>
    <w:rsid w:val="00F27F19"/>
    <w:rsid w:val="00F300AF"/>
    <w:rsid w:val="00F305AB"/>
    <w:rsid w:val="00F305BE"/>
    <w:rsid w:val="00F305C3"/>
    <w:rsid w:val="00F30636"/>
    <w:rsid w:val="00F306DD"/>
    <w:rsid w:val="00F30862"/>
    <w:rsid w:val="00F30E07"/>
    <w:rsid w:val="00F310D4"/>
    <w:rsid w:val="00F311F6"/>
    <w:rsid w:val="00F31B71"/>
    <w:rsid w:val="00F31D5A"/>
    <w:rsid w:val="00F31F78"/>
    <w:rsid w:val="00F3222C"/>
    <w:rsid w:val="00F3233B"/>
    <w:rsid w:val="00F325BB"/>
    <w:rsid w:val="00F32A63"/>
    <w:rsid w:val="00F32A67"/>
    <w:rsid w:val="00F32AEA"/>
    <w:rsid w:val="00F33656"/>
    <w:rsid w:val="00F3378C"/>
    <w:rsid w:val="00F33975"/>
    <w:rsid w:val="00F33B27"/>
    <w:rsid w:val="00F33DC1"/>
    <w:rsid w:val="00F33DE9"/>
    <w:rsid w:val="00F33F0E"/>
    <w:rsid w:val="00F33F6D"/>
    <w:rsid w:val="00F34137"/>
    <w:rsid w:val="00F343BF"/>
    <w:rsid w:val="00F3479B"/>
    <w:rsid w:val="00F34E15"/>
    <w:rsid w:val="00F34F31"/>
    <w:rsid w:val="00F3560E"/>
    <w:rsid w:val="00F35692"/>
    <w:rsid w:val="00F3583A"/>
    <w:rsid w:val="00F35C0E"/>
    <w:rsid w:val="00F35E6D"/>
    <w:rsid w:val="00F35EDB"/>
    <w:rsid w:val="00F3619A"/>
    <w:rsid w:val="00F361A8"/>
    <w:rsid w:val="00F3662C"/>
    <w:rsid w:val="00F36A04"/>
    <w:rsid w:val="00F36D1B"/>
    <w:rsid w:val="00F3712E"/>
    <w:rsid w:val="00F37209"/>
    <w:rsid w:val="00F373C0"/>
    <w:rsid w:val="00F374BC"/>
    <w:rsid w:val="00F3789E"/>
    <w:rsid w:val="00F3790C"/>
    <w:rsid w:val="00F37A62"/>
    <w:rsid w:val="00F37E09"/>
    <w:rsid w:val="00F37F10"/>
    <w:rsid w:val="00F40119"/>
    <w:rsid w:val="00F402DE"/>
    <w:rsid w:val="00F4031A"/>
    <w:rsid w:val="00F40374"/>
    <w:rsid w:val="00F40640"/>
    <w:rsid w:val="00F40AAA"/>
    <w:rsid w:val="00F40B85"/>
    <w:rsid w:val="00F40BA7"/>
    <w:rsid w:val="00F40ED1"/>
    <w:rsid w:val="00F40F9D"/>
    <w:rsid w:val="00F41205"/>
    <w:rsid w:val="00F4182F"/>
    <w:rsid w:val="00F41A1D"/>
    <w:rsid w:val="00F41ACD"/>
    <w:rsid w:val="00F4274F"/>
    <w:rsid w:val="00F42AB6"/>
    <w:rsid w:val="00F42DA9"/>
    <w:rsid w:val="00F4309B"/>
    <w:rsid w:val="00F431AF"/>
    <w:rsid w:val="00F43456"/>
    <w:rsid w:val="00F440F0"/>
    <w:rsid w:val="00F44293"/>
    <w:rsid w:val="00F4450D"/>
    <w:rsid w:val="00F44B31"/>
    <w:rsid w:val="00F44D3A"/>
    <w:rsid w:val="00F44F7B"/>
    <w:rsid w:val="00F451FE"/>
    <w:rsid w:val="00F45979"/>
    <w:rsid w:val="00F45CC4"/>
    <w:rsid w:val="00F45F40"/>
    <w:rsid w:val="00F463DB"/>
    <w:rsid w:val="00F46560"/>
    <w:rsid w:val="00F4676A"/>
    <w:rsid w:val="00F46917"/>
    <w:rsid w:val="00F46CB6"/>
    <w:rsid w:val="00F4732E"/>
    <w:rsid w:val="00F4734E"/>
    <w:rsid w:val="00F474CC"/>
    <w:rsid w:val="00F4756D"/>
    <w:rsid w:val="00F47597"/>
    <w:rsid w:val="00F47704"/>
    <w:rsid w:val="00F479CE"/>
    <w:rsid w:val="00F47C74"/>
    <w:rsid w:val="00F47DE8"/>
    <w:rsid w:val="00F47EE4"/>
    <w:rsid w:val="00F47F9B"/>
    <w:rsid w:val="00F47FD8"/>
    <w:rsid w:val="00F50768"/>
    <w:rsid w:val="00F508B5"/>
    <w:rsid w:val="00F50D1D"/>
    <w:rsid w:val="00F50FD0"/>
    <w:rsid w:val="00F51131"/>
    <w:rsid w:val="00F51177"/>
    <w:rsid w:val="00F51553"/>
    <w:rsid w:val="00F519A1"/>
    <w:rsid w:val="00F51D9D"/>
    <w:rsid w:val="00F51E19"/>
    <w:rsid w:val="00F52168"/>
    <w:rsid w:val="00F52807"/>
    <w:rsid w:val="00F52954"/>
    <w:rsid w:val="00F52A21"/>
    <w:rsid w:val="00F52A32"/>
    <w:rsid w:val="00F52B83"/>
    <w:rsid w:val="00F52F70"/>
    <w:rsid w:val="00F530D7"/>
    <w:rsid w:val="00F531A2"/>
    <w:rsid w:val="00F5320F"/>
    <w:rsid w:val="00F536FD"/>
    <w:rsid w:val="00F53880"/>
    <w:rsid w:val="00F538EE"/>
    <w:rsid w:val="00F53A4D"/>
    <w:rsid w:val="00F53F3E"/>
    <w:rsid w:val="00F54281"/>
    <w:rsid w:val="00F542C1"/>
    <w:rsid w:val="00F543A0"/>
    <w:rsid w:val="00F547FC"/>
    <w:rsid w:val="00F54D56"/>
    <w:rsid w:val="00F54D81"/>
    <w:rsid w:val="00F55179"/>
    <w:rsid w:val="00F558EE"/>
    <w:rsid w:val="00F55C9D"/>
    <w:rsid w:val="00F55D02"/>
    <w:rsid w:val="00F55E73"/>
    <w:rsid w:val="00F55EDA"/>
    <w:rsid w:val="00F55F3C"/>
    <w:rsid w:val="00F56245"/>
    <w:rsid w:val="00F562B6"/>
    <w:rsid w:val="00F562F6"/>
    <w:rsid w:val="00F564EC"/>
    <w:rsid w:val="00F5659B"/>
    <w:rsid w:val="00F56C80"/>
    <w:rsid w:val="00F56D89"/>
    <w:rsid w:val="00F56EE4"/>
    <w:rsid w:val="00F57062"/>
    <w:rsid w:val="00F5716C"/>
    <w:rsid w:val="00F57301"/>
    <w:rsid w:val="00F57491"/>
    <w:rsid w:val="00F574DD"/>
    <w:rsid w:val="00F5760D"/>
    <w:rsid w:val="00F57723"/>
    <w:rsid w:val="00F578D7"/>
    <w:rsid w:val="00F60092"/>
    <w:rsid w:val="00F603AC"/>
    <w:rsid w:val="00F603DC"/>
    <w:rsid w:val="00F608F7"/>
    <w:rsid w:val="00F60A20"/>
    <w:rsid w:val="00F60A50"/>
    <w:rsid w:val="00F60FB5"/>
    <w:rsid w:val="00F61368"/>
    <w:rsid w:val="00F6144E"/>
    <w:rsid w:val="00F614B2"/>
    <w:rsid w:val="00F6175A"/>
    <w:rsid w:val="00F61C18"/>
    <w:rsid w:val="00F61CB0"/>
    <w:rsid w:val="00F61E9A"/>
    <w:rsid w:val="00F61FA1"/>
    <w:rsid w:val="00F622BF"/>
    <w:rsid w:val="00F624CD"/>
    <w:rsid w:val="00F62940"/>
    <w:rsid w:val="00F62B53"/>
    <w:rsid w:val="00F62BF7"/>
    <w:rsid w:val="00F62EB4"/>
    <w:rsid w:val="00F631B4"/>
    <w:rsid w:val="00F633C5"/>
    <w:rsid w:val="00F63422"/>
    <w:rsid w:val="00F63C14"/>
    <w:rsid w:val="00F63EBF"/>
    <w:rsid w:val="00F64064"/>
    <w:rsid w:val="00F6427C"/>
    <w:rsid w:val="00F642D2"/>
    <w:rsid w:val="00F6440F"/>
    <w:rsid w:val="00F64946"/>
    <w:rsid w:val="00F64D82"/>
    <w:rsid w:val="00F650B8"/>
    <w:rsid w:val="00F65181"/>
    <w:rsid w:val="00F657DC"/>
    <w:rsid w:val="00F6589C"/>
    <w:rsid w:val="00F65F4B"/>
    <w:rsid w:val="00F661D0"/>
    <w:rsid w:val="00F6667D"/>
    <w:rsid w:val="00F669DA"/>
    <w:rsid w:val="00F66AAC"/>
    <w:rsid w:val="00F66B5A"/>
    <w:rsid w:val="00F66D02"/>
    <w:rsid w:val="00F66D9F"/>
    <w:rsid w:val="00F66EA2"/>
    <w:rsid w:val="00F66F7A"/>
    <w:rsid w:val="00F671DD"/>
    <w:rsid w:val="00F67A69"/>
    <w:rsid w:val="00F67C69"/>
    <w:rsid w:val="00F67E6E"/>
    <w:rsid w:val="00F7068D"/>
    <w:rsid w:val="00F709AF"/>
    <w:rsid w:val="00F70BFF"/>
    <w:rsid w:val="00F70C9D"/>
    <w:rsid w:val="00F71601"/>
    <w:rsid w:val="00F71A0A"/>
    <w:rsid w:val="00F71A41"/>
    <w:rsid w:val="00F71BF2"/>
    <w:rsid w:val="00F721FF"/>
    <w:rsid w:val="00F72354"/>
    <w:rsid w:val="00F7269B"/>
    <w:rsid w:val="00F72786"/>
    <w:rsid w:val="00F7279E"/>
    <w:rsid w:val="00F728D3"/>
    <w:rsid w:val="00F72BBC"/>
    <w:rsid w:val="00F72D8E"/>
    <w:rsid w:val="00F73361"/>
    <w:rsid w:val="00F73CE9"/>
    <w:rsid w:val="00F73E77"/>
    <w:rsid w:val="00F73FEF"/>
    <w:rsid w:val="00F74028"/>
    <w:rsid w:val="00F744AC"/>
    <w:rsid w:val="00F74CD9"/>
    <w:rsid w:val="00F74E53"/>
    <w:rsid w:val="00F75187"/>
    <w:rsid w:val="00F75471"/>
    <w:rsid w:val="00F756A8"/>
    <w:rsid w:val="00F75B47"/>
    <w:rsid w:val="00F75BC0"/>
    <w:rsid w:val="00F75E8D"/>
    <w:rsid w:val="00F760CE"/>
    <w:rsid w:val="00F764FD"/>
    <w:rsid w:val="00F765F3"/>
    <w:rsid w:val="00F766A2"/>
    <w:rsid w:val="00F76722"/>
    <w:rsid w:val="00F76A28"/>
    <w:rsid w:val="00F7751A"/>
    <w:rsid w:val="00F77DBD"/>
    <w:rsid w:val="00F80073"/>
    <w:rsid w:val="00F8041F"/>
    <w:rsid w:val="00F809B4"/>
    <w:rsid w:val="00F80A7B"/>
    <w:rsid w:val="00F80CD0"/>
    <w:rsid w:val="00F80E5D"/>
    <w:rsid w:val="00F80FE3"/>
    <w:rsid w:val="00F8101B"/>
    <w:rsid w:val="00F81A29"/>
    <w:rsid w:val="00F81C6C"/>
    <w:rsid w:val="00F81D30"/>
    <w:rsid w:val="00F81E78"/>
    <w:rsid w:val="00F81F46"/>
    <w:rsid w:val="00F81FB7"/>
    <w:rsid w:val="00F820AF"/>
    <w:rsid w:val="00F821B6"/>
    <w:rsid w:val="00F82F88"/>
    <w:rsid w:val="00F8323C"/>
    <w:rsid w:val="00F832B9"/>
    <w:rsid w:val="00F834B6"/>
    <w:rsid w:val="00F8351D"/>
    <w:rsid w:val="00F83CEE"/>
    <w:rsid w:val="00F83F5A"/>
    <w:rsid w:val="00F8409D"/>
    <w:rsid w:val="00F841C0"/>
    <w:rsid w:val="00F84351"/>
    <w:rsid w:val="00F843C6"/>
    <w:rsid w:val="00F84406"/>
    <w:rsid w:val="00F847F5"/>
    <w:rsid w:val="00F850B3"/>
    <w:rsid w:val="00F851CE"/>
    <w:rsid w:val="00F85814"/>
    <w:rsid w:val="00F85A4E"/>
    <w:rsid w:val="00F85F67"/>
    <w:rsid w:val="00F85FA6"/>
    <w:rsid w:val="00F8604E"/>
    <w:rsid w:val="00F861CB"/>
    <w:rsid w:val="00F8685C"/>
    <w:rsid w:val="00F868AF"/>
    <w:rsid w:val="00F86B42"/>
    <w:rsid w:val="00F86C1C"/>
    <w:rsid w:val="00F86F36"/>
    <w:rsid w:val="00F8709F"/>
    <w:rsid w:val="00F8710C"/>
    <w:rsid w:val="00F8761D"/>
    <w:rsid w:val="00F8778E"/>
    <w:rsid w:val="00F878F2"/>
    <w:rsid w:val="00F87ABD"/>
    <w:rsid w:val="00F87C4F"/>
    <w:rsid w:val="00F87D49"/>
    <w:rsid w:val="00F87FE0"/>
    <w:rsid w:val="00F90221"/>
    <w:rsid w:val="00F903FC"/>
    <w:rsid w:val="00F9058F"/>
    <w:rsid w:val="00F9062B"/>
    <w:rsid w:val="00F90929"/>
    <w:rsid w:val="00F909F6"/>
    <w:rsid w:val="00F90ADF"/>
    <w:rsid w:val="00F91219"/>
    <w:rsid w:val="00F9129C"/>
    <w:rsid w:val="00F91326"/>
    <w:rsid w:val="00F91AFF"/>
    <w:rsid w:val="00F91CFA"/>
    <w:rsid w:val="00F91E53"/>
    <w:rsid w:val="00F92444"/>
    <w:rsid w:val="00F9296C"/>
    <w:rsid w:val="00F92C32"/>
    <w:rsid w:val="00F92D51"/>
    <w:rsid w:val="00F92EFA"/>
    <w:rsid w:val="00F930BF"/>
    <w:rsid w:val="00F9332E"/>
    <w:rsid w:val="00F93655"/>
    <w:rsid w:val="00F9393E"/>
    <w:rsid w:val="00F93A3C"/>
    <w:rsid w:val="00F93EBC"/>
    <w:rsid w:val="00F94146"/>
    <w:rsid w:val="00F941AF"/>
    <w:rsid w:val="00F9442C"/>
    <w:rsid w:val="00F944FE"/>
    <w:rsid w:val="00F94B28"/>
    <w:rsid w:val="00F94D19"/>
    <w:rsid w:val="00F94D60"/>
    <w:rsid w:val="00F94EFA"/>
    <w:rsid w:val="00F94FE7"/>
    <w:rsid w:val="00F95547"/>
    <w:rsid w:val="00F95774"/>
    <w:rsid w:val="00F95907"/>
    <w:rsid w:val="00F959AD"/>
    <w:rsid w:val="00F959BC"/>
    <w:rsid w:val="00F95D85"/>
    <w:rsid w:val="00F95E7E"/>
    <w:rsid w:val="00F963ED"/>
    <w:rsid w:val="00F965B5"/>
    <w:rsid w:val="00F965B7"/>
    <w:rsid w:val="00F9690D"/>
    <w:rsid w:val="00F96FD0"/>
    <w:rsid w:val="00F97633"/>
    <w:rsid w:val="00F97A78"/>
    <w:rsid w:val="00F97EF3"/>
    <w:rsid w:val="00FA0462"/>
    <w:rsid w:val="00FA0828"/>
    <w:rsid w:val="00FA08D1"/>
    <w:rsid w:val="00FA0946"/>
    <w:rsid w:val="00FA09E6"/>
    <w:rsid w:val="00FA0A43"/>
    <w:rsid w:val="00FA0B20"/>
    <w:rsid w:val="00FA15F5"/>
    <w:rsid w:val="00FA1766"/>
    <w:rsid w:val="00FA1BA5"/>
    <w:rsid w:val="00FA1CC0"/>
    <w:rsid w:val="00FA1FD0"/>
    <w:rsid w:val="00FA2151"/>
    <w:rsid w:val="00FA2156"/>
    <w:rsid w:val="00FA2287"/>
    <w:rsid w:val="00FA24E7"/>
    <w:rsid w:val="00FA2788"/>
    <w:rsid w:val="00FA2A06"/>
    <w:rsid w:val="00FA2AF7"/>
    <w:rsid w:val="00FA2DFC"/>
    <w:rsid w:val="00FA2E19"/>
    <w:rsid w:val="00FA3104"/>
    <w:rsid w:val="00FA3794"/>
    <w:rsid w:val="00FA3C2C"/>
    <w:rsid w:val="00FA3CBD"/>
    <w:rsid w:val="00FA3F14"/>
    <w:rsid w:val="00FA3F4D"/>
    <w:rsid w:val="00FA4508"/>
    <w:rsid w:val="00FA4639"/>
    <w:rsid w:val="00FA4845"/>
    <w:rsid w:val="00FA4B8E"/>
    <w:rsid w:val="00FA4C39"/>
    <w:rsid w:val="00FA4CBE"/>
    <w:rsid w:val="00FA4ED6"/>
    <w:rsid w:val="00FA50D3"/>
    <w:rsid w:val="00FA591C"/>
    <w:rsid w:val="00FA5E86"/>
    <w:rsid w:val="00FA5EE6"/>
    <w:rsid w:val="00FA6240"/>
    <w:rsid w:val="00FA624F"/>
    <w:rsid w:val="00FA64C3"/>
    <w:rsid w:val="00FA6D0B"/>
    <w:rsid w:val="00FA7537"/>
    <w:rsid w:val="00FA7736"/>
    <w:rsid w:val="00FA7738"/>
    <w:rsid w:val="00FA7956"/>
    <w:rsid w:val="00FA79BD"/>
    <w:rsid w:val="00FA7BCF"/>
    <w:rsid w:val="00FB0432"/>
    <w:rsid w:val="00FB0496"/>
    <w:rsid w:val="00FB084C"/>
    <w:rsid w:val="00FB097A"/>
    <w:rsid w:val="00FB0A10"/>
    <w:rsid w:val="00FB0C35"/>
    <w:rsid w:val="00FB0D23"/>
    <w:rsid w:val="00FB0F02"/>
    <w:rsid w:val="00FB0FD1"/>
    <w:rsid w:val="00FB16CE"/>
    <w:rsid w:val="00FB17BE"/>
    <w:rsid w:val="00FB1BD3"/>
    <w:rsid w:val="00FB1CC0"/>
    <w:rsid w:val="00FB23DE"/>
    <w:rsid w:val="00FB2649"/>
    <w:rsid w:val="00FB2677"/>
    <w:rsid w:val="00FB27C6"/>
    <w:rsid w:val="00FB2A5B"/>
    <w:rsid w:val="00FB2B49"/>
    <w:rsid w:val="00FB2BD6"/>
    <w:rsid w:val="00FB2C9B"/>
    <w:rsid w:val="00FB2CA2"/>
    <w:rsid w:val="00FB2FCB"/>
    <w:rsid w:val="00FB301F"/>
    <w:rsid w:val="00FB35C7"/>
    <w:rsid w:val="00FB3608"/>
    <w:rsid w:val="00FB37E0"/>
    <w:rsid w:val="00FB3A24"/>
    <w:rsid w:val="00FB3F06"/>
    <w:rsid w:val="00FB43AA"/>
    <w:rsid w:val="00FB46AF"/>
    <w:rsid w:val="00FB49AE"/>
    <w:rsid w:val="00FB4F5A"/>
    <w:rsid w:val="00FB5122"/>
    <w:rsid w:val="00FB5623"/>
    <w:rsid w:val="00FB571D"/>
    <w:rsid w:val="00FB5915"/>
    <w:rsid w:val="00FB5C90"/>
    <w:rsid w:val="00FB5FD6"/>
    <w:rsid w:val="00FB6297"/>
    <w:rsid w:val="00FB62DF"/>
    <w:rsid w:val="00FB6495"/>
    <w:rsid w:val="00FB64A5"/>
    <w:rsid w:val="00FB6B5A"/>
    <w:rsid w:val="00FB78E5"/>
    <w:rsid w:val="00FB7C55"/>
    <w:rsid w:val="00FB7C6E"/>
    <w:rsid w:val="00FB7D46"/>
    <w:rsid w:val="00FB7DA2"/>
    <w:rsid w:val="00FC054C"/>
    <w:rsid w:val="00FC08CD"/>
    <w:rsid w:val="00FC0969"/>
    <w:rsid w:val="00FC09D9"/>
    <w:rsid w:val="00FC1074"/>
    <w:rsid w:val="00FC1596"/>
    <w:rsid w:val="00FC17B1"/>
    <w:rsid w:val="00FC1884"/>
    <w:rsid w:val="00FC1D84"/>
    <w:rsid w:val="00FC1E34"/>
    <w:rsid w:val="00FC2038"/>
    <w:rsid w:val="00FC2419"/>
    <w:rsid w:val="00FC28EB"/>
    <w:rsid w:val="00FC2D2C"/>
    <w:rsid w:val="00FC2F32"/>
    <w:rsid w:val="00FC3011"/>
    <w:rsid w:val="00FC308E"/>
    <w:rsid w:val="00FC3104"/>
    <w:rsid w:val="00FC3219"/>
    <w:rsid w:val="00FC324C"/>
    <w:rsid w:val="00FC3288"/>
    <w:rsid w:val="00FC3289"/>
    <w:rsid w:val="00FC371D"/>
    <w:rsid w:val="00FC38F1"/>
    <w:rsid w:val="00FC3A80"/>
    <w:rsid w:val="00FC3AB8"/>
    <w:rsid w:val="00FC4216"/>
    <w:rsid w:val="00FC4258"/>
    <w:rsid w:val="00FC42A6"/>
    <w:rsid w:val="00FC4696"/>
    <w:rsid w:val="00FC4AD9"/>
    <w:rsid w:val="00FC4ADA"/>
    <w:rsid w:val="00FC4AE6"/>
    <w:rsid w:val="00FC4C5F"/>
    <w:rsid w:val="00FC4F47"/>
    <w:rsid w:val="00FC53DD"/>
    <w:rsid w:val="00FC5BA1"/>
    <w:rsid w:val="00FC5CC3"/>
    <w:rsid w:val="00FC5D49"/>
    <w:rsid w:val="00FC5E95"/>
    <w:rsid w:val="00FC5F0B"/>
    <w:rsid w:val="00FC6309"/>
    <w:rsid w:val="00FC63E7"/>
    <w:rsid w:val="00FC6531"/>
    <w:rsid w:val="00FC6962"/>
    <w:rsid w:val="00FC6D3A"/>
    <w:rsid w:val="00FC74B3"/>
    <w:rsid w:val="00FC7658"/>
    <w:rsid w:val="00FC76EC"/>
    <w:rsid w:val="00FC7998"/>
    <w:rsid w:val="00FC7C4A"/>
    <w:rsid w:val="00FD0610"/>
    <w:rsid w:val="00FD06CD"/>
    <w:rsid w:val="00FD0736"/>
    <w:rsid w:val="00FD0833"/>
    <w:rsid w:val="00FD08DC"/>
    <w:rsid w:val="00FD0A80"/>
    <w:rsid w:val="00FD0B3B"/>
    <w:rsid w:val="00FD0D4A"/>
    <w:rsid w:val="00FD0FDB"/>
    <w:rsid w:val="00FD1492"/>
    <w:rsid w:val="00FD1854"/>
    <w:rsid w:val="00FD1A0E"/>
    <w:rsid w:val="00FD2100"/>
    <w:rsid w:val="00FD2137"/>
    <w:rsid w:val="00FD21F8"/>
    <w:rsid w:val="00FD220B"/>
    <w:rsid w:val="00FD224B"/>
    <w:rsid w:val="00FD22EE"/>
    <w:rsid w:val="00FD23B9"/>
    <w:rsid w:val="00FD2C33"/>
    <w:rsid w:val="00FD2C47"/>
    <w:rsid w:val="00FD2FC2"/>
    <w:rsid w:val="00FD3759"/>
    <w:rsid w:val="00FD385C"/>
    <w:rsid w:val="00FD38B9"/>
    <w:rsid w:val="00FD3B96"/>
    <w:rsid w:val="00FD3F2A"/>
    <w:rsid w:val="00FD408D"/>
    <w:rsid w:val="00FD436C"/>
    <w:rsid w:val="00FD446D"/>
    <w:rsid w:val="00FD4869"/>
    <w:rsid w:val="00FD4F2C"/>
    <w:rsid w:val="00FD55EA"/>
    <w:rsid w:val="00FD5C94"/>
    <w:rsid w:val="00FD5CF9"/>
    <w:rsid w:val="00FD5E99"/>
    <w:rsid w:val="00FD5F97"/>
    <w:rsid w:val="00FD6215"/>
    <w:rsid w:val="00FD6394"/>
    <w:rsid w:val="00FD6637"/>
    <w:rsid w:val="00FD693F"/>
    <w:rsid w:val="00FD6BB8"/>
    <w:rsid w:val="00FD6C76"/>
    <w:rsid w:val="00FD6CFB"/>
    <w:rsid w:val="00FD6FA2"/>
    <w:rsid w:val="00FD7402"/>
    <w:rsid w:val="00FE0072"/>
    <w:rsid w:val="00FE00A7"/>
    <w:rsid w:val="00FE01F7"/>
    <w:rsid w:val="00FE043D"/>
    <w:rsid w:val="00FE063A"/>
    <w:rsid w:val="00FE08B3"/>
    <w:rsid w:val="00FE0936"/>
    <w:rsid w:val="00FE0DA9"/>
    <w:rsid w:val="00FE0DAF"/>
    <w:rsid w:val="00FE0E6C"/>
    <w:rsid w:val="00FE15D9"/>
    <w:rsid w:val="00FE17C9"/>
    <w:rsid w:val="00FE1A75"/>
    <w:rsid w:val="00FE1BCF"/>
    <w:rsid w:val="00FE1CDC"/>
    <w:rsid w:val="00FE2035"/>
    <w:rsid w:val="00FE21B7"/>
    <w:rsid w:val="00FE21C6"/>
    <w:rsid w:val="00FE27F8"/>
    <w:rsid w:val="00FE2937"/>
    <w:rsid w:val="00FE2FBE"/>
    <w:rsid w:val="00FE3108"/>
    <w:rsid w:val="00FE330D"/>
    <w:rsid w:val="00FE3494"/>
    <w:rsid w:val="00FE35A6"/>
    <w:rsid w:val="00FE3759"/>
    <w:rsid w:val="00FE3850"/>
    <w:rsid w:val="00FE38BE"/>
    <w:rsid w:val="00FE39E7"/>
    <w:rsid w:val="00FE3B4C"/>
    <w:rsid w:val="00FE3D70"/>
    <w:rsid w:val="00FE3E45"/>
    <w:rsid w:val="00FE4328"/>
    <w:rsid w:val="00FE4395"/>
    <w:rsid w:val="00FE44A6"/>
    <w:rsid w:val="00FE4812"/>
    <w:rsid w:val="00FE4938"/>
    <w:rsid w:val="00FE4B91"/>
    <w:rsid w:val="00FE4F62"/>
    <w:rsid w:val="00FE5016"/>
    <w:rsid w:val="00FE5C1B"/>
    <w:rsid w:val="00FE5D0C"/>
    <w:rsid w:val="00FE5F14"/>
    <w:rsid w:val="00FE61F0"/>
    <w:rsid w:val="00FE66C0"/>
    <w:rsid w:val="00FE670B"/>
    <w:rsid w:val="00FE6FA2"/>
    <w:rsid w:val="00FE70C3"/>
    <w:rsid w:val="00FE715B"/>
    <w:rsid w:val="00FE72EB"/>
    <w:rsid w:val="00FE74FA"/>
    <w:rsid w:val="00FE753B"/>
    <w:rsid w:val="00FE7705"/>
    <w:rsid w:val="00FE77CA"/>
    <w:rsid w:val="00FE7849"/>
    <w:rsid w:val="00FE792A"/>
    <w:rsid w:val="00FE7C12"/>
    <w:rsid w:val="00FE7E39"/>
    <w:rsid w:val="00FE7E87"/>
    <w:rsid w:val="00FF06DB"/>
    <w:rsid w:val="00FF07E4"/>
    <w:rsid w:val="00FF09DE"/>
    <w:rsid w:val="00FF0C68"/>
    <w:rsid w:val="00FF0D11"/>
    <w:rsid w:val="00FF0E86"/>
    <w:rsid w:val="00FF1085"/>
    <w:rsid w:val="00FF109C"/>
    <w:rsid w:val="00FF135D"/>
    <w:rsid w:val="00FF149F"/>
    <w:rsid w:val="00FF235F"/>
    <w:rsid w:val="00FF245B"/>
    <w:rsid w:val="00FF26BD"/>
    <w:rsid w:val="00FF28B6"/>
    <w:rsid w:val="00FF2AD9"/>
    <w:rsid w:val="00FF2D95"/>
    <w:rsid w:val="00FF2F19"/>
    <w:rsid w:val="00FF348F"/>
    <w:rsid w:val="00FF3534"/>
    <w:rsid w:val="00FF359F"/>
    <w:rsid w:val="00FF3DCF"/>
    <w:rsid w:val="00FF3FC4"/>
    <w:rsid w:val="00FF4461"/>
    <w:rsid w:val="00FF47B6"/>
    <w:rsid w:val="00FF492C"/>
    <w:rsid w:val="00FF49F5"/>
    <w:rsid w:val="00FF4A21"/>
    <w:rsid w:val="00FF4ACB"/>
    <w:rsid w:val="00FF4DA6"/>
    <w:rsid w:val="00FF4F55"/>
    <w:rsid w:val="00FF507C"/>
    <w:rsid w:val="00FF5343"/>
    <w:rsid w:val="00FF583D"/>
    <w:rsid w:val="00FF58E4"/>
    <w:rsid w:val="00FF5A88"/>
    <w:rsid w:val="00FF5AA3"/>
    <w:rsid w:val="00FF5AD8"/>
    <w:rsid w:val="00FF60C3"/>
    <w:rsid w:val="00FF65A1"/>
    <w:rsid w:val="00FF65A4"/>
    <w:rsid w:val="00FF6B16"/>
    <w:rsid w:val="00FF6C0B"/>
    <w:rsid w:val="00FF6CE1"/>
    <w:rsid w:val="00FF7080"/>
    <w:rsid w:val="00FF78B5"/>
    <w:rsid w:val="00FF7BDD"/>
    <w:rsid w:val="00FF7DDB"/>
    <w:rsid w:val="02E719CD"/>
    <w:rsid w:val="03B6D038"/>
    <w:rsid w:val="04FA6DF4"/>
    <w:rsid w:val="06CA0ED2"/>
    <w:rsid w:val="073B500F"/>
    <w:rsid w:val="0751C787"/>
    <w:rsid w:val="0802C504"/>
    <w:rsid w:val="0A228F54"/>
    <w:rsid w:val="0B18D055"/>
    <w:rsid w:val="0B431CF8"/>
    <w:rsid w:val="0B6C93A1"/>
    <w:rsid w:val="0CF7CF00"/>
    <w:rsid w:val="0CFCA27D"/>
    <w:rsid w:val="0EA9B276"/>
    <w:rsid w:val="0ECA115D"/>
    <w:rsid w:val="10DC6F03"/>
    <w:rsid w:val="1148EB13"/>
    <w:rsid w:val="1204C885"/>
    <w:rsid w:val="12ABE464"/>
    <w:rsid w:val="15719B64"/>
    <w:rsid w:val="1812F9E5"/>
    <w:rsid w:val="1BD700C6"/>
    <w:rsid w:val="1C56B286"/>
    <w:rsid w:val="1D11C459"/>
    <w:rsid w:val="1D1EA36C"/>
    <w:rsid w:val="1E057DD5"/>
    <w:rsid w:val="1F7E8C70"/>
    <w:rsid w:val="20055BE2"/>
    <w:rsid w:val="20A4353C"/>
    <w:rsid w:val="20B5F29C"/>
    <w:rsid w:val="20D5D6CC"/>
    <w:rsid w:val="229FC998"/>
    <w:rsid w:val="231250D5"/>
    <w:rsid w:val="2347C661"/>
    <w:rsid w:val="23859C0C"/>
    <w:rsid w:val="2491DEED"/>
    <w:rsid w:val="24C95C28"/>
    <w:rsid w:val="2547F77F"/>
    <w:rsid w:val="25F96AA2"/>
    <w:rsid w:val="282A94AE"/>
    <w:rsid w:val="291A3D26"/>
    <w:rsid w:val="2BBB7A55"/>
    <w:rsid w:val="2CD95FBE"/>
    <w:rsid w:val="2CE4772A"/>
    <w:rsid w:val="2DDE7AF5"/>
    <w:rsid w:val="2DFE47A1"/>
    <w:rsid w:val="2EB9F8E8"/>
    <w:rsid w:val="306C0E13"/>
    <w:rsid w:val="309C7EBB"/>
    <w:rsid w:val="3249C607"/>
    <w:rsid w:val="32CD2A14"/>
    <w:rsid w:val="33AF6890"/>
    <w:rsid w:val="356560B0"/>
    <w:rsid w:val="3681836D"/>
    <w:rsid w:val="36CE24AD"/>
    <w:rsid w:val="37E8E9C3"/>
    <w:rsid w:val="3888A007"/>
    <w:rsid w:val="3994C4A0"/>
    <w:rsid w:val="39ABB26D"/>
    <w:rsid w:val="3B50E154"/>
    <w:rsid w:val="3D35F077"/>
    <w:rsid w:val="3F13E576"/>
    <w:rsid w:val="407D7338"/>
    <w:rsid w:val="4187EE5A"/>
    <w:rsid w:val="427979ED"/>
    <w:rsid w:val="440F1326"/>
    <w:rsid w:val="469DDBCE"/>
    <w:rsid w:val="47B99909"/>
    <w:rsid w:val="47E2B010"/>
    <w:rsid w:val="488FBDE0"/>
    <w:rsid w:val="48BD9671"/>
    <w:rsid w:val="496E125E"/>
    <w:rsid w:val="4A150E19"/>
    <w:rsid w:val="4C19EECD"/>
    <w:rsid w:val="4CB59EE6"/>
    <w:rsid w:val="4D74D773"/>
    <w:rsid w:val="4E6D1C5E"/>
    <w:rsid w:val="51DBE5D6"/>
    <w:rsid w:val="527059E2"/>
    <w:rsid w:val="53451D8F"/>
    <w:rsid w:val="5613DBAB"/>
    <w:rsid w:val="56C0C8B2"/>
    <w:rsid w:val="56FDC918"/>
    <w:rsid w:val="57BA3310"/>
    <w:rsid w:val="5839E93D"/>
    <w:rsid w:val="58C71369"/>
    <w:rsid w:val="596DEE45"/>
    <w:rsid w:val="59723E4F"/>
    <w:rsid w:val="599D3245"/>
    <w:rsid w:val="5A4BC279"/>
    <w:rsid w:val="5A731EE6"/>
    <w:rsid w:val="5A996C3A"/>
    <w:rsid w:val="5B3BA244"/>
    <w:rsid w:val="5B64EB5E"/>
    <w:rsid w:val="5C922CF7"/>
    <w:rsid w:val="5E6A55B4"/>
    <w:rsid w:val="5E6E3BFF"/>
    <w:rsid w:val="5FE2C041"/>
    <w:rsid w:val="6133715F"/>
    <w:rsid w:val="61695D27"/>
    <w:rsid w:val="61AAD4A3"/>
    <w:rsid w:val="6275C7EF"/>
    <w:rsid w:val="62B1472D"/>
    <w:rsid w:val="6308B32E"/>
    <w:rsid w:val="64030F44"/>
    <w:rsid w:val="65FF15F9"/>
    <w:rsid w:val="67ECA3AA"/>
    <w:rsid w:val="68ABB0F1"/>
    <w:rsid w:val="68BC8B32"/>
    <w:rsid w:val="69832609"/>
    <w:rsid w:val="69D44252"/>
    <w:rsid w:val="6A12479A"/>
    <w:rsid w:val="6C23E176"/>
    <w:rsid w:val="6C41DC63"/>
    <w:rsid w:val="6E71D3F7"/>
    <w:rsid w:val="6FFF65F8"/>
    <w:rsid w:val="709B3830"/>
    <w:rsid w:val="70A5EFF6"/>
    <w:rsid w:val="70C49387"/>
    <w:rsid w:val="70D3D62F"/>
    <w:rsid w:val="710F9261"/>
    <w:rsid w:val="74336DD2"/>
    <w:rsid w:val="768F1499"/>
    <w:rsid w:val="76AEA1F3"/>
    <w:rsid w:val="78638054"/>
    <w:rsid w:val="797D0605"/>
    <w:rsid w:val="7B075C78"/>
    <w:rsid w:val="7B116953"/>
    <w:rsid w:val="7BECCED3"/>
    <w:rsid w:val="7C3CFBDD"/>
    <w:rsid w:val="7E9D06AE"/>
    <w:rsid w:val="7F267BD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1C7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uiPriority="16"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21"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5FF"/>
    <w:pPr>
      <w:jc w:val="both"/>
    </w:pPr>
    <w:rPr>
      <w:rFonts w:ascii="Calibri" w:hAnsi="Calibri" w:cs="Arial"/>
      <w:sz w:val="24"/>
      <w:szCs w:val="24"/>
    </w:rPr>
  </w:style>
  <w:style w:type="paragraph" w:styleId="Heading1">
    <w:name w:val="heading 1"/>
    <w:aliases w:val="Heading 1a"/>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aliases w:val="Appendix Heading 2"/>
    <w:basedOn w:val="Normal"/>
    <w:next w:val="Normal"/>
    <w:link w:val="Heading7Char"/>
    <w:uiPriority w:val="9"/>
    <w:qFormat/>
    <w:rsid w:val="00124A51"/>
    <w:pPr>
      <w:keepNext/>
      <w:jc w:val="center"/>
      <w:outlineLvl w:val="6"/>
    </w:pPr>
    <w:rPr>
      <w:b/>
      <w:sz w:val="20"/>
    </w:rPr>
  </w:style>
  <w:style w:type="paragraph" w:styleId="Heading8">
    <w:name w:val="heading 8"/>
    <w:aliases w:val="Appendix Heading 3"/>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aliases w:val="Appendix Heading 2 Char"/>
    <w:basedOn w:val="DefaultParagraphFont"/>
    <w:link w:val="Heading7"/>
    <w:uiPriority w:val="9"/>
    <w:rsid w:val="00124A51"/>
    <w:rPr>
      <w:rFonts w:ascii="Arial" w:hAnsi="Arial"/>
      <w:b/>
      <w:snapToGrid w:val="0"/>
      <w:lang w:eastAsia="en-US"/>
    </w:rPr>
  </w:style>
  <w:style w:type="character" w:customStyle="1" w:styleId="Heading8Char">
    <w:name w:val="Heading 8 Char"/>
    <w:aliases w:val="Appendix Heading 3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 H17"/>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 H17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21"/>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21"/>
    <w:rsid w:val="00124A51"/>
    <w:rPr>
      <w:rFonts w:ascii="Cambria" w:hAnsi="Cambria"/>
      <w:b/>
      <w:bCs/>
      <w:snapToGrid w:val="0"/>
      <w:kern w:val="28"/>
      <w:sz w:val="32"/>
      <w:szCs w:val="32"/>
      <w:lang w:eastAsia="en-US"/>
    </w:rPr>
  </w:style>
  <w:style w:type="paragraph" w:styleId="BodyText">
    <w:name w:val="Body Text"/>
    <w:basedOn w:val="Normal"/>
    <w:link w:val="BodyTextChar"/>
    <w:uiPriority w:val="1"/>
    <w:qFormat/>
    <w:rsid w:val="004B3DDB"/>
    <w:pPr>
      <w:jc w:val="left"/>
    </w:pPr>
  </w:style>
  <w:style w:type="character" w:customStyle="1" w:styleId="BodyTextChar">
    <w:name w:val="Body Text Char"/>
    <w:basedOn w:val="DefaultParagraphFont"/>
    <w:link w:val="BodyText"/>
    <w:uiPriority w:val="1"/>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Normal: Bullets,Table Legend,Bullet1,Bullet 1,Bullet List,Section 5,List Table,Bullets Points,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Normal: Bullets Char,Table Legend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rsid w:val="00124A51"/>
    <w:pPr>
      <w:tabs>
        <w:tab w:val="center" w:pos="4513"/>
        <w:tab w:val="right" w:pos="9026"/>
      </w:tabs>
    </w:pPr>
  </w:style>
  <w:style w:type="character" w:customStyle="1" w:styleId="FooterChar">
    <w:name w:val="Footer Char"/>
    <w:basedOn w:val="DefaultParagraphFont"/>
    <w:link w:val="Footer"/>
    <w:rsid w:val="00124A51"/>
    <w:rPr>
      <w:rFonts w:ascii="Arial" w:hAnsi="Arial" w:cs="Arial"/>
      <w:snapToGrid w:val="0"/>
      <w:sz w:val="22"/>
      <w:lang w:eastAsia="en-US"/>
    </w:rPr>
  </w:style>
  <w:style w:type="table" w:styleId="TableGrid">
    <w:name w:val="Table Grid"/>
    <w:aliases w:val="Summary box,Table Gridbeth,CMA Table Template,ASD Table,MSD Table Grid,new style,PBAC table,Header Table,NICE instructions,Source table_"/>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4"/>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4"/>
    <w:rsid w:val="00A518F3"/>
    <w:rPr>
      <w:rFonts w:ascii="Arial Narrow" w:hAnsi="Arial Narrow"/>
      <w:lang w:eastAsia="en-US"/>
    </w:rPr>
  </w:style>
  <w:style w:type="paragraph" w:customStyle="1" w:styleId="TableHeading">
    <w:name w:val="TableHeading"/>
    <w:basedOn w:val="Normal"/>
    <w:uiPriority w:val="99"/>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qFormat/>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qFormat/>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 H19,Comment Text Char1 Char,Comment Text Char Char Char,Annotationtext, Char,Char2,list paragraph 2,Comment Text ZS,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Annotationtext Char, Char Char,Char2 Char,list paragraph 2 Char,Comment Text ZS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unhideWhenUsed/>
    <w:rsid w:val="00536F42"/>
    <w:rPr>
      <w:color w:val="800080" w:themeColor="followedHyperlink"/>
      <w:u w:val="single"/>
    </w:rPr>
  </w:style>
  <w:style w:type="character" w:styleId="PageNumber">
    <w:name w:val="page number"/>
    <w:basedOn w:val="DefaultParagraphFont"/>
    <w:uiPriority w:val="99"/>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spacing w:before="240" w:after="120"/>
      <w:ind w:left="720" w:hanging="7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16"/>
    <w:unhideWhenUsed/>
    <w:qFormat/>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customStyle="1" w:styleId="TableNoteBullet">
    <w:name w:val="Table Note Bullet"/>
    <w:basedOn w:val="Normal"/>
    <w:qFormat/>
    <w:rsid w:val="00085481"/>
    <w:pPr>
      <w:numPr>
        <w:numId w:val="7"/>
      </w:numPr>
      <w:spacing w:after="60"/>
      <w:jc w:val="left"/>
    </w:pPr>
    <w:rPr>
      <w:rFonts w:asciiTheme="minorHAnsi" w:eastAsiaTheme="minorHAnsi" w:hAnsiTheme="minorHAnsi" w:cstheme="minorBidi"/>
      <w:sz w:val="18"/>
      <w:szCs w:val="22"/>
      <w:lang w:eastAsia="en-US"/>
    </w:rPr>
  </w:style>
  <w:style w:type="character" w:customStyle="1" w:styleId="UnresolvedMention1">
    <w:name w:val="Unresolved Mention1"/>
    <w:basedOn w:val="DefaultParagraphFont"/>
    <w:uiPriority w:val="99"/>
    <w:semiHidden/>
    <w:unhideWhenUsed/>
    <w:rsid w:val="00BA23DE"/>
    <w:rPr>
      <w:color w:val="605E5C"/>
      <w:shd w:val="clear" w:color="auto" w:fill="E1DFDD"/>
    </w:rPr>
  </w:style>
  <w:style w:type="paragraph" w:customStyle="1" w:styleId="Default">
    <w:name w:val="Default"/>
    <w:rsid w:val="00AA270E"/>
    <w:pPr>
      <w:autoSpaceDE w:val="0"/>
      <w:autoSpaceDN w:val="0"/>
      <w:adjustRightInd w:val="0"/>
    </w:pPr>
    <w:rPr>
      <w:color w:val="000000"/>
      <w:sz w:val="24"/>
      <w:szCs w:val="24"/>
      <w:lang w:val="en-US" w:eastAsia="en-US"/>
    </w:rPr>
  </w:style>
  <w:style w:type="paragraph" w:styleId="FootnoteText">
    <w:name w:val="footnote text"/>
    <w:aliases w:val="Footnote Text Char Char,Footnote Text Char2,Footnote Text Char Char1"/>
    <w:basedOn w:val="Normal"/>
    <w:link w:val="FootnoteTextChar"/>
    <w:unhideWhenUsed/>
    <w:rsid w:val="00EE41EE"/>
    <w:rPr>
      <w:sz w:val="20"/>
      <w:szCs w:val="20"/>
    </w:rPr>
  </w:style>
  <w:style w:type="character" w:customStyle="1" w:styleId="FootnoteTextChar">
    <w:name w:val="Footnote Text Char"/>
    <w:aliases w:val="Footnote Text Char Char Char,Footnote Text Char2 Char,Footnote Text Char Char1 Char"/>
    <w:basedOn w:val="DefaultParagraphFont"/>
    <w:link w:val="FootnoteText"/>
    <w:rsid w:val="00EE41EE"/>
    <w:rPr>
      <w:rFonts w:ascii="Calibri" w:hAnsi="Calibri" w:cs="Arial"/>
    </w:rPr>
  </w:style>
  <w:style w:type="character" w:styleId="FootnoteReference">
    <w:name w:val="footnote reference"/>
    <w:basedOn w:val="DefaultParagraphFont"/>
    <w:unhideWhenUsed/>
    <w:rsid w:val="00EE41EE"/>
    <w:rPr>
      <w:vertAlign w:val="superscript"/>
    </w:rPr>
  </w:style>
  <w:style w:type="paragraph" w:styleId="ListNumber">
    <w:name w:val="List Number"/>
    <w:basedOn w:val="Normal"/>
    <w:uiPriority w:val="16"/>
    <w:qFormat/>
    <w:rsid w:val="0005230A"/>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2">
    <w:name w:val="List Number 2"/>
    <w:aliases w:val="Char1"/>
    <w:basedOn w:val="Normal"/>
    <w:uiPriority w:val="16"/>
    <w:qFormat/>
    <w:rsid w:val="0005230A"/>
    <w:pPr>
      <w:tabs>
        <w:tab w:val="num" w:pos="720"/>
      </w:tabs>
      <w:spacing w:after="240" w:line="360" w:lineRule="auto"/>
      <w:ind w:left="720" w:hanging="363"/>
      <w:jc w:val="left"/>
    </w:pPr>
    <w:rPr>
      <w:rFonts w:ascii="Arial" w:eastAsiaTheme="minorHAnsi" w:hAnsi="Arial" w:cstheme="minorBidi"/>
      <w:sz w:val="20"/>
      <w:szCs w:val="20"/>
      <w:lang w:eastAsia="en-US"/>
    </w:rPr>
  </w:style>
  <w:style w:type="numbering" w:customStyle="1" w:styleId="Lists">
    <w:name w:val="Lists"/>
    <w:uiPriority w:val="99"/>
    <w:rsid w:val="0005230A"/>
    <w:pPr>
      <w:numPr>
        <w:numId w:val="9"/>
      </w:numPr>
    </w:pPr>
  </w:style>
  <w:style w:type="paragraph" w:styleId="ListNumber3">
    <w:name w:val="List Number 3"/>
    <w:aliases w:val="Char"/>
    <w:basedOn w:val="Normal"/>
    <w:uiPriority w:val="16"/>
    <w:qFormat/>
    <w:rsid w:val="0005230A"/>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qFormat/>
    <w:rsid w:val="0005230A"/>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table" w:customStyle="1" w:styleId="HTATableshaded">
    <w:name w:val="HTA Table shaded"/>
    <w:basedOn w:val="TableNormal"/>
    <w:rsid w:val="00D14009"/>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left">
    <w:name w:val="Table text left"/>
    <w:basedOn w:val="Normal"/>
    <w:link w:val="TabletextleftChar"/>
    <w:qFormat/>
    <w:rsid w:val="00D14009"/>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D14009"/>
    <w:rPr>
      <w:rFonts w:asciiTheme="minorHAnsi" w:hAnsiTheme="minorHAnsi"/>
      <w:sz w:val="18"/>
    </w:rPr>
  </w:style>
  <w:style w:type="paragraph" w:customStyle="1" w:styleId="ListNos0">
    <w:name w:val="ListNos+0"/>
    <w:basedOn w:val="BodyText"/>
    <w:uiPriority w:val="2"/>
    <w:qFormat/>
    <w:rsid w:val="00D14009"/>
    <w:pPr>
      <w:numPr>
        <w:numId w:val="12"/>
      </w:numPr>
      <w:spacing w:line="276" w:lineRule="auto"/>
    </w:pPr>
    <w:rPr>
      <w:rFonts w:asciiTheme="minorHAnsi" w:eastAsiaTheme="minorHAnsi" w:hAnsiTheme="minorHAnsi" w:cs="Tahoma"/>
      <w:sz w:val="22"/>
      <w:szCs w:val="22"/>
      <w:lang w:eastAsia="en-US"/>
    </w:rPr>
  </w:style>
  <w:style w:type="table" w:styleId="TableGridLight">
    <w:name w:val="Grid Table Light"/>
    <w:basedOn w:val="TableNormal"/>
    <w:uiPriority w:val="40"/>
    <w:rsid w:val="000758CB"/>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olorfulGrid-Accent5">
    <w:name w:val="Colorful Grid Accent 5"/>
    <w:basedOn w:val="TableNormal"/>
    <w:uiPriority w:val="73"/>
    <w:rsid w:val="005F086D"/>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EnvelopeAddress">
    <w:name w:val="envelope address"/>
    <w:basedOn w:val="Normal"/>
    <w:uiPriority w:val="99"/>
    <w:semiHidden/>
    <w:unhideWhenUsed/>
    <w:rsid w:val="00303FFB"/>
    <w:pPr>
      <w:framePr w:w="7920" w:h="1980" w:hRule="exact" w:hSpace="180" w:wrap="auto" w:hAnchor="page" w:xAlign="center" w:yAlign="bottom"/>
      <w:ind w:left="2880" w:hanging="720"/>
      <w:jc w:val="left"/>
    </w:pPr>
    <w:rPr>
      <w:rFonts w:asciiTheme="majorHAnsi" w:eastAsiaTheme="majorEastAsia" w:hAnsiTheme="majorHAnsi" w:cstheme="majorBidi"/>
      <w:sz w:val="20"/>
      <w:szCs w:val="20"/>
      <w:lang w:eastAsia="en-US"/>
    </w:rPr>
  </w:style>
  <w:style w:type="paragraph" w:customStyle="1" w:styleId="Source">
    <w:name w:val="Source"/>
    <w:basedOn w:val="Normal"/>
    <w:uiPriority w:val="35"/>
    <w:qFormat/>
    <w:rsid w:val="00D018E7"/>
    <w:pPr>
      <w:numPr>
        <w:numId w:val="1"/>
      </w:numPr>
      <w:tabs>
        <w:tab w:val="left" w:pos="284"/>
      </w:tabs>
      <w:spacing w:before="60" w:after="240" w:line="360" w:lineRule="auto"/>
      <w:contextualSpacing/>
      <w:jc w:val="left"/>
    </w:pPr>
    <w:rPr>
      <w:rFonts w:ascii="Arial" w:eastAsiaTheme="minorHAnsi" w:hAnsi="Arial" w:cstheme="minorBidi"/>
      <w:sz w:val="18"/>
      <w:szCs w:val="20"/>
      <w:lang w:eastAsia="en-US"/>
    </w:rPr>
  </w:style>
  <w:style w:type="character" w:customStyle="1" w:styleId="Heading1Char">
    <w:name w:val="Heading 1 Char"/>
    <w:aliases w:val="Heading 1a Char"/>
    <w:basedOn w:val="DefaultParagraphFont"/>
    <w:link w:val="Heading1"/>
    <w:uiPriority w:val="9"/>
    <w:rsid w:val="000F61D2"/>
    <w:rPr>
      <w:rFonts w:ascii="Calibri" w:hAnsi="Calibri" w:cs="Arial"/>
      <w:b/>
      <w:caps/>
      <w:sz w:val="32"/>
      <w:szCs w:val="24"/>
    </w:rPr>
  </w:style>
  <w:style w:type="character" w:customStyle="1" w:styleId="Heading3Char">
    <w:name w:val="Heading 3 Char"/>
    <w:basedOn w:val="DefaultParagraphFont"/>
    <w:link w:val="Heading3"/>
    <w:rsid w:val="000F61D2"/>
    <w:rPr>
      <w:rFonts w:ascii="Calibri" w:hAnsi="Calibri" w:cs="Arial"/>
      <w:sz w:val="24"/>
      <w:szCs w:val="24"/>
      <w:u w:val="single"/>
    </w:rPr>
  </w:style>
  <w:style w:type="character" w:customStyle="1" w:styleId="Heading4Char">
    <w:name w:val="Heading 4 Char"/>
    <w:basedOn w:val="DefaultParagraphFont"/>
    <w:link w:val="Heading4"/>
    <w:uiPriority w:val="9"/>
    <w:rsid w:val="000F61D2"/>
    <w:rPr>
      <w:rFonts w:ascii="Calibri" w:hAnsi="Calibri" w:cs="Arial"/>
      <w:b/>
      <w:bCs/>
      <w:i/>
      <w:sz w:val="26"/>
      <w:szCs w:val="28"/>
    </w:rPr>
  </w:style>
  <w:style w:type="character" w:customStyle="1" w:styleId="Heading5Char">
    <w:name w:val="Heading 5 Char"/>
    <w:basedOn w:val="DefaultParagraphFont"/>
    <w:link w:val="Heading5"/>
    <w:rsid w:val="000F61D2"/>
    <w:rPr>
      <w:rFonts w:ascii="Calibri" w:hAnsi="Calibri" w:cs="Arial"/>
      <w:b/>
      <w:bCs/>
      <w:iCs/>
      <w:sz w:val="26"/>
      <w:szCs w:val="26"/>
    </w:rPr>
  </w:style>
  <w:style w:type="character" w:customStyle="1" w:styleId="Heading6Char">
    <w:name w:val="Heading 6 Char"/>
    <w:basedOn w:val="DefaultParagraphFont"/>
    <w:link w:val="Heading6"/>
    <w:uiPriority w:val="9"/>
    <w:rsid w:val="000F61D2"/>
    <w:rPr>
      <w:rFonts w:ascii="Calibri" w:hAnsi="Calibri" w:cs="Arial"/>
      <w:b/>
      <w:bCs/>
      <w:i/>
      <w:sz w:val="24"/>
      <w:szCs w:val="24"/>
    </w:rPr>
  </w:style>
  <w:style w:type="paragraph" w:customStyle="1" w:styleId="CoverSubtitle">
    <w:name w:val="Cover Subtitle"/>
    <w:basedOn w:val="Normal"/>
    <w:next w:val="Normal"/>
    <w:uiPriority w:val="21"/>
    <w:rsid w:val="000F61D2"/>
    <w:pPr>
      <w:spacing w:before="3000"/>
      <w:ind w:left="720" w:hanging="720"/>
      <w:jc w:val="center"/>
    </w:pPr>
    <w:rPr>
      <w:rFonts w:asciiTheme="majorHAnsi" w:eastAsiaTheme="minorHAnsi" w:hAnsiTheme="majorHAnsi" w:cstheme="minorBidi"/>
      <w:sz w:val="36"/>
      <w:szCs w:val="20"/>
      <w:lang w:eastAsia="en-US"/>
    </w:rPr>
  </w:style>
  <w:style w:type="paragraph" w:customStyle="1" w:styleId="SubHeading">
    <w:name w:val="Sub Heading"/>
    <w:basedOn w:val="Normal"/>
    <w:next w:val="Normal"/>
    <w:uiPriority w:val="9"/>
    <w:qFormat/>
    <w:rsid w:val="000F61D2"/>
    <w:pPr>
      <w:spacing w:before="360" w:line="360" w:lineRule="auto"/>
      <w:ind w:left="720" w:hanging="720"/>
      <w:jc w:val="left"/>
    </w:pPr>
    <w:rPr>
      <w:rFonts w:ascii="Arial" w:eastAsiaTheme="minorHAnsi" w:hAnsi="Arial" w:cstheme="minorBidi"/>
      <w:b/>
      <w:sz w:val="20"/>
      <w:szCs w:val="20"/>
      <w:lang w:eastAsia="en-US"/>
    </w:rPr>
  </w:style>
  <w:style w:type="paragraph" w:customStyle="1" w:styleId="CoverIntroductionText">
    <w:name w:val="Cover Introduction Text"/>
    <w:basedOn w:val="Normal"/>
    <w:uiPriority w:val="21"/>
    <w:rsid w:val="000F61D2"/>
    <w:pPr>
      <w:spacing w:after="240" w:line="360" w:lineRule="auto"/>
      <w:ind w:left="720" w:hanging="720"/>
      <w:jc w:val="center"/>
    </w:pPr>
    <w:rPr>
      <w:rFonts w:ascii="Arial" w:eastAsiaTheme="minorHAnsi" w:hAnsi="Arial" w:cstheme="minorBidi"/>
      <w:b/>
      <w:spacing w:val="-2"/>
      <w:szCs w:val="20"/>
      <w:lang w:eastAsia="en-US"/>
    </w:rPr>
  </w:style>
  <w:style w:type="paragraph" w:styleId="ListBullet2">
    <w:name w:val="List Bullet 2"/>
    <w:basedOn w:val="ListBullet"/>
    <w:uiPriority w:val="16"/>
    <w:qFormat/>
    <w:rsid w:val="000F61D2"/>
    <w:pPr>
      <w:numPr>
        <w:numId w:val="31"/>
      </w:numPr>
      <w:spacing w:after="240" w:line="360" w:lineRule="auto"/>
      <w:contextualSpacing w:val="0"/>
      <w:jc w:val="left"/>
    </w:pPr>
    <w:rPr>
      <w:rFonts w:ascii="Arial" w:eastAsiaTheme="minorHAnsi" w:hAnsi="Arial" w:cstheme="minorBidi"/>
      <w:sz w:val="20"/>
      <w:szCs w:val="20"/>
      <w:lang w:eastAsia="en-US"/>
    </w:rPr>
  </w:style>
  <w:style w:type="numbering" w:customStyle="1" w:styleId="MultiLevelheadinglist">
    <w:name w:val="Multi Level heading list"/>
    <w:uiPriority w:val="99"/>
    <w:locked/>
    <w:rsid w:val="000F61D2"/>
    <w:pPr>
      <w:numPr>
        <w:numId w:val="26"/>
      </w:numPr>
    </w:pPr>
  </w:style>
  <w:style w:type="paragraph" w:styleId="ListBullet3">
    <w:name w:val="List Bullet 3"/>
    <w:basedOn w:val="Normal"/>
    <w:uiPriority w:val="16"/>
    <w:qFormat/>
    <w:rsid w:val="000F61D2"/>
    <w:pPr>
      <w:spacing w:after="240" w:line="360" w:lineRule="auto"/>
      <w:ind w:left="1077" w:hanging="357"/>
      <w:contextualSpacing/>
      <w:jc w:val="left"/>
    </w:pPr>
    <w:rPr>
      <w:rFonts w:ascii="Arial" w:eastAsiaTheme="minorHAnsi" w:hAnsi="Arial" w:cstheme="minorBidi"/>
      <w:sz w:val="20"/>
      <w:szCs w:val="20"/>
      <w:lang w:eastAsia="en-US"/>
    </w:rPr>
  </w:style>
  <w:style w:type="paragraph" w:styleId="ListBullet4">
    <w:name w:val="List Bullet 4"/>
    <w:basedOn w:val="Normal"/>
    <w:uiPriority w:val="16"/>
    <w:qFormat/>
    <w:rsid w:val="000F61D2"/>
    <w:pPr>
      <w:tabs>
        <w:tab w:val="num" w:pos="1209"/>
      </w:tabs>
      <w:spacing w:after="240" w:line="360" w:lineRule="auto"/>
      <w:ind w:left="1209" w:hanging="360"/>
      <w:contextualSpacing/>
      <w:jc w:val="left"/>
    </w:pPr>
    <w:rPr>
      <w:rFonts w:ascii="Arial" w:eastAsiaTheme="minorHAnsi" w:hAnsi="Arial" w:cstheme="minorBidi"/>
      <w:sz w:val="20"/>
      <w:szCs w:val="20"/>
      <w:lang w:eastAsia="en-US"/>
    </w:rPr>
  </w:style>
  <w:style w:type="character" w:styleId="PlaceholderText">
    <w:name w:val="Placeholder Text"/>
    <w:basedOn w:val="DefaultParagraphFont"/>
    <w:uiPriority w:val="99"/>
    <w:unhideWhenUsed/>
    <w:rsid w:val="000F61D2"/>
    <w:rPr>
      <w:b/>
      <w:noProof w:val="0"/>
      <w:color w:val="7F7F7F" w:themeColor="text1" w:themeTint="80"/>
      <w:sz w:val="22"/>
      <w:lang w:val="en-AU"/>
    </w:rPr>
  </w:style>
  <w:style w:type="paragraph" w:styleId="Bibliography">
    <w:name w:val="Bibliography"/>
    <w:basedOn w:val="Normal"/>
    <w:next w:val="Normal"/>
    <w:uiPriority w:val="37"/>
    <w:semiHidden/>
    <w:unhideWhenUsed/>
    <w:rsid w:val="000F61D2"/>
    <w:pPr>
      <w:spacing w:after="240" w:line="360" w:lineRule="auto"/>
      <w:ind w:left="720" w:hanging="720"/>
      <w:jc w:val="left"/>
    </w:pPr>
    <w:rPr>
      <w:rFonts w:ascii="Arial" w:eastAsiaTheme="minorHAnsi" w:hAnsi="Arial" w:cstheme="minorBidi"/>
      <w:sz w:val="20"/>
      <w:szCs w:val="20"/>
      <w:lang w:eastAsia="en-US"/>
    </w:rPr>
  </w:style>
  <w:style w:type="paragraph" w:styleId="BlockText">
    <w:name w:val="Block Text"/>
    <w:basedOn w:val="Normal"/>
    <w:uiPriority w:val="99"/>
    <w:semiHidden/>
    <w:unhideWhenUsed/>
    <w:rsid w:val="000F61D2"/>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40" w:line="360" w:lineRule="auto"/>
      <w:ind w:left="1152" w:right="1152" w:hanging="720"/>
      <w:jc w:val="left"/>
    </w:pPr>
    <w:rPr>
      <w:rFonts w:asciiTheme="minorHAnsi" w:eastAsiaTheme="minorEastAsia" w:hAnsiTheme="minorHAnsi" w:cstheme="minorBidi"/>
      <w:i/>
      <w:iCs/>
      <w:color w:val="4F81BD" w:themeColor="accent1"/>
      <w:sz w:val="20"/>
      <w:szCs w:val="20"/>
      <w:lang w:eastAsia="en-US"/>
    </w:rPr>
  </w:style>
  <w:style w:type="paragraph" w:styleId="BodyText2">
    <w:name w:val="Body Text 2"/>
    <w:basedOn w:val="Normal"/>
    <w:link w:val="BodyText2Char"/>
    <w:uiPriority w:val="99"/>
    <w:semiHidden/>
    <w:unhideWhenUsed/>
    <w:rsid w:val="000F61D2"/>
    <w:pPr>
      <w:spacing w:after="240" w:line="480" w:lineRule="auto"/>
      <w:ind w:left="720" w:hanging="720"/>
      <w:jc w:val="left"/>
    </w:pPr>
    <w:rPr>
      <w:rFonts w:ascii="Arial" w:eastAsiaTheme="minorHAnsi" w:hAnsi="Arial" w:cstheme="minorBidi"/>
      <w:sz w:val="20"/>
      <w:szCs w:val="20"/>
      <w:lang w:eastAsia="en-US"/>
    </w:rPr>
  </w:style>
  <w:style w:type="character" w:customStyle="1" w:styleId="BodyText2Char">
    <w:name w:val="Body Text 2 Char"/>
    <w:basedOn w:val="DefaultParagraphFont"/>
    <w:link w:val="BodyText2"/>
    <w:uiPriority w:val="99"/>
    <w:semiHidden/>
    <w:rsid w:val="000F61D2"/>
    <w:rPr>
      <w:rFonts w:ascii="Arial" w:eastAsiaTheme="minorHAnsi" w:hAnsi="Arial" w:cstheme="minorBidi"/>
      <w:lang w:eastAsia="en-US"/>
    </w:rPr>
  </w:style>
  <w:style w:type="paragraph" w:styleId="BodyText3">
    <w:name w:val="Body Text 3"/>
    <w:basedOn w:val="Normal"/>
    <w:link w:val="BodyText3Char"/>
    <w:uiPriority w:val="99"/>
    <w:semiHidden/>
    <w:unhideWhenUsed/>
    <w:rsid w:val="000F61D2"/>
    <w:pPr>
      <w:spacing w:after="240" w:line="360" w:lineRule="auto"/>
      <w:ind w:left="720" w:hanging="720"/>
      <w:jc w:val="left"/>
    </w:pPr>
    <w:rPr>
      <w:rFonts w:ascii="Arial" w:eastAsiaTheme="minorHAnsi" w:hAnsi="Arial" w:cstheme="minorBidi"/>
      <w:sz w:val="16"/>
      <w:szCs w:val="16"/>
      <w:lang w:eastAsia="en-US"/>
    </w:rPr>
  </w:style>
  <w:style w:type="character" w:customStyle="1" w:styleId="BodyText3Char">
    <w:name w:val="Body Text 3 Char"/>
    <w:basedOn w:val="DefaultParagraphFont"/>
    <w:link w:val="BodyText3"/>
    <w:uiPriority w:val="99"/>
    <w:semiHidden/>
    <w:rsid w:val="000F61D2"/>
    <w:rPr>
      <w:rFonts w:ascii="Arial" w:eastAsiaTheme="minorHAnsi" w:hAnsi="Arial" w:cstheme="minorBidi"/>
      <w:sz w:val="16"/>
      <w:szCs w:val="16"/>
      <w:lang w:eastAsia="en-US"/>
    </w:rPr>
  </w:style>
  <w:style w:type="paragraph" w:styleId="BodyTextFirstIndent">
    <w:name w:val="Body Text First Indent"/>
    <w:basedOn w:val="BodyText"/>
    <w:link w:val="BodyTextFirstIndentChar"/>
    <w:uiPriority w:val="99"/>
    <w:unhideWhenUsed/>
    <w:rsid w:val="000F61D2"/>
    <w:pPr>
      <w:spacing w:after="170" w:line="360" w:lineRule="auto"/>
      <w:ind w:left="720" w:firstLine="360"/>
    </w:pPr>
    <w:rPr>
      <w:rFonts w:ascii="Arial" w:eastAsiaTheme="minorHAnsi" w:hAnsi="Arial" w:cstheme="minorBidi"/>
      <w:sz w:val="20"/>
      <w:szCs w:val="20"/>
      <w:lang w:eastAsia="en-US"/>
    </w:rPr>
  </w:style>
  <w:style w:type="character" w:customStyle="1" w:styleId="BodyTextFirstIndentChar">
    <w:name w:val="Body Text First Indent Char"/>
    <w:basedOn w:val="BodyTextChar"/>
    <w:link w:val="BodyTextFirstIndent"/>
    <w:uiPriority w:val="99"/>
    <w:rsid w:val="000F61D2"/>
    <w:rPr>
      <w:rFonts w:ascii="Arial" w:eastAsiaTheme="minorHAnsi" w:hAnsi="Arial" w:cstheme="minorBidi"/>
      <w:snapToGrid/>
      <w:sz w:val="22"/>
      <w:lang w:eastAsia="en-US"/>
    </w:rPr>
  </w:style>
  <w:style w:type="paragraph" w:styleId="BodyTextFirstIndent2">
    <w:name w:val="Body Text First Indent 2"/>
    <w:basedOn w:val="BodyTextIndent"/>
    <w:link w:val="BodyTextFirstIndent2Char"/>
    <w:uiPriority w:val="99"/>
    <w:semiHidden/>
    <w:unhideWhenUsed/>
    <w:rsid w:val="000F61D2"/>
    <w:pPr>
      <w:spacing w:after="170" w:line="360" w:lineRule="auto"/>
      <w:ind w:left="360" w:firstLine="360"/>
      <w:jc w:val="left"/>
    </w:pPr>
    <w:rPr>
      <w:rFonts w:ascii="Arial" w:eastAsiaTheme="minorHAnsi" w:hAnsi="Arial" w:cstheme="minorBidi"/>
      <w:sz w:val="20"/>
      <w:szCs w:val="20"/>
      <w:lang w:eastAsia="en-US"/>
    </w:rPr>
  </w:style>
  <w:style w:type="character" w:customStyle="1" w:styleId="BodyTextFirstIndent2Char">
    <w:name w:val="Body Text First Indent 2 Char"/>
    <w:basedOn w:val="BodyTextIndentChar"/>
    <w:link w:val="BodyTextFirstIndent2"/>
    <w:uiPriority w:val="99"/>
    <w:semiHidden/>
    <w:rsid w:val="000F61D2"/>
    <w:rPr>
      <w:rFonts w:ascii="Arial" w:eastAsiaTheme="minorHAnsi" w:hAnsi="Arial" w:cstheme="minorBidi"/>
      <w:snapToGrid/>
      <w:sz w:val="22"/>
      <w:lang w:eastAsia="en-US"/>
    </w:rPr>
  </w:style>
  <w:style w:type="paragraph" w:styleId="BodyTextIndent2">
    <w:name w:val="Body Text Indent 2"/>
    <w:basedOn w:val="Normal"/>
    <w:link w:val="BodyTextIndent2Char"/>
    <w:uiPriority w:val="99"/>
    <w:semiHidden/>
    <w:unhideWhenUsed/>
    <w:rsid w:val="000F61D2"/>
    <w:pPr>
      <w:spacing w:after="240" w:line="480" w:lineRule="auto"/>
      <w:ind w:left="283" w:hanging="720"/>
      <w:jc w:val="left"/>
    </w:pPr>
    <w:rPr>
      <w:rFonts w:ascii="Arial" w:eastAsiaTheme="minorHAnsi" w:hAnsi="Arial" w:cstheme="minorBidi"/>
      <w:sz w:val="20"/>
      <w:szCs w:val="20"/>
      <w:lang w:eastAsia="en-US"/>
    </w:rPr>
  </w:style>
  <w:style w:type="character" w:customStyle="1" w:styleId="BodyTextIndent2Char">
    <w:name w:val="Body Text Indent 2 Char"/>
    <w:basedOn w:val="DefaultParagraphFont"/>
    <w:link w:val="BodyTextIndent2"/>
    <w:uiPriority w:val="99"/>
    <w:semiHidden/>
    <w:rsid w:val="000F61D2"/>
    <w:rPr>
      <w:rFonts w:ascii="Arial" w:eastAsiaTheme="minorHAnsi" w:hAnsi="Arial" w:cstheme="minorBidi"/>
      <w:lang w:eastAsia="en-US"/>
    </w:rPr>
  </w:style>
  <w:style w:type="paragraph" w:styleId="BodyTextIndent3">
    <w:name w:val="Body Text Indent 3"/>
    <w:basedOn w:val="Normal"/>
    <w:link w:val="BodyTextIndent3Char"/>
    <w:uiPriority w:val="99"/>
    <w:semiHidden/>
    <w:unhideWhenUsed/>
    <w:rsid w:val="000F61D2"/>
    <w:pPr>
      <w:spacing w:after="240" w:line="360" w:lineRule="auto"/>
      <w:ind w:left="283" w:hanging="720"/>
      <w:jc w:val="left"/>
    </w:pPr>
    <w:rPr>
      <w:rFonts w:ascii="Arial" w:eastAsiaTheme="minorHAnsi" w:hAnsi="Arial" w:cstheme="minorBidi"/>
      <w:sz w:val="16"/>
      <w:szCs w:val="16"/>
      <w:lang w:eastAsia="en-US"/>
    </w:rPr>
  </w:style>
  <w:style w:type="character" w:customStyle="1" w:styleId="BodyTextIndent3Char">
    <w:name w:val="Body Text Indent 3 Char"/>
    <w:basedOn w:val="DefaultParagraphFont"/>
    <w:link w:val="BodyTextIndent3"/>
    <w:uiPriority w:val="99"/>
    <w:semiHidden/>
    <w:rsid w:val="000F61D2"/>
    <w:rPr>
      <w:rFonts w:ascii="Arial" w:eastAsiaTheme="minorHAnsi" w:hAnsi="Arial" w:cstheme="minorBidi"/>
      <w:sz w:val="16"/>
      <w:szCs w:val="16"/>
      <w:lang w:eastAsia="en-US"/>
    </w:rPr>
  </w:style>
  <w:style w:type="character" w:styleId="BookTitle">
    <w:name w:val="Book Title"/>
    <w:basedOn w:val="DefaultParagraphFont"/>
    <w:uiPriority w:val="33"/>
    <w:qFormat/>
    <w:rsid w:val="000F61D2"/>
    <w:rPr>
      <w:b/>
      <w:bCs/>
      <w:smallCaps/>
      <w:noProof w:val="0"/>
      <w:spacing w:val="5"/>
      <w:lang w:val="en-AU"/>
    </w:rPr>
  </w:style>
  <w:style w:type="paragraph" w:styleId="Closing">
    <w:name w:val="Closing"/>
    <w:basedOn w:val="Normal"/>
    <w:link w:val="ClosingChar"/>
    <w:uiPriority w:val="99"/>
    <w:semiHidden/>
    <w:unhideWhenUsed/>
    <w:rsid w:val="000F61D2"/>
    <w:pPr>
      <w:ind w:left="4252" w:hanging="720"/>
      <w:jc w:val="left"/>
    </w:pPr>
    <w:rPr>
      <w:rFonts w:ascii="Arial" w:eastAsiaTheme="minorHAnsi" w:hAnsi="Arial" w:cstheme="minorBidi"/>
      <w:sz w:val="20"/>
      <w:szCs w:val="20"/>
      <w:lang w:eastAsia="en-US"/>
    </w:rPr>
  </w:style>
  <w:style w:type="character" w:customStyle="1" w:styleId="ClosingChar">
    <w:name w:val="Closing Char"/>
    <w:basedOn w:val="DefaultParagraphFont"/>
    <w:link w:val="Closing"/>
    <w:uiPriority w:val="99"/>
    <w:semiHidden/>
    <w:rsid w:val="000F61D2"/>
    <w:rPr>
      <w:rFonts w:ascii="Arial" w:eastAsiaTheme="minorHAnsi" w:hAnsi="Arial" w:cstheme="minorBidi"/>
      <w:lang w:eastAsia="en-US"/>
    </w:rPr>
  </w:style>
  <w:style w:type="table" w:styleId="ColorfulGrid">
    <w:name w:val="Colorful Grid"/>
    <w:basedOn w:val="TableNormal"/>
    <w:uiPriority w:val="73"/>
    <w:rsid w:val="000F61D2"/>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F61D2"/>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F61D2"/>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F61D2"/>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F61D2"/>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6">
    <w:name w:val="Colorful Grid Accent 6"/>
    <w:basedOn w:val="TableNormal"/>
    <w:uiPriority w:val="73"/>
    <w:rsid w:val="000F61D2"/>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F61D2"/>
    <w:rPr>
      <w:rFonts w:ascii="Arial" w:eastAsiaTheme="minorHAnsi" w:hAnsi="Arial" w:cstheme="minorBidi"/>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F61D2"/>
    <w:rPr>
      <w:rFonts w:ascii="Arial" w:eastAsiaTheme="minorHAnsi" w:hAnsi="Arial" w:cstheme="minorBidi"/>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F61D2"/>
    <w:rPr>
      <w:rFonts w:ascii="Arial" w:eastAsiaTheme="minorHAnsi" w:hAnsi="Arial" w:cstheme="minorBidi"/>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F61D2"/>
    <w:rPr>
      <w:rFonts w:ascii="Arial" w:eastAsiaTheme="minorHAnsi" w:hAnsi="Arial" w:cstheme="minorBidi"/>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F61D2"/>
    <w:rPr>
      <w:rFonts w:ascii="Arial" w:eastAsiaTheme="minorHAnsi" w:hAnsi="Arial" w:cstheme="minorBidi"/>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F61D2"/>
    <w:rPr>
      <w:rFonts w:ascii="Arial" w:eastAsiaTheme="minorHAnsi" w:hAnsi="Arial" w:cstheme="minorBidi"/>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F61D2"/>
    <w:rPr>
      <w:rFonts w:ascii="Arial" w:eastAsiaTheme="minorHAnsi" w:hAnsi="Arial" w:cstheme="minorBidi"/>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F61D2"/>
    <w:rPr>
      <w:rFonts w:ascii="Arial" w:eastAsiaTheme="minorHAnsi" w:hAnsi="Arial" w:cstheme="minorBidi"/>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F61D2"/>
    <w:rPr>
      <w:rFonts w:ascii="Arial" w:eastAsiaTheme="minorHAnsi" w:hAnsi="Arial" w:cstheme="minorBidi"/>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F61D2"/>
    <w:rPr>
      <w:rFonts w:ascii="Arial" w:eastAsiaTheme="minorHAnsi" w:hAnsi="Arial" w:cstheme="minorBidi"/>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F61D2"/>
    <w:rPr>
      <w:rFonts w:ascii="Arial" w:eastAsiaTheme="minorHAnsi" w:hAnsi="Arial" w:cstheme="minorBidi"/>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F61D2"/>
    <w:rPr>
      <w:rFonts w:ascii="Arial" w:eastAsiaTheme="minorHAnsi" w:hAnsi="Arial" w:cstheme="minorBidi"/>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F61D2"/>
    <w:rPr>
      <w:rFonts w:ascii="Arial" w:eastAsiaTheme="minorHAnsi" w:hAnsi="Arial" w:cstheme="minorBidi"/>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F61D2"/>
    <w:rPr>
      <w:rFonts w:ascii="Arial" w:eastAsiaTheme="minorHAnsi" w:hAnsi="Arial" w:cstheme="minorBidi"/>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0F61D2"/>
    <w:rPr>
      <w:rFonts w:ascii="Arial" w:eastAsiaTheme="minorHAnsi" w:hAnsi="Arial"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F61D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F61D2"/>
    <w:rPr>
      <w:rFonts w:ascii="Arial" w:eastAsiaTheme="minorHAnsi" w:hAnsi="Arial"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F61D2"/>
    <w:rPr>
      <w:rFonts w:ascii="Arial" w:eastAsiaTheme="minorHAnsi" w:hAnsi="Arial"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F61D2"/>
    <w:rPr>
      <w:rFonts w:ascii="Arial" w:eastAsiaTheme="minorHAnsi" w:hAnsi="Arial"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F61D2"/>
    <w:rPr>
      <w:rFonts w:ascii="Arial" w:eastAsiaTheme="minorHAnsi" w:hAnsi="Arial"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F61D2"/>
    <w:rPr>
      <w:rFonts w:ascii="Arial" w:eastAsiaTheme="minorHAnsi" w:hAnsi="Arial"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0F61D2"/>
    <w:pPr>
      <w:spacing w:after="240" w:line="360" w:lineRule="auto"/>
      <w:ind w:left="720" w:hanging="720"/>
      <w:jc w:val="left"/>
    </w:pPr>
    <w:rPr>
      <w:rFonts w:ascii="Arial" w:eastAsiaTheme="minorHAnsi" w:hAnsi="Arial" w:cstheme="minorBidi"/>
      <w:sz w:val="20"/>
      <w:szCs w:val="20"/>
      <w:lang w:eastAsia="en-US"/>
    </w:rPr>
  </w:style>
  <w:style w:type="character" w:customStyle="1" w:styleId="DateChar">
    <w:name w:val="Date Char"/>
    <w:basedOn w:val="DefaultParagraphFont"/>
    <w:link w:val="Date"/>
    <w:uiPriority w:val="99"/>
    <w:rsid w:val="000F61D2"/>
    <w:rPr>
      <w:rFonts w:ascii="Arial" w:eastAsiaTheme="minorHAnsi" w:hAnsi="Arial" w:cstheme="minorBidi"/>
      <w:lang w:eastAsia="en-US"/>
    </w:rPr>
  </w:style>
  <w:style w:type="paragraph" w:styleId="DocumentMap">
    <w:name w:val="Document Map"/>
    <w:basedOn w:val="Normal"/>
    <w:link w:val="DocumentMapChar"/>
    <w:uiPriority w:val="99"/>
    <w:semiHidden/>
    <w:unhideWhenUsed/>
    <w:rsid w:val="000F61D2"/>
    <w:pPr>
      <w:ind w:left="720" w:hanging="720"/>
      <w:jc w:val="left"/>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semiHidden/>
    <w:rsid w:val="000F61D2"/>
    <w:rPr>
      <w:rFonts w:ascii="Tahoma" w:eastAsiaTheme="minorHAnsi" w:hAnsi="Tahoma" w:cs="Tahoma"/>
      <w:sz w:val="16"/>
      <w:szCs w:val="16"/>
      <w:lang w:eastAsia="en-US"/>
    </w:rPr>
  </w:style>
  <w:style w:type="paragraph" w:styleId="E-mailSignature">
    <w:name w:val="E-mail Signature"/>
    <w:basedOn w:val="Normal"/>
    <w:link w:val="E-mailSignatureChar"/>
    <w:uiPriority w:val="99"/>
    <w:semiHidden/>
    <w:unhideWhenUsed/>
    <w:rsid w:val="000F61D2"/>
    <w:pPr>
      <w:ind w:left="720" w:hanging="720"/>
      <w:jc w:val="left"/>
    </w:pPr>
    <w:rPr>
      <w:rFonts w:ascii="Arial" w:eastAsiaTheme="minorHAnsi" w:hAnsi="Arial" w:cstheme="minorBidi"/>
      <w:sz w:val="20"/>
      <w:szCs w:val="20"/>
      <w:lang w:eastAsia="en-US"/>
    </w:rPr>
  </w:style>
  <w:style w:type="character" w:customStyle="1" w:styleId="E-mailSignatureChar">
    <w:name w:val="E-mail Signature Char"/>
    <w:basedOn w:val="DefaultParagraphFont"/>
    <w:link w:val="E-mailSignature"/>
    <w:uiPriority w:val="99"/>
    <w:semiHidden/>
    <w:rsid w:val="000F61D2"/>
    <w:rPr>
      <w:rFonts w:ascii="Arial" w:eastAsiaTheme="minorHAnsi" w:hAnsi="Arial" w:cstheme="minorBidi"/>
      <w:lang w:eastAsia="en-US"/>
    </w:rPr>
  </w:style>
  <w:style w:type="character" w:styleId="Emphasis">
    <w:name w:val="Emphasis"/>
    <w:basedOn w:val="DefaultParagraphFont"/>
    <w:uiPriority w:val="20"/>
    <w:qFormat/>
    <w:rsid w:val="000F61D2"/>
    <w:rPr>
      <w:i/>
      <w:iCs/>
      <w:noProof w:val="0"/>
      <w:lang w:val="en-AU"/>
    </w:rPr>
  </w:style>
  <w:style w:type="character" w:styleId="EndnoteReference">
    <w:name w:val="endnote reference"/>
    <w:basedOn w:val="DefaultParagraphFont"/>
    <w:uiPriority w:val="99"/>
    <w:rsid w:val="000F61D2"/>
    <w:rPr>
      <w:noProof w:val="0"/>
      <w:vertAlign w:val="superscript"/>
      <w:lang w:val="en-AU"/>
    </w:rPr>
  </w:style>
  <w:style w:type="paragraph" w:styleId="EndnoteText">
    <w:name w:val="endnote text"/>
    <w:basedOn w:val="Normal"/>
    <w:link w:val="EndnoteTextChar"/>
    <w:uiPriority w:val="99"/>
    <w:rsid w:val="000F61D2"/>
    <w:pPr>
      <w:spacing w:after="120"/>
      <w:ind w:left="720" w:hanging="720"/>
      <w:jc w:val="left"/>
    </w:pPr>
    <w:rPr>
      <w:rFonts w:ascii="Arial" w:eastAsiaTheme="minorHAnsi" w:hAnsi="Arial" w:cstheme="minorBidi"/>
      <w:sz w:val="18"/>
      <w:szCs w:val="20"/>
      <w:lang w:eastAsia="en-US"/>
    </w:rPr>
  </w:style>
  <w:style w:type="character" w:customStyle="1" w:styleId="EndnoteTextChar">
    <w:name w:val="Endnote Text Char"/>
    <w:basedOn w:val="DefaultParagraphFont"/>
    <w:link w:val="EndnoteText"/>
    <w:uiPriority w:val="99"/>
    <w:rsid w:val="000F61D2"/>
    <w:rPr>
      <w:rFonts w:ascii="Arial" w:eastAsiaTheme="minorHAnsi" w:hAnsi="Arial" w:cstheme="minorBidi"/>
      <w:sz w:val="18"/>
      <w:lang w:eastAsia="en-US"/>
    </w:rPr>
  </w:style>
  <w:style w:type="paragraph" w:styleId="EnvelopeReturn">
    <w:name w:val="envelope return"/>
    <w:basedOn w:val="Normal"/>
    <w:uiPriority w:val="99"/>
    <w:semiHidden/>
    <w:unhideWhenUsed/>
    <w:rsid w:val="000F61D2"/>
    <w:pPr>
      <w:ind w:left="720" w:hanging="720"/>
      <w:jc w:val="left"/>
    </w:pPr>
    <w:rPr>
      <w:rFonts w:asciiTheme="majorHAnsi" w:eastAsiaTheme="majorEastAsia" w:hAnsiTheme="majorHAnsi" w:cstheme="majorBidi"/>
      <w:sz w:val="20"/>
      <w:szCs w:val="20"/>
      <w:lang w:eastAsia="en-US"/>
    </w:rPr>
  </w:style>
  <w:style w:type="character" w:styleId="HTMLAcronym">
    <w:name w:val="HTML Acronym"/>
    <w:basedOn w:val="DefaultParagraphFont"/>
    <w:uiPriority w:val="99"/>
    <w:semiHidden/>
    <w:unhideWhenUsed/>
    <w:rsid w:val="000F61D2"/>
    <w:rPr>
      <w:noProof w:val="0"/>
      <w:lang w:val="en-AU"/>
    </w:rPr>
  </w:style>
  <w:style w:type="paragraph" w:styleId="HTMLAddress">
    <w:name w:val="HTML Address"/>
    <w:basedOn w:val="Normal"/>
    <w:link w:val="HTMLAddressChar"/>
    <w:uiPriority w:val="99"/>
    <w:semiHidden/>
    <w:unhideWhenUsed/>
    <w:rsid w:val="000F61D2"/>
    <w:pPr>
      <w:ind w:left="720" w:hanging="720"/>
      <w:jc w:val="left"/>
    </w:pPr>
    <w:rPr>
      <w:rFonts w:ascii="Arial" w:eastAsiaTheme="minorHAnsi" w:hAnsi="Arial" w:cstheme="minorBidi"/>
      <w:i/>
      <w:iCs/>
      <w:sz w:val="20"/>
      <w:szCs w:val="20"/>
      <w:lang w:eastAsia="en-US"/>
    </w:rPr>
  </w:style>
  <w:style w:type="character" w:customStyle="1" w:styleId="HTMLAddressChar">
    <w:name w:val="HTML Address Char"/>
    <w:basedOn w:val="DefaultParagraphFont"/>
    <w:link w:val="HTMLAddress"/>
    <w:uiPriority w:val="99"/>
    <w:semiHidden/>
    <w:rsid w:val="000F61D2"/>
    <w:rPr>
      <w:rFonts w:ascii="Arial" w:eastAsiaTheme="minorHAnsi" w:hAnsi="Arial" w:cstheme="minorBidi"/>
      <w:i/>
      <w:iCs/>
      <w:lang w:eastAsia="en-US"/>
    </w:rPr>
  </w:style>
  <w:style w:type="character" w:styleId="HTMLCite">
    <w:name w:val="HTML Cite"/>
    <w:basedOn w:val="DefaultParagraphFont"/>
    <w:uiPriority w:val="99"/>
    <w:semiHidden/>
    <w:unhideWhenUsed/>
    <w:rsid w:val="000F61D2"/>
    <w:rPr>
      <w:i/>
      <w:iCs/>
      <w:noProof w:val="0"/>
      <w:lang w:val="en-AU"/>
    </w:rPr>
  </w:style>
  <w:style w:type="character" w:styleId="HTMLCode">
    <w:name w:val="HTML Code"/>
    <w:basedOn w:val="DefaultParagraphFont"/>
    <w:uiPriority w:val="99"/>
    <w:semiHidden/>
    <w:unhideWhenUsed/>
    <w:rsid w:val="000F61D2"/>
    <w:rPr>
      <w:rFonts w:ascii="Consolas" w:hAnsi="Consolas"/>
      <w:noProof w:val="0"/>
      <w:sz w:val="20"/>
      <w:szCs w:val="20"/>
      <w:lang w:val="en-AU"/>
    </w:rPr>
  </w:style>
  <w:style w:type="character" w:styleId="HTMLDefinition">
    <w:name w:val="HTML Definition"/>
    <w:basedOn w:val="DefaultParagraphFont"/>
    <w:uiPriority w:val="99"/>
    <w:semiHidden/>
    <w:unhideWhenUsed/>
    <w:rsid w:val="000F61D2"/>
    <w:rPr>
      <w:i/>
      <w:iCs/>
      <w:noProof w:val="0"/>
      <w:lang w:val="en-AU"/>
    </w:rPr>
  </w:style>
  <w:style w:type="character" w:styleId="HTMLKeyboard">
    <w:name w:val="HTML Keyboard"/>
    <w:basedOn w:val="DefaultParagraphFont"/>
    <w:uiPriority w:val="99"/>
    <w:semiHidden/>
    <w:unhideWhenUsed/>
    <w:rsid w:val="000F61D2"/>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rsid w:val="000F61D2"/>
    <w:pPr>
      <w:ind w:left="720" w:hanging="720"/>
      <w:jc w:val="left"/>
    </w:pPr>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semiHidden/>
    <w:rsid w:val="000F61D2"/>
    <w:rPr>
      <w:rFonts w:ascii="Consolas" w:eastAsiaTheme="minorHAnsi" w:hAnsi="Consolas" w:cstheme="minorBidi"/>
      <w:lang w:eastAsia="en-US"/>
    </w:rPr>
  </w:style>
  <w:style w:type="character" w:styleId="HTMLSample">
    <w:name w:val="HTML Sample"/>
    <w:basedOn w:val="DefaultParagraphFont"/>
    <w:uiPriority w:val="99"/>
    <w:semiHidden/>
    <w:unhideWhenUsed/>
    <w:rsid w:val="000F61D2"/>
    <w:rPr>
      <w:rFonts w:ascii="Consolas" w:hAnsi="Consolas"/>
      <w:noProof w:val="0"/>
      <w:sz w:val="24"/>
      <w:szCs w:val="24"/>
      <w:lang w:val="en-AU"/>
    </w:rPr>
  </w:style>
  <w:style w:type="character" w:styleId="HTMLTypewriter">
    <w:name w:val="HTML Typewriter"/>
    <w:basedOn w:val="DefaultParagraphFont"/>
    <w:uiPriority w:val="99"/>
    <w:semiHidden/>
    <w:unhideWhenUsed/>
    <w:rsid w:val="000F61D2"/>
    <w:rPr>
      <w:rFonts w:ascii="Consolas" w:hAnsi="Consolas"/>
      <w:noProof w:val="0"/>
      <w:sz w:val="20"/>
      <w:szCs w:val="20"/>
      <w:lang w:val="en-AU"/>
    </w:rPr>
  </w:style>
  <w:style w:type="character" w:styleId="HTMLVariable">
    <w:name w:val="HTML Variable"/>
    <w:basedOn w:val="DefaultParagraphFont"/>
    <w:uiPriority w:val="99"/>
    <w:semiHidden/>
    <w:unhideWhenUsed/>
    <w:rsid w:val="000F61D2"/>
    <w:rPr>
      <w:i/>
      <w:iCs/>
      <w:noProof w:val="0"/>
      <w:lang w:val="en-AU"/>
    </w:rPr>
  </w:style>
  <w:style w:type="paragraph" w:styleId="Index1">
    <w:name w:val="index 1"/>
    <w:basedOn w:val="Normal"/>
    <w:next w:val="Normal"/>
    <w:autoRedefine/>
    <w:uiPriority w:val="99"/>
    <w:semiHidden/>
    <w:unhideWhenUsed/>
    <w:rsid w:val="000F61D2"/>
    <w:pPr>
      <w:ind w:left="190" w:hanging="190"/>
      <w:jc w:val="left"/>
    </w:pPr>
    <w:rPr>
      <w:rFonts w:ascii="Arial" w:eastAsiaTheme="minorHAnsi" w:hAnsi="Arial" w:cstheme="minorBidi"/>
      <w:sz w:val="20"/>
      <w:szCs w:val="20"/>
      <w:lang w:eastAsia="en-US"/>
    </w:rPr>
  </w:style>
  <w:style w:type="paragraph" w:styleId="Index2">
    <w:name w:val="index 2"/>
    <w:basedOn w:val="Normal"/>
    <w:next w:val="Normal"/>
    <w:autoRedefine/>
    <w:uiPriority w:val="99"/>
    <w:semiHidden/>
    <w:unhideWhenUsed/>
    <w:rsid w:val="000F61D2"/>
    <w:pPr>
      <w:ind w:left="380" w:hanging="190"/>
      <w:jc w:val="left"/>
    </w:pPr>
    <w:rPr>
      <w:rFonts w:ascii="Arial" w:eastAsiaTheme="minorHAnsi" w:hAnsi="Arial" w:cstheme="minorBidi"/>
      <w:sz w:val="20"/>
      <w:szCs w:val="20"/>
      <w:lang w:eastAsia="en-US"/>
    </w:rPr>
  </w:style>
  <w:style w:type="paragraph" w:styleId="Index3">
    <w:name w:val="index 3"/>
    <w:basedOn w:val="Normal"/>
    <w:next w:val="Normal"/>
    <w:autoRedefine/>
    <w:uiPriority w:val="99"/>
    <w:semiHidden/>
    <w:unhideWhenUsed/>
    <w:rsid w:val="000F61D2"/>
    <w:pPr>
      <w:ind w:left="570" w:hanging="190"/>
      <w:jc w:val="left"/>
    </w:pPr>
    <w:rPr>
      <w:rFonts w:ascii="Arial" w:eastAsiaTheme="minorHAnsi" w:hAnsi="Arial" w:cstheme="minorBidi"/>
      <w:sz w:val="20"/>
      <w:szCs w:val="20"/>
      <w:lang w:eastAsia="en-US"/>
    </w:rPr>
  </w:style>
  <w:style w:type="paragraph" w:styleId="Index4">
    <w:name w:val="index 4"/>
    <w:basedOn w:val="Normal"/>
    <w:next w:val="Normal"/>
    <w:autoRedefine/>
    <w:uiPriority w:val="99"/>
    <w:semiHidden/>
    <w:unhideWhenUsed/>
    <w:rsid w:val="000F61D2"/>
    <w:pPr>
      <w:ind w:left="760" w:hanging="190"/>
      <w:jc w:val="left"/>
    </w:pPr>
    <w:rPr>
      <w:rFonts w:ascii="Arial" w:eastAsiaTheme="minorHAnsi" w:hAnsi="Arial" w:cstheme="minorBidi"/>
      <w:sz w:val="20"/>
      <w:szCs w:val="20"/>
      <w:lang w:eastAsia="en-US"/>
    </w:rPr>
  </w:style>
  <w:style w:type="paragraph" w:styleId="Index5">
    <w:name w:val="index 5"/>
    <w:basedOn w:val="Normal"/>
    <w:next w:val="Normal"/>
    <w:autoRedefine/>
    <w:uiPriority w:val="99"/>
    <w:semiHidden/>
    <w:unhideWhenUsed/>
    <w:rsid w:val="000F61D2"/>
    <w:pPr>
      <w:ind w:left="950" w:hanging="190"/>
      <w:jc w:val="left"/>
    </w:pPr>
    <w:rPr>
      <w:rFonts w:ascii="Arial" w:eastAsiaTheme="minorHAnsi" w:hAnsi="Arial" w:cstheme="minorBidi"/>
      <w:sz w:val="20"/>
      <w:szCs w:val="20"/>
      <w:lang w:eastAsia="en-US"/>
    </w:rPr>
  </w:style>
  <w:style w:type="paragraph" w:styleId="Index6">
    <w:name w:val="index 6"/>
    <w:basedOn w:val="Normal"/>
    <w:next w:val="Normal"/>
    <w:autoRedefine/>
    <w:uiPriority w:val="99"/>
    <w:semiHidden/>
    <w:unhideWhenUsed/>
    <w:rsid w:val="000F61D2"/>
    <w:pPr>
      <w:ind w:left="1140" w:hanging="190"/>
      <w:jc w:val="left"/>
    </w:pPr>
    <w:rPr>
      <w:rFonts w:ascii="Arial" w:eastAsiaTheme="minorHAnsi" w:hAnsi="Arial" w:cstheme="minorBidi"/>
      <w:sz w:val="20"/>
      <w:szCs w:val="20"/>
      <w:lang w:eastAsia="en-US"/>
    </w:rPr>
  </w:style>
  <w:style w:type="paragraph" w:styleId="Index7">
    <w:name w:val="index 7"/>
    <w:basedOn w:val="Normal"/>
    <w:next w:val="Normal"/>
    <w:autoRedefine/>
    <w:uiPriority w:val="99"/>
    <w:semiHidden/>
    <w:unhideWhenUsed/>
    <w:rsid w:val="000F61D2"/>
    <w:pPr>
      <w:ind w:left="1330" w:hanging="190"/>
      <w:jc w:val="left"/>
    </w:pPr>
    <w:rPr>
      <w:rFonts w:ascii="Arial" w:eastAsiaTheme="minorHAnsi" w:hAnsi="Arial" w:cstheme="minorBidi"/>
      <w:sz w:val="20"/>
      <w:szCs w:val="20"/>
      <w:lang w:eastAsia="en-US"/>
    </w:rPr>
  </w:style>
  <w:style w:type="paragraph" w:styleId="Index8">
    <w:name w:val="index 8"/>
    <w:basedOn w:val="Normal"/>
    <w:next w:val="Normal"/>
    <w:autoRedefine/>
    <w:uiPriority w:val="99"/>
    <w:semiHidden/>
    <w:unhideWhenUsed/>
    <w:rsid w:val="000F61D2"/>
    <w:pPr>
      <w:ind w:left="1520" w:hanging="190"/>
      <w:jc w:val="left"/>
    </w:pPr>
    <w:rPr>
      <w:rFonts w:ascii="Arial" w:eastAsiaTheme="minorHAnsi" w:hAnsi="Arial" w:cstheme="minorBidi"/>
      <w:sz w:val="20"/>
      <w:szCs w:val="20"/>
      <w:lang w:eastAsia="en-US"/>
    </w:rPr>
  </w:style>
  <w:style w:type="paragraph" w:styleId="Index9">
    <w:name w:val="index 9"/>
    <w:basedOn w:val="Normal"/>
    <w:next w:val="Normal"/>
    <w:autoRedefine/>
    <w:uiPriority w:val="99"/>
    <w:semiHidden/>
    <w:unhideWhenUsed/>
    <w:rsid w:val="000F61D2"/>
    <w:pPr>
      <w:ind w:left="1710" w:hanging="190"/>
      <w:jc w:val="left"/>
    </w:pPr>
    <w:rPr>
      <w:rFonts w:ascii="Arial" w:eastAsiaTheme="minorHAnsi" w:hAnsi="Arial" w:cstheme="minorBidi"/>
      <w:sz w:val="20"/>
      <w:szCs w:val="20"/>
      <w:lang w:eastAsia="en-US"/>
    </w:rPr>
  </w:style>
  <w:style w:type="paragraph" w:styleId="IndexHeading">
    <w:name w:val="index heading"/>
    <w:basedOn w:val="Normal"/>
    <w:next w:val="Index1"/>
    <w:uiPriority w:val="99"/>
    <w:semiHidden/>
    <w:unhideWhenUsed/>
    <w:rsid w:val="000F61D2"/>
    <w:pPr>
      <w:spacing w:after="240" w:line="360" w:lineRule="auto"/>
      <w:ind w:left="720" w:hanging="720"/>
      <w:jc w:val="left"/>
    </w:pPr>
    <w:rPr>
      <w:rFonts w:asciiTheme="majorHAnsi" w:eastAsiaTheme="majorEastAsia" w:hAnsiTheme="majorHAnsi" w:cstheme="majorBidi"/>
      <w:b/>
      <w:bCs/>
      <w:sz w:val="20"/>
      <w:szCs w:val="20"/>
      <w:lang w:eastAsia="en-US"/>
    </w:rPr>
  </w:style>
  <w:style w:type="character" w:styleId="IntenseEmphasis">
    <w:name w:val="Intense Emphasis"/>
    <w:basedOn w:val="DefaultParagraphFont"/>
    <w:uiPriority w:val="21"/>
    <w:qFormat/>
    <w:rsid w:val="000F61D2"/>
    <w:rPr>
      <w:b/>
      <w:bCs/>
      <w:i/>
      <w:iCs/>
      <w:noProof w:val="0"/>
      <w:color w:val="4F81BD" w:themeColor="accent1"/>
      <w:lang w:val="en-AU"/>
    </w:rPr>
  </w:style>
  <w:style w:type="paragraph" w:styleId="IntenseQuote">
    <w:name w:val="Intense Quote"/>
    <w:basedOn w:val="Normal"/>
    <w:next w:val="Normal"/>
    <w:link w:val="IntenseQuoteChar"/>
    <w:uiPriority w:val="30"/>
    <w:qFormat/>
    <w:rsid w:val="000F61D2"/>
    <w:pPr>
      <w:pBdr>
        <w:bottom w:val="single" w:sz="4" w:space="4" w:color="4F81BD" w:themeColor="accent1"/>
      </w:pBdr>
      <w:spacing w:before="200" w:after="280" w:line="360" w:lineRule="auto"/>
      <w:ind w:left="936" w:right="936" w:hanging="720"/>
      <w:jc w:val="left"/>
    </w:pPr>
    <w:rPr>
      <w:rFonts w:ascii="Arial" w:eastAsiaTheme="minorHAnsi" w:hAnsi="Arial" w:cstheme="minorBidi"/>
      <w:b/>
      <w:bCs/>
      <w:i/>
      <w:iCs/>
      <w:color w:val="4F81BD" w:themeColor="accent1"/>
      <w:sz w:val="20"/>
      <w:szCs w:val="20"/>
      <w:lang w:eastAsia="en-US"/>
    </w:rPr>
  </w:style>
  <w:style w:type="character" w:customStyle="1" w:styleId="IntenseQuoteChar">
    <w:name w:val="Intense Quote Char"/>
    <w:basedOn w:val="DefaultParagraphFont"/>
    <w:link w:val="IntenseQuote"/>
    <w:uiPriority w:val="30"/>
    <w:rsid w:val="000F61D2"/>
    <w:rPr>
      <w:rFonts w:ascii="Arial" w:eastAsiaTheme="minorHAnsi" w:hAnsi="Arial" w:cstheme="minorBidi"/>
      <w:b/>
      <w:bCs/>
      <w:i/>
      <w:iCs/>
      <w:color w:val="4F81BD" w:themeColor="accent1"/>
      <w:lang w:eastAsia="en-US"/>
    </w:rPr>
  </w:style>
  <w:style w:type="character" w:styleId="IntenseReference">
    <w:name w:val="Intense Reference"/>
    <w:basedOn w:val="DefaultParagraphFont"/>
    <w:uiPriority w:val="32"/>
    <w:qFormat/>
    <w:rsid w:val="000F61D2"/>
    <w:rPr>
      <w:b/>
      <w:bCs/>
      <w:smallCaps/>
      <w:noProof w:val="0"/>
      <w:color w:val="C0504D" w:themeColor="accent2"/>
      <w:spacing w:val="5"/>
      <w:u w:val="single"/>
      <w:lang w:val="en-AU"/>
    </w:rPr>
  </w:style>
  <w:style w:type="table" w:styleId="LightGrid">
    <w:name w:val="Light Grid"/>
    <w:basedOn w:val="TableNormal"/>
    <w:uiPriority w:val="62"/>
    <w:rsid w:val="000F61D2"/>
    <w:rPr>
      <w:rFonts w:ascii="Arial" w:eastAsiaTheme="minorHAnsi" w:hAnsi="Arial"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F61D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F61D2"/>
    <w:rPr>
      <w:rFonts w:ascii="Arial" w:eastAsiaTheme="minorHAnsi" w:hAnsi="Arial"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F61D2"/>
    <w:rPr>
      <w:rFonts w:ascii="Arial" w:eastAsiaTheme="minorHAnsi" w:hAnsi="Arial"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F61D2"/>
    <w:rPr>
      <w:rFonts w:ascii="Arial" w:eastAsiaTheme="minorHAnsi" w:hAnsi="Arial"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F61D2"/>
    <w:rPr>
      <w:rFonts w:ascii="Arial" w:eastAsiaTheme="minorHAnsi" w:hAnsi="Arial"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F61D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F61D2"/>
    <w:rPr>
      <w:rFonts w:ascii="Arial" w:eastAsiaTheme="minorHAnsi" w:hAnsi="Arial"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F61D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F61D2"/>
    <w:rPr>
      <w:rFonts w:ascii="Arial" w:eastAsiaTheme="minorHAnsi" w:hAnsi="Arial"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F61D2"/>
    <w:rPr>
      <w:rFonts w:ascii="Arial" w:eastAsiaTheme="minorHAnsi" w:hAnsi="Arial"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F61D2"/>
    <w:rPr>
      <w:rFonts w:ascii="Arial" w:eastAsiaTheme="minorHAnsi" w:hAnsi="Arial"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F61D2"/>
    <w:rPr>
      <w:rFonts w:ascii="Arial" w:eastAsiaTheme="minorHAnsi" w:hAnsi="Arial"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F61D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F61D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F61D2"/>
    <w:rPr>
      <w:rFonts w:ascii="Arial" w:eastAsiaTheme="minorHAnsi" w:hAnsi="Arial"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F61D2"/>
    <w:rPr>
      <w:rFonts w:ascii="Arial" w:eastAsiaTheme="minorHAnsi" w:hAnsi="Arial"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F61D2"/>
    <w:rPr>
      <w:rFonts w:ascii="Arial" w:eastAsiaTheme="minorHAnsi" w:hAnsi="Arial"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F61D2"/>
    <w:rPr>
      <w:rFonts w:ascii="Arial" w:eastAsiaTheme="minorHAnsi" w:hAnsi="Arial"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F61D2"/>
    <w:rPr>
      <w:rFonts w:ascii="Arial" w:eastAsiaTheme="minorHAnsi" w:hAnsi="Arial"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F61D2"/>
    <w:rPr>
      <w:rFonts w:ascii="Arial" w:eastAsiaTheme="minorHAnsi" w:hAnsi="Arial"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F61D2"/>
    <w:rPr>
      <w:noProof w:val="0"/>
      <w:lang w:val="en-AU"/>
    </w:rPr>
  </w:style>
  <w:style w:type="paragraph" w:styleId="List">
    <w:name w:val="List"/>
    <w:basedOn w:val="Normal"/>
    <w:uiPriority w:val="99"/>
    <w:semiHidden/>
    <w:unhideWhenUsed/>
    <w:rsid w:val="000F61D2"/>
    <w:pPr>
      <w:spacing w:after="240" w:line="360" w:lineRule="auto"/>
      <w:ind w:left="283" w:hanging="283"/>
      <w:contextualSpacing/>
      <w:jc w:val="left"/>
    </w:pPr>
    <w:rPr>
      <w:rFonts w:ascii="Arial" w:eastAsiaTheme="minorHAnsi" w:hAnsi="Arial" w:cstheme="minorBidi"/>
      <w:sz w:val="20"/>
      <w:szCs w:val="20"/>
      <w:lang w:eastAsia="en-US"/>
    </w:rPr>
  </w:style>
  <w:style w:type="paragraph" w:styleId="List2">
    <w:name w:val="List 2"/>
    <w:basedOn w:val="Normal"/>
    <w:uiPriority w:val="99"/>
    <w:semiHidden/>
    <w:unhideWhenUsed/>
    <w:rsid w:val="000F61D2"/>
    <w:pPr>
      <w:spacing w:after="240" w:line="360" w:lineRule="auto"/>
      <w:ind w:left="566" w:hanging="283"/>
      <w:contextualSpacing/>
      <w:jc w:val="left"/>
    </w:pPr>
    <w:rPr>
      <w:rFonts w:ascii="Arial" w:eastAsiaTheme="minorHAnsi" w:hAnsi="Arial" w:cstheme="minorBidi"/>
      <w:sz w:val="20"/>
      <w:szCs w:val="20"/>
      <w:lang w:eastAsia="en-US"/>
    </w:rPr>
  </w:style>
  <w:style w:type="paragraph" w:styleId="List3">
    <w:name w:val="List 3"/>
    <w:basedOn w:val="Normal"/>
    <w:uiPriority w:val="99"/>
    <w:semiHidden/>
    <w:unhideWhenUsed/>
    <w:rsid w:val="000F61D2"/>
    <w:pPr>
      <w:spacing w:after="240" w:line="360" w:lineRule="auto"/>
      <w:ind w:left="849" w:hanging="283"/>
      <w:contextualSpacing/>
      <w:jc w:val="left"/>
    </w:pPr>
    <w:rPr>
      <w:rFonts w:ascii="Arial" w:eastAsiaTheme="minorHAnsi" w:hAnsi="Arial" w:cstheme="minorBidi"/>
      <w:sz w:val="20"/>
      <w:szCs w:val="20"/>
      <w:lang w:eastAsia="en-US"/>
    </w:rPr>
  </w:style>
  <w:style w:type="paragraph" w:styleId="List4">
    <w:name w:val="List 4"/>
    <w:basedOn w:val="Normal"/>
    <w:uiPriority w:val="99"/>
    <w:unhideWhenUsed/>
    <w:rsid w:val="000F61D2"/>
    <w:pPr>
      <w:spacing w:after="240" w:line="360" w:lineRule="auto"/>
      <w:ind w:left="1132" w:hanging="283"/>
      <w:contextualSpacing/>
      <w:jc w:val="left"/>
    </w:pPr>
    <w:rPr>
      <w:rFonts w:ascii="Arial" w:eastAsiaTheme="minorHAnsi" w:hAnsi="Arial" w:cstheme="minorBidi"/>
      <w:sz w:val="20"/>
      <w:szCs w:val="20"/>
      <w:lang w:eastAsia="en-US"/>
    </w:rPr>
  </w:style>
  <w:style w:type="paragraph" w:styleId="List5">
    <w:name w:val="List 5"/>
    <w:basedOn w:val="Normal"/>
    <w:uiPriority w:val="99"/>
    <w:unhideWhenUsed/>
    <w:rsid w:val="000F61D2"/>
    <w:pPr>
      <w:spacing w:after="240" w:line="360" w:lineRule="auto"/>
      <w:ind w:left="1415" w:hanging="283"/>
      <w:contextualSpacing/>
      <w:jc w:val="left"/>
    </w:pPr>
    <w:rPr>
      <w:rFonts w:ascii="Arial" w:eastAsiaTheme="minorHAnsi" w:hAnsi="Arial" w:cstheme="minorBidi"/>
      <w:sz w:val="20"/>
      <w:szCs w:val="20"/>
      <w:lang w:eastAsia="en-US"/>
    </w:rPr>
  </w:style>
  <w:style w:type="paragraph" w:styleId="ListBullet5">
    <w:name w:val="List Bullet 5"/>
    <w:basedOn w:val="Normal"/>
    <w:uiPriority w:val="99"/>
    <w:semiHidden/>
    <w:rsid w:val="000F61D2"/>
    <w:pPr>
      <w:numPr>
        <w:numId w:val="24"/>
      </w:numPr>
      <w:spacing w:after="240" w:line="360" w:lineRule="auto"/>
      <w:contextualSpacing/>
      <w:jc w:val="left"/>
    </w:pPr>
    <w:rPr>
      <w:rFonts w:ascii="Arial" w:eastAsiaTheme="minorHAnsi" w:hAnsi="Arial" w:cstheme="minorBidi"/>
      <w:sz w:val="20"/>
      <w:szCs w:val="20"/>
      <w:lang w:eastAsia="en-US"/>
    </w:rPr>
  </w:style>
  <w:style w:type="paragraph" w:styleId="ListContinue">
    <w:name w:val="List Continue"/>
    <w:basedOn w:val="Normal"/>
    <w:uiPriority w:val="99"/>
    <w:semiHidden/>
    <w:unhideWhenUsed/>
    <w:rsid w:val="000F61D2"/>
    <w:pPr>
      <w:spacing w:after="240" w:line="360" w:lineRule="auto"/>
      <w:ind w:left="283" w:hanging="720"/>
      <w:contextualSpacing/>
      <w:jc w:val="left"/>
    </w:pPr>
    <w:rPr>
      <w:rFonts w:ascii="Arial" w:eastAsiaTheme="minorHAnsi" w:hAnsi="Arial" w:cstheme="minorBidi"/>
      <w:sz w:val="20"/>
      <w:szCs w:val="20"/>
      <w:lang w:eastAsia="en-US"/>
    </w:rPr>
  </w:style>
  <w:style w:type="paragraph" w:styleId="ListContinue2">
    <w:name w:val="List Continue 2"/>
    <w:basedOn w:val="Normal"/>
    <w:uiPriority w:val="99"/>
    <w:semiHidden/>
    <w:unhideWhenUsed/>
    <w:rsid w:val="000F61D2"/>
    <w:pPr>
      <w:spacing w:after="240" w:line="360" w:lineRule="auto"/>
      <w:ind w:left="566" w:hanging="720"/>
      <w:contextualSpacing/>
      <w:jc w:val="left"/>
    </w:pPr>
    <w:rPr>
      <w:rFonts w:ascii="Arial" w:eastAsiaTheme="minorHAnsi" w:hAnsi="Arial" w:cstheme="minorBidi"/>
      <w:sz w:val="20"/>
      <w:szCs w:val="20"/>
      <w:lang w:eastAsia="en-US"/>
    </w:rPr>
  </w:style>
  <w:style w:type="paragraph" w:styleId="ListContinue3">
    <w:name w:val="List Continue 3"/>
    <w:basedOn w:val="Normal"/>
    <w:uiPriority w:val="99"/>
    <w:semiHidden/>
    <w:unhideWhenUsed/>
    <w:rsid w:val="000F61D2"/>
    <w:pPr>
      <w:spacing w:after="240" w:line="360" w:lineRule="auto"/>
      <w:ind w:left="849" w:hanging="720"/>
      <w:contextualSpacing/>
      <w:jc w:val="left"/>
    </w:pPr>
    <w:rPr>
      <w:rFonts w:ascii="Arial" w:eastAsiaTheme="minorHAnsi" w:hAnsi="Arial" w:cstheme="minorBidi"/>
      <w:sz w:val="20"/>
      <w:szCs w:val="20"/>
      <w:lang w:eastAsia="en-US"/>
    </w:rPr>
  </w:style>
  <w:style w:type="paragraph" w:styleId="ListContinue4">
    <w:name w:val="List Continue 4"/>
    <w:basedOn w:val="Normal"/>
    <w:uiPriority w:val="99"/>
    <w:semiHidden/>
    <w:unhideWhenUsed/>
    <w:rsid w:val="000F61D2"/>
    <w:pPr>
      <w:spacing w:after="240" w:line="360" w:lineRule="auto"/>
      <w:ind w:left="1132" w:hanging="720"/>
      <w:contextualSpacing/>
      <w:jc w:val="left"/>
    </w:pPr>
    <w:rPr>
      <w:rFonts w:ascii="Arial" w:eastAsiaTheme="minorHAnsi" w:hAnsi="Arial" w:cstheme="minorBidi"/>
      <w:sz w:val="20"/>
      <w:szCs w:val="20"/>
      <w:lang w:eastAsia="en-US"/>
    </w:rPr>
  </w:style>
  <w:style w:type="paragraph" w:styleId="ListContinue5">
    <w:name w:val="List Continue 5"/>
    <w:basedOn w:val="Normal"/>
    <w:uiPriority w:val="99"/>
    <w:semiHidden/>
    <w:unhideWhenUsed/>
    <w:rsid w:val="000F61D2"/>
    <w:pPr>
      <w:spacing w:after="240" w:line="360" w:lineRule="auto"/>
      <w:ind w:left="1415" w:hanging="720"/>
      <w:contextualSpacing/>
      <w:jc w:val="left"/>
    </w:pPr>
    <w:rPr>
      <w:rFonts w:ascii="Arial" w:eastAsiaTheme="minorHAnsi" w:hAnsi="Arial" w:cstheme="minorBidi"/>
      <w:sz w:val="20"/>
      <w:szCs w:val="20"/>
      <w:lang w:eastAsia="en-US"/>
    </w:rPr>
  </w:style>
  <w:style w:type="paragraph" w:styleId="ListNumber5">
    <w:name w:val="List Number 5"/>
    <w:basedOn w:val="Normal"/>
    <w:uiPriority w:val="99"/>
    <w:semiHidden/>
    <w:rsid w:val="000F61D2"/>
    <w:pPr>
      <w:numPr>
        <w:numId w:val="25"/>
      </w:numPr>
      <w:spacing w:after="240" w:line="360" w:lineRule="auto"/>
      <w:contextualSpacing/>
      <w:jc w:val="left"/>
    </w:pPr>
    <w:rPr>
      <w:rFonts w:ascii="Arial" w:eastAsiaTheme="minorHAnsi" w:hAnsi="Arial" w:cstheme="minorBidi"/>
      <w:sz w:val="20"/>
      <w:szCs w:val="20"/>
      <w:lang w:eastAsia="en-US"/>
    </w:rPr>
  </w:style>
  <w:style w:type="paragraph" w:styleId="MacroText">
    <w:name w:val="macro"/>
    <w:link w:val="MacroTextChar"/>
    <w:uiPriority w:val="99"/>
    <w:semiHidden/>
    <w:unhideWhenUsed/>
    <w:rsid w:val="000F61D2"/>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eastAsiaTheme="minorHAnsi" w:hAnsi="Consolas" w:cstheme="minorBidi"/>
      <w:lang w:eastAsia="en-US"/>
    </w:rPr>
  </w:style>
  <w:style w:type="character" w:customStyle="1" w:styleId="MacroTextChar">
    <w:name w:val="Macro Text Char"/>
    <w:basedOn w:val="DefaultParagraphFont"/>
    <w:link w:val="MacroText"/>
    <w:uiPriority w:val="99"/>
    <w:semiHidden/>
    <w:rsid w:val="000F61D2"/>
    <w:rPr>
      <w:rFonts w:ascii="Consolas" w:eastAsiaTheme="minorHAnsi" w:hAnsi="Consolas" w:cstheme="minorBidi"/>
      <w:lang w:eastAsia="en-US"/>
    </w:rPr>
  </w:style>
  <w:style w:type="table" w:styleId="MediumGrid1">
    <w:name w:val="Medium Grid 1"/>
    <w:basedOn w:val="TableNormal"/>
    <w:uiPriority w:val="67"/>
    <w:rsid w:val="000F61D2"/>
    <w:rPr>
      <w:rFonts w:ascii="Arial" w:eastAsiaTheme="minorHAnsi" w:hAnsi="Arial"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F61D2"/>
    <w:rPr>
      <w:rFonts w:ascii="Arial" w:eastAsiaTheme="minorHAnsi" w:hAnsi="Arial"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F61D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F61D2"/>
    <w:rPr>
      <w:rFonts w:ascii="Arial" w:eastAsiaTheme="minorHAnsi" w:hAnsi="Arial"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F61D2"/>
    <w:rPr>
      <w:rFonts w:ascii="Arial" w:eastAsiaTheme="minorHAnsi" w:hAnsi="Arial"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F61D2"/>
    <w:rPr>
      <w:rFonts w:ascii="Arial" w:eastAsiaTheme="minorHAnsi" w:hAnsi="Arial"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F61D2"/>
    <w:rPr>
      <w:rFonts w:ascii="Arial" w:eastAsiaTheme="minorHAnsi" w:hAnsi="Arial"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F61D2"/>
    <w:rPr>
      <w:rFonts w:asciiTheme="majorHAnsi" w:eastAsiaTheme="majorEastAsia" w:hAnsiTheme="majorHAnsi" w:cstheme="maj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F61D2"/>
    <w:rPr>
      <w:rFonts w:asciiTheme="majorHAnsi" w:eastAsiaTheme="majorEastAsia" w:hAnsiTheme="majorHAnsi" w:cstheme="maj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F61D2"/>
    <w:rPr>
      <w:rFonts w:asciiTheme="majorHAnsi" w:eastAsiaTheme="majorEastAsia" w:hAnsiTheme="majorHAnsi" w:cstheme="maj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F61D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F61D2"/>
    <w:rPr>
      <w:rFonts w:asciiTheme="majorHAnsi" w:eastAsiaTheme="majorEastAsia" w:hAnsiTheme="majorHAnsi" w:cstheme="maj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F61D2"/>
    <w:rPr>
      <w:rFonts w:asciiTheme="majorHAnsi" w:eastAsiaTheme="majorEastAsia" w:hAnsiTheme="majorHAnsi" w:cstheme="maj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F61D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F61D2"/>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F61D2"/>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F61D2"/>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F61D2"/>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F61D2"/>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F61D2"/>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F61D2"/>
    <w:rPr>
      <w:rFonts w:ascii="Arial" w:eastAsiaTheme="minorHAnsi" w:hAnsi="Arial"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F61D2"/>
    <w:rPr>
      <w:rFonts w:ascii="Arial" w:eastAsiaTheme="minorHAnsi" w:hAnsi="Arial" w:cstheme="minorBidi"/>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F61D2"/>
    <w:rPr>
      <w:rFonts w:ascii="Arial" w:eastAsiaTheme="minorHAnsi" w:hAnsi="Arial" w:cstheme="minorBidi"/>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F61D2"/>
    <w:rPr>
      <w:rFonts w:ascii="Arial" w:eastAsiaTheme="minorHAnsi" w:hAnsi="Arial" w:cstheme="minorBidi"/>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F61D2"/>
    <w:rPr>
      <w:rFonts w:ascii="Arial" w:eastAsiaTheme="minorHAnsi" w:hAnsi="Arial" w:cstheme="minorBidi"/>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F61D2"/>
    <w:rPr>
      <w:rFonts w:ascii="Arial" w:eastAsiaTheme="minorHAnsi" w:hAnsi="Arial" w:cstheme="minorBidi"/>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F61D2"/>
    <w:rPr>
      <w:rFonts w:ascii="Arial" w:eastAsiaTheme="minorHAnsi" w:hAnsi="Arial" w:cstheme="minorBidi"/>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F61D2"/>
    <w:rPr>
      <w:rFonts w:ascii="Arial" w:eastAsiaTheme="minorHAnsi" w:hAnsi="Arial" w:cstheme="minorBidi"/>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F61D2"/>
    <w:rPr>
      <w:rFonts w:asciiTheme="majorHAnsi" w:eastAsiaTheme="majorEastAsia" w:hAnsiTheme="majorHAnsi" w:cstheme="maj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F61D2"/>
    <w:rPr>
      <w:rFonts w:asciiTheme="majorHAnsi" w:eastAsiaTheme="majorEastAsia" w:hAnsiTheme="majorHAnsi" w:cstheme="maj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F61D2"/>
    <w:rPr>
      <w:rFonts w:asciiTheme="majorHAnsi" w:eastAsiaTheme="majorEastAsia" w:hAnsiTheme="majorHAnsi" w:cstheme="maj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F61D2"/>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F61D2"/>
    <w:rPr>
      <w:rFonts w:asciiTheme="majorHAnsi" w:eastAsiaTheme="majorEastAsia" w:hAnsiTheme="majorHAnsi" w:cstheme="maj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F61D2"/>
    <w:rPr>
      <w:rFonts w:asciiTheme="majorHAnsi" w:eastAsiaTheme="majorEastAsia" w:hAnsiTheme="majorHAnsi" w:cstheme="maj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F61D2"/>
    <w:rPr>
      <w:rFonts w:asciiTheme="majorHAnsi" w:eastAsiaTheme="majorEastAsia" w:hAnsiTheme="majorHAnsi" w:cstheme="maj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F61D2"/>
    <w:rPr>
      <w:rFonts w:ascii="Arial" w:eastAsiaTheme="minorHAnsi" w:hAnsi="Arial"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F61D2"/>
    <w:rPr>
      <w:rFonts w:ascii="Arial" w:eastAsiaTheme="minorHAnsi" w:hAnsi="Arial"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F61D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F61D2"/>
    <w:rPr>
      <w:rFonts w:ascii="Arial" w:eastAsiaTheme="minorHAnsi" w:hAnsi="Arial"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F61D2"/>
    <w:rPr>
      <w:rFonts w:ascii="Arial" w:eastAsiaTheme="minorHAnsi" w:hAnsi="Arial"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F61D2"/>
    <w:rPr>
      <w:rFonts w:ascii="Arial" w:eastAsiaTheme="minorHAnsi" w:hAnsi="Arial"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F61D2"/>
    <w:rPr>
      <w:rFonts w:ascii="Arial" w:eastAsiaTheme="minorHAnsi" w:hAnsi="Arial"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F61D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F61D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F61D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F61D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F61D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F61D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F61D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F61D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Theme="majorHAnsi" w:eastAsiaTheme="majorEastAsia" w:hAnsiTheme="majorHAnsi" w:cstheme="majorBidi"/>
      <w:sz w:val="20"/>
      <w:szCs w:val="20"/>
      <w:lang w:eastAsia="en-US"/>
    </w:rPr>
  </w:style>
  <w:style w:type="character" w:customStyle="1" w:styleId="MessageHeaderChar">
    <w:name w:val="Message Header Char"/>
    <w:basedOn w:val="DefaultParagraphFont"/>
    <w:link w:val="MessageHeader"/>
    <w:uiPriority w:val="99"/>
    <w:semiHidden/>
    <w:rsid w:val="000F61D2"/>
    <w:rPr>
      <w:rFonts w:asciiTheme="majorHAnsi" w:eastAsiaTheme="majorEastAsia" w:hAnsiTheme="majorHAnsi" w:cstheme="majorBidi"/>
      <w:shd w:val="pct20" w:color="auto" w:fill="auto"/>
      <w:lang w:eastAsia="en-US"/>
    </w:rPr>
  </w:style>
  <w:style w:type="paragraph" w:styleId="NormalIndent">
    <w:name w:val="Normal Indent"/>
    <w:basedOn w:val="Normal"/>
    <w:uiPriority w:val="99"/>
    <w:semiHidden/>
    <w:unhideWhenUsed/>
    <w:rsid w:val="000F61D2"/>
    <w:pPr>
      <w:spacing w:after="240" w:line="360" w:lineRule="auto"/>
      <w:ind w:left="720" w:hanging="720"/>
      <w:jc w:val="left"/>
    </w:pPr>
    <w:rPr>
      <w:rFonts w:ascii="Arial" w:eastAsiaTheme="minorHAnsi" w:hAnsi="Arial" w:cstheme="minorBidi"/>
      <w:sz w:val="20"/>
      <w:szCs w:val="20"/>
      <w:lang w:eastAsia="en-US"/>
    </w:rPr>
  </w:style>
  <w:style w:type="paragraph" w:styleId="NoteHeading">
    <w:name w:val="Note Heading"/>
    <w:basedOn w:val="Normal"/>
    <w:next w:val="Normal"/>
    <w:link w:val="NoteHeadingChar"/>
    <w:uiPriority w:val="99"/>
    <w:semiHidden/>
    <w:unhideWhenUsed/>
    <w:rsid w:val="000F61D2"/>
    <w:pPr>
      <w:ind w:left="720" w:hanging="720"/>
      <w:jc w:val="left"/>
    </w:pPr>
    <w:rPr>
      <w:rFonts w:ascii="Arial" w:eastAsiaTheme="minorHAnsi" w:hAnsi="Arial" w:cstheme="minorBidi"/>
      <w:sz w:val="20"/>
      <w:szCs w:val="20"/>
      <w:lang w:eastAsia="en-US"/>
    </w:rPr>
  </w:style>
  <w:style w:type="character" w:customStyle="1" w:styleId="NoteHeadingChar">
    <w:name w:val="Note Heading Char"/>
    <w:basedOn w:val="DefaultParagraphFont"/>
    <w:link w:val="NoteHeading"/>
    <w:uiPriority w:val="99"/>
    <w:semiHidden/>
    <w:rsid w:val="000F61D2"/>
    <w:rPr>
      <w:rFonts w:ascii="Arial" w:eastAsiaTheme="minorHAnsi" w:hAnsi="Arial" w:cstheme="minorBidi"/>
      <w:lang w:eastAsia="en-US"/>
    </w:rPr>
  </w:style>
  <w:style w:type="paragraph" w:styleId="PlainText">
    <w:name w:val="Plain Text"/>
    <w:basedOn w:val="Normal"/>
    <w:link w:val="PlainTextChar"/>
    <w:uiPriority w:val="99"/>
    <w:semiHidden/>
    <w:unhideWhenUsed/>
    <w:rsid w:val="000F61D2"/>
    <w:pPr>
      <w:ind w:left="720" w:hanging="720"/>
      <w:jc w:val="left"/>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0F61D2"/>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0F61D2"/>
    <w:pPr>
      <w:spacing w:after="240" w:line="360" w:lineRule="auto"/>
      <w:ind w:left="720" w:hanging="720"/>
      <w:jc w:val="left"/>
    </w:pPr>
    <w:rPr>
      <w:rFonts w:ascii="Arial" w:eastAsiaTheme="minorHAnsi" w:hAnsi="Arial" w:cstheme="minorBidi"/>
      <w:i/>
      <w:iCs/>
      <w:sz w:val="20"/>
      <w:szCs w:val="20"/>
      <w:lang w:eastAsia="en-US"/>
    </w:rPr>
  </w:style>
  <w:style w:type="character" w:customStyle="1" w:styleId="QuoteChar">
    <w:name w:val="Quote Char"/>
    <w:basedOn w:val="DefaultParagraphFont"/>
    <w:link w:val="Quote"/>
    <w:uiPriority w:val="29"/>
    <w:rsid w:val="000F61D2"/>
    <w:rPr>
      <w:rFonts w:ascii="Arial" w:eastAsiaTheme="minorHAnsi" w:hAnsi="Arial" w:cstheme="minorBidi"/>
      <w:i/>
      <w:iCs/>
      <w:lang w:eastAsia="en-US"/>
    </w:rPr>
  </w:style>
  <w:style w:type="paragraph" w:styleId="Salutation">
    <w:name w:val="Salutation"/>
    <w:basedOn w:val="Normal"/>
    <w:next w:val="Normal"/>
    <w:link w:val="SalutationChar"/>
    <w:uiPriority w:val="99"/>
    <w:unhideWhenUsed/>
    <w:rsid w:val="000F61D2"/>
    <w:pPr>
      <w:spacing w:after="240" w:line="360" w:lineRule="auto"/>
      <w:ind w:left="720" w:hanging="720"/>
      <w:jc w:val="left"/>
    </w:pPr>
    <w:rPr>
      <w:rFonts w:ascii="Arial" w:eastAsiaTheme="minorHAnsi" w:hAnsi="Arial" w:cstheme="minorBidi"/>
      <w:sz w:val="20"/>
      <w:szCs w:val="20"/>
      <w:lang w:eastAsia="en-US"/>
    </w:rPr>
  </w:style>
  <w:style w:type="character" w:customStyle="1" w:styleId="SalutationChar">
    <w:name w:val="Salutation Char"/>
    <w:basedOn w:val="DefaultParagraphFont"/>
    <w:link w:val="Salutation"/>
    <w:uiPriority w:val="99"/>
    <w:rsid w:val="000F61D2"/>
    <w:rPr>
      <w:rFonts w:ascii="Arial" w:eastAsiaTheme="minorHAnsi" w:hAnsi="Arial" w:cstheme="minorBidi"/>
      <w:lang w:eastAsia="en-US"/>
    </w:rPr>
  </w:style>
  <w:style w:type="paragraph" w:styleId="Signature">
    <w:name w:val="Signature"/>
    <w:basedOn w:val="Normal"/>
    <w:link w:val="SignatureChar"/>
    <w:uiPriority w:val="99"/>
    <w:semiHidden/>
    <w:unhideWhenUsed/>
    <w:rsid w:val="000F61D2"/>
    <w:pPr>
      <w:ind w:left="4252" w:hanging="720"/>
      <w:jc w:val="left"/>
    </w:pPr>
    <w:rPr>
      <w:rFonts w:ascii="Arial" w:eastAsiaTheme="minorHAnsi" w:hAnsi="Arial" w:cstheme="minorBidi"/>
      <w:sz w:val="20"/>
      <w:szCs w:val="20"/>
      <w:lang w:eastAsia="en-US"/>
    </w:rPr>
  </w:style>
  <w:style w:type="character" w:customStyle="1" w:styleId="SignatureChar">
    <w:name w:val="Signature Char"/>
    <w:basedOn w:val="DefaultParagraphFont"/>
    <w:link w:val="Signature"/>
    <w:uiPriority w:val="99"/>
    <w:semiHidden/>
    <w:rsid w:val="000F61D2"/>
    <w:rPr>
      <w:rFonts w:ascii="Arial" w:eastAsiaTheme="minorHAnsi" w:hAnsi="Arial" w:cstheme="minorBidi"/>
      <w:lang w:eastAsia="en-US"/>
    </w:rPr>
  </w:style>
  <w:style w:type="character" w:styleId="Strong">
    <w:name w:val="Strong"/>
    <w:basedOn w:val="DefaultParagraphFont"/>
    <w:uiPriority w:val="22"/>
    <w:qFormat/>
    <w:rsid w:val="000F61D2"/>
    <w:rPr>
      <w:b/>
      <w:bCs/>
      <w:noProof w:val="0"/>
      <w:lang w:val="en-AU"/>
    </w:rPr>
  </w:style>
  <w:style w:type="character" w:styleId="SubtleEmphasis">
    <w:name w:val="Subtle Emphasis"/>
    <w:basedOn w:val="DefaultParagraphFont"/>
    <w:uiPriority w:val="19"/>
    <w:qFormat/>
    <w:rsid w:val="000F61D2"/>
    <w:rPr>
      <w:i/>
      <w:iCs/>
      <w:noProof w:val="0"/>
      <w:color w:val="808080" w:themeColor="text1" w:themeTint="7F"/>
      <w:lang w:val="en-AU"/>
    </w:rPr>
  </w:style>
  <w:style w:type="character" w:styleId="SubtleReference">
    <w:name w:val="Subtle Reference"/>
    <w:basedOn w:val="DefaultParagraphFont"/>
    <w:uiPriority w:val="31"/>
    <w:qFormat/>
    <w:rsid w:val="000F61D2"/>
    <w:rPr>
      <w:smallCaps/>
      <w:noProof w:val="0"/>
      <w:color w:val="C0504D" w:themeColor="accent2"/>
      <w:u w:val="single"/>
      <w:lang w:val="en-AU"/>
    </w:rPr>
  </w:style>
  <w:style w:type="table" w:styleId="Table3Deffects1">
    <w:name w:val="Table 3D effects 1"/>
    <w:basedOn w:val="TableNormal"/>
    <w:uiPriority w:val="99"/>
    <w:semiHidden/>
    <w:unhideWhenUsed/>
    <w:rsid w:val="000F61D2"/>
    <w:pPr>
      <w:spacing w:after="360" w:line="360" w:lineRule="auto"/>
    </w:pPr>
    <w:rPr>
      <w:rFonts w:ascii="Arial" w:eastAsiaTheme="minorHAnsi" w:hAnsi="Arial"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F61D2"/>
    <w:pPr>
      <w:spacing w:after="360" w:line="360" w:lineRule="auto"/>
    </w:pPr>
    <w:rPr>
      <w:rFonts w:ascii="Arial" w:eastAsiaTheme="minorHAnsi" w:hAnsi="Arial"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F61D2"/>
    <w:pPr>
      <w:spacing w:after="360" w:line="360" w:lineRule="auto"/>
    </w:pPr>
    <w:rPr>
      <w:rFonts w:ascii="Arial" w:eastAsiaTheme="minorHAnsi" w:hAnsi="Arial"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61D2"/>
    <w:pPr>
      <w:spacing w:after="360" w:line="360" w:lineRule="auto"/>
    </w:pPr>
    <w:rPr>
      <w:rFonts w:ascii="Arial" w:eastAsiaTheme="minorHAnsi" w:hAnsi="Arial"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61D2"/>
    <w:pPr>
      <w:spacing w:after="360" w:line="360" w:lineRule="auto"/>
    </w:pPr>
    <w:rPr>
      <w:rFonts w:ascii="Arial" w:eastAsiaTheme="minorHAnsi" w:hAnsi="Arial"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61D2"/>
    <w:pPr>
      <w:spacing w:after="360" w:line="360" w:lineRule="auto"/>
    </w:pPr>
    <w:rPr>
      <w:rFonts w:ascii="Arial" w:eastAsiaTheme="minorHAnsi" w:hAnsi="Arial"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61D2"/>
    <w:pPr>
      <w:spacing w:after="360" w:line="360" w:lineRule="auto"/>
    </w:pPr>
    <w:rPr>
      <w:rFonts w:ascii="Arial" w:eastAsiaTheme="minorHAnsi" w:hAnsi="Arial"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61D2"/>
    <w:pPr>
      <w:spacing w:after="360" w:line="360" w:lineRule="auto"/>
    </w:pPr>
    <w:rPr>
      <w:rFonts w:ascii="Arial" w:eastAsiaTheme="minorHAnsi" w:hAnsi="Arial"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61D2"/>
    <w:pPr>
      <w:spacing w:after="360" w:line="360" w:lineRule="auto"/>
    </w:pPr>
    <w:rPr>
      <w:rFonts w:ascii="Arial" w:eastAsiaTheme="minorHAnsi" w:hAnsi="Arial"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61D2"/>
    <w:pPr>
      <w:spacing w:after="360" w:line="360" w:lineRule="auto"/>
    </w:pPr>
    <w:rPr>
      <w:rFonts w:ascii="Arial" w:eastAsiaTheme="minorHAnsi" w:hAnsi="Arial"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61D2"/>
    <w:pPr>
      <w:spacing w:after="360" w:line="360" w:lineRule="auto"/>
    </w:pPr>
    <w:rPr>
      <w:rFonts w:ascii="Arial" w:eastAsiaTheme="minorHAnsi" w:hAnsi="Arial"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61D2"/>
    <w:pPr>
      <w:spacing w:after="360" w:line="360" w:lineRule="auto"/>
    </w:pPr>
    <w:rPr>
      <w:rFonts w:ascii="Arial" w:eastAsiaTheme="minorHAnsi" w:hAnsi="Arial"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61D2"/>
    <w:pPr>
      <w:spacing w:after="360" w:line="360" w:lineRule="auto"/>
    </w:pPr>
    <w:rPr>
      <w:rFonts w:ascii="Arial" w:eastAsiaTheme="minorHAnsi" w:hAnsi="Arial"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F61D2"/>
    <w:pPr>
      <w:spacing w:after="360" w:line="360" w:lineRule="auto"/>
    </w:pPr>
    <w:rPr>
      <w:rFonts w:ascii="Arial" w:eastAsiaTheme="minorHAnsi" w:hAnsi="Arial"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F61D2"/>
    <w:pPr>
      <w:spacing w:after="360" w:line="360" w:lineRule="auto"/>
    </w:pPr>
    <w:rPr>
      <w:rFonts w:ascii="Arial" w:eastAsiaTheme="minorHAnsi" w:hAnsi="Arial"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61D2"/>
    <w:pPr>
      <w:spacing w:after="360" w:line="360" w:lineRule="auto"/>
    </w:pPr>
    <w:rPr>
      <w:rFonts w:ascii="Arial" w:eastAsiaTheme="minorHAnsi" w:hAnsi="Arial"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F61D2"/>
    <w:pPr>
      <w:spacing w:after="360" w:line="360" w:lineRule="auto"/>
    </w:pPr>
    <w:rPr>
      <w:rFonts w:ascii="Arial" w:eastAsiaTheme="minorHAnsi" w:hAnsi="Arial"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61D2"/>
    <w:pPr>
      <w:spacing w:after="360" w:line="360" w:lineRule="auto"/>
    </w:pPr>
    <w:rPr>
      <w:rFonts w:ascii="Arial" w:eastAsiaTheme="minorHAnsi" w:hAnsi="Arial"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61D2"/>
    <w:pPr>
      <w:spacing w:after="360" w:line="360" w:lineRule="auto"/>
    </w:pPr>
    <w:rPr>
      <w:rFonts w:ascii="Arial" w:eastAsiaTheme="minorHAnsi" w:hAnsi="Arial"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61D2"/>
    <w:pPr>
      <w:spacing w:after="360" w:line="360" w:lineRule="auto"/>
    </w:pPr>
    <w:rPr>
      <w:rFonts w:ascii="Arial" w:eastAsiaTheme="minorHAnsi" w:hAnsi="Arial"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61D2"/>
    <w:pPr>
      <w:spacing w:after="360" w:line="360" w:lineRule="auto"/>
    </w:pPr>
    <w:rPr>
      <w:rFonts w:ascii="Arial" w:eastAsiaTheme="minorHAnsi" w:hAnsi="Arial"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61D2"/>
    <w:pPr>
      <w:spacing w:line="360" w:lineRule="auto"/>
      <w:ind w:left="190" w:hanging="190"/>
      <w:jc w:val="left"/>
    </w:pPr>
    <w:rPr>
      <w:rFonts w:ascii="Arial" w:eastAsiaTheme="minorHAnsi" w:hAnsi="Arial" w:cstheme="minorBidi"/>
      <w:sz w:val="20"/>
      <w:szCs w:val="20"/>
      <w:lang w:eastAsia="en-US"/>
    </w:rPr>
  </w:style>
  <w:style w:type="paragraph" w:styleId="TableofFigures">
    <w:name w:val="table of figures"/>
    <w:basedOn w:val="Normal"/>
    <w:next w:val="Normal"/>
    <w:uiPriority w:val="99"/>
    <w:rsid w:val="000F61D2"/>
    <w:pPr>
      <w:tabs>
        <w:tab w:val="left" w:pos="1418"/>
        <w:tab w:val="right" w:leader="dot" w:pos="9639"/>
      </w:tabs>
      <w:spacing w:line="360" w:lineRule="auto"/>
      <w:ind w:left="1418" w:hanging="1418"/>
      <w:jc w:val="left"/>
    </w:pPr>
    <w:rPr>
      <w:rFonts w:ascii="Arial" w:eastAsiaTheme="minorHAnsi" w:hAnsi="Arial" w:cstheme="minorBidi"/>
      <w:b/>
      <w:sz w:val="20"/>
      <w:szCs w:val="20"/>
      <w:lang w:eastAsia="en-US"/>
    </w:rPr>
  </w:style>
  <w:style w:type="table" w:styleId="TableProfessional">
    <w:name w:val="Table Professional"/>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61D2"/>
    <w:pPr>
      <w:spacing w:after="360" w:line="360" w:lineRule="auto"/>
    </w:pPr>
    <w:rPr>
      <w:rFonts w:ascii="Arial" w:eastAsiaTheme="minorHAnsi" w:hAnsi="Arial"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61D2"/>
    <w:pPr>
      <w:spacing w:after="360" w:line="360" w:lineRule="auto"/>
    </w:pPr>
    <w:rPr>
      <w:rFonts w:ascii="Arial" w:eastAsiaTheme="minorHAnsi" w:hAnsi="Arial"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61D2"/>
    <w:pPr>
      <w:spacing w:after="360" w:line="360" w:lineRule="auto"/>
    </w:pPr>
    <w:rPr>
      <w:rFonts w:ascii="Arial" w:eastAsiaTheme="minorHAnsi" w:hAnsi="Arial"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61D2"/>
    <w:pPr>
      <w:spacing w:after="360" w:line="360" w:lineRule="auto"/>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61D2"/>
    <w:pPr>
      <w:spacing w:after="360" w:line="360" w:lineRule="auto"/>
    </w:pPr>
    <w:rPr>
      <w:rFonts w:ascii="Arial" w:eastAsiaTheme="minorHAnsi" w:hAnsi="Arial"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61D2"/>
    <w:pPr>
      <w:spacing w:after="360" w:line="360" w:lineRule="auto"/>
    </w:pPr>
    <w:rPr>
      <w:rFonts w:ascii="Arial" w:eastAsiaTheme="minorHAnsi" w:hAnsi="Arial"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61D2"/>
    <w:pPr>
      <w:spacing w:after="360" w:line="360" w:lineRule="auto"/>
    </w:pPr>
    <w:rPr>
      <w:rFonts w:ascii="Arial" w:eastAsiaTheme="minorHAnsi" w:hAnsi="Arial"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0F61D2"/>
    <w:pPr>
      <w:pageBreakBefore/>
      <w:spacing w:before="480" w:after="240" w:line="360" w:lineRule="auto"/>
      <w:ind w:left="720" w:hanging="720"/>
      <w:jc w:val="left"/>
    </w:pPr>
    <w:rPr>
      <w:rFonts w:asciiTheme="majorHAnsi" w:eastAsiaTheme="majorEastAsia" w:hAnsiTheme="majorHAnsi" w:cstheme="majorBidi"/>
      <w:b/>
      <w:bCs/>
      <w:sz w:val="32"/>
      <w:szCs w:val="20"/>
      <w:lang w:eastAsia="en-US"/>
    </w:rPr>
  </w:style>
  <w:style w:type="numbering" w:customStyle="1" w:styleId="GeneralList">
    <w:name w:val="General List"/>
    <w:uiPriority w:val="99"/>
    <w:locked/>
    <w:rsid w:val="000F61D2"/>
    <w:pPr>
      <w:numPr>
        <w:numId w:val="23"/>
      </w:numPr>
    </w:pPr>
  </w:style>
  <w:style w:type="numbering" w:customStyle="1" w:styleId="CustomHeadingList">
    <w:name w:val="Custom Heading List"/>
    <w:uiPriority w:val="99"/>
    <w:rsid w:val="000F61D2"/>
    <w:pPr>
      <w:numPr>
        <w:numId w:val="22"/>
      </w:numPr>
    </w:pPr>
  </w:style>
  <w:style w:type="paragraph" w:customStyle="1" w:styleId="ExecSummBody">
    <w:name w:val="Exec Summ Body"/>
    <w:basedOn w:val="Normal"/>
    <w:uiPriority w:val="17"/>
    <w:qFormat/>
    <w:rsid w:val="000F61D2"/>
    <w:pPr>
      <w:spacing w:after="80"/>
      <w:ind w:left="720" w:hanging="720"/>
      <w:jc w:val="left"/>
    </w:pPr>
    <w:rPr>
      <w:rFonts w:ascii="Arial" w:eastAsiaTheme="minorHAnsi" w:hAnsi="Arial" w:cstheme="minorBidi"/>
      <w:sz w:val="22"/>
      <w:szCs w:val="20"/>
      <w:lang w:eastAsia="en-US"/>
    </w:rPr>
  </w:style>
  <w:style w:type="table" w:customStyle="1" w:styleId="ExecSummTable">
    <w:name w:val="Exec Summ Table"/>
    <w:basedOn w:val="MSDShaded"/>
    <w:uiPriority w:val="99"/>
    <w:rsid w:val="000F61D2"/>
    <w:pPr>
      <w:spacing w:after="80"/>
    </w:pPr>
    <w:rPr>
      <w:sz w:val="18"/>
      <w:lang w:val="en-US" w:eastAsia="ja-JP" w:bidi="th-TH"/>
    </w:rP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paragraph" w:customStyle="1" w:styleId="CoverReportNumber">
    <w:name w:val="Cover Report Number"/>
    <w:basedOn w:val="Normal"/>
    <w:uiPriority w:val="21"/>
    <w:unhideWhenUsed/>
    <w:rsid w:val="000F61D2"/>
    <w:pPr>
      <w:spacing w:line="360" w:lineRule="auto"/>
      <w:ind w:left="720" w:hanging="720"/>
      <w:jc w:val="left"/>
    </w:pPr>
    <w:rPr>
      <w:rFonts w:ascii="Arial" w:eastAsiaTheme="minorHAnsi" w:hAnsi="Arial" w:cstheme="minorBidi"/>
      <w:sz w:val="20"/>
      <w:szCs w:val="20"/>
      <w:lang w:eastAsia="en-US"/>
    </w:rPr>
  </w:style>
  <w:style w:type="paragraph" w:customStyle="1" w:styleId="CoverVersionDate">
    <w:name w:val="Cover Version / Date"/>
    <w:basedOn w:val="CoverReportNumber"/>
    <w:uiPriority w:val="21"/>
    <w:rsid w:val="000F61D2"/>
    <w:pPr>
      <w:jc w:val="center"/>
    </w:pPr>
    <w:rPr>
      <w:b/>
      <w:caps/>
      <w:sz w:val="24"/>
    </w:rPr>
  </w:style>
  <w:style w:type="table" w:customStyle="1" w:styleId="TableGridLight1">
    <w:name w:val="Table Grid Light1"/>
    <w:basedOn w:val="TableNormal"/>
    <w:uiPriority w:val="40"/>
    <w:locked/>
    <w:rsid w:val="000F61D2"/>
    <w:rPr>
      <w:rFonts w:ascii="Arial" w:eastAsiaTheme="minorHAnsi" w:hAnsi="Arial"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locked/>
    <w:rsid w:val="000F61D2"/>
    <w:pPr>
      <w:numPr>
        <w:numId w:val="21"/>
      </w:numPr>
    </w:pPr>
  </w:style>
  <w:style w:type="paragraph" w:customStyle="1" w:styleId="PartHeading">
    <w:name w:val="Part Heading"/>
    <w:basedOn w:val="Normal"/>
    <w:next w:val="Normal"/>
    <w:uiPriority w:val="7"/>
    <w:qFormat/>
    <w:rsid w:val="000F61D2"/>
    <w:pPr>
      <w:pageBreakBefore/>
      <w:spacing w:after="240" w:line="360" w:lineRule="auto"/>
      <w:jc w:val="left"/>
    </w:pPr>
    <w:rPr>
      <w:rFonts w:ascii="Arial" w:eastAsiaTheme="minorHAnsi" w:hAnsi="Arial" w:cstheme="minorBidi"/>
      <w:b/>
      <w:caps/>
      <w:sz w:val="40"/>
      <w:szCs w:val="20"/>
      <w:lang w:eastAsia="en-US"/>
    </w:rPr>
  </w:style>
  <w:style w:type="paragraph" w:customStyle="1" w:styleId="Heading1NoNumbers">
    <w:name w:val="Heading 1 No Numbers"/>
    <w:basedOn w:val="Heading1"/>
    <w:next w:val="Normal"/>
    <w:uiPriority w:val="8"/>
    <w:qFormat/>
    <w:rsid w:val="000F61D2"/>
    <w:pPr>
      <w:keepNext/>
      <w:spacing w:before="240" w:after="240" w:line="360" w:lineRule="auto"/>
      <w:ind w:left="0" w:firstLine="0"/>
      <w:jc w:val="left"/>
    </w:pPr>
    <w:rPr>
      <w:rFonts w:asciiTheme="majorHAnsi" w:eastAsiaTheme="majorEastAsia" w:hAnsiTheme="majorHAnsi" w:cstheme="majorBidi"/>
      <w:bCs/>
      <w:szCs w:val="28"/>
      <w:lang w:eastAsia="en-US"/>
    </w:rPr>
  </w:style>
  <w:style w:type="paragraph" w:customStyle="1" w:styleId="SubSectionHeading1">
    <w:name w:val="Sub Section Heading 1"/>
    <w:basedOn w:val="Heading1"/>
    <w:uiPriority w:val="8"/>
    <w:qFormat/>
    <w:rsid w:val="000F61D2"/>
    <w:pPr>
      <w:keepNext/>
      <w:spacing w:before="240" w:after="240" w:line="360" w:lineRule="auto"/>
      <w:ind w:left="0" w:firstLine="0"/>
      <w:jc w:val="left"/>
    </w:pPr>
    <w:rPr>
      <w:rFonts w:asciiTheme="majorHAnsi" w:eastAsiaTheme="majorEastAsia" w:hAnsiTheme="majorHAnsi" w:cstheme="majorBidi"/>
      <w:bCs/>
      <w:szCs w:val="28"/>
      <w:lang w:eastAsia="en-US"/>
    </w:rPr>
  </w:style>
  <w:style w:type="paragraph" w:customStyle="1" w:styleId="Heading2NoNumbers">
    <w:name w:val="Heading 2 No Numbers"/>
    <w:basedOn w:val="Heading2"/>
    <w:next w:val="Normal"/>
    <w:uiPriority w:val="9"/>
    <w:qFormat/>
    <w:rsid w:val="000F61D2"/>
    <w:pPr>
      <w:keepNext/>
      <w:spacing w:before="120" w:after="240" w:line="360" w:lineRule="auto"/>
      <w:jc w:val="left"/>
    </w:pPr>
    <w:rPr>
      <w:rFonts w:asciiTheme="majorHAnsi" w:eastAsiaTheme="majorEastAsia" w:hAnsiTheme="majorHAnsi" w:cstheme="majorBidi"/>
      <w:bCs/>
      <w:i w:val="0"/>
      <w:smallCaps/>
      <w:szCs w:val="26"/>
      <w:lang w:eastAsia="en-US"/>
    </w:rPr>
  </w:style>
  <w:style w:type="paragraph" w:customStyle="1" w:styleId="Heading3NoNumbers">
    <w:name w:val="Heading 3 No Numbers"/>
    <w:basedOn w:val="Heading3"/>
    <w:next w:val="Normal"/>
    <w:uiPriority w:val="9"/>
    <w:qFormat/>
    <w:rsid w:val="000F61D2"/>
    <w:pPr>
      <w:keepNext/>
      <w:spacing w:before="120" w:after="120" w:line="360" w:lineRule="auto"/>
      <w:jc w:val="left"/>
    </w:pPr>
    <w:rPr>
      <w:rFonts w:asciiTheme="majorHAnsi" w:eastAsiaTheme="majorEastAsia" w:hAnsiTheme="majorHAnsi" w:cstheme="majorBidi"/>
      <w:b/>
      <w:bCs/>
      <w:szCs w:val="20"/>
      <w:u w:val="none"/>
      <w:lang w:eastAsia="en-US"/>
    </w:rPr>
  </w:style>
  <w:style w:type="paragraph" w:customStyle="1" w:styleId="Heading4NoNumbers">
    <w:name w:val="Heading 4 No Numbers"/>
    <w:basedOn w:val="Heading4"/>
    <w:next w:val="Normal"/>
    <w:uiPriority w:val="9"/>
    <w:qFormat/>
    <w:rsid w:val="000F61D2"/>
    <w:pPr>
      <w:spacing w:before="120" w:after="120" w:line="360" w:lineRule="auto"/>
      <w:jc w:val="left"/>
    </w:pPr>
    <w:rPr>
      <w:rFonts w:asciiTheme="majorHAnsi" w:eastAsiaTheme="majorEastAsia" w:hAnsiTheme="majorHAnsi" w:cstheme="majorBidi"/>
      <w:i w:val="0"/>
      <w:iCs/>
      <w:sz w:val="24"/>
      <w:szCs w:val="20"/>
      <w:lang w:eastAsia="en-US"/>
    </w:rPr>
  </w:style>
  <w:style w:type="paragraph" w:customStyle="1" w:styleId="ConfidentialityStatement">
    <w:name w:val="Confidentiality Statement"/>
    <w:basedOn w:val="Normal"/>
    <w:uiPriority w:val="22"/>
    <w:qFormat/>
    <w:rsid w:val="000F61D2"/>
    <w:pPr>
      <w:spacing w:before="1000" w:after="1134" w:line="360" w:lineRule="auto"/>
      <w:jc w:val="center"/>
    </w:pPr>
    <w:rPr>
      <w:rFonts w:ascii="Arial" w:eastAsiaTheme="minorHAnsi" w:hAnsi="Arial" w:cstheme="minorBidi"/>
      <w:b/>
      <w:szCs w:val="20"/>
      <w:u w:val="single"/>
      <w:lang w:eastAsia="en-US"/>
    </w:rPr>
  </w:style>
  <w:style w:type="table" w:customStyle="1" w:styleId="MSDShaded">
    <w:name w:val="MSD Shaded"/>
    <w:basedOn w:val="TableGrid"/>
    <w:uiPriority w:val="99"/>
    <w:rsid w:val="000F61D2"/>
    <w:pPr>
      <w:spacing w:after="120" w:line="360" w:lineRule="auto"/>
      <w:ind w:left="57" w:right="57"/>
    </w:pPr>
    <w:rPr>
      <w:rFonts w:ascii="Arial" w:eastAsiaTheme="minorHAnsi" w:hAnsi="Arial" w:cstheme="minorBidi"/>
      <w:lang w:eastAsia="en-US"/>
    </w:rPr>
    <w:tblPr>
      <w:tblStyleRowBandSize w:val="1"/>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paragraph" w:customStyle="1" w:styleId="MainBodyText">
    <w:name w:val="Main Body Text"/>
    <w:basedOn w:val="Normal"/>
    <w:link w:val="MainBodyTextChar"/>
    <w:rsid w:val="000F61D2"/>
    <w:pPr>
      <w:spacing w:after="240" w:line="276" w:lineRule="auto"/>
    </w:pPr>
    <w:rPr>
      <w:rFonts w:ascii="Arial" w:hAnsi="Arial" w:cs="Times New Roman"/>
      <w:sz w:val="22"/>
      <w:szCs w:val="22"/>
    </w:rPr>
  </w:style>
  <w:style w:type="character" w:customStyle="1" w:styleId="MainBodyTextChar">
    <w:name w:val="Main Body Text Char"/>
    <w:link w:val="MainBodyText"/>
    <w:rsid w:val="000F61D2"/>
    <w:rPr>
      <w:rFonts w:ascii="Arial" w:hAnsi="Arial"/>
      <w:sz w:val="22"/>
      <w:szCs w:val="22"/>
    </w:rPr>
  </w:style>
  <w:style w:type="character" w:customStyle="1" w:styleId="Heading1Char1">
    <w:name w:val="Heading 1 Char1"/>
    <w:aliases w:val="Heading 1a Char1"/>
    <w:basedOn w:val="DefaultParagraphFont"/>
    <w:uiPriority w:val="9"/>
    <w:rsid w:val="000F61D2"/>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0F61D2"/>
    <w:pPr>
      <w:spacing w:before="100" w:beforeAutospacing="1" w:after="100" w:afterAutospacing="1"/>
      <w:jc w:val="left"/>
    </w:pPr>
    <w:rPr>
      <w:rFonts w:ascii="Times New Roman" w:hAnsi="Times New Roman" w:cs="Times New Roman"/>
    </w:rPr>
  </w:style>
  <w:style w:type="character" w:customStyle="1" w:styleId="Heading7Char1">
    <w:name w:val="Heading 7 Char1"/>
    <w:aliases w:val="Appendix Heading 2 Char1"/>
    <w:basedOn w:val="DefaultParagraphFont"/>
    <w:uiPriority w:val="9"/>
    <w:semiHidden/>
    <w:rsid w:val="000F61D2"/>
    <w:rPr>
      <w:rFonts w:asciiTheme="majorHAnsi" w:eastAsiaTheme="majorEastAsia" w:hAnsiTheme="majorHAnsi" w:cstheme="majorBidi"/>
      <w:i/>
      <w:iCs/>
      <w:color w:val="243F60" w:themeColor="accent1" w:themeShade="7F"/>
    </w:rPr>
  </w:style>
  <w:style w:type="character" w:customStyle="1" w:styleId="Heading8Char1">
    <w:name w:val="Heading 8 Char1"/>
    <w:aliases w:val="Appendix Heading 3 Char1"/>
    <w:basedOn w:val="DefaultParagraphFont"/>
    <w:uiPriority w:val="9"/>
    <w:semiHidden/>
    <w:rsid w:val="000F61D2"/>
    <w:rPr>
      <w:rFonts w:asciiTheme="majorHAnsi" w:eastAsiaTheme="majorEastAsia" w:hAnsiTheme="majorHAnsi" w:cstheme="majorBidi"/>
      <w:color w:val="272727" w:themeColor="text1" w:themeTint="D8"/>
      <w:sz w:val="21"/>
      <w:szCs w:val="21"/>
    </w:rPr>
  </w:style>
  <w:style w:type="character" w:customStyle="1" w:styleId="footnotedescriptionChar">
    <w:name w:val="footnote description Char"/>
    <w:link w:val="footnotedescription"/>
    <w:locked/>
    <w:rsid w:val="000F61D2"/>
    <w:rPr>
      <w:color w:val="000000"/>
      <w:sz w:val="18"/>
    </w:rPr>
  </w:style>
  <w:style w:type="paragraph" w:customStyle="1" w:styleId="footnotedescription">
    <w:name w:val="footnote description"/>
    <w:next w:val="Normal"/>
    <w:link w:val="footnotedescriptionChar"/>
    <w:rsid w:val="000F61D2"/>
    <w:pPr>
      <w:spacing w:line="266" w:lineRule="auto"/>
      <w:ind w:left="77"/>
    </w:pPr>
    <w:rPr>
      <w:color w:val="000000"/>
      <w:sz w:val="18"/>
    </w:rPr>
  </w:style>
  <w:style w:type="paragraph" w:customStyle="1" w:styleId="TableParagraph">
    <w:name w:val="Table Paragraph"/>
    <w:basedOn w:val="Normal"/>
    <w:uiPriority w:val="1"/>
    <w:qFormat/>
    <w:rsid w:val="000F61D2"/>
    <w:pPr>
      <w:widowControl w:val="0"/>
      <w:autoSpaceDE w:val="0"/>
      <w:autoSpaceDN w:val="0"/>
      <w:jc w:val="left"/>
    </w:pPr>
    <w:rPr>
      <w:rFonts w:ascii="Arial Black" w:eastAsia="Arial Black" w:hAnsi="Arial Black" w:cs="Arial Black"/>
      <w:sz w:val="22"/>
      <w:szCs w:val="22"/>
      <w:lang w:val="en-US" w:eastAsia="en-US" w:bidi="en-US"/>
    </w:rPr>
  </w:style>
  <w:style w:type="paragraph" w:customStyle="1" w:styleId="TableNote">
    <w:name w:val="Table Note"/>
    <w:basedOn w:val="Normal"/>
    <w:uiPriority w:val="99"/>
    <w:qFormat/>
    <w:rsid w:val="000F61D2"/>
    <w:pPr>
      <w:keepNext/>
      <w:keepLines/>
      <w:spacing w:after="60"/>
      <w:jc w:val="left"/>
    </w:pPr>
    <w:rPr>
      <w:rFonts w:ascii="Arial Narrow" w:eastAsiaTheme="minorHAnsi" w:hAnsi="Arial Narrow" w:cstheme="minorBidi"/>
      <w:sz w:val="18"/>
      <w:szCs w:val="22"/>
      <w:lang w:eastAsia="en-US"/>
    </w:rPr>
  </w:style>
  <w:style w:type="character" w:customStyle="1" w:styleId="AllTextChar">
    <w:name w:val="AllText Char"/>
    <w:basedOn w:val="DefaultParagraphFont"/>
    <w:link w:val="AllText"/>
    <w:locked/>
    <w:rsid w:val="000F61D2"/>
    <w:rPr>
      <w:rFonts w:eastAsia="SimSun"/>
      <w:sz w:val="24"/>
      <w:lang w:val="en-US"/>
    </w:rPr>
  </w:style>
  <w:style w:type="paragraph" w:customStyle="1" w:styleId="AllText">
    <w:name w:val="AllText"/>
    <w:basedOn w:val="Normal"/>
    <w:link w:val="AllTextChar"/>
    <w:rsid w:val="000F61D2"/>
    <w:pPr>
      <w:spacing w:after="240"/>
    </w:pPr>
    <w:rPr>
      <w:rFonts w:ascii="Times New Roman" w:eastAsia="SimSun" w:hAnsi="Times New Roman" w:cs="Times New Roman"/>
      <w:szCs w:val="20"/>
      <w:lang w:val="en-US"/>
    </w:rPr>
  </w:style>
  <w:style w:type="character" w:customStyle="1" w:styleId="HeadingListChar">
    <w:name w:val="Heading List Char"/>
    <w:basedOn w:val="Heading1Char"/>
    <w:link w:val="HeadingList"/>
    <w:locked/>
    <w:rsid w:val="000F61D2"/>
    <w:rPr>
      <w:rFonts w:ascii="Calibri" w:hAnsi="Calibri" w:cs="Arial"/>
      <w:b/>
      <w:caps w:val="0"/>
      <w:sz w:val="24"/>
      <w:szCs w:val="24"/>
      <w:lang w:val="en-US"/>
    </w:rPr>
  </w:style>
  <w:style w:type="paragraph" w:customStyle="1" w:styleId="HeadingList">
    <w:name w:val="Heading List"/>
    <w:basedOn w:val="Heading1"/>
    <w:link w:val="HeadingListChar"/>
    <w:qFormat/>
    <w:rsid w:val="000F61D2"/>
    <w:pPr>
      <w:keepNext/>
      <w:keepLines/>
      <w:spacing w:before="480" w:line="276" w:lineRule="auto"/>
      <w:ind w:left="0" w:firstLine="0"/>
      <w:jc w:val="left"/>
    </w:pPr>
    <w:rPr>
      <w:rFonts w:ascii="Times New Roman" w:hAnsi="Times New Roman" w:cs="Times New Roman"/>
      <w:caps w:val="0"/>
      <w:sz w:val="24"/>
      <w:lang w:val="en-US"/>
    </w:rPr>
  </w:style>
  <w:style w:type="paragraph" w:customStyle="1" w:styleId="bullet">
    <w:name w:val="bullet"/>
    <w:basedOn w:val="Normal"/>
    <w:next w:val="Normal"/>
    <w:uiPriority w:val="99"/>
    <w:rsid w:val="000F61D2"/>
    <w:pPr>
      <w:numPr>
        <w:numId w:val="28"/>
      </w:numPr>
      <w:tabs>
        <w:tab w:val="left" w:pos="0"/>
        <w:tab w:val="left" w:pos="1080"/>
      </w:tabs>
      <w:spacing w:after="158"/>
    </w:pPr>
    <w:rPr>
      <w:rFonts w:ascii="Arial" w:hAnsi="Arial" w:cs="Times New Roman"/>
      <w:szCs w:val="20"/>
      <w:lang w:val="en-US" w:eastAsia="en-US"/>
    </w:rPr>
  </w:style>
  <w:style w:type="paragraph" w:customStyle="1" w:styleId="subbullet">
    <w:name w:val="subbullet"/>
    <w:basedOn w:val="Normal"/>
    <w:next w:val="Normal"/>
    <w:rsid w:val="000F61D2"/>
    <w:pPr>
      <w:numPr>
        <w:numId w:val="29"/>
      </w:numPr>
      <w:tabs>
        <w:tab w:val="left" w:pos="0"/>
        <w:tab w:val="left" w:pos="1440"/>
      </w:tabs>
      <w:spacing w:after="158"/>
    </w:pPr>
    <w:rPr>
      <w:rFonts w:ascii="Arial" w:hAnsi="Arial" w:cs="Times New Roman"/>
      <w:szCs w:val="20"/>
      <w:lang w:val="en-US" w:eastAsia="en-US"/>
    </w:rPr>
  </w:style>
  <w:style w:type="paragraph" w:customStyle="1" w:styleId="heading2text">
    <w:name w:val="heading 2 text"/>
    <w:uiPriority w:val="99"/>
    <w:rsid w:val="000F61D2"/>
    <w:pPr>
      <w:spacing w:after="240"/>
      <w:ind w:left="360"/>
      <w:jc w:val="both"/>
    </w:pPr>
    <w:rPr>
      <w:sz w:val="24"/>
      <w:lang w:val="en-US" w:eastAsia="en-US"/>
    </w:rPr>
  </w:style>
  <w:style w:type="paragraph" w:customStyle="1" w:styleId="AllTextBoilerplate">
    <w:name w:val="AllText Boilerplate"/>
    <w:basedOn w:val="Normal"/>
    <w:uiPriority w:val="99"/>
    <w:semiHidden/>
    <w:rsid w:val="000F61D2"/>
    <w:pPr>
      <w:spacing w:after="240"/>
    </w:pPr>
    <w:rPr>
      <w:rFonts w:ascii="Times New Roman" w:hAnsi="Times New Roman" w:cs="Times New Roman"/>
      <w:color w:val="FF0000"/>
      <w:szCs w:val="20"/>
      <w:lang w:val="en-US" w:eastAsia="en-US"/>
    </w:rPr>
  </w:style>
  <w:style w:type="paragraph" w:customStyle="1" w:styleId="centeredb">
    <w:name w:val="centered:b"/>
    <w:basedOn w:val="Normal"/>
    <w:next w:val="Normal"/>
    <w:uiPriority w:val="99"/>
    <w:rsid w:val="000F61D2"/>
    <w:pPr>
      <w:spacing w:after="331"/>
      <w:jc w:val="center"/>
    </w:pPr>
    <w:rPr>
      <w:rFonts w:ascii="Arial" w:hAnsi="Arial" w:cs="Times New Roman"/>
      <w:b/>
      <w:szCs w:val="20"/>
      <w:lang w:val="en-US" w:eastAsia="en-US"/>
    </w:rPr>
  </w:style>
  <w:style w:type="paragraph" w:customStyle="1" w:styleId="Tablename0">
    <w:name w:val="Table name"/>
    <w:basedOn w:val="BodyText"/>
    <w:uiPriority w:val="4"/>
    <w:qFormat/>
    <w:rsid w:val="000F61D2"/>
    <w:pPr>
      <w:keepNext/>
      <w:tabs>
        <w:tab w:val="left" w:pos="1418"/>
      </w:tabs>
      <w:spacing w:after="120"/>
      <w:ind w:left="1418" w:hanging="1418"/>
    </w:pPr>
    <w:rPr>
      <w:rFonts w:cs="Calibri"/>
      <w:b/>
      <w:bCs/>
      <w:sz w:val="22"/>
      <w:szCs w:val="20"/>
      <w:lang w:val="en-US" w:eastAsia="en-US"/>
    </w:rPr>
  </w:style>
  <w:style w:type="paragraph" w:customStyle="1" w:styleId="TableH1">
    <w:name w:val="Table H1"/>
    <w:basedOn w:val="BodyText"/>
    <w:uiPriority w:val="99"/>
    <w:qFormat/>
    <w:rsid w:val="000F61D2"/>
    <w:pPr>
      <w:keepNext/>
      <w:spacing w:after="20"/>
      <w:ind w:left="113" w:right="113"/>
    </w:pPr>
    <w:rPr>
      <w:rFonts w:eastAsia="Calibri" w:cs="Calibri"/>
      <w:b/>
      <w:sz w:val="20"/>
      <w:szCs w:val="16"/>
      <w:lang w:val="en-US" w:eastAsia="en-US"/>
    </w:rPr>
  </w:style>
  <w:style w:type="paragraph" w:customStyle="1" w:styleId="TableFigNotes0">
    <w:name w:val="TableFigNotes+0"/>
    <w:basedOn w:val="Normal"/>
    <w:uiPriority w:val="4"/>
    <w:rsid w:val="000F61D2"/>
    <w:pPr>
      <w:keepNext/>
      <w:spacing w:line="276" w:lineRule="auto"/>
      <w:ind w:left="284" w:hanging="284"/>
      <w:jc w:val="left"/>
    </w:pPr>
    <w:rPr>
      <w:rFonts w:eastAsia="Calibri" w:cs="Calibri"/>
      <w:sz w:val="16"/>
      <w:szCs w:val="20"/>
      <w:lang w:eastAsia="en-US"/>
    </w:rPr>
  </w:style>
  <w:style w:type="character" w:customStyle="1" w:styleId="TableBodyText-H54Char">
    <w:name w:val="Table Body Text - H54 Char"/>
    <w:link w:val="TableBodyText-H54"/>
    <w:locked/>
    <w:rsid w:val="000F61D2"/>
    <w:rPr>
      <w:color w:val="414141"/>
      <w:sz w:val="16"/>
      <w:lang w:val="en-GB"/>
    </w:rPr>
  </w:style>
  <w:style w:type="paragraph" w:customStyle="1" w:styleId="TableBodyText-H54">
    <w:name w:val="Table Body Text - H54"/>
    <w:basedOn w:val="BodyText"/>
    <w:link w:val="TableBodyText-H54Char"/>
    <w:qFormat/>
    <w:rsid w:val="000F61D2"/>
    <w:pPr>
      <w:keepLines/>
      <w:widowControl w:val="0"/>
      <w:spacing w:before="40" w:after="40"/>
    </w:pPr>
    <w:rPr>
      <w:rFonts w:ascii="Times New Roman" w:hAnsi="Times New Roman" w:cs="Times New Roman"/>
      <w:color w:val="414141"/>
      <w:sz w:val="16"/>
      <w:szCs w:val="20"/>
      <w:lang w:val="en-GB"/>
    </w:rPr>
  </w:style>
  <w:style w:type="paragraph" w:customStyle="1" w:styleId="FigureNote-H23">
    <w:name w:val="Figure Note - H23"/>
    <w:basedOn w:val="Heading5"/>
    <w:uiPriority w:val="99"/>
    <w:qFormat/>
    <w:rsid w:val="000F61D2"/>
    <w:pPr>
      <w:keepLines/>
      <w:widowControl w:val="0"/>
      <w:spacing w:before="45"/>
      <w:outlineLvl w:val="9"/>
    </w:pPr>
    <w:rPr>
      <w:rFonts w:ascii="Arial" w:hAnsi="Arial" w:cs="Tahoma"/>
      <w:b w:val="0"/>
      <w:color w:val="414141"/>
      <w:sz w:val="12"/>
      <w:szCs w:val="16"/>
      <w:lang w:val="en-GB" w:eastAsia="en-US"/>
    </w:rPr>
  </w:style>
  <w:style w:type="paragraph" w:customStyle="1" w:styleId="TableHeading-H56">
    <w:name w:val="Table Heading - H56"/>
    <w:basedOn w:val="Heading4"/>
    <w:uiPriority w:val="99"/>
    <w:qFormat/>
    <w:rsid w:val="000F61D2"/>
    <w:pPr>
      <w:tabs>
        <w:tab w:val="left" w:pos="1440"/>
      </w:tabs>
      <w:spacing w:before="80" w:after="40"/>
      <w:jc w:val="left"/>
      <w:outlineLvl w:val="9"/>
    </w:pPr>
    <w:rPr>
      <w:rFonts w:ascii="Arial Bold" w:eastAsia="Arial Unicode MS" w:hAnsi="Arial Bold" w:cs="Times New Roman"/>
      <w:b w:val="0"/>
      <w:bCs w:val="0"/>
      <w:i w:val="0"/>
      <w:color w:val="002C77"/>
      <w:sz w:val="16"/>
      <w:szCs w:val="44"/>
      <w:lang w:val="en-GB" w:eastAsia="en-US"/>
    </w:rPr>
  </w:style>
  <w:style w:type="paragraph" w:customStyle="1" w:styleId="TableNote-H58">
    <w:name w:val="Table Note - H58"/>
    <w:basedOn w:val="BodyText"/>
    <w:uiPriority w:val="99"/>
    <w:qFormat/>
    <w:rsid w:val="000F61D2"/>
    <w:pPr>
      <w:keepLines/>
      <w:tabs>
        <w:tab w:val="left" w:pos="680"/>
      </w:tabs>
      <w:spacing w:before="45" w:after="120"/>
      <w:jc w:val="both"/>
    </w:pPr>
    <w:rPr>
      <w:rFonts w:ascii="Arial" w:hAnsi="Arial" w:cs="Times New Roman"/>
      <w:bCs/>
      <w:color w:val="414141"/>
      <w:sz w:val="12"/>
      <w:szCs w:val="12"/>
      <w:lang w:val="en-GB" w:eastAsia="en-US"/>
    </w:rPr>
  </w:style>
  <w:style w:type="character" w:customStyle="1" w:styleId="NotesChar">
    <w:name w:val="Notes Char"/>
    <w:basedOn w:val="DefaultParagraphFont"/>
    <w:link w:val="Notes"/>
    <w:uiPriority w:val="6"/>
    <w:locked/>
    <w:rsid w:val="000F61D2"/>
    <w:rPr>
      <w:rFonts w:ascii="Calibri" w:hAnsi="Calibri"/>
      <w:color w:val="C00000"/>
      <w:szCs w:val="24"/>
    </w:rPr>
  </w:style>
  <w:style w:type="paragraph" w:customStyle="1" w:styleId="Notes">
    <w:name w:val="Notes"/>
    <w:next w:val="BodyText"/>
    <w:link w:val="NotesChar"/>
    <w:uiPriority w:val="6"/>
    <w:qFormat/>
    <w:rsid w:val="000F61D2"/>
    <w:pPr>
      <w:spacing w:after="120"/>
    </w:pPr>
    <w:rPr>
      <w:rFonts w:ascii="Calibri" w:hAnsi="Calibri"/>
      <w:color w:val="C00000"/>
      <w:szCs w:val="24"/>
    </w:rPr>
  </w:style>
  <w:style w:type="paragraph" w:customStyle="1" w:styleId="paragraph">
    <w:name w:val="paragraph"/>
    <w:basedOn w:val="Normal"/>
    <w:uiPriority w:val="99"/>
    <w:rsid w:val="000F61D2"/>
    <w:pPr>
      <w:spacing w:before="100" w:beforeAutospacing="1" w:after="100" w:afterAutospacing="1"/>
      <w:jc w:val="left"/>
    </w:pPr>
    <w:rPr>
      <w:rFonts w:ascii="Times New Roman" w:hAnsi="Times New Roman" w:cs="Times New Roman"/>
      <w:lang w:val="en-US" w:eastAsia="en-US"/>
    </w:rPr>
  </w:style>
  <w:style w:type="character" w:customStyle="1" w:styleId="ParagraphChar">
    <w:name w:val="Paragraph Char"/>
    <w:link w:val="Paragraph0"/>
    <w:locked/>
    <w:rsid w:val="000F61D2"/>
    <w:rPr>
      <w:rFonts w:eastAsia="MS Gothic"/>
      <w:sz w:val="24"/>
      <w:szCs w:val="24"/>
      <w:lang w:val="en-US"/>
    </w:rPr>
  </w:style>
  <w:style w:type="paragraph" w:customStyle="1" w:styleId="Paragraph0">
    <w:name w:val="Paragraph"/>
    <w:link w:val="ParagraphChar"/>
    <w:qFormat/>
    <w:rsid w:val="000F61D2"/>
    <w:pPr>
      <w:spacing w:before="60" w:after="240"/>
    </w:pPr>
    <w:rPr>
      <w:rFonts w:eastAsia="MS Gothic"/>
      <w:sz w:val="24"/>
      <w:szCs w:val="24"/>
      <w:lang w:val="en-US"/>
    </w:rPr>
  </w:style>
  <w:style w:type="character" w:customStyle="1" w:styleId="footnotemark">
    <w:name w:val="footnote mark"/>
    <w:rsid w:val="000F61D2"/>
    <w:rPr>
      <w:rFonts w:ascii="Times New Roman" w:eastAsia="Times New Roman" w:hAnsi="Times New Roman" w:cs="Times New Roman" w:hint="default"/>
      <w:color w:val="000000"/>
      <w:sz w:val="18"/>
      <w:vertAlign w:val="superscript"/>
    </w:rPr>
  </w:style>
  <w:style w:type="character" w:customStyle="1" w:styleId="Style1Char">
    <w:name w:val="Style1 Char"/>
    <w:rsid w:val="000F61D2"/>
    <w:rPr>
      <w:rFonts w:ascii="Times New Roman" w:eastAsia="Times New Roman" w:hAnsi="Times New Roman" w:cs="Times New Roman" w:hint="default"/>
      <w:sz w:val="20"/>
      <w:szCs w:val="20"/>
    </w:rPr>
  </w:style>
  <w:style w:type="character" w:customStyle="1" w:styleId="cit-article-title">
    <w:name w:val="cit-article-title"/>
    <w:basedOn w:val="DefaultParagraphFont"/>
    <w:rsid w:val="000F61D2"/>
  </w:style>
  <w:style w:type="character" w:customStyle="1" w:styleId="normaltextrun">
    <w:name w:val="normaltextrun"/>
    <w:basedOn w:val="DefaultParagraphFont"/>
    <w:rsid w:val="000F61D2"/>
  </w:style>
  <w:style w:type="character" w:customStyle="1" w:styleId="eop">
    <w:name w:val="eop"/>
    <w:basedOn w:val="DefaultParagraphFont"/>
    <w:rsid w:val="000F61D2"/>
  </w:style>
  <w:style w:type="character" w:customStyle="1" w:styleId="spellingerror">
    <w:name w:val="spellingerror"/>
    <w:basedOn w:val="DefaultParagraphFont"/>
    <w:rsid w:val="000F61D2"/>
  </w:style>
  <w:style w:type="character" w:customStyle="1" w:styleId="hitsyn">
    <w:name w:val="hit_syn"/>
    <w:basedOn w:val="DefaultParagraphFont"/>
    <w:rsid w:val="000F61D2"/>
  </w:style>
  <w:style w:type="table" w:styleId="PlainTable1">
    <w:name w:val="Plain Table 1"/>
    <w:basedOn w:val="TableNormal"/>
    <w:uiPriority w:val="41"/>
    <w:rsid w:val="000F61D2"/>
    <w:rPr>
      <w:rFonts w:ascii="Arial" w:eastAsiaTheme="minorHAnsi" w:hAnsi="Arial" w:cstheme="minorBidi"/>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F61D2"/>
    <w:rPr>
      <w:rFonts w:ascii="Arial" w:eastAsiaTheme="minorHAnsi" w:hAnsi="Arial" w:cstheme="minorBidi"/>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Grid"/>
    <w:rsid w:val="000F61D2"/>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customStyle="1" w:styleId="PharmeritTable2018">
    <w:name w:val="Pharmerit Table: 2018"/>
    <w:basedOn w:val="TableNormal"/>
    <w:uiPriority w:val="99"/>
    <w:rsid w:val="000F61D2"/>
    <w:rPr>
      <w:rFonts w:ascii="Arial" w:hAnsi="Arial" w:cs="Arial"/>
      <w:color w:val="000000"/>
      <w:sz w:val="21"/>
      <w:szCs w:val="22"/>
      <w:lang w:val="nl-NL" w:eastAsia="nl-NL"/>
    </w:rPr>
    <w:tblPr>
      <w:tblStyleRowBandSize w:val="1"/>
      <w:tblInd w:w="0" w:type="nil"/>
      <w:tblBorders>
        <w:bottom w:val="single" w:sz="4" w:space="0" w:color="C6D9F1" w:themeColor="text2" w:themeTint="33"/>
        <w:insideH w:val="single" w:sz="4" w:space="0" w:color="C6D9F1" w:themeColor="text2" w:themeTint="33"/>
      </w:tblBorders>
      <w:tblCellMar>
        <w:top w:w="43" w:type="dxa"/>
        <w:left w:w="144" w:type="dxa"/>
        <w:bottom w:w="43" w:type="dxa"/>
        <w:right w:w="144" w:type="dxa"/>
      </w:tblCellMar>
    </w:tblPr>
    <w:tblStylePr w:type="firstRow">
      <w:pPr>
        <w:jc w:val="left"/>
      </w:pPr>
      <w:rPr>
        <w:rFonts w:asciiTheme="minorHAnsi" w:hAnsiTheme="minorHAnsi" w:cs="Arial" w:hint="default"/>
        <w:b w:val="0"/>
        <w:color w:val="FFFFFF" w:themeColor="background1"/>
        <w:sz w:val="21"/>
        <w:szCs w:val="21"/>
      </w:rPr>
      <w:tblPr/>
      <w:tcPr>
        <w:shd w:val="clear" w:color="auto" w:fill="1F497D" w:themeFill="text2"/>
        <w:vAlign w:val="center"/>
      </w:tcPr>
    </w:tblStylePr>
  </w:style>
  <w:style w:type="table" w:customStyle="1" w:styleId="TableGrid11">
    <w:name w:val="Table Grid11"/>
    <w:basedOn w:val="TableNormal"/>
    <w:uiPriority w:val="59"/>
    <w:rsid w:val="000F61D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rmeritBulletList">
    <w:name w:val="Pharmerit: Bullet List"/>
    <w:uiPriority w:val="99"/>
    <w:rsid w:val="000F61D2"/>
    <w:pPr>
      <w:numPr>
        <w:numId w:val="27"/>
      </w:numPr>
    </w:pPr>
  </w:style>
  <w:style w:type="paragraph" w:customStyle="1" w:styleId="ListLetter">
    <w:name w:val="List Letter"/>
    <w:rsid w:val="000F61D2"/>
    <w:pPr>
      <w:keepLines/>
      <w:numPr>
        <w:numId w:val="30"/>
      </w:numPr>
      <w:spacing w:before="60"/>
    </w:pPr>
    <w:rPr>
      <w:rFonts w:eastAsia="MS Gothic" w:cs="Arial"/>
      <w:bCs/>
      <w:iCs/>
      <w:sz w:val="24"/>
      <w:szCs w:val="48"/>
      <w:lang w:val="en-US" w:eastAsia="en-US"/>
    </w:rPr>
  </w:style>
  <w:style w:type="table" w:customStyle="1" w:styleId="Summarybox2">
    <w:name w:val="Summary box2"/>
    <w:basedOn w:val="TableNormal"/>
    <w:next w:val="TableGrid"/>
    <w:rsid w:val="000F61D2"/>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3">
    <w:name w:val="Table Text 3"/>
    <w:basedOn w:val="Normal"/>
    <w:next w:val="TableText0"/>
    <w:link w:val="TableText3Char"/>
    <w:qFormat/>
    <w:rsid w:val="000F61D2"/>
    <w:pPr>
      <w:spacing w:before="40" w:after="20"/>
      <w:jc w:val="left"/>
    </w:pPr>
    <w:rPr>
      <w:rFonts w:ascii="Arial" w:hAnsi="Arial" w:cs="Times New Roman"/>
      <w:i/>
      <w:sz w:val="18"/>
      <w:szCs w:val="22"/>
      <w:lang w:eastAsia="en-US"/>
    </w:rPr>
  </w:style>
  <w:style w:type="character" w:customStyle="1" w:styleId="TableText3Char">
    <w:name w:val="Table Text 3 Char"/>
    <w:link w:val="TableText3"/>
    <w:rsid w:val="000F61D2"/>
    <w:rPr>
      <w:rFonts w:ascii="Arial" w:hAnsi="Arial"/>
      <w:i/>
      <w:sz w:val="18"/>
      <w:szCs w:val="22"/>
      <w:lang w:eastAsia="en-US"/>
    </w:rPr>
  </w:style>
  <w:style w:type="character" w:customStyle="1" w:styleId="UnresolvedMention2">
    <w:name w:val="Unresolved Mention2"/>
    <w:basedOn w:val="DefaultParagraphFont"/>
    <w:uiPriority w:val="99"/>
    <w:semiHidden/>
    <w:unhideWhenUsed/>
    <w:rsid w:val="000B5591"/>
    <w:rPr>
      <w:color w:val="605E5C"/>
      <w:shd w:val="clear" w:color="auto" w:fill="E1DFDD"/>
    </w:rPr>
  </w:style>
  <w:style w:type="character" w:customStyle="1" w:styleId="UnresolvedMention3">
    <w:name w:val="Unresolved Mention3"/>
    <w:basedOn w:val="DefaultParagraphFont"/>
    <w:uiPriority w:val="99"/>
    <w:semiHidden/>
    <w:unhideWhenUsed/>
    <w:rsid w:val="00D24DB7"/>
    <w:rPr>
      <w:color w:val="605E5C"/>
      <w:shd w:val="clear" w:color="auto" w:fill="E1DFDD"/>
    </w:rPr>
  </w:style>
  <w:style w:type="paragraph" w:customStyle="1" w:styleId="3-SubsectionHeading">
    <w:name w:val="3-Subsection Heading"/>
    <w:basedOn w:val="Heading2"/>
    <w:next w:val="Normal"/>
    <w:link w:val="3-SubsectionHeadingChar"/>
    <w:qFormat/>
    <w:rsid w:val="00203A67"/>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203A67"/>
    <w:rPr>
      <w:rFonts w:asciiTheme="minorHAnsi" w:eastAsiaTheme="majorEastAsia" w:hAnsiTheme="minorHAnsi" w:cstheme="majorBidi"/>
      <w:b/>
      <w:i/>
      <w:snapToGrid/>
      <w:spacing w:val="5"/>
      <w:kern w:val="28"/>
      <w:sz w:val="28"/>
      <w:szCs w:val="36"/>
      <w:lang w:eastAsia="en-US"/>
    </w:rPr>
  </w:style>
  <w:style w:type="character" w:customStyle="1" w:styleId="UnresolvedMention4">
    <w:name w:val="Unresolved Mention4"/>
    <w:basedOn w:val="DefaultParagraphFont"/>
    <w:uiPriority w:val="99"/>
    <w:semiHidden/>
    <w:unhideWhenUsed/>
    <w:rsid w:val="00AE7538"/>
    <w:rPr>
      <w:color w:val="605E5C"/>
      <w:shd w:val="clear" w:color="auto" w:fill="E1DFDD"/>
    </w:rPr>
  </w:style>
  <w:style w:type="paragraph" w:customStyle="1" w:styleId="PBACESHeading1">
    <w:name w:val="PBAC ES Heading 1"/>
    <w:basedOn w:val="Heading1"/>
    <w:next w:val="ListParagraph"/>
    <w:uiPriority w:val="1"/>
    <w:qFormat/>
    <w:rsid w:val="00186841"/>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MSACHeading1">
    <w:name w:val="MSAC Heading 1"/>
    <w:basedOn w:val="Heading1"/>
    <w:next w:val="Normal"/>
    <w:uiPriority w:val="1"/>
    <w:qFormat/>
    <w:rsid w:val="00186841"/>
    <w:pPr>
      <w:keepNext/>
      <w:keepLines/>
      <w:spacing w:before="160" w:after="240" w:line="259" w:lineRule="auto"/>
      <w:jc w:val="left"/>
    </w:pPr>
    <w:rPr>
      <w:rFonts w:ascii="Times New Roman" w:eastAsiaTheme="majorEastAsia" w:hAnsi="Times New Roman" w:cstheme="majorBidi"/>
      <w:caps w:val="0"/>
      <w:sz w:val="24"/>
      <w:szCs w:val="28"/>
      <w:lang w:eastAsia="en-US"/>
    </w:rPr>
  </w:style>
  <w:style w:type="paragraph" w:customStyle="1" w:styleId="MSACESHeading2">
    <w:name w:val="MSAC ES Heading 2"/>
    <w:basedOn w:val="Heading2"/>
    <w:next w:val="Normal"/>
    <w:uiPriority w:val="1"/>
    <w:qFormat/>
    <w:rsid w:val="00186841"/>
    <w:pPr>
      <w:keepNext/>
      <w:keepLines/>
      <w:spacing w:before="360" w:after="120"/>
      <w:ind w:left="720" w:hanging="720"/>
      <w:jc w:val="left"/>
    </w:pPr>
    <w:rPr>
      <w:rFonts w:ascii="Cambria" w:eastAsiaTheme="majorEastAsia" w:hAnsi="Cambria" w:cstheme="majorBidi"/>
      <w:i w:val="0"/>
      <w:snapToGrid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631">
      <w:bodyDiv w:val="1"/>
      <w:marLeft w:val="0"/>
      <w:marRight w:val="0"/>
      <w:marTop w:val="0"/>
      <w:marBottom w:val="0"/>
      <w:divBdr>
        <w:top w:val="none" w:sz="0" w:space="0" w:color="auto"/>
        <w:left w:val="none" w:sz="0" w:space="0" w:color="auto"/>
        <w:bottom w:val="none" w:sz="0" w:space="0" w:color="auto"/>
        <w:right w:val="none" w:sz="0" w:space="0" w:color="auto"/>
      </w:divBdr>
    </w:div>
    <w:div w:id="75906746">
      <w:bodyDiv w:val="1"/>
      <w:marLeft w:val="0"/>
      <w:marRight w:val="0"/>
      <w:marTop w:val="0"/>
      <w:marBottom w:val="0"/>
      <w:divBdr>
        <w:top w:val="none" w:sz="0" w:space="0" w:color="auto"/>
        <w:left w:val="none" w:sz="0" w:space="0" w:color="auto"/>
        <w:bottom w:val="none" w:sz="0" w:space="0" w:color="auto"/>
        <w:right w:val="none" w:sz="0" w:space="0" w:color="auto"/>
      </w:divBdr>
    </w:div>
    <w:div w:id="9425728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8636035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60204">
      <w:bodyDiv w:val="1"/>
      <w:marLeft w:val="0"/>
      <w:marRight w:val="0"/>
      <w:marTop w:val="0"/>
      <w:marBottom w:val="0"/>
      <w:divBdr>
        <w:top w:val="none" w:sz="0" w:space="0" w:color="auto"/>
        <w:left w:val="none" w:sz="0" w:space="0" w:color="auto"/>
        <w:bottom w:val="none" w:sz="0" w:space="0" w:color="auto"/>
        <w:right w:val="none" w:sz="0" w:space="0" w:color="auto"/>
      </w:divBdr>
    </w:div>
    <w:div w:id="1395424728">
      <w:bodyDiv w:val="1"/>
      <w:marLeft w:val="0"/>
      <w:marRight w:val="0"/>
      <w:marTop w:val="0"/>
      <w:marBottom w:val="0"/>
      <w:divBdr>
        <w:top w:val="none" w:sz="0" w:space="0" w:color="auto"/>
        <w:left w:val="none" w:sz="0" w:space="0" w:color="auto"/>
        <w:bottom w:val="none" w:sz="0" w:space="0" w:color="auto"/>
        <w:right w:val="none" w:sz="0" w:space="0" w:color="auto"/>
      </w:divBdr>
    </w:div>
    <w:div w:id="1440947119">
      <w:bodyDiv w:val="1"/>
      <w:marLeft w:val="0"/>
      <w:marRight w:val="0"/>
      <w:marTop w:val="0"/>
      <w:marBottom w:val="0"/>
      <w:divBdr>
        <w:top w:val="none" w:sz="0" w:space="0" w:color="auto"/>
        <w:left w:val="none" w:sz="0" w:space="0" w:color="auto"/>
        <w:bottom w:val="none" w:sz="0" w:space="0" w:color="auto"/>
        <w:right w:val="none" w:sz="0" w:space="0" w:color="auto"/>
      </w:divBdr>
    </w:div>
    <w:div w:id="1810247420">
      <w:bodyDiv w:val="1"/>
      <w:marLeft w:val="0"/>
      <w:marRight w:val="0"/>
      <w:marTop w:val="0"/>
      <w:marBottom w:val="0"/>
      <w:divBdr>
        <w:top w:val="none" w:sz="0" w:space="0" w:color="auto"/>
        <w:left w:val="none" w:sz="0" w:space="0" w:color="auto"/>
        <w:bottom w:val="none" w:sz="0" w:space="0" w:color="auto"/>
        <w:right w:val="none" w:sz="0" w:space="0" w:color="auto"/>
      </w:divBdr>
    </w:div>
    <w:div w:id="192448380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322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7E8F-1442-4559-90A4-5DD7D08C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10055</Words>
  <Characters>55027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64953</CharactersWithSpaces>
  <SharedDoc>false</SharedDoc>
  <HLinks>
    <vt:vector size="420" baseType="variant">
      <vt:variant>
        <vt:i4>1179699</vt:i4>
      </vt:variant>
      <vt:variant>
        <vt:i4>398</vt:i4>
      </vt:variant>
      <vt:variant>
        <vt:i4>0</vt:i4>
      </vt:variant>
      <vt:variant>
        <vt:i4>5</vt:i4>
      </vt:variant>
      <vt:variant>
        <vt:lpwstr/>
      </vt:variant>
      <vt:variant>
        <vt:lpwstr>_Toc82248211</vt:lpwstr>
      </vt:variant>
      <vt:variant>
        <vt:i4>1245235</vt:i4>
      </vt:variant>
      <vt:variant>
        <vt:i4>392</vt:i4>
      </vt:variant>
      <vt:variant>
        <vt:i4>0</vt:i4>
      </vt:variant>
      <vt:variant>
        <vt:i4>5</vt:i4>
      </vt:variant>
      <vt:variant>
        <vt:lpwstr/>
      </vt:variant>
      <vt:variant>
        <vt:lpwstr>_Toc82248210</vt:lpwstr>
      </vt:variant>
      <vt:variant>
        <vt:i4>1703986</vt:i4>
      </vt:variant>
      <vt:variant>
        <vt:i4>386</vt:i4>
      </vt:variant>
      <vt:variant>
        <vt:i4>0</vt:i4>
      </vt:variant>
      <vt:variant>
        <vt:i4>5</vt:i4>
      </vt:variant>
      <vt:variant>
        <vt:lpwstr/>
      </vt:variant>
      <vt:variant>
        <vt:lpwstr>_Toc82248209</vt:lpwstr>
      </vt:variant>
      <vt:variant>
        <vt:i4>1769522</vt:i4>
      </vt:variant>
      <vt:variant>
        <vt:i4>380</vt:i4>
      </vt:variant>
      <vt:variant>
        <vt:i4>0</vt:i4>
      </vt:variant>
      <vt:variant>
        <vt:i4>5</vt:i4>
      </vt:variant>
      <vt:variant>
        <vt:lpwstr/>
      </vt:variant>
      <vt:variant>
        <vt:lpwstr>_Toc82248208</vt:lpwstr>
      </vt:variant>
      <vt:variant>
        <vt:i4>1310770</vt:i4>
      </vt:variant>
      <vt:variant>
        <vt:i4>374</vt:i4>
      </vt:variant>
      <vt:variant>
        <vt:i4>0</vt:i4>
      </vt:variant>
      <vt:variant>
        <vt:i4>5</vt:i4>
      </vt:variant>
      <vt:variant>
        <vt:lpwstr/>
      </vt:variant>
      <vt:variant>
        <vt:lpwstr>_Toc82248207</vt:lpwstr>
      </vt:variant>
      <vt:variant>
        <vt:i4>1376306</vt:i4>
      </vt:variant>
      <vt:variant>
        <vt:i4>368</vt:i4>
      </vt:variant>
      <vt:variant>
        <vt:i4>0</vt:i4>
      </vt:variant>
      <vt:variant>
        <vt:i4>5</vt:i4>
      </vt:variant>
      <vt:variant>
        <vt:lpwstr/>
      </vt:variant>
      <vt:variant>
        <vt:lpwstr>_Toc82248206</vt:lpwstr>
      </vt:variant>
      <vt:variant>
        <vt:i4>1441842</vt:i4>
      </vt:variant>
      <vt:variant>
        <vt:i4>362</vt:i4>
      </vt:variant>
      <vt:variant>
        <vt:i4>0</vt:i4>
      </vt:variant>
      <vt:variant>
        <vt:i4>5</vt:i4>
      </vt:variant>
      <vt:variant>
        <vt:lpwstr/>
      </vt:variant>
      <vt:variant>
        <vt:lpwstr>_Toc82248205</vt:lpwstr>
      </vt:variant>
      <vt:variant>
        <vt:i4>1507378</vt:i4>
      </vt:variant>
      <vt:variant>
        <vt:i4>356</vt:i4>
      </vt:variant>
      <vt:variant>
        <vt:i4>0</vt:i4>
      </vt:variant>
      <vt:variant>
        <vt:i4>5</vt:i4>
      </vt:variant>
      <vt:variant>
        <vt:lpwstr/>
      </vt:variant>
      <vt:variant>
        <vt:lpwstr>_Toc82248204</vt:lpwstr>
      </vt:variant>
      <vt:variant>
        <vt:i4>1048626</vt:i4>
      </vt:variant>
      <vt:variant>
        <vt:i4>350</vt:i4>
      </vt:variant>
      <vt:variant>
        <vt:i4>0</vt:i4>
      </vt:variant>
      <vt:variant>
        <vt:i4>5</vt:i4>
      </vt:variant>
      <vt:variant>
        <vt:lpwstr/>
      </vt:variant>
      <vt:variant>
        <vt:lpwstr>_Toc82248203</vt:lpwstr>
      </vt:variant>
      <vt:variant>
        <vt:i4>1114162</vt:i4>
      </vt:variant>
      <vt:variant>
        <vt:i4>344</vt:i4>
      </vt:variant>
      <vt:variant>
        <vt:i4>0</vt:i4>
      </vt:variant>
      <vt:variant>
        <vt:i4>5</vt:i4>
      </vt:variant>
      <vt:variant>
        <vt:lpwstr/>
      </vt:variant>
      <vt:variant>
        <vt:lpwstr>_Toc82248202</vt:lpwstr>
      </vt:variant>
      <vt:variant>
        <vt:i4>1179698</vt:i4>
      </vt:variant>
      <vt:variant>
        <vt:i4>338</vt:i4>
      </vt:variant>
      <vt:variant>
        <vt:i4>0</vt:i4>
      </vt:variant>
      <vt:variant>
        <vt:i4>5</vt:i4>
      </vt:variant>
      <vt:variant>
        <vt:lpwstr/>
      </vt:variant>
      <vt:variant>
        <vt:lpwstr>_Toc82248201</vt:lpwstr>
      </vt:variant>
      <vt:variant>
        <vt:i4>1245234</vt:i4>
      </vt:variant>
      <vt:variant>
        <vt:i4>332</vt:i4>
      </vt:variant>
      <vt:variant>
        <vt:i4>0</vt:i4>
      </vt:variant>
      <vt:variant>
        <vt:i4>5</vt:i4>
      </vt:variant>
      <vt:variant>
        <vt:lpwstr/>
      </vt:variant>
      <vt:variant>
        <vt:lpwstr>_Toc82248200</vt:lpwstr>
      </vt:variant>
      <vt:variant>
        <vt:i4>1638459</vt:i4>
      </vt:variant>
      <vt:variant>
        <vt:i4>326</vt:i4>
      </vt:variant>
      <vt:variant>
        <vt:i4>0</vt:i4>
      </vt:variant>
      <vt:variant>
        <vt:i4>5</vt:i4>
      </vt:variant>
      <vt:variant>
        <vt:lpwstr/>
      </vt:variant>
      <vt:variant>
        <vt:lpwstr>_Toc82248199</vt:lpwstr>
      </vt:variant>
      <vt:variant>
        <vt:i4>1572923</vt:i4>
      </vt:variant>
      <vt:variant>
        <vt:i4>320</vt:i4>
      </vt:variant>
      <vt:variant>
        <vt:i4>0</vt:i4>
      </vt:variant>
      <vt:variant>
        <vt:i4>5</vt:i4>
      </vt:variant>
      <vt:variant>
        <vt:lpwstr/>
      </vt:variant>
      <vt:variant>
        <vt:lpwstr>_Toc82248198</vt:lpwstr>
      </vt:variant>
      <vt:variant>
        <vt:i4>1507387</vt:i4>
      </vt:variant>
      <vt:variant>
        <vt:i4>314</vt:i4>
      </vt:variant>
      <vt:variant>
        <vt:i4>0</vt:i4>
      </vt:variant>
      <vt:variant>
        <vt:i4>5</vt:i4>
      </vt:variant>
      <vt:variant>
        <vt:lpwstr/>
      </vt:variant>
      <vt:variant>
        <vt:lpwstr>_Toc82248197</vt:lpwstr>
      </vt:variant>
      <vt:variant>
        <vt:i4>1441851</vt:i4>
      </vt:variant>
      <vt:variant>
        <vt:i4>308</vt:i4>
      </vt:variant>
      <vt:variant>
        <vt:i4>0</vt:i4>
      </vt:variant>
      <vt:variant>
        <vt:i4>5</vt:i4>
      </vt:variant>
      <vt:variant>
        <vt:lpwstr/>
      </vt:variant>
      <vt:variant>
        <vt:lpwstr>_Toc82248196</vt:lpwstr>
      </vt:variant>
      <vt:variant>
        <vt:i4>1376315</vt:i4>
      </vt:variant>
      <vt:variant>
        <vt:i4>302</vt:i4>
      </vt:variant>
      <vt:variant>
        <vt:i4>0</vt:i4>
      </vt:variant>
      <vt:variant>
        <vt:i4>5</vt:i4>
      </vt:variant>
      <vt:variant>
        <vt:lpwstr/>
      </vt:variant>
      <vt:variant>
        <vt:lpwstr>_Toc82248195</vt:lpwstr>
      </vt:variant>
      <vt:variant>
        <vt:i4>1310779</vt:i4>
      </vt:variant>
      <vt:variant>
        <vt:i4>296</vt:i4>
      </vt:variant>
      <vt:variant>
        <vt:i4>0</vt:i4>
      </vt:variant>
      <vt:variant>
        <vt:i4>5</vt:i4>
      </vt:variant>
      <vt:variant>
        <vt:lpwstr/>
      </vt:variant>
      <vt:variant>
        <vt:lpwstr>_Toc82248194</vt:lpwstr>
      </vt:variant>
      <vt:variant>
        <vt:i4>1245243</vt:i4>
      </vt:variant>
      <vt:variant>
        <vt:i4>290</vt:i4>
      </vt:variant>
      <vt:variant>
        <vt:i4>0</vt:i4>
      </vt:variant>
      <vt:variant>
        <vt:i4>5</vt:i4>
      </vt:variant>
      <vt:variant>
        <vt:lpwstr/>
      </vt:variant>
      <vt:variant>
        <vt:lpwstr>_Toc82248193</vt:lpwstr>
      </vt:variant>
      <vt:variant>
        <vt:i4>1179707</vt:i4>
      </vt:variant>
      <vt:variant>
        <vt:i4>284</vt:i4>
      </vt:variant>
      <vt:variant>
        <vt:i4>0</vt:i4>
      </vt:variant>
      <vt:variant>
        <vt:i4>5</vt:i4>
      </vt:variant>
      <vt:variant>
        <vt:lpwstr/>
      </vt:variant>
      <vt:variant>
        <vt:lpwstr>_Toc82248192</vt:lpwstr>
      </vt:variant>
      <vt:variant>
        <vt:i4>1114171</vt:i4>
      </vt:variant>
      <vt:variant>
        <vt:i4>278</vt:i4>
      </vt:variant>
      <vt:variant>
        <vt:i4>0</vt:i4>
      </vt:variant>
      <vt:variant>
        <vt:i4>5</vt:i4>
      </vt:variant>
      <vt:variant>
        <vt:lpwstr/>
      </vt:variant>
      <vt:variant>
        <vt:lpwstr>_Toc82248191</vt:lpwstr>
      </vt:variant>
      <vt:variant>
        <vt:i4>1048635</vt:i4>
      </vt:variant>
      <vt:variant>
        <vt:i4>272</vt:i4>
      </vt:variant>
      <vt:variant>
        <vt:i4>0</vt:i4>
      </vt:variant>
      <vt:variant>
        <vt:i4>5</vt:i4>
      </vt:variant>
      <vt:variant>
        <vt:lpwstr/>
      </vt:variant>
      <vt:variant>
        <vt:lpwstr>_Toc82248190</vt:lpwstr>
      </vt:variant>
      <vt:variant>
        <vt:i4>1638458</vt:i4>
      </vt:variant>
      <vt:variant>
        <vt:i4>266</vt:i4>
      </vt:variant>
      <vt:variant>
        <vt:i4>0</vt:i4>
      </vt:variant>
      <vt:variant>
        <vt:i4>5</vt:i4>
      </vt:variant>
      <vt:variant>
        <vt:lpwstr/>
      </vt:variant>
      <vt:variant>
        <vt:lpwstr>_Toc82248189</vt:lpwstr>
      </vt:variant>
      <vt:variant>
        <vt:i4>1572922</vt:i4>
      </vt:variant>
      <vt:variant>
        <vt:i4>260</vt:i4>
      </vt:variant>
      <vt:variant>
        <vt:i4>0</vt:i4>
      </vt:variant>
      <vt:variant>
        <vt:i4>5</vt:i4>
      </vt:variant>
      <vt:variant>
        <vt:lpwstr/>
      </vt:variant>
      <vt:variant>
        <vt:lpwstr>_Toc82248188</vt:lpwstr>
      </vt:variant>
      <vt:variant>
        <vt:i4>1507386</vt:i4>
      </vt:variant>
      <vt:variant>
        <vt:i4>254</vt:i4>
      </vt:variant>
      <vt:variant>
        <vt:i4>0</vt:i4>
      </vt:variant>
      <vt:variant>
        <vt:i4>5</vt:i4>
      </vt:variant>
      <vt:variant>
        <vt:lpwstr/>
      </vt:variant>
      <vt:variant>
        <vt:lpwstr>_Toc82248187</vt:lpwstr>
      </vt:variant>
      <vt:variant>
        <vt:i4>1441850</vt:i4>
      </vt:variant>
      <vt:variant>
        <vt:i4>248</vt:i4>
      </vt:variant>
      <vt:variant>
        <vt:i4>0</vt:i4>
      </vt:variant>
      <vt:variant>
        <vt:i4>5</vt:i4>
      </vt:variant>
      <vt:variant>
        <vt:lpwstr/>
      </vt:variant>
      <vt:variant>
        <vt:lpwstr>_Toc82248186</vt:lpwstr>
      </vt:variant>
      <vt:variant>
        <vt:i4>1376314</vt:i4>
      </vt:variant>
      <vt:variant>
        <vt:i4>242</vt:i4>
      </vt:variant>
      <vt:variant>
        <vt:i4>0</vt:i4>
      </vt:variant>
      <vt:variant>
        <vt:i4>5</vt:i4>
      </vt:variant>
      <vt:variant>
        <vt:lpwstr/>
      </vt:variant>
      <vt:variant>
        <vt:lpwstr>_Toc82248185</vt:lpwstr>
      </vt:variant>
      <vt:variant>
        <vt:i4>1310778</vt:i4>
      </vt:variant>
      <vt:variant>
        <vt:i4>236</vt:i4>
      </vt:variant>
      <vt:variant>
        <vt:i4>0</vt:i4>
      </vt:variant>
      <vt:variant>
        <vt:i4>5</vt:i4>
      </vt:variant>
      <vt:variant>
        <vt:lpwstr/>
      </vt:variant>
      <vt:variant>
        <vt:lpwstr>_Toc82248184</vt:lpwstr>
      </vt:variant>
      <vt:variant>
        <vt:i4>1245242</vt:i4>
      </vt:variant>
      <vt:variant>
        <vt:i4>230</vt:i4>
      </vt:variant>
      <vt:variant>
        <vt:i4>0</vt:i4>
      </vt:variant>
      <vt:variant>
        <vt:i4>5</vt:i4>
      </vt:variant>
      <vt:variant>
        <vt:lpwstr/>
      </vt:variant>
      <vt:variant>
        <vt:lpwstr>_Toc82248183</vt:lpwstr>
      </vt:variant>
      <vt:variant>
        <vt:i4>1179706</vt:i4>
      </vt:variant>
      <vt:variant>
        <vt:i4>224</vt:i4>
      </vt:variant>
      <vt:variant>
        <vt:i4>0</vt:i4>
      </vt:variant>
      <vt:variant>
        <vt:i4>5</vt:i4>
      </vt:variant>
      <vt:variant>
        <vt:lpwstr/>
      </vt:variant>
      <vt:variant>
        <vt:lpwstr>_Toc82248182</vt:lpwstr>
      </vt:variant>
      <vt:variant>
        <vt:i4>1114170</vt:i4>
      </vt:variant>
      <vt:variant>
        <vt:i4>218</vt:i4>
      </vt:variant>
      <vt:variant>
        <vt:i4>0</vt:i4>
      </vt:variant>
      <vt:variant>
        <vt:i4>5</vt:i4>
      </vt:variant>
      <vt:variant>
        <vt:lpwstr/>
      </vt:variant>
      <vt:variant>
        <vt:lpwstr>_Toc82248181</vt:lpwstr>
      </vt:variant>
      <vt:variant>
        <vt:i4>1048634</vt:i4>
      </vt:variant>
      <vt:variant>
        <vt:i4>212</vt:i4>
      </vt:variant>
      <vt:variant>
        <vt:i4>0</vt:i4>
      </vt:variant>
      <vt:variant>
        <vt:i4>5</vt:i4>
      </vt:variant>
      <vt:variant>
        <vt:lpwstr/>
      </vt:variant>
      <vt:variant>
        <vt:lpwstr>_Toc82248180</vt:lpwstr>
      </vt:variant>
      <vt:variant>
        <vt:i4>1638453</vt:i4>
      </vt:variant>
      <vt:variant>
        <vt:i4>206</vt:i4>
      </vt:variant>
      <vt:variant>
        <vt:i4>0</vt:i4>
      </vt:variant>
      <vt:variant>
        <vt:i4>5</vt:i4>
      </vt:variant>
      <vt:variant>
        <vt:lpwstr/>
      </vt:variant>
      <vt:variant>
        <vt:lpwstr>_Toc82248179</vt:lpwstr>
      </vt:variant>
      <vt:variant>
        <vt:i4>1572917</vt:i4>
      </vt:variant>
      <vt:variant>
        <vt:i4>200</vt:i4>
      </vt:variant>
      <vt:variant>
        <vt:i4>0</vt:i4>
      </vt:variant>
      <vt:variant>
        <vt:i4>5</vt:i4>
      </vt:variant>
      <vt:variant>
        <vt:lpwstr/>
      </vt:variant>
      <vt:variant>
        <vt:lpwstr>_Toc82248178</vt:lpwstr>
      </vt:variant>
      <vt:variant>
        <vt:i4>1507381</vt:i4>
      </vt:variant>
      <vt:variant>
        <vt:i4>194</vt:i4>
      </vt:variant>
      <vt:variant>
        <vt:i4>0</vt:i4>
      </vt:variant>
      <vt:variant>
        <vt:i4>5</vt:i4>
      </vt:variant>
      <vt:variant>
        <vt:lpwstr/>
      </vt:variant>
      <vt:variant>
        <vt:lpwstr>_Toc82248177</vt:lpwstr>
      </vt:variant>
      <vt:variant>
        <vt:i4>1441845</vt:i4>
      </vt:variant>
      <vt:variant>
        <vt:i4>188</vt:i4>
      </vt:variant>
      <vt:variant>
        <vt:i4>0</vt:i4>
      </vt:variant>
      <vt:variant>
        <vt:i4>5</vt:i4>
      </vt:variant>
      <vt:variant>
        <vt:lpwstr/>
      </vt:variant>
      <vt:variant>
        <vt:lpwstr>_Toc82248176</vt:lpwstr>
      </vt:variant>
      <vt:variant>
        <vt:i4>1376309</vt:i4>
      </vt:variant>
      <vt:variant>
        <vt:i4>182</vt:i4>
      </vt:variant>
      <vt:variant>
        <vt:i4>0</vt:i4>
      </vt:variant>
      <vt:variant>
        <vt:i4>5</vt:i4>
      </vt:variant>
      <vt:variant>
        <vt:lpwstr/>
      </vt:variant>
      <vt:variant>
        <vt:lpwstr>_Toc82248175</vt:lpwstr>
      </vt:variant>
      <vt:variant>
        <vt:i4>1310773</vt:i4>
      </vt:variant>
      <vt:variant>
        <vt:i4>176</vt:i4>
      </vt:variant>
      <vt:variant>
        <vt:i4>0</vt:i4>
      </vt:variant>
      <vt:variant>
        <vt:i4>5</vt:i4>
      </vt:variant>
      <vt:variant>
        <vt:lpwstr/>
      </vt:variant>
      <vt:variant>
        <vt:lpwstr>_Toc82248174</vt:lpwstr>
      </vt:variant>
      <vt:variant>
        <vt:i4>1245237</vt:i4>
      </vt:variant>
      <vt:variant>
        <vt:i4>170</vt:i4>
      </vt:variant>
      <vt:variant>
        <vt:i4>0</vt:i4>
      </vt:variant>
      <vt:variant>
        <vt:i4>5</vt:i4>
      </vt:variant>
      <vt:variant>
        <vt:lpwstr/>
      </vt:variant>
      <vt:variant>
        <vt:lpwstr>_Toc82248173</vt:lpwstr>
      </vt:variant>
      <vt:variant>
        <vt:i4>1179701</vt:i4>
      </vt:variant>
      <vt:variant>
        <vt:i4>164</vt:i4>
      </vt:variant>
      <vt:variant>
        <vt:i4>0</vt:i4>
      </vt:variant>
      <vt:variant>
        <vt:i4>5</vt:i4>
      </vt:variant>
      <vt:variant>
        <vt:lpwstr/>
      </vt:variant>
      <vt:variant>
        <vt:lpwstr>_Toc82248172</vt:lpwstr>
      </vt:variant>
      <vt:variant>
        <vt:i4>1114165</vt:i4>
      </vt:variant>
      <vt:variant>
        <vt:i4>158</vt:i4>
      </vt:variant>
      <vt:variant>
        <vt:i4>0</vt:i4>
      </vt:variant>
      <vt:variant>
        <vt:i4>5</vt:i4>
      </vt:variant>
      <vt:variant>
        <vt:lpwstr/>
      </vt:variant>
      <vt:variant>
        <vt:lpwstr>_Toc82248171</vt:lpwstr>
      </vt:variant>
      <vt:variant>
        <vt:i4>1048629</vt:i4>
      </vt:variant>
      <vt:variant>
        <vt:i4>152</vt:i4>
      </vt:variant>
      <vt:variant>
        <vt:i4>0</vt:i4>
      </vt:variant>
      <vt:variant>
        <vt:i4>5</vt:i4>
      </vt:variant>
      <vt:variant>
        <vt:lpwstr/>
      </vt:variant>
      <vt:variant>
        <vt:lpwstr>_Toc82248170</vt:lpwstr>
      </vt:variant>
      <vt:variant>
        <vt:i4>1638452</vt:i4>
      </vt:variant>
      <vt:variant>
        <vt:i4>146</vt:i4>
      </vt:variant>
      <vt:variant>
        <vt:i4>0</vt:i4>
      </vt:variant>
      <vt:variant>
        <vt:i4>5</vt:i4>
      </vt:variant>
      <vt:variant>
        <vt:lpwstr/>
      </vt:variant>
      <vt:variant>
        <vt:lpwstr>_Toc82248169</vt:lpwstr>
      </vt:variant>
      <vt:variant>
        <vt:i4>1572916</vt:i4>
      </vt:variant>
      <vt:variant>
        <vt:i4>140</vt:i4>
      </vt:variant>
      <vt:variant>
        <vt:i4>0</vt:i4>
      </vt:variant>
      <vt:variant>
        <vt:i4>5</vt:i4>
      </vt:variant>
      <vt:variant>
        <vt:lpwstr/>
      </vt:variant>
      <vt:variant>
        <vt:lpwstr>_Toc82248168</vt:lpwstr>
      </vt:variant>
      <vt:variant>
        <vt:i4>1507380</vt:i4>
      </vt:variant>
      <vt:variant>
        <vt:i4>134</vt:i4>
      </vt:variant>
      <vt:variant>
        <vt:i4>0</vt:i4>
      </vt:variant>
      <vt:variant>
        <vt:i4>5</vt:i4>
      </vt:variant>
      <vt:variant>
        <vt:lpwstr/>
      </vt:variant>
      <vt:variant>
        <vt:lpwstr>_Toc82248167</vt:lpwstr>
      </vt:variant>
      <vt:variant>
        <vt:i4>1441844</vt:i4>
      </vt:variant>
      <vt:variant>
        <vt:i4>128</vt:i4>
      </vt:variant>
      <vt:variant>
        <vt:i4>0</vt:i4>
      </vt:variant>
      <vt:variant>
        <vt:i4>5</vt:i4>
      </vt:variant>
      <vt:variant>
        <vt:lpwstr/>
      </vt:variant>
      <vt:variant>
        <vt:lpwstr>_Toc82248166</vt:lpwstr>
      </vt:variant>
      <vt:variant>
        <vt:i4>1376308</vt:i4>
      </vt:variant>
      <vt:variant>
        <vt:i4>122</vt:i4>
      </vt:variant>
      <vt:variant>
        <vt:i4>0</vt:i4>
      </vt:variant>
      <vt:variant>
        <vt:i4>5</vt:i4>
      </vt:variant>
      <vt:variant>
        <vt:lpwstr/>
      </vt:variant>
      <vt:variant>
        <vt:lpwstr>_Toc82248165</vt:lpwstr>
      </vt:variant>
      <vt:variant>
        <vt:i4>1310772</vt:i4>
      </vt:variant>
      <vt:variant>
        <vt:i4>116</vt:i4>
      </vt:variant>
      <vt:variant>
        <vt:i4>0</vt:i4>
      </vt:variant>
      <vt:variant>
        <vt:i4>5</vt:i4>
      </vt:variant>
      <vt:variant>
        <vt:lpwstr/>
      </vt:variant>
      <vt:variant>
        <vt:lpwstr>_Toc82248164</vt:lpwstr>
      </vt:variant>
      <vt:variant>
        <vt:i4>1245236</vt:i4>
      </vt:variant>
      <vt:variant>
        <vt:i4>110</vt:i4>
      </vt:variant>
      <vt:variant>
        <vt:i4>0</vt:i4>
      </vt:variant>
      <vt:variant>
        <vt:i4>5</vt:i4>
      </vt:variant>
      <vt:variant>
        <vt:lpwstr/>
      </vt:variant>
      <vt:variant>
        <vt:lpwstr>_Toc82248163</vt:lpwstr>
      </vt:variant>
      <vt:variant>
        <vt:i4>1179700</vt:i4>
      </vt:variant>
      <vt:variant>
        <vt:i4>104</vt:i4>
      </vt:variant>
      <vt:variant>
        <vt:i4>0</vt:i4>
      </vt:variant>
      <vt:variant>
        <vt:i4>5</vt:i4>
      </vt:variant>
      <vt:variant>
        <vt:lpwstr/>
      </vt:variant>
      <vt:variant>
        <vt:lpwstr>_Toc82248162</vt:lpwstr>
      </vt:variant>
      <vt:variant>
        <vt:i4>1114164</vt:i4>
      </vt:variant>
      <vt:variant>
        <vt:i4>98</vt:i4>
      </vt:variant>
      <vt:variant>
        <vt:i4>0</vt:i4>
      </vt:variant>
      <vt:variant>
        <vt:i4>5</vt:i4>
      </vt:variant>
      <vt:variant>
        <vt:lpwstr/>
      </vt:variant>
      <vt:variant>
        <vt:lpwstr>_Toc82248161</vt:lpwstr>
      </vt:variant>
      <vt:variant>
        <vt:i4>1048628</vt:i4>
      </vt:variant>
      <vt:variant>
        <vt:i4>92</vt:i4>
      </vt:variant>
      <vt:variant>
        <vt:i4>0</vt:i4>
      </vt:variant>
      <vt:variant>
        <vt:i4>5</vt:i4>
      </vt:variant>
      <vt:variant>
        <vt:lpwstr/>
      </vt:variant>
      <vt:variant>
        <vt:lpwstr>_Toc82248160</vt:lpwstr>
      </vt:variant>
      <vt:variant>
        <vt:i4>1638455</vt:i4>
      </vt:variant>
      <vt:variant>
        <vt:i4>86</vt:i4>
      </vt:variant>
      <vt:variant>
        <vt:i4>0</vt:i4>
      </vt:variant>
      <vt:variant>
        <vt:i4>5</vt:i4>
      </vt:variant>
      <vt:variant>
        <vt:lpwstr/>
      </vt:variant>
      <vt:variant>
        <vt:lpwstr>_Toc82248159</vt:lpwstr>
      </vt:variant>
      <vt:variant>
        <vt:i4>1572919</vt:i4>
      </vt:variant>
      <vt:variant>
        <vt:i4>80</vt:i4>
      </vt:variant>
      <vt:variant>
        <vt:i4>0</vt:i4>
      </vt:variant>
      <vt:variant>
        <vt:i4>5</vt:i4>
      </vt:variant>
      <vt:variant>
        <vt:lpwstr/>
      </vt:variant>
      <vt:variant>
        <vt:lpwstr>_Toc82248158</vt:lpwstr>
      </vt:variant>
      <vt:variant>
        <vt:i4>1507383</vt:i4>
      </vt:variant>
      <vt:variant>
        <vt:i4>74</vt:i4>
      </vt:variant>
      <vt:variant>
        <vt:i4>0</vt:i4>
      </vt:variant>
      <vt:variant>
        <vt:i4>5</vt:i4>
      </vt:variant>
      <vt:variant>
        <vt:lpwstr/>
      </vt:variant>
      <vt:variant>
        <vt:lpwstr>_Toc82248157</vt:lpwstr>
      </vt:variant>
      <vt:variant>
        <vt:i4>1441847</vt:i4>
      </vt:variant>
      <vt:variant>
        <vt:i4>68</vt:i4>
      </vt:variant>
      <vt:variant>
        <vt:i4>0</vt:i4>
      </vt:variant>
      <vt:variant>
        <vt:i4>5</vt:i4>
      </vt:variant>
      <vt:variant>
        <vt:lpwstr/>
      </vt:variant>
      <vt:variant>
        <vt:lpwstr>_Toc82248156</vt:lpwstr>
      </vt:variant>
      <vt:variant>
        <vt:i4>1376311</vt:i4>
      </vt:variant>
      <vt:variant>
        <vt:i4>62</vt:i4>
      </vt:variant>
      <vt:variant>
        <vt:i4>0</vt:i4>
      </vt:variant>
      <vt:variant>
        <vt:i4>5</vt:i4>
      </vt:variant>
      <vt:variant>
        <vt:lpwstr/>
      </vt:variant>
      <vt:variant>
        <vt:lpwstr>_Toc82248155</vt:lpwstr>
      </vt:variant>
      <vt:variant>
        <vt:i4>1310775</vt:i4>
      </vt:variant>
      <vt:variant>
        <vt:i4>56</vt:i4>
      </vt:variant>
      <vt:variant>
        <vt:i4>0</vt:i4>
      </vt:variant>
      <vt:variant>
        <vt:i4>5</vt:i4>
      </vt:variant>
      <vt:variant>
        <vt:lpwstr/>
      </vt:variant>
      <vt:variant>
        <vt:lpwstr>_Toc82248154</vt:lpwstr>
      </vt:variant>
      <vt:variant>
        <vt:i4>1245239</vt:i4>
      </vt:variant>
      <vt:variant>
        <vt:i4>50</vt:i4>
      </vt:variant>
      <vt:variant>
        <vt:i4>0</vt:i4>
      </vt:variant>
      <vt:variant>
        <vt:i4>5</vt:i4>
      </vt:variant>
      <vt:variant>
        <vt:lpwstr/>
      </vt:variant>
      <vt:variant>
        <vt:lpwstr>_Toc82248153</vt:lpwstr>
      </vt:variant>
      <vt:variant>
        <vt:i4>1179703</vt:i4>
      </vt:variant>
      <vt:variant>
        <vt:i4>44</vt:i4>
      </vt:variant>
      <vt:variant>
        <vt:i4>0</vt:i4>
      </vt:variant>
      <vt:variant>
        <vt:i4>5</vt:i4>
      </vt:variant>
      <vt:variant>
        <vt:lpwstr/>
      </vt:variant>
      <vt:variant>
        <vt:lpwstr>_Toc82248152</vt:lpwstr>
      </vt:variant>
      <vt:variant>
        <vt:i4>1114167</vt:i4>
      </vt:variant>
      <vt:variant>
        <vt:i4>38</vt:i4>
      </vt:variant>
      <vt:variant>
        <vt:i4>0</vt:i4>
      </vt:variant>
      <vt:variant>
        <vt:i4>5</vt:i4>
      </vt:variant>
      <vt:variant>
        <vt:lpwstr/>
      </vt:variant>
      <vt:variant>
        <vt:lpwstr>_Toc82248151</vt:lpwstr>
      </vt:variant>
      <vt:variant>
        <vt:i4>1048631</vt:i4>
      </vt:variant>
      <vt:variant>
        <vt:i4>32</vt:i4>
      </vt:variant>
      <vt:variant>
        <vt:i4>0</vt:i4>
      </vt:variant>
      <vt:variant>
        <vt:i4>5</vt:i4>
      </vt:variant>
      <vt:variant>
        <vt:lpwstr/>
      </vt:variant>
      <vt:variant>
        <vt:lpwstr>_Toc82248150</vt:lpwstr>
      </vt:variant>
      <vt:variant>
        <vt:i4>1638454</vt:i4>
      </vt:variant>
      <vt:variant>
        <vt:i4>26</vt:i4>
      </vt:variant>
      <vt:variant>
        <vt:i4>0</vt:i4>
      </vt:variant>
      <vt:variant>
        <vt:i4>5</vt:i4>
      </vt:variant>
      <vt:variant>
        <vt:lpwstr/>
      </vt:variant>
      <vt:variant>
        <vt:lpwstr>_Toc82248149</vt:lpwstr>
      </vt:variant>
      <vt:variant>
        <vt:i4>1572918</vt:i4>
      </vt:variant>
      <vt:variant>
        <vt:i4>20</vt:i4>
      </vt:variant>
      <vt:variant>
        <vt:i4>0</vt:i4>
      </vt:variant>
      <vt:variant>
        <vt:i4>5</vt:i4>
      </vt:variant>
      <vt:variant>
        <vt:lpwstr/>
      </vt:variant>
      <vt:variant>
        <vt:lpwstr>_Toc82248148</vt:lpwstr>
      </vt:variant>
      <vt:variant>
        <vt:i4>1441846</vt:i4>
      </vt:variant>
      <vt:variant>
        <vt:i4>14</vt:i4>
      </vt:variant>
      <vt:variant>
        <vt:i4>0</vt:i4>
      </vt:variant>
      <vt:variant>
        <vt:i4>5</vt:i4>
      </vt:variant>
      <vt:variant>
        <vt:lpwstr/>
      </vt:variant>
      <vt:variant>
        <vt:lpwstr>_Toc82248146</vt:lpwstr>
      </vt:variant>
      <vt:variant>
        <vt:i4>1376310</vt:i4>
      </vt:variant>
      <vt:variant>
        <vt:i4>8</vt:i4>
      </vt:variant>
      <vt:variant>
        <vt:i4>0</vt:i4>
      </vt:variant>
      <vt:variant>
        <vt:i4>5</vt:i4>
      </vt:variant>
      <vt:variant>
        <vt:lpwstr/>
      </vt:variant>
      <vt:variant>
        <vt:lpwstr>_Toc82248145</vt:lpwstr>
      </vt:variant>
      <vt:variant>
        <vt:i4>1310774</vt:i4>
      </vt:variant>
      <vt:variant>
        <vt:i4>2</vt:i4>
      </vt:variant>
      <vt:variant>
        <vt:i4>0</vt:i4>
      </vt:variant>
      <vt:variant>
        <vt:i4>5</vt:i4>
      </vt:variant>
      <vt:variant>
        <vt:lpwstr/>
      </vt:variant>
      <vt:variant>
        <vt:lpwstr>_Toc82248144</vt:lpwstr>
      </vt:variant>
      <vt:variant>
        <vt:i4>7798907</vt:i4>
      </vt:variant>
      <vt:variant>
        <vt:i4>0</vt:i4>
      </vt:variant>
      <vt:variant>
        <vt:i4>0</vt:i4>
      </vt:variant>
      <vt:variant>
        <vt:i4>5</vt:i4>
      </vt:variant>
      <vt:variant>
        <vt:lpwstr>https://www.health.gov.au/resources/publications/atagi-clinical-advice-on-vaccination-recommendations-for-people-with-risk-conditions-from-1-july-2020</vt:lpwstr>
      </vt:variant>
      <vt:variant>
        <vt:lpwstr/>
      </vt:variant>
      <vt:variant>
        <vt:i4>1376294</vt:i4>
      </vt:variant>
      <vt:variant>
        <vt:i4>3</vt:i4>
      </vt:variant>
      <vt:variant>
        <vt:i4>0</vt:i4>
      </vt:variant>
      <vt:variant>
        <vt:i4>5</vt:i4>
      </vt:variant>
      <vt:variant>
        <vt:lpwstr>https://www.health.gov.au/sites/default/files/documents/2020/06/atagi-clinical-advice-on-vaccination-recommendations-for-people-with-risk-conditions-from-1-july-2020_0.pdf</vt:lpwstr>
      </vt:variant>
      <vt:variant>
        <vt:lpwstr/>
      </vt:variant>
      <vt:variant>
        <vt:i4>4325424</vt:i4>
      </vt:variant>
      <vt:variant>
        <vt:i4>0</vt:i4>
      </vt:variant>
      <vt:variant>
        <vt:i4>0</vt:i4>
      </vt:variant>
      <vt:variant>
        <vt:i4>5</vt:i4>
      </vt:variant>
      <vt:variant>
        <vt:lpwstr>https://www.health.gov.au/sites/default/files/documents/2020/06/atagi-clinical-advice-on-changes-to-recommendations-for-pneumococcal-vaccines-from-1-july-2020_0.pdf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2022-02-23T01:32:00Z</dcterms:created>
  <dcterms:modified xsi:type="dcterms:W3CDTF">2022-03-02T03:24:00Z</dcterms:modified>
</cp:coreProperties>
</file>