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DB627" w14:textId="0F6A4F57" w:rsidR="00872E8F" w:rsidRPr="00AB45A9" w:rsidRDefault="00D605B7" w:rsidP="00893A6E">
      <w:pPr>
        <w:pStyle w:val="1MainTitle"/>
        <w:tabs>
          <w:tab w:val="left" w:pos="720"/>
          <w:tab w:val="left" w:pos="1440"/>
          <w:tab w:val="left" w:pos="2160"/>
          <w:tab w:val="left" w:pos="2880"/>
          <w:tab w:val="left" w:pos="3652"/>
        </w:tabs>
        <w:jc w:val="left"/>
      </w:pPr>
      <w:r w:rsidRPr="00AB45A9">
        <w:t>5</w:t>
      </w:r>
      <w:r w:rsidR="00872E8F" w:rsidRPr="00AB45A9">
        <w:t>.</w:t>
      </w:r>
      <w:r w:rsidRPr="00AB45A9">
        <w:t>17</w:t>
      </w:r>
      <w:r w:rsidR="00872E8F" w:rsidRPr="00AB45A9">
        <w:tab/>
      </w:r>
      <w:r w:rsidRPr="00AB45A9">
        <w:t>ADALIMUMAB</w:t>
      </w:r>
      <w:r w:rsidR="00872E8F" w:rsidRPr="00AB45A9">
        <w:t>,</w:t>
      </w:r>
      <w:r w:rsidR="00AB45A9">
        <w:br/>
      </w:r>
      <w:r w:rsidR="00173934" w:rsidRPr="00AB45A9">
        <w:t>Injection 40 mg in 0.8 mL pre-filled syringe,</w:t>
      </w:r>
      <w:r w:rsidR="00AB45A9">
        <w:br/>
      </w:r>
      <w:r w:rsidR="00173934" w:rsidRPr="00AB45A9">
        <w:t>Injection 40 mg in 0.8 mL pre-filled pen</w:t>
      </w:r>
      <w:r w:rsidR="00AB45A9">
        <w:t>,</w:t>
      </w:r>
      <w:r w:rsidR="00AB45A9">
        <w:br/>
      </w:r>
      <w:r w:rsidR="00173934" w:rsidRPr="007E328F">
        <w:t>Hulio</w:t>
      </w:r>
      <w:r w:rsidR="00872E8F" w:rsidRPr="007E328F">
        <w:t>®</w:t>
      </w:r>
      <w:r w:rsidR="00AB45A9">
        <w:t>,</w:t>
      </w:r>
      <w:r w:rsidR="00AB45A9">
        <w:br/>
      </w:r>
      <w:r w:rsidR="00173934" w:rsidRPr="007E328F">
        <w:t>Viatris (Alphapharm Pty Ltd)</w:t>
      </w:r>
    </w:p>
    <w:p w14:paraId="5F4D54C1" w14:textId="10A6939D" w:rsidR="00E11F44" w:rsidRPr="007E13FF" w:rsidRDefault="007E490F" w:rsidP="00CD6257">
      <w:pPr>
        <w:pStyle w:val="2-SectionHeading"/>
        <w:rPr>
          <w:rFonts w:cstheme="minorHAnsi"/>
        </w:rPr>
      </w:pPr>
      <w:r w:rsidRPr="007E13FF">
        <w:t xml:space="preserve">Purpose of </w:t>
      </w:r>
      <w:r w:rsidR="00FA0B04" w:rsidRPr="007E13FF">
        <w:t>Submission</w:t>
      </w:r>
    </w:p>
    <w:p w14:paraId="1B633916" w14:textId="53BDC0C1" w:rsidR="009B3D31" w:rsidRDefault="006C6C10" w:rsidP="00003C2A">
      <w:pPr>
        <w:pStyle w:val="3Bodytext"/>
      </w:pPr>
      <w:r w:rsidRPr="007E13FF">
        <w:t xml:space="preserve">The Category </w:t>
      </w:r>
      <w:r w:rsidR="00D717EC" w:rsidRPr="007E13FF">
        <w:t>3</w:t>
      </w:r>
      <w:r w:rsidR="00C96EC0" w:rsidRPr="007E13FF">
        <w:t xml:space="preserve"> </w:t>
      </w:r>
      <w:r w:rsidRPr="007E13FF">
        <w:t xml:space="preserve">submission </w:t>
      </w:r>
      <w:r w:rsidR="0023466E" w:rsidRPr="007E13FF">
        <w:t>sought</w:t>
      </w:r>
      <w:r w:rsidRPr="007E13FF">
        <w:t xml:space="preserve"> </w:t>
      </w:r>
      <w:r w:rsidR="00787582" w:rsidRPr="007E13FF">
        <w:t xml:space="preserve">Section 85 and Section 100 Highly Specialised </w:t>
      </w:r>
      <w:r w:rsidR="00F128B1">
        <w:t xml:space="preserve">Drugs </w:t>
      </w:r>
      <w:r w:rsidR="00787582" w:rsidRPr="007E13FF">
        <w:t xml:space="preserve">Program listings of a </w:t>
      </w:r>
      <w:r w:rsidR="00380E57" w:rsidRPr="007E13FF">
        <w:t>new</w:t>
      </w:r>
      <w:r w:rsidR="00787582" w:rsidRPr="007E13FF">
        <w:t xml:space="preserve"> </w:t>
      </w:r>
      <w:r w:rsidR="00380E57" w:rsidRPr="007E13FF">
        <w:t>biosimilar</w:t>
      </w:r>
      <w:r w:rsidR="00787582" w:rsidRPr="007E13FF">
        <w:t xml:space="preserve"> </w:t>
      </w:r>
      <w:r w:rsidR="00A40449">
        <w:t>brand of</w:t>
      </w:r>
      <w:r w:rsidR="00787582" w:rsidRPr="007E13FF">
        <w:t xml:space="preserve"> </w:t>
      </w:r>
      <w:r w:rsidR="00D717EC" w:rsidRPr="007E13FF">
        <w:t xml:space="preserve">adalimumab </w:t>
      </w:r>
      <w:r w:rsidR="00E11F44" w:rsidRPr="007E13FF">
        <w:t>(</w:t>
      </w:r>
      <w:r w:rsidR="00380E57" w:rsidRPr="007E13FF">
        <w:t>Hulio</w:t>
      </w:r>
      <w:r w:rsidR="00E11F44" w:rsidRPr="007E13FF">
        <w:t>®)</w:t>
      </w:r>
      <w:r w:rsidR="00380E57" w:rsidRPr="007E13FF">
        <w:t xml:space="preserve"> in the form of 40 mg in 0.8 mL pre-filled syringe (PFS) and pre-filled pen (PFP)</w:t>
      </w:r>
      <w:r w:rsidR="00787582" w:rsidRPr="007E13FF">
        <w:t xml:space="preserve"> </w:t>
      </w:r>
      <w:r w:rsidR="00A40449">
        <w:t>under</w:t>
      </w:r>
      <w:r w:rsidR="00787582" w:rsidRPr="007E13FF">
        <w:t xml:space="preserve"> the same </w:t>
      </w:r>
      <w:r w:rsidR="00A40449">
        <w:t>circumstances</w:t>
      </w:r>
      <w:r w:rsidR="00787582" w:rsidRPr="007E13FF">
        <w:t xml:space="preserve"> as the PB</w:t>
      </w:r>
      <w:r w:rsidR="00E11F44" w:rsidRPr="007E13FF">
        <w:t>S-listed</w:t>
      </w:r>
      <w:r w:rsidR="00A55217">
        <w:t xml:space="preserve"> reference biologic</w:t>
      </w:r>
      <w:r w:rsidR="00E11F44" w:rsidRPr="007E13FF">
        <w:t xml:space="preserve"> </w:t>
      </w:r>
      <w:r w:rsidR="005D5479">
        <w:t>Humira</w:t>
      </w:r>
      <w:r w:rsidR="00144166">
        <w:t>®</w:t>
      </w:r>
      <w:r w:rsidR="00A55217">
        <w:t xml:space="preserve"> 40 mg </w:t>
      </w:r>
      <w:r w:rsidR="00D718E6" w:rsidRPr="007E13FF">
        <w:t>in 0.8 mL PFS and PFP</w:t>
      </w:r>
      <w:r w:rsidR="00EE78AA">
        <w:t>.</w:t>
      </w:r>
    </w:p>
    <w:p w14:paraId="3D1D4320" w14:textId="2D8E1431" w:rsidR="007E490F" w:rsidRPr="007E13FF" w:rsidRDefault="007E490F" w:rsidP="00891674">
      <w:pPr>
        <w:pStyle w:val="2-SectionHeading"/>
      </w:pPr>
      <w:r w:rsidRPr="007E13FF">
        <w:t>Background</w:t>
      </w:r>
    </w:p>
    <w:p w14:paraId="33C2C319" w14:textId="77777777" w:rsidR="007E490F" w:rsidRPr="007E13FF" w:rsidRDefault="007E490F" w:rsidP="007E490F">
      <w:pPr>
        <w:pStyle w:val="4-SubsectionHeading"/>
      </w:pPr>
      <w:r w:rsidRPr="007E13FF">
        <w:t>Registration status</w:t>
      </w:r>
    </w:p>
    <w:p w14:paraId="419617A2" w14:textId="77CAE12A" w:rsidR="00545E6B" w:rsidRPr="00AB45A9" w:rsidRDefault="0040729E" w:rsidP="00AB45A9">
      <w:pPr>
        <w:pStyle w:val="3Bodytext"/>
      </w:pPr>
      <w:r w:rsidRPr="007E13FF">
        <w:t xml:space="preserve">Hulio </w:t>
      </w:r>
      <w:r w:rsidR="007E490F" w:rsidRPr="007E13FF">
        <w:t>was</w:t>
      </w:r>
      <w:r w:rsidR="00211810">
        <w:t xml:space="preserve"> </w:t>
      </w:r>
      <w:r w:rsidR="007B0695">
        <w:t xml:space="preserve">TGA </w:t>
      </w:r>
      <w:r w:rsidR="00A55217">
        <w:t>registered</w:t>
      </w:r>
      <w:r w:rsidR="00211810">
        <w:t xml:space="preserve"> </w:t>
      </w:r>
      <w:r w:rsidR="007E490F" w:rsidRPr="007E13FF">
        <w:t xml:space="preserve">on </w:t>
      </w:r>
      <w:r w:rsidRPr="007E13FF">
        <w:t>14 May 2021</w:t>
      </w:r>
      <w:r w:rsidR="00963648">
        <w:t xml:space="preserve"> and</w:t>
      </w:r>
      <w:r w:rsidR="0087563F">
        <w:t xml:space="preserve"> </w:t>
      </w:r>
      <w:r w:rsidR="00E50286" w:rsidRPr="007E13FF">
        <w:t>was determined to be a biosimilar to the reference brand Humira.</w:t>
      </w:r>
      <w:r w:rsidR="00C3367E">
        <w:t xml:space="preserve"> </w:t>
      </w:r>
      <w:r w:rsidR="00A55217">
        <w:t>Hulio 40 mg has the same indications as Humira 40 mg.</w:t>
      </w:r>
    </w:p>
    <w:p w14:paraId="67809941" w14:textId="77777777" w:rsidR="00D6523A" w:rsidRPr="009F00D4" w:rsidRDefault="00D6523A" w:rsidP="00D6523A">
      <w:pPr>
        <w:pStyle w:val="4-SubsectionHeading"/>
      </w:pPr>
      <w:r>
        <w:t>Previous PBAC consideration</w:t>
      </w:r>
    </w:p>
    <w:p w14:paraId="4B8437FE" w14:textId="77777777" w:rsidR="00D6523A" w:rsidRDefault="00D6523A" w:rsidP="00AB45A9">
      <w:pPr>
        <w:pStyle w:val="3Bodytext"/>
      </w:pPr>
      <w:r>
        <w:t xml:space="preserve">Hulio has not previously been considered by the PBAC. </w:t>
      </w:r>
    </w:p>
    <w:p w14:paraId="7A54CB1C" w14:textId="77777777" w:rsidR="00D6523A" w:rsidRPr="00AB45A9" w:rsidRDefault="00D6523A" w:rsidP="00AB45A9">
      <w:pPr>
        <w:pStyle w:val="4-SubsectionHeading"/>
        <w:rPr>
          <w:b w:val="0"/>
          <w:i w:val="0"/>
        </w:rPr>
      </w:pPr>
      <w:r w:rsidRPr="00D11479">
        <w:t>Current status</w:t>
      </w:r>
    </w:p>
    <w:p w14:paraId="1D24333E" w14:textId="021DB245" w:rsidR="006A0101" w:rsidRPr="002E2C02" w:rsidRDefault="00D6523A" w:rsidP="00427899">
      <w:pPr>
        <w:pStyle w:val="3Bodytext"/>
      </w:pPr>
      <w:r>
        <w:t>Humira and the following biosimilar brands of adalimumab</w:t>
      </w:r>
      <w:r w:rsidR="00AB45A9">
        <w:t>,</w:t>
      </w:r>
      <w:r w:rsidRPr="00B074A7">
        <w:rPr>
          <w:rFonts w:cstheme="minorHAnsi"/>
          <w:snapToGrid w:val="0"/>
          <w:szCs w:val="24"/>
        </w:rPr>
        <w:t xml:space="preserve"> </w:t>
      </w:r>
      <w:r w:rsidRPr="00003C2A">
        <w:rPr>
          <w:rFonts w:cstheme="minorHAnsi"/>
          <w:snapToGrid w:val="0"/>
          <w:szCs w:val="24"/>
        </w:rPr>
        <w:t>Amgevita</w:t>
      </w:r>
      <w:r w:rsidRPr="00B074A7">
        <w:rPr>
          <w:rFonts w:cstheme="minorHAnsi"/>
          <w:snapToGrid w:val="0"/>
          <w:szCs w:val="24"/>
        </w:rPr>
        <w:t xml:space="preserve">®, </w:t>
      </w:r>
      <w:r w:rsidRPr="00003C2A">
        <w:rPr>
          <w:rFonts w:cstheme="minorHAnsi"/>
          <w:snapToGrid w:val="0"/>
          <w:szCs w:val="24"/>
        </w:rPr>
        <w:t>Hadlima®</w:t>
      </w:r>
      <w:r w:rsidRPr="00B074A7">
        <w:rPr>
          <w:rFonts w:cstheme="minorHAnsi"/>
          <w:snapToGrid w:val="0"/>
          <w:szCs w:val="24"/>
        </w:rPr>
        <w:t xml:space="preserve">, </w:t>
      </w:r>
      <w:r w:rsidRPr="00003C2A">
        <w:rPr>
          <w:rFonts w:cstheme="minorHAnsi"/>
          <w:snapToGrid w:val="0"/>
          <w:szCs w:val="24"/>
        </w:rPr>
        <w:t>Hyrimoz®</w:t>
      </w:r>
      <w:r w:rsidRPr="00B074A7">
        <w:rPr>
          <w:rFonts w:cstheme="minorHAnsi"/>
          <w:snapToGrid w:val="0"/>
          <w:szCs w:val="24"/>
        </w:rPr>
        <w:t xml:space="preserve"> and Idacio®</w:t>
      </w:r>
      <w:r w:rsidR="00A20BB8">
        <w:rPr>
          <w:rFonts w:cstheme="minorHAnsi"/>
          <w:snapToGrid w:val="0"/>
          <w:szCs w:val="24"/>
        </w:rPr>
        <w:t>,</w:t>
      </w:r>
      <w:r>
        <w:rPr>
          <w:rFonts w:cstheme="minorHAnsi"/>
          <w:snapToGrid w:val="0"/>
          <w:szCs w:val="24"/>
        </w:rPr>
        <w:t xml:space="preserve"> are listed on the PBS.</w:t>
      </w:r>
      <w:bookmarkStart w:id="0" w:name="_Hlk76055612"/>
      <w:bookmarkStart w:id="1" w:name="_Hlk76375324"/>
    </w:p>
    <w:p w14:paraId="055F7B99" w14:textId="7B8195F9" w:rsidR="006A0101" w:rsidRPr="002E2C02" w:rsidRDefault="006A0101" w:rsidP="00427899">
      <w:pPr>
        <w:pStyle w:val="3Bodytext"/>
        <w:numPr>
          <w:ilvl w:val="0"/>
          <w:numId w:val="0"/>
        </w:numPr>
        <w:ind w:firstLine="720"/>
      </w:pPr>
      <w:r w:rsidRPr="00427899">
        <w:rPr>
          <w:i/>
        </w:rPr>
        <w:t xml:space="preserve">For more detail on PBAC’s view, see section 6 PBAC outcome. </w:t>
      </w:r>
    </w:p>
    <w:bookmarkEnd w:id="0"/>
    <w:bookmarkEnd w:id="1"/>
    <w:p w14:paraId="1B8790B6" w14:textId="77777777" w:rsidR="00964A9F" w:rsidRPr="007E13FF" w:rsidRDefault="00964A9F" w:rsidP="00964A9F">
      <w:pPr>
        <w:pStyle w:val="2-SectionHeading"/>
      </w:pPr>
      <w:r w:rsidRPr="007E13FF">
        <w:t xml:space="preserve">Requested listing </w:t>
      </w:r>
    </w:p>
    <w:p w14:paraId="4D1F0A82" w14:textId="2BE255B2" w:rsidR="007B718A" w:rsidRPr="007E13FF" w:rsidRDefault="007B718A" w:rsidP="007B718A">
      <w:pPr>
        <w:pStyle w:val="3Bodytext"/>
      </w:pPr>
      <w:r w:rsidRPr="007E13FF">
        <w:t xml:space="preserve">The </w:t>
      </w:r>
      <w:r w:rsidR="00AB45A9">
        <w:t>submission requested the following</w:t>
      </w:r>
      <w:r w:rsidRPr="007E13FF">
        <w:t xml:space="preserve"> PBS indications for Hulio </w:t>
      </w:r>
      <w:r w:rsidR="00172028">
        <w:t>under</w:t>
      </w:r>
      <w:r w:rsidR="00172028" w:rsidRPr="007E13FF">
        <w:t xml:space="preserve"> the same </w:t>
      </w:r>
      <w:r w:rsidR="00172028">
        <w:t>circumstances</w:t>
      </w:r>
      <w:r w:rsidR="00172028" w:rsidRPr="007E13FF">
        <w:t xml:space="preserve"> as the PBS-listed</w:t>
      </w:r>
      <w:r w:rsidR="00172028">
        <w:t xml:space="preserve"> reference biologic</w:t>
      </w:r>
      <w:r w:rsidR="00172028" w:rsidRPr="007E13FF">
        <w:t xml:space="preserve"> </w:t>
      </w:r>
      <w:r w:rsidR="00172028">
        <w:t xml:space="preserve">Humira 40 mg </w:t>
      </w:r>
      <w:r w:rsidR="00172028" w:rsidRPr="007E13FF">
        <w:t>in 0.8 mL PFS and PFP</w:t>
      </w:r>
      <w:r w:rsidRPr="007E13FF">
        <w:t>:</w:t>
      </w:r>
    </w:p>
    <w:p w14:paraId="3AE3047A" w14:textId="77777777" w:rsidR="007B718A" w:rsidRPr="00F42BF4" w:rsidRDefault="007B718A" w:rsidP="00891674">
      <w:pPr>
        <w:pStyle w:val="3Bodytext"/>
        <w:numPr>
          <w:ilvl w:val="0"/>
          <w:numId w:val="6"/>
        </w:numPr>
      </w:pPr>
      <w:r w:rsidRPr="00F42BF4">
        <w:t>Severe Crohn disease</w:t>
      </w:r>
    </w:p>
    <w:p w14:paraId="322FA1B3" w14:textId="77777777" w:rsidR="007B718A" w:rsidRPr="00F42BF4" w:rsidRDefault="007B718A" w:rsidP="00891674">
      <w:pPr>
        <w:pStyle w:val="3Bodytext"/>
        <w:numPr>
          <w:ilvl w:val="0"/>
          <w:numId w:val="6"/>
        </w:numPr>
      </w:pPr>
      <w:r w:rsidRPr="00F42BF4">
        <w:t>Moderate to severe ulcerative colitis</w:t>
      </w:r>
    </w:p>
    <w:p w14:paraId="685B20A6" w14:textId="77777777" w:rsidR="007B718A" w:rsidRPr="00F42BF4" w:rsidRDefault="007B718A" w:rsidP="00891674">
      <w:pPr>
        <w:pStyle w:val="3Bodytext"/>
        <w:numPr>
          <w:ilvl w:val="0"/>
          <w:numId w:val="6"/>
        </w:numPr>
      </w:pPr>
      <w:r w:rsidRPr="00F42BF4">
        <w:t xml:space="preserve">Severe active juvenile idiopathic arthritis </w:t>
      </w:r>
    </w:p>
    <w:p w14:paraId="0B006B3B" w14:textId="77777777" w:rsidR="007B718A" w:rsidRPr="00F42BF4" w:rsidRDefault="007B718A" w:rsidP="00891674">
      <w:pPr>
        <w:pStyle w:val="3Bodytext"/>
        <w:numPr>
          <w:ilvl w:val="0"/>
          <w:numId w:val="6"/>
        </w:numPr>
      </w:pPr>
      <w:r w:rsidRPr="00F42BF4">
        <w:t>Complex refractory fistulising Crohn’s disease</w:t>
      </w:r>
    </w:p>
    <w:p w14:paraId="2A1E71A1" w14:textId="77777777" w:rsidR="007B718A" w:rsidRPr="00F42BF4" w:rsidRDefault="007B718A" w:rsidP="00891674">
      <w:pPr>
        <w:pStyle w:val="3Bodytext"/>
        <w:numPr>
          <w:ilvl w:val="0"/>
          <w:numId w:val="6"/>
        </w:numPr>
      </w:pPr>
      <w:r w:rsidRPr="00F42BF4">
        <w:lastRenderedPageBreak/>
        <w:t>Severe active rheumatoid arthritis</w:t>
      </w:r>
    </w:p>
    <w:p w14:paraId="6CF9F3FE" w14:textId="77777777" w:rsidR="007B718A" w:rsidRPr="00F42BF4" w:rsidRDefault="007B718A" w:rsidP="00891674">
      <w:pPr>
        <w:pStyle w:val="3Bodytext"/>
        <w:numPr>
          <w:ilvl w:val="0"/>
          <w:numId w:val="6"/>
        </w:numPr>
      </w:pPr>
      <w:r w:rsidRPr="00F42BF4">
        <w:t>Severe psoriatic arthritis</w:t>
      </w:r>
    </w:p>
    <w:p w14:paraId="4C12548E" w14:textId="77777777" w:rsidR="007B718A" w:rsidRPr="00F42BF4" w:rsidRDefault="007B718A" w:rsidP="00891674">
      <w:pPr>
        <w:pStyle w:val="3Bodytext"/>
        <w:numPr>
          <w:ilvl w:val="0"/>
          <w:numId w:val="6"/>
        </w:numPr>
      </w:pPr>
      <w:r w:rsidRPr="00F42BF4">
        <w:t>Ankylosing spondylitis</w:t>
      </w:r>
    </w:p>
    <w:p w14:paraId="76429A08" w14:textId="77777777" w:rsidR="007B718A" w:rsidRPr="00F42BF4" w:rsidRDefault="007B718A" w:rsidP="00891674">
      <w:pPr>
        <w:pStyle w:val="3Bodytext"/>
        <w:numPr>
          <w:ilvl w:val="0"/>
          <w:numId w:val="6"/>
        </w:numPr>
      </w:pPr>
      <w:r w:rsidRPr="00F42BF4">
        <w:t>Severe chronic plaque psoriasis</w:t>
      </w:r>
    </w:p>
    <w:p w14:paraId="79E17DE0" w14:textId="2200CF70" w:rsidR="007B718A" w:rsidRDefault="007B718A" w:rsidP="00891674">
      <w:pPr>
        <w:pStyle w:val="3Bodytext"/>
        <w:numPr>
          <w:ilvl w:val="0"/>
          <w:numId w:val="6"/>
        </w:numPr>
      </w:pPr>
      <w:r w:rsidRPr="00F42BF4">
        <w:t>Moderate to severe hidradenitis suppurativa</w:t>
      </w:r>
    </w:p>
    <w:p w14:paraId="24295B4D" w14:textId="6E7A3635" w:rsidR="007102C8" w:rsidRPr="005D0C24" w:rsidRDefault="007102C8" w:rsidP="00EC11EF">
      <w:pPr>
        <w:pStyle w:val="3Bodytext"/>
        <w:numPr>
          <w:ilvl w:val="0"/>
          <w:numId w:val="0"/>
        </w:numPr>
        <w:ind w:left="720"/>
      </w:pPr>
      <w:r w:rsidRPr="005D0C24">
        <w:t>The submission requested a listing for uveitis</w:t>
      </w:r>
      <w:r w:rsidR="00945DDC" w:rsidRPr="005D0C24">
        <w:t>,</w:t>
      </w:r>
      <w:r w:rsidRPr="005D0C24">
        <w:t xml:space="preserve"> which</w:t>
      </w:r>
      <w:r w:rsidR="00945DDC" w:rsidRPr="005D0C24">
        <w:t xml:space="preserve"> </w:t>
      </w:r>
      <w:r w:rsidRPr="005D0C24">
        <w:t xml:space="preserve">is not </w:t>
      </w:r>
      <w:r w:rsidR="009C77FF">
        <w:t xml:space="preserve">a </w:t>
      </w:r>
      <w:r w:rsidRPr="005D0C24">
        <w:t>PBS-listed</w:t>
      </w:r>
      <w:r w:rsidR="009C77FF">
        <w:t xml:space="preserve"> indication for adalimumab</w:t>
      </w:r>
      <w:r w:rsidRPr="005D0C24">
        <w:t>.</w:t>
      </w:r>
      <w:r w:rsidR="00660ABB">
        <w:t xml:space="preserve"> This request </w:t>
      </w:r>
      <w:r w:rsidR="00427899">
        <w:t>w</w:t>
      </w:r>
      <w:r w:rsidR="009C77FF">
        <w:t>ould</w:t>
      </w:r>
      <w:r w:rsidR="00660ABB">
        <w:t xml:space="preserve"> not </w:t>
      </w:r>
      <w:r w:rsidR="009A33C8">
        <w:t xml:space="preserve">be </w:t>
      </w:r>
      <w:r w:rsidR="00660ABB">
        <w:t xml:space="preserve">considered in this submission because a Category </w:t>
      </w:r>
      <w:r w:rsidR="00427899">
        <w:t>3</w:t>
      </w:r>
      <w:r w:rsidR="00660ABB">
        <w:t xml:space="preserve"> submission is not </w:t>
      </w:r>
      <w:r w:rsidR="00427899">
        <w:t>the</w:t>
      </w:r>
      <w:r w:rsidR="00660ABB">
        <w:t xml:space="preserve"> appropriate pathway for this type of request.</w:t>
      </w:r>
      <w:r w:rsidR="00A970C6">
        <w:t xml:space="preserve"> Neither the submission nor the pre-PBAC response provided any data to support the request of listing Hulio for the treatment of uveitis. </w:t>
      </w:r>
      <w:r w:rsidR="004F246E">
        <w:t xml:space="preserve"> </w:t>
      </w:r>
      <w:r w:rsidRPr="005D0C24">
        <w:t xml:space="preserve"> </w:t>
      </w:r>
    </w:p>
    <w:p w14:paraId="60592EC1" w14:textId="2AB5A7F5" w:rsidR="00DA5BC0" w:rsidRDefault="00DA5BC0" w:rsidP="00DA5BC0">
      <w:pPr>
        <w:pStyle w:val="3Bodytext"/>
      </w:pPr>
      <w:r w:rsidRPr="005D0C24">
        <w:t>The requested restrictions are complex due to the number of items and indications required for the listing.</w:t>
      </w:r>
      <w:r w:rsidR="00DB0F4C">
        <w:t xml:space="preserve"> If recommended by the PBAC, </w:t>
      </w:r>
      <w:r>
        <w:t xml:space="preserve">the </w:t>
      </w:r>
      <w:r w:rsidRPr="005D0C24">
        <w:t xml:space="preserve">implementation of these listings may occur across separate stages. As the </w:t>
      </w:r>
      <w:r>
        <w:t>submission</w:t>
      </w:r>
      <w:r w:rsidRPr="005D0C24">
        <w:t xml:space="preserve"> requested the same restrictions as the reference brand, the restrictions have not been reproduced.</w:t>
      </w:r>
    </w:p>
    <w:p w14:paraId="7A8DB3BC" w14:textId="7A9E2565" w:rsidR="005D0C24" w:rsidRPr="005D0C24" w:rsidRDefault="005D0C24" w:rsidP="005D0C24">
      <w:pPr>
        <w:spacing w:after="120"/>
        <w:ind w:firstLine="709"/>
        <w:rPr>
          <w:rFonts w:asciiTheme="minorHAnsi" w:hAnsiTheme="minorHAnsi"/>
          <w:i/>
          <w:lang w:eastAsia="en-US"/>
        </w:rPr>
      </w:pPr>
      <w:r w:rsidRPr="005D0C24">
        <w:rPr>
          <w:rFonts w:asciiTheme="minorHAnsi" w:hAnsiTheme="minorHAnsi"/>
          <w:i/>
          <w:lang w:eastAsia="en-US"/>
        </w:rPr>
        <w:t>For more deta</w:t>
      </w:r>
      <w:r w:rsidR="001E6D4C">
        <w:rPr>
          <w:rFonts w:asciiTheme="minorHAnsi" w:hAnsiTheme="minorHAnsi"/>
          <w:i/>
          <w:lang w:eastAsia="en-US"/>
        </w:rPr>
        <w:t>il on PBAC’s view, see section 6</w:t>
      </w:r>
      <w:r w:rsidRPr="005D0C24">
        <w:rPr>
          <w:rFonts w:asciiTheme="minorHAnsi" w:hAnsiTheme="minorHAnsi"/>
          <w:i/>
          <w:lang w:eastAsia="en-US"/>
        </w:rPr>
        <w:t xml:space="preserve"> PBAC outcome.</w:t>
      </w:r>
    </w:p>
    <w:p w14:paraId="29A96004" w14:textId="3D36E066" w:rsidR="00C27C1C" w:rsidRPr="007E13FF" w:rsidRDefault="00C27C1C" w:rsidP="00891674">
      <w:pPr>
        <w:pStyle w:val="2-SectionHeading"/>
      </w:pPr>
      <w:r w:rsidRPr="007E13FF">
        <w:t>Comparator</w:t>
      </w:r>
    </w:p>
    <w:p w14:paraId="1184BA9A" w14:textId="30C3D3B7" w:rsidR="00C27C1C" w:rsidRPr="005D0C24" w:rsidRDefault="00C27C1C" w:rsidP="00C27C1C">
      <w:pPr>
        <w:pStyle w:val="3Bodytext"/>
        <w:rPr>
          <w:i/>
        </w:rPr>
      </w:pPr>
      <w:r w:rsidRPr="007E13FF">
        <w:t xml:space="preserve">The submission nominated </w:t>
      </w:r>
      <w:r w:rsidR="002B1C4C" w:rsidRPr="007E13FF">
        <w:t xml:space="preserve">the reference brand of adalimumab, Humira, as the main comparator. </w:t>
      </w:r>
      <w:r w:rsidR="002B1C4C" w:rsidRPr="005D0C24">
        <w:rPr>
          <w:iCs/>
        </w:rPr>
        <w:t>T</w:t>
      </w:r>
      <w:r w:rsidR="000B4E93">
        <w:rPr>
          <w:iCs/>
        </w:rPr>
        <w:t>he PBAC considered that t</w:t>
      </w:r>
      <w:r w:rsidR="002B1C4C" w:rsidRPr="005D0C24">
        <w:rPr>
          <w:iCs/>
        </w:rPr>
        <w:t>his was appropriate.</w:t>
      </w:r>
    </w:p>
    <w:p w14:paraId="28B7ECD2" w14:textId="4F23A041" w:rsidR="005D0C24" w:rsidRPr="005D0C24" w:rsidRDefault="005D0C24" w:rsidP="005D0C24">
      <w:pPr>
        <w:spacing w:after="120"/>
        <w:ind w:firstLine="709"/>
        <w:rPr>
          <w:rFonts w:asciiTheme="minorHAnsi" w:hAnsiTheme="minorHAnsi"/>
          <w:i/>
          <w:lang w:eastAsia="en-US"/>
        </w:rPr>
      </w:pPr>
      <w:r w:rsidRPr="005D0C24">
        <w:rPr>
          <w:rFonts w:asciiTheme="minorHAnsi" w:hAnsiTheme="minorHAnsi"/>
          <w:i/>
          <w:lang w:eastAsia="en-US"/>
        </w:rPr>
        <w:t>For more deta</w:t>
      </w:r>
      <w:r w:rsidR="001E6D4C">
        <w:rPr>
          <w:rFonts w:asciiTheme="minorHAnsi" w:hAnsiTheme="minorHAnsi"/>
          <w:i/>
          <w:lang w:eastAsia="en-US"/>
        </w:rPr>
        <w:t>il on PBAC’s view, see section 6</w:t>
      </w:r>
      <w:r w:rsidRPr="005D0C24">
        <w:rPr>
          <w:rFonts w:asciiTheme="minorHAnsi" w:hAnsiTheme="minorHAnsi"/>
          <w:i/>
          <w:lang w:eastAsia="en-US"/>
        </w:rPr>
        <w:t xml:space="preserve"> PBAC outcome.</w:t>
      </w:r>
    </w:p>
    <w:p w14:paraId="0436B7D8" w14:textId="3D711A99" w:rsidR="00C27C1C" w:rsidRDefault="00C27C1C" w:rsidP="00891674">
      <w:pPr>
        <w:pStyle w:val="Heading1"/>
        <w:keepLines/>
        <w:numPr>
          <w:ilvl w:val="0"/>
          <w:numId w:val="1"/>
        </w:numPr>
        <w:spacing w:before="240"/>
        <w:ind w:left="709" w:hanging="709"/>
        <w:rPr>
          <w:sz w:val="32"/>
          <w:szCs w:val="32"/>
        </w:rPr>
      </w:pPr>
      <w:r w:rsidRPr="007E13FF">
        <w:rPr>
          <w:sz w:val="32"/>
          <w:szCs w:val="32"/>
        </w:rPr>
        <w:t>Consideration of the evidence</w:t>
      </w:r>
    </w:p>
    <w:p w14:paraId="0AF04A9D" w14:textId="7D227C94" w:rsidR="005D0C24" w:rsidRDefault="005D0C24" w:rsidP="005D0C24">
      <w:pPr>
        <w:pStyle w:val="4-SubsectionHeading"/>
        <w:keepNext w:val="0"/>
        <w:rPr>
          <w:lang w:eastAsia="en-US"/>
        </w:rPr>
      </w:pPr>
      <w:r w:rsidRPr="006E1229">
        <w:rPr>
          <w:lang w:eastAsia="en-US"/>
        </w:rPr>
        <w:t>Sponsor hearing</w:t>
      </w:r>
    </w:p>
    <w:p w14:paraId="0F2A38AE" w14:textId="594C36F1" w:rsidR="003612D5" w:rsidRDefault="00E25498" w:rsidP="005D0C24">
      <w:pPr>
        <w:pStyle w:val="3Bodytext"/>
      </w:pPr>
      <w:r>
        <w:t xml:space="preserve">There was no hearing for this item. </w:t>
      </w:r>
    </w:p>
    <w:p w14:paraId="0ABF5E2D" w14:textId="7EBF6247" w:rsidR="005D0C24" w:rsidRPr="006E1229" w:rsidRDefault="005D0C24" w:rsidP="005D0C24">
      <w:pPr>
        <w:pStyle w:val="4-SubsectionHeading"/>
        <w:keepNext w:val="0"/>
        <w:rPr>
          <w:lang w:eastAsia="en-US"/>
        </w:rPr>
      </w:pPr>
      <w:r w:rsidRPr="005D0C24">
        <w:rPr>
          <w:lang w:eastAsia="en-US"/>
        </w:rPr>
        <w:t>Consumer comments</w:t>
      </w:r>
    </w:p>
    <w:p w14:paraId="0F4C2FED" w14:textId="71365244" w:rsidR="00582814" w:rsidRPr="00582814" w:rsidRDefault="00A42717" w:rsidP="00A42717">
      <w:pPr>
        <w:pStyle w:val="3Bodytext"/>
        <w:rPr>
          <w:snapToGrid w:val="0"/>
        </w:rPr>
      </w:pPr>
      <w:r>
        <w:t xml:space="preserve">The PBAC noted and welcomed the input from </w:t>
      </w:r>
      <w:r w:rsidR="000B4E93">
        <w:t xml:space="preserve">the </w:t>
      </w:r>
      <w:r w:rsidR="00582814">
        <w:t>Centre for Community Driven Research</w:t>
      </w:r>
      <w:r>
        <w:t xml:space="preserve"> (1) via the Consumer Comments facility on the PBS website. </w:t>
      </w:r>
      <w:r w:rsidR="00582814">
        <w:t>The</w:t>
      </w:r>
      <w:r w:rsidR="003F1576">
        <w:t xml:space="preserve"> </w:t>
      </w:r>
      <w:r w:rsidR="00DF4FE0">
        <w:t xml:space="preserve">input included structured interviews and quantitative questionnaires from 100 participants </w:t>
      </w:r>
      <w:r w:rsidR="00F10076">
        <w:t>with ulcerative colitis or Crohn’s Disease. The repository</w:t>
      </w:r>
      <w:r w:rsidR="003F1576">
        <w:t xml:space="preserve"> </w:t>
      </w:r>
      <w:r w:rsidR="00DF4FE0">
        <w:t xml:space="preserve">provided </w:t>
      </w:r>
      <w:r w:rsidR="00F10076">
        <w:t xml:space="preserve">participants’ </w:t>
      </w:r>
      <w:r w:rsidR="00DF4FE0">
        <w:t>personal experience</w:t>
      </w:r>
      <w:r w:rsidR="00F10076">
        <w:t>s</w:t>
      </w:r>
      <w:r w:rsidR="00DF4FE0">
        <w:t xml:space="preserve"> on their quality of life, side effects </w:t>
      </w:r>
      <w:r w:rsidR="00F10076">
        <w:t>and effectiveness of treatment.</w:t>
      </w:r>
    </w:p>
    <w:p w14:paraId="3F679FE9" w14:textId="63454FB8" w:rsidR="00C27C1C" w:rsidRPr="007E13FF" w:rsidRDefault="00C27C1C" w:rsidP="00C27C1C">
      <w:pPr>
        <w:pStyle w:val="4-SubsectionHeading"/>
        <w:keepNext w:val="0"/>
        <w:rPr>
          <w:lang w:eastAsia="en-US"/>
        </w:rPr>
      </w:pPr>
      <w:r w:rsidRPr="007E13FF">
        <w:rPr>
          <w:lang w:eastAsia="en-US"/>
        </w:rPr>
        <w:t xml:space="preserve">Clinical </w:t>
      </w:r>
      <w:r w:rsidR="0092513A">
        <w:rPr>
          <w:lang w:eastAsia="en-US"/>
        </w:rPr>
        <w:t>studies</w:t>
      </w:r>
    </w:p>
    <w:p w14:paraId="19A206BD" w14:textId="78C8C238" w:rsidR="00C27C1C" w:rsidRPr="007E13FF" w:rsidRDefault="00A16FC5">
      <w:pPr>
        <w:pStyle w:val="3Bodytext"/>
      </w:pPr>
      <w:r>
        <w:t xml:space="preserve">The submission presented the following clinical </w:t>
      </w:r>
      <w:r w:rsidR="00B2169F" w:rsidRPr="007E13FF">
        <w:t>studies</w:t>
      </w:r>
      <w:r>
        <w:t>.</w:t>
      </w:r>
      <w:r w:rsidR="00B519EC">
        <w:t xml:space="preserve"> </w:t>
      </w:r>
      <w:r w:rsidR="00B519EC" w:rsidRPr="005D0C24">
        <w:rPr>
          <w:iCs/>
        </w:rPr>
        <w:t>As a Category 3 submission, no evaluation of the clinical evidence was undertaken.</w:t>
      </w:r>
    </w:p>
    <w:p w14:paraId="6A9442E3" w14:textId="71F33A1A" w:rsidR="000B4E93" w:rsidRDefault="000B4E93" w:rsidP="00BE57F4">
      <w:pPr>
        <w:pStyle w:val="TableFigureHeading"/>
      </w:pPr>
      <w:r>
        <w:lastRenderedPageBreak/>
        <w:t xml:space="preserve">Table </w:t>
      </w:r>
      <w:r w:rsidR="008E6E90">
        <w:fldChar w:fldCharType="begin"/>
      </w:r>
      <w:r w:rsidR="008E6E90">
        <w:instrText xml:space="preserve"> SEQ Table \* ARABIC </w:instrText>
      </w:r>
      <w:r w:rsidR="008E6E90">
        <w:fldChar w:fldCharType="separate"/>
      </w:r>
      <w:r w:rsidR="008E6E90">
        <w:rPr>
          <w:noProof/>
        </w:rPr>
        <w:t>1</w:t>
      </w:r>
      <w:r w:rsidR="008E6E90">
        <w:rPr>
          <w:noProof/>
        </w:rPr>
        <w:fldChar w:fldCharType="end"/>
      </w:r>
      <w:r>
        <w:t xml:space="preserve">: </w:t>
      </w:r>
      <w:r w:rsidRPr="00EB4D47">
        <w:t>Studies presented in the submission</w:t>
      </w:r>
    </w:p>
    <w:tbl>
      <w:tblPr>
        <w:tblStyle w:val="TableGrid"/>
        <w:tblW w:w="0" w:type="auto"/>
        <w:tblLook w:val="04A0" w:firstRow="1" w:lastRow="0" w:firstColumn="1" w:lastColumn="0" w:noHBand="0" w:noVBand="1"/>
        <w:tblCaption w:val="Studies presented in the submission"/>
        <w:tblDescription w:val="Studies presented in the submission"/>
      </w:tblPr>
      <w:tblGrid>
        <w:gridCol w:w="1271"/>
        <w:gridCol w:w="1985"/>
        <w:gridCol w:w="2268"/>
        <w:gridCol w:w="1984"/>
        <w:gridCol w:w="1508"/>
      </w:tblGrid>
      <w:tr w:rsidR="00A16FC5" w:rsidRPr="007E13FF" w14:paraId="6AE14AA6" w14:textId="77777777" w:rsidTr="00A1466C">
        <w:trPr>
          <w:trHeight w:val="590"/>
        </w:trPr>
        <w:tc>
          <w:tcPr>
            <w:tcW w:w="1271" w:type="dxa"/>
          </w:tcPr>
          <w:p w14:paraId="0D3B6F21" w14:textId="2560D648" w:rsidR="00B2169F" w:rsidRPr="007E13FF" w:rsidRDefault="00A16FC5" w:rsidP="000B2EB7">
            <w:pPr>
              <w:pStyle w:val="In-tableHeading"/>
            </w:pPr>
            <w:r>
              <w:t>Trial ID</w:t>
            </w:r>
          </w:p>
        </w:tc>
        <w:tc>
          <w:tcPr>
            <w:tcW w:w="1985" w:type="dxa"/>
          </w:tcPr>
          <w:p w14:paraId="3C230773" w14:textId="4F890A23" w:rsidR="00B2169F" w:rsidRPr="007E13FF" w:rsidRDefault="00A16FC5">
            <w:pPr>
              <w:pStyle w:val="In-tableHeading"/>
            </w:pPr>
            <w:r>
              <w:t>Protocol/Publication title</w:t>
            </w:r>
          </w:p>
        </w:tc>
        <w:tc>
          <w:tcPr>
            <w:tcW w:w="2268" w:type="dxa"/>
          </w:tcPr>
          <w:p w14:paraId="26E1A50A" w14:textId="6B9BE9A1" w:rsidR="00B2169F" w:rsidRPr="007E13FF" w:rsidRDefault="00B2169F" w:rsidP="000B2EB7">
            <w:pPr>
              <w:pStyle w:val="In-tableHeading"/>
            </w:pPr>
            <w:r w:rsidRPr="007E13FF">
              <w:t>Study Objectives (Related to Safety)</w:t>
            </w:r>
          </w:p>
        </w:tc>
        <w:tc>
          <w:tcPr>
            <w:tcW w:w="1984" w:type="dxa"/>
          </w:tcPr>
          <w:p w14:paraId="39853771" w14:textId="4479E52D" w:rsidR="00B2169F" w:rsidRPr="007E13FF" w:rsidRDefault="00B2169F" w:rsidP="000B2EB7">
            <w:pPr>
              <w:pStyle w:val="In-tableHeading"/>
            </w:pPr>
            <w:r w:rsidRPr="007E13FF">
              <w:t>Study Drug and Dose</w:t>
            </w:r>
          </w:p>
        </w:tc>
        <w:tc>
          <w:tcPr>
            <w:tcW w:w="1508" w:type="dxa"/>
          </w:tcPr>
          <w:p w14:paraId="46ACB67A" w14:textId="32140598" w:rsidR="00B2169F" w:rsidRPr="007E13FF" w:rsidRDefault="00B2169F" w:rsidP="000B2EB7">
            <w:pPr>
              <w:pStyle w:val="In-tableHeading"/>
            </w:pPr>
            <w:r w:rsidRPr="007E13FF">
              <w:t xml:space="preserve">No. of Subjects/ Patients Assigned to Treatment </w:t>
            </w:r>
          </w:p>
        </w:tc>
      </w:tr>
      <w:tr w:rsidR="003613BB" w:rsidRPr="007E13FF" w14:paraId="73E0342F" w14:textId="77777777" w:rsidTr="00A1466C">
        <w:tc>
          <w:tcPr>
            <w:tcW w:w="1271" w:type="dxa"/>
          </w:tcPr>
          <w:p w14:paraId="166DD8D4" w14:textId="44B90254" w:rsidR="003613BB" w:rsidRPr="007E13FF" w:rsidRDefault="003613BB">
            <w:pPr>
              <w:pStyle w:val="TableText0"/>
            </w:pPr>
            <w:r>
              <w:t>FKB327-001</w:t>
            </w:r>
          </w:p>
        </w:tc>
        <w:tc>
          <w:tcPr>
            <w:tcW w:w="1985" w:type="dxa"/>
          </w:tcPr>
          <w:p w14:paraId="0F240014" w14:textId="5B8CC714" w:rsidR="003613BB" w:rsidRPr="007E13FF" w:rsidRDefault="003613BB" w:rsidP="00144166">
            <w:pPr>
              <w:pStyle w:val="TableText0"/>
            </w:pPr>
            <w:r>
              <w:t>Pha</w:t>
            </w:r>
            <w:r w:rsidR="00144166">
              <w:t xml:space="preserve">se 1, randomized, double-blind, </w:t>
            </w:r>
            <w:r>
              <w:t>parallel</w:t>
            </w:r>
            <w:r w:rsidR="00144166">
              <w:t xml:space="preserve"> </w:t>
            </w:r>
            <w:r>
              <w:t>group study in healthy male volunteers and heal</w:t>
            </w:r>
            <w:r w:rsidR="00971BC2">
              <w:t>t</w:t>
            </w:r>
            <w:r>
              <w:t xml:space="preserve">hy female volunteers of non-child bearing potential. </w:t>
            </w:r>
          </w:p>
        </w:tc>
        <w:tc>
          <w:tcPr>
            <w:tcW w:w="2268" w:type="dxa"/>
          </w:tcPr>
          <w:p w14:paraId="1C53DCDA" w14:textId="77777777" w:rsidR="003613BB" w:rsidRDefault="00CD37BF" w:rsidP="000B2EB7">
            <w:pPr>
              <w:pStyle w:val="TableText0"/>
            </w:pPr>
            <w:r>
              <w:t>To compare the safety of FKB327 and EU-approved and US-licensed Humira after single doses, by SC injection in healthy volunteers.</w:t>
            </w:r>
          </w:p>
          <w:p w14:paraId="0177BE8F" w14:textId="77777777" w:rsidR="00CD37BF" w:rsidRDefault="00CD37BF" w:rsidP="000B2EB7">
            <w:pPr>
              <w:pStyle w:val="TableText0"/>
            </w:pPr>
          </w:p>
          <w:p w14:paraId="7323C88B" w14:textId="5916A345" w:rsidR="00CD37BF" w:rsidRPr="007E13FF" w:rsidRDefault="00CD37BF" w:rsidP="000B2EB7">
            <w:pPr>
              <w:pStyle w:val="TableText0"/>
            </w:pPr>
            <w:r>
              <w:t>To access tolerability after single doses of FKB327 and EU-approved and US-licensed Humira, by SC injection</w:t>
            </w:r>
          </w:p>
        </w:tc>
        <w:tc>
          <w:tcPr>
            <w:tcW w:w="1984" w:type="dxa"/>
          </w:tcPr>
          <w:p w14:paraId="3ED16F10" w14:textId="665D8467" w:rsidR="003613BB" w:rsidRPr="007E13FF" w:rsidRDefault="00CD37BF" w:rsidP="000B2EB7">
            <w:pPr>
              <w:pStyle w:val="TableText0"/>
            </w:pPr>
            <w:r>
              <w:t>FKB327 (from vial), EU-approved Humira (from PFS) or US-licensed Humira (from PFS): single 40 mg SC injection</w:t>
            </w:r>
          </w:p>
        </w:tc>
        <w:tc>
          <w:tcPr>
            <w:tcW w:w="1508" w:type="dxa"/>
          </w:tcPr>
          <w:p w14:paraId="039E8851" w14:textId="67960F3A" w:rsidR="003613BB" w:rsidRPr="007E13FF" w:rsidRDefault="00CD37BF" w:rsidP="000B2EB7">
            <w:pPr>
              <w:pStyle w:val="TableText0"/>
            </w:pPr>
            <w:r>
              <w:t xml:space="preserve">FKB327: 60 EU-approved Humira: 60 US-licensed Humira: 60 </w:t>
            </w:r>
          </w:p>
        </w:tc>
      </w:tr>
      <w:tr w:rsidR="00A16FC5" w:rsidRPr="007E13FF" w14:paraId="7DDB77B0" w14:textId="77777777" w:rsidTr="00A1466C">
        <w:tc>
          <w:tcPr>
            <w:tcW w:w="1271" w:type="dxa"/>
          </w:tcPr>
          <w:p w14:paraId="5FF9A476" w14:textId="599065F0" w:rsidR="00B2169F" w:rsidRPr="007E13FF" w:rsidRDefault="00B2169F">
            <w:pPr>
              <w:pStyle w:val="TableText0"/>
            </w:pPr>
            <w:r w:rsidRPr="007E13FF">
              <w:t>FKB327-002</w:t>
            </w:r>
          </w:p>
        </w:tc>
        <w:tc>
          <w:tcPr>
            <w:tcW w:w="1985" w:type="dxa"/>
          </w:tcPr>
          <w:p w14:paraId="07271AE9" w14:textId="21342380" w:rsidR="00B2169F" w:rsidRPr="007E13FF" w:rsidRDefault="00B2169F" w:rsidP="000B2EB7">
            <w:pPr>
              <w:pStyle w:val="TableText0"/>
            </w:pPr>
            <w:r w:rsidRPr="007E13FF">
              <w:t>Phase 3, multi-centre, randomized, double-blind, parallel arm, active-comparator, equivalence study patients with active RA taking concomitant MTX.</w:t>
            </w:r>
          </w:p>
        </w:tc>
        <w:tc>
          <w:tcPr>
            <w:tcW w:w="2268" w:type="dxa"/>
          </w:tcPr>
          <w:p w14:paraId="02402089" w14:textId="43CD11C8" w:rsidR="00B2169F" w:rsidRPr="007E13FF" w:rsidRDefault="00B2169F" w:rsidP="000B2EB7">
            <w:pPr>
              <w:pStyle w:val="TableText0"/>
            </w:pPr>
            <w:r w:rsidRPr="007E13FF">
              <w:t>To compare the safety profiles of FKB327 with Humira</w:t>
            </w:r>
          </w:p>
        </w:tc>
        <w:tc>
          <w:tcPr>
            <w:tcW w:w="1984" w:type="dxa"/>
          </w:tcPr>
          <w:p w14:paraId="712CCA9C" w14:textId="3227F594" w:rsidR="00B2169F" w:rsidRPr="007E13FF" w:rsidRDefault="00B2169F" w:rsidP="000B2EB7">
            <w:pPr>
              <w:pStyle w:val="TableText0"/>
            </w:pPr>
            <w:r w:rsidRPr="007E13FF">
              <w:t>FKB327 (vial): 40 mg eow by SC by injection. Humira (PFS) 40 mg eow by SC injection.</w:t>
            </w:r>
          </w:p>
        </w:tc>
        <w:tc>
          <w:tcPr>
            <w:tcW w:w="1508" w:type="dxa"/>
          </w:tcPr>
          <w:p w14:paraId="239843FF" w14:textId="77777777" w:rsidR="00B2169F" w:rsidRPr="007E13FF" w:rsidRDefault="00B2169F" w:rsidP="000B2EB7">
            <w:pPr>
              <w:pStyle w:val="TableText0"/>
            </w:pPr>
            <w:r w:rsidRPr="007E13FF">
              <w:t>FKB327:324</w:t>
            </w:r>
          </w:p>
          <w:p w14:paraId="5E65AE45" w14:textId="0364A125" w:rsidR="00B2169F" w:rsidRPr="007E13FF" w:rsidRDefault="00B2169F" w:rsidP="000B2EB7">
            <w:pPr>
              <w:pStyle w:val="TableText0"/>
            </w:pPr>
            <w:r w:rsidRPr="007E13FF">
              <w:t>Humira:321</w:t>
            </w:r>
          </w:p>
        </w:tc>
      </w:tr>
      <w:tr w:rsidR="00A16FC5" w:rsidRPr="007E13FF" w14:paraId="2C5B3A05" w14:textId="77777777" w:rsidTr="00A1466C">
        <w:tc>
          <w:tcPr>
            <w:tcW w:w="1271" w:type="dxa"/>
          </w:tcPr>
          <w:p w14:paraId="678B86FB" w14:textId="757E8F10" w:rsidR="00B2169F" w:rsidRPr="007E13FF" w:rsidRDefault="00B2169F">
            <w:pPr>
              <w:pStyle w:val="TableText0"/>
            </w:pPr>
            <w:r w:rsidRPr="007E13FF">
              <w:t>FKB327-003</w:t>
            </w:r>
          </w:p>
        </w:tc>
        <w:tc>
          <w:tcPr>
            <w:tcW w:w="1985" w:type="dxa"/>
          </w:tcPr>
          <w:p w14:paraId="29148DA2" w14:textId="77777777" w:rsidR="00B2169F" w:rsidRPr="007E13FF" w:rsidRDefault="00B2169F" w:rsidP="000B2EB7">
            <w:pPr>
              <w:pStyle w:val="TableText0"/>
            </w:pPr>
            <w:r w:rsidRPr="007E13FF">
              <w:t xml:space="preserve">Phase 3, Period 1: open-label, randomized, comparative, multi-centre, 2-arm extension in patients with RA taking concomitant MTX who continued from the preceding Study FKB327-002. </w:t>
            </w:r>
          </w:p>
          <w:p w14:paraId="6EC648B0" w14:textId="5BCBAA4E" w:rsidR="00B2169F" w:rsidRPr="007E13FF" w:rsidRDefault="00B2169F" w:rsidP="000B2EB7">
            <w:pPr>
              <w:pStyle w:val="TableText0"/>
            </w:pPr>
            <w:r w:rsidRPr="007E13FF">
              <w:t>Period 2: open-label, multi-centre, single arm extension in which all patients received prolonged FKB327 treatment</w:t>
            </w:r>
          </w:p>
        </w:tc>
        <w:tc>
          <w:tcPr>
            <w:tcW w:w="2268" w:type="dxa"/>
          </w:tcPr>
          <w:p w14:paraId="06B979F0" w14:textId="77777777" w:rsidR="00B2169F" w:rsidRPr="007E13FF" w:rsidRDefault="00B2169F" w:rsidP="000B2EB7">
            <w:pPr>
              <w:pStyle w:val="TableText0"/>
            </w:pPr>
            <w:r w:rsidRPr="007E13FF">
              <w:t xml:space="preserve">To compare the safety of long-term treatment with FKB327 and Humira in patients with RA. </w:t>
            </w:r>
          </w:p>
          <w:p w14:paraId="47DF6B4B" w14:textId="6BFF4271" w:rsidR="00B2169F" w:rsidRPr="007E13FF" w:rsidRDefault="00B2169F" w:rsidP="000B2EB7">
            <w:pPr>
              <w:pStyle w:val="TableText0"/>
            </w:pPr>
            <w:r w:rsidRPr="007E13FF">
              <w:t xml:space="preserve">To evaluate safety in patients who were switched from </w:t>
            </w:r>
            <w:r w:rsidR="00056D2F">
              <w:t>H</w:t>
            </w:r>
            <w:r w:rsidR="00056D2F" w:rsidRPr="007E13FF">
              <w:t xml:space="preserve">umira </w:t>
            </w:r>
            <w:r w:rsidRPr="007E13FF">
              <w:t xml:space="preserve">in the preceding FKB327-002 double-blind study to FKB327 in the FKB327-003 OLE study, and of patients who were switched from FKB327 to Humira, respectively. To evaluate safety in patients who were switched from FKB327-003 OLE study, and then switched back to FKB327 in the second part of the FKB327-003 OLE study (from Week 30; double switch). </w:t>
            </w:r>
          </w:p>
        </w:tc>
        <w:tc>
          <w:tcPr>
            <w:tcW w:w="1984" w:type="dxa"/>
          </w:tcPr>
          <w:p w14:paraId="6123F0B0" w14:textId="266DBFC1" w:rsidR="00B2169F" w:rsidRPr="007E13FF" w:rsidRDefault="00B2169F" w:rsidP="000B2EB7">
            <w:pPr>
              <w:pStyle w:val="TableText0"/>
            </w:pPr>
            <w:r w:rsidRPr="007E13FF">
              <w:t>FKB327 (PFS or AI): 40 mg eow SC by injection. Humira (PFS) 40 mg eow by SC injection</w:t>
            </w:r>
          </w:p>
        </w:tc>
        <w:tc>
          <w:tcPr>
            <w:tcW w:w="1508" w:type="dxa"/>
          </w:tcPr>
          <w:p w14:paraId="5A3EB413" w14:textId="77777777" w:rsidR="00B2169F" w:rsidRPr="007E13FF" w:rsidRDefault="00B2169F" w:rsidP="000B2EB7">
            <w:pPr>
              <w:pStyle w:val="TableText0"/>
            </w:pPr>
            <w:r w:rsidRPr="007E13FF">
              <w:t xml:space="preserve">FKB327: 324 </w:t>
            </w:r>
          </w:p>
          <w:p w14:paraId="3AD584FA" w14:textId="6EB57657" w:rsidR="00B2169F" w:rsidRPr="007E13FF" w:rsidRDefault="00B2169F" w:rsidP="000B2EB7">
            <w:pPr>
              <w:pStyle w:val="TableText0"/>
            </w:pPr>
            <w:r w:rsidRPr="007E13FF">
              <w:t xml:space="preserve">Humira:321 </w:t>
            </w:r>
          </w:p>
        </w:tc>
      </w:tr>
      <w:tr w:rsidR="003613BB" w:rsidRPr="007E13FF" w14:paraId="02B33CB9" w14:textId="77777777" w:rsidTr="00A1466C">
        <w:tc>
          <w:tcPr>
            <w:tcW w:w="1271" w:type="dxa"/>
          </w:tcPr>
          <w:p w14:paraId="3B2DAE4A" w14:textId="340FBFEF" w:rsidR="003613BB" w:rsidRPr="007E13FF" w:rsidRDefault="003613BB">
            <w:pPr>
              <w:pStyle w:val="TableText0"/>
            </w:pPr>
            <w:r>
              <w:t>FKB321-005</w:t>
            </w:r>
          </w:p>
        </w:tc>
        <w:tc>
          <w:tcPr>
            <w:tcW w:w="1985" w:type="dxa"/>
          </w:tcPr>
          <w:p w14:paraId="628421A0" w14:textId="7FE24146" w:rsidR="003613BB" w:rsidRPr="007E13FF" w:rsidRDefault="003613BB" w:rsidP="000B2EB7">
            <w:pPr>
              <w:pStyle w:val="TableText0"/>
            </w:pPr>
            <w:r>
              <w:t xml:space="preserve">Phase 1, randomized, open-label, parallel group, single SC dose study in healthy male and female subjects. </w:t>
            </w:r>
          </w:p>
        </w:tc>
        <w:tc>
          <w:tcPr>
            <w:tcW w:w="2268" w:type="dxa"/>
          </w:tcPr>
          <w:p w14:paraId="020AE1AD" w14:textId="484AB85F" w:rsidR="003613BB" w:rsidRPr="007E13FF" w:rsidRDefault="00CD37BF" w:rsidP="000B2EB7">
            <w:pPr>
              <w:pStyle w:val="TableText0"/>
            </w:pPr>
            <w:r>
              <w:t>To compare the safety of FKB327 after a single SC dose delivered by vial, PFS and AI in healthy subjects</w:t>
            </w:r>
          </w:p>
        </w:tc>
        <w:tc>
          <w:tcPr>
            <w:tcW w:w="1984" w:type="dxa"/>
          </w:tcPr>
          <w:p w14:paraId="7680688F" w14:textId="6C06B1E4" w:rsidR="003613BB" w:rsidRPr="007E13FF" w:rsidRDefault="00CD37BF" w:rsidP="000B2EB7">
            <w:pPr>
              <w:pStyle w:val="TableText0"/>
            </w:pPr>
            <w:r>
              <w:t>FKB327: single 40 mg SC injection via vial/syringe, PFS or AI</w:t>
            </w:r>
          </w:p>
        </w:tc>
        <w:tc>
          <w:tcPr>
            <w:tcW w:w="1508" w:type="dxa"/>
          </w:tcPr>
          <w:p w14:paraId="3738376E" w14:textId="2358564D" w:rsidR="003613BB" w:rsidRPr="007E13FF" w:rsidRDefault="00CD37BF" w:rsidP="000B2EB7">
            <w:pPr>
              <w:pStyle w:val="TableText0"/>
            </w:pPr>
            <w:r>
              <w:t>FK327: 367 [treated=366] Humira:363 [treated=362]</w:t>
            </w:r>
          </w:p>
        </w:tc>
      </w:tr>
    </w:tbl>
    <w:p w14:paraId="0FBCA4C8" w14:textId="29594F6F" w:rsidR="00774F62" w:rsidRPr="007E13FF" w:rsidRDefault="00011A3C" w:rsidP="000B2EB7">
      <w:pPr>
        <w:pStyle w:val="TableFigureFooter"/>
      </w:pPr>
      <w:r>
        <w:t xml:space="preserve">FKB327 = adalimumab (Hulio); </w:t>
      </w:r>
      <w:r w:rsidR="00774F62" w:rsidRPr="007E13FF">
        <w:t>AI</w:t>
      </w:r>
      <w:r w:rsidR="000B2EB7">
        <w:t xml:space="preserve"> </w:t>
      </w:r>
      <w:r w:rsidR="00774F62" w:rsidRPr="007E13FF">
        <w:t xml:space="preserve">= auto injector; </w:t>
      </w:r>
      <w:r w:rsidR="000B2EB7">
        <w:t>e</w:t>
      </w:r>
      <w:r w:rsidR="00774F62" w:rsidRPr="007E13FF">
        <w:t>ow</w:t>
      </w:r>
      <w:r w:rsidR="000B2EB7">
        <w:t xml:space="preserve"> </w:t>
      </w:r>
      <w:r w:rsidR="00774F62" w:rsidRPr="007E13FF">
        <w:t>=</w:t>
      </w:r>
      <w:r w:rsidR="000B2EB7">
        <w:t xml:space="preserve"> </w:t>
      </w:r>
      <w:r w:rsidR="00774F62" w:rsidRPr="007E13FF">
        <w:t>every other week; MTX</w:t>
      </w:r>
      <w:r w:rsidR="000B2EB7">
        <w:t xml:space="preserve"> </w:t>
      </w:r>
      <w:r w:rsidR="00774F62" w:rsidRPr="007E13FF">
        <w:t>= methotrexate; OLE</w:t>
      </w:r>
      <w:r w:rsidR="000B2EB7">
        <w:t xml:space="preserve"> </w:t>
      </w:r>
      <w:r w:rsidR="00774F62" w:rsidRPr="007E13FF">
        <w:t>= open label extension; PFS</w:t>
      </w:r>
      <w:r w:rsidR="000B2EB7">
        <w:t xml:space="preserve"> </w:t>
      </w:r>
      <w:r w:rsidR="00774F62" w:rsidRPr="007E13FF">
        <w:t>= pre-filled syringe; RA</w:t>
      </w:r>
      <w:r w:rsidR="000B2EB7">
        <w:t xml:space="preserve"> </w:t>
      </w:r>
      <w:r w:rsidR="00774F62" w:rsidRPr="007E13FF">
        <w:t>= rheumatoid arthritis; SC</w:t>
      </w:r>
      <w:r w:rsidR="000B2EB7">
        <w:t xml:space="preserve"> </w:t>
      </w:r>
      <w:r w:rsidR="00774F62" w:rsidRPr="007E13FF">
        <w:t>= subcutaneous</w:t>
      </w:r>
      <w:r w:rsidR="007F5687">
        <w:t xml:space="preserve"> </w:t>
      </w:r>
    </w:p>
    <w:p w14:paraId="10380CD8" w14:textId="0ED82646" w:rsidR="00BA03D8" w:rsidRDefault="00BA03D8" w:rsidP="00891674">
      <w:pPr>
        <w:pStyle w:val="3-BodyText"/>
        <w:numPr>
          <w:ilvl w:val="1"/>
          <w:numId w:val="1"/>
        </w:numPr>
        <w:rPr>
          <w:lang w:eastAsia="en-US"/>
        </w:rPr>
      </w:pPr>
      <w:r>
        <w:rPr>
          <w:lang w:eastAsia="en-US"/>
        </w:rPr>
        <w:lastRenderedPageBreak/>
        <w:t>The studies presented in the submission formed part of the TGA submission to register Hulio as a biosimilar to Humira.</w:t>
      </w:r>
    </w:p>
    <w:p w14:paraId="2CDF3682" w14:textId="77777777" w:rsidR="00C27C1C" w:rsidRPr="007E13FF" w:rsidRDefault="00C27C1C" w:rsidP="00C27C1C">
      <w:pPr>
        <w:pStyle w:val="4-SubsectionHeading"/>
        <w:rPr>
          <w:lang w:eastAsia="en-US"/>
        </w:rPr>
      </w:pPr>
      <w:r w:rsidRPr="007E13FF">
        <w:rPr>
          <w:lang w:eastAsia="en-US"/>
        </w:rPr>
        <w:t>Clinical claim</w:t>
      </w:r>
    </w:p>
    <w:p w14:paraId="37B375AB" w14:textId="452DA0E0" w:rsidR="00104367" w:rsidRPr="00A42717" w:rsidRDefault="00C27C1C" w:rsidP="00937A30">
      <w:pPr>
        <w:pStyle w:val="3Bodytext"/>
      </w:pPr>
      <w:r w:rsidRPr="007E13FF">
        <w:t>The submission</w:t>
      </w:r>
      <w:r w:rsidR="00DF1CBF">
        <w:t xml:space="preserve"> </w:t>
      </w:r>
      <w:r w:rsidRPr="007E13FF">
        <w:t>claimed</w:t>
      </w:r>
      <w:r w:rsidR="000F02D4">
        <w:t xml:space="preserve"> </w:t>
      </w:r>
      <w:r w:rsidR="005D371B">
        <w:t xml:space="preserve">that </w:t>
      </w:r>
      <w:r w:rsidR="00172028">
        <w:t>the comparability of Hulio with Humira ha</w:t>
      </w:r>
      <w:r w:rsidR="005D371B">
        <w:t>d</w:t>
      </w:r>
      <w:r w:rsidR="00172028">
        <w:t xml:space="preserve"> been demonstrated with regard</w:t>
      </w:r>
      <w:r w:rsidR="005D371B">
        <w:t>s</w:t>
      </w:r>
      <w:r w:rsidR="00172028">
        <w:t xml:space="preserve"> to physiochemical characteristics</w:t>
      </w:r>
      <w:r w:rsidR="005D371B">
        <w:t>,</w:t>
      </w:r>
      <w:r w:rsidR="00172028">
        <w:t xml:space="preserve"> and efficacy and safety outcomes. </w:t>
      </w:r>
      <w:r w:rsidR="00336410" w:rsidRPr="005D0C24">
        <w:rPr>
          <w:iCs/>
        </w:rPr>
        <w:t xml:space="preserve">While the sponsor </w:t>
      </w:r>
      <w:r w:rsidR="005D371B">
        <w:rPr>
          <w:iCs/>
        </w:rPr>
        <w:t>ha</w:t>
      </w:r>
      <w:r w:rsidR="005D371B" w:rsidRPr="005D0C24">
        <w:rPr>
          <w:iCs/>
        </w:rPr>
        <w:t xml:space="preserve">d </w:t>
      </w:r>
      <w:r w:rsidR="00336410" w:rsidRPr="005D0C24">
        <w:rPr>
          <w:iCs/>
        </w:rPr>
        <w:t xml:space="preserve">not provide a clinical evaluation report, </w:t>
      </w:r>
      <w:r w:rsidR="00336410" w:rsidRPr="005D0C24">
        <w:rPr>
          <w:lang w:eastAsia="en-US"/>
        </w:rPr>
        <w:t>t</w:t>
      </w:r>
      <w:r w:rsidR="00DF1CBF" w:rsidRPr="005D0C24">
        <w:rPr>
          <w:iCs/>
          <w:lang w:eastAsia="en-US"/>
        </w:rPr>
        <w:t>he TGA</w:t>
      </w:r>
      <w:r w:rsidR="00336410" w:rsidRPr="005D0C24">
        <w:rPr>
          <w:iCs/>
          <w:lang w:eastAsia="en-US"/>
        </w:rPr>
        <w:t xml:space="preserve"> has</w:t>
      </w:r>
      <w:r w:rsidR="00DF1CBF" w:rsidRPr="005D0C24">
        <w:rPr>
          <w:iCs/>
          <w:lang w:eastAsia="en-US"/>
        </w:rPr>
        <w:t xml:space="preserve"> confirm</w:t>
      </w:r>
      <w:r w:rsidR="007E328F" w:rsidRPr="005D0C24">
        <w:rPr>
          <w:iCs/>
          <w:lang w:eastAsia="en-US"/>
        </w:rPr>
        <w:t>ed</w:t>
      </w:r>
      <w:r w:rsidR="00DF1CBF" w:rsidRPr="005D0C24">
        <w:rPr>
          <w:iCs/>
          <w:lang w:eastAsia="en-US"/>
        </w:rPr>
        <w:t xml:space="preserve"> that Hulio is biosimilar to Humira and </w:t>
      </w:r>
      <w:r w:rsidR="00336410" w:rsidRPr="005D0C24">
        <w:rPr>
          <w:iCs/>
          <w:lang w:eastAsia="en-US"/>
        </w:rPr>
        <w:t xml:space="preserve">that </w:t>
      </w:r>
      <w:r w:rsidR="00DF1CBF" w:rsidRPr="005D0C24">
        <w:rPr>
          <w:iCs/>
          <w:lang w:eastAsia="en-US"/>
        </w:rPr>
        <w:t xml:space="preserve">there were no clinically meaningful differences between Hulio and Humira in the submitted comparative pharmacology, pharmacokinetic and toxicity studies. The clinical safety and efficacy of Hulio were </w:t>
      </w:r>
      <w:r w:rsidR="005D371B">
        <w:rPr>
          <w:iCs/>
          <w:lang w:eastAsia="en-US"/>
        </w:rPr>
        <w:t xml:space="preserve">found to be </w:t>
      </w:r>
      <w:r w:rsidR="00DF1CBF" w:rsidRPr="005D0C24">
        <w:rPr>
          <w:iCs/>
          <w:lang w:eastAsia="en-US"/>
        </w:rPr>
        <w:t>comparable to Humira.</w:t>
      </w:r>
    </w:p>
    <w:p w14:paraId="69D9093A" w14:textId="319BE95A" w:rsidR="00A42717" w:rsidRPr="007E13FF" w:rsidRDefault="00A42717" w:rsidP="00B11CF1">
      <w:pPr>
        <w:pStyle w:val="3Bodytext"/>
      </w:pPr>
      <w:r>
        <w:rPr>
          <w:iCs/>
          <w:lang w:eastAsia="en-US"/>
        </w:rPr>
        <w:t>The PBAC consid</w:t>
      </w:r>
      <w:r w:rsidR="003F1576">
        <w:rPr>
          <w:iCs/>
          <w:lang w:eastAsia="en-US"/>
        </w:rPr>
        <w:t>ered that the claim of non-inferior c</w:t>
      </w:r>
      <w:r>
        <w:rPr>
          <w:iCs/>
          <w:lang w:eastAsia="en-US"/>
        </w:rPr>
        <w:t>omparative effectiveness</w:t>
      </w:r>
      <w:r w:rsidR="00B11CF1">
        <w:rPr>
          <w:iCs/>
          <w:lang w:eastAsia="en-US"/>
        </w:rPr>
        <w:t xml:space="preserve"> and safety was reasonably supported by the data.</w:t>
      </w:r>
    </w:p>
    <w:p w14:paraId="23FA2B3F" w14:textId="7FDDF704" w:rsidR="00006E08" w:rsidRPr="00D70349" w:rsidRDefault="00006E08" w:rsidP="00006E08">
      <w:pPr>
        <w:pStyle w:val="4-SubsectionHeading"/>
        <w:rPr>
          <w:lang w:eastAsia="en-US"/>
        </w:rPr>
      </w:pPr>
      <w:r>
        <w:rPr>
          <w:lang w:eastAsia="en-US"/>
        </w:rPr>
        <w:t>Economic analysis</w:t>
      </w:r>
    </w:p>
    <w:p w14:paraId="4F59DBF0" w14:textId="11BAE305" w:rsidR="00006E08" w:rsidRPr="005E2526" w:rsidRDefault="00006E08" w:rsidP="00006E08">
      <w:pPr>
        <w:pStyle w:val="3Bodytext"/>
        <w:jc w:val="both"/>
        <w:rPr>
          <w:rFonts w:cstheme="minorHAnsi"/>
          <w:iCs/>
          <w:szCs w:val="24"/>
        </w:rPr>
      </w:pPr>
      <w:r>
        <w:rPr>
          <w:iCs/>
        </w:rPr>
        <w:t>The submission did not</w:t>
      </w:r>
      <w:r w:rsidRPr="0094393F">
        <w:t xml:space="preserve"> </w:t>
      </w:r>
      <w:r w:rsidRPr="0094393F">
        <w:rPr>
          <w:iCs/>
        </w:rPr>
        <w:t xml:space="preserve">present an economic analysis as it was a </w:t>
      </w:r>
      <w:r>
        <w:rPr>
          <w:iCs/>
        </w:rPr>
        <w:t>C</w:t>
      </w:r>
      <w:r w:rsidRPr="0094393F">
        <w:rPr>
          <w:iCs/>
        </w:rPr>
        <w:t xml:space="preserve">ategory 3 submission. The submission proposed </w:t>
      </w:r>
      <w:r w:rsidR="00234C47">
        <w:rPr>
          <w:iCs/>
        </w:rPr>
        <w:t xml:space="preserve">that </w:t>
      </w:r>
      <w:r>
        <w:rPr>
          <w:iCs/>
        </w:rPr>
        <w:t xml:space="preserve">Hulio </w:t>
      </w:r>
      <w:r w:rsidR="00234C47">
        <w:rPr>
          <w:iCs/>
        </w:rPr>
        <w:t>is priced with</w:t>
      </w:r>
      <w:r w:rsidRPr="005E2526">
        <w:rPr>
          <w:iCs/>
        </w:rPr>
        <w:t xml:space="preserve"> the same AEMP as </w:t>
      </w:r>
      <w:r>
        <w:rPr>
          <w:iCs/>
        </w:rPr>
        <w:t>Humira for the same form and strength</w:t>
      </w:r>
      <w:r w:rsidRPr="005E2526">
        <w:rPr>
          <w:iCs/>
        </w:rPr>
        <w:t>.</w:t>
      </w:r>
      <w:r w:rsidR="00476C32">
        <w:rPr>
          <w:iCs/>
        </w:rPr>
        <w:t xml:space="preserve"> The PBAC considered this to be appropriate.</w:t>
      </w:r>
    </w:p>
    <w:p w14:paraId="45576E0A" w14:textId="50D8479D" w:rsidR="00006E08" w:rsidRPr="005E2526" w:rsidRDefault="00476C32" w:rsidP="00006E08">
      <w:pPr>
        <w:pStyle w:val="3Bodytext"/>
        <w:rPr>
          <w:rFonts w:cstheme="minorHAnsi"/>
          <w:szCs w:val="24"/>
        </w:rPr>
      </w:pPr>
      <w:r>
        <w:t>The e</w:t>
      </w:r>
      <w:r w:rsidR="00006E08">
        <w:t>qui-effective doses were not presented in the submission.</w:t>
      </w:r>
      <w:r w:rsidR="00F975DB" w:rsidDel="00F975DB">
        <w:t xml:space="preserve"> </w:t>
      </w:r>
    </w:p>
    <w:p w14:paraId="46254608" w14:textId="77777777" w:rsidR="00006E08" w:rsidRPr="00E76E1E" w:rsidRDefault="00006E08" w:rsidP="00E76E1E">
      <w:pPr>
        <w:pStyle w:val="4-SubsectionHeading"/>
        <w:rPr>
          <w:lang w:eastAsia="en-US"/>
        </w:rPr>
      </w:pPr>
      <w:r w:rsidRPr="005E2526">
        <w:rPr>
          <w:lang w:eastAsia="en-US"/>
        </w:rPr>
        <w:t>Estimated PBS utilisation and financial implications</w:t>
      </w:r>
    </w:p>
    <w:p w14:paraId="5848DE0E" w14:textId="6FFB480B" w:rsidR="00753B33" w:rsidRPr="00753B33" w:rsidRDefault="00006E08" w:rsidP="00891674">
      <w:pPr>
        <w:pStyle w:val="3-BodyText"/>
        <w:numPr>
          <w:ilvl w:val="1"/>
          <w:numId w:val="1"/>
        </w:numPr>
        <w:jc w:val="left"/>
        <w:rPr>
          <w:b/>
          <w:i/>
        </w:rPr>
      </w:pPr>
      <w:r w:rsidRPr="00753B33">
        <w:rPr>
          <w:iCs/>
        </w:rPr>
        <w:t xml:space="preserve">The submission </w:t>
      </w:r>
      <w:r w:rsidR="00E3493D">
        <w:rPr>
          <w:iCs/>
        </w:rPr>
        <w:t>estimated that</w:t>
      </w:r>
      <w:r w:rsidRPr="00753B33">
        <w:rPr>
          <w:iCs/>
        </w:rPr>
        <w:t xml:space="preserve"> the listing of Hulio will not increase the overall market utilisation. </w:t>
      </w:r>
    </w:p>
    <w:p w14:paraId="7856761C" w14:textId="3B3D23C7" w:rsidR="00A42717" w:rsidRDefault="005D0C24" w:rsidP="007F5687">
      <w:pPr>
        <w:spacing w:after="120"/>
        <w:ind w:firstLine="709"/>
        <w:rPr>
          <w:rFonts w:asciiTheme="minorHAnsi" w:hAnsiTheme="minorHAnsi"/>
          <w:i/>
          <w:lang w:eastAsia="en-US"/>
        </w:rPr>
      </w:pPr>
      <w:r w:rsidRPr="005D0C24">
        <w:rPr>
          <w:rFonts w:asciiTheme="minorHAnsi" w:hAnsiTheme="minorHAnsi"/>
          <w:i/>
          <w:lang w:eastAsia="en-US"/>
        </w:rPr>
        <w:t xml:space="preserve">For more detail on PBAC’s view, see section </w:t>
      </w:r>
      <w:r w:rsidR="001E6D4C">
        <w:rPr>
          <w:rFonts w:asciiTheme="minorHAnsi" w:hAnsiTheme="minorHAnsi"/>
          <w:i/>
          <w:lang w:eastAsia="en-US"/>
        </w:rPr>
        <w:t>6</w:t>
      </w:r>
      <w:r w:rsidRPr="005D0C24">
        <w:rPr>
          <w:rFonts w:asciiTheme="minorHAnsi" w:hAnsiTheme="minorHAnsi"/>
          <w:i/>
          <w:lang w:eastAsia="en-US"/>
        </w:rPr>
        <w:t xml:space="preserve"> PBAC outcome.</w:t>
      </w:r>
    </w:p>
    <w:p w14:paraId="3B025F6C" w14:textId="77777777" w:rsidR="00A42717" w:rsidRPr="00A42717" w:rsidRDefault="00A42717" w:rsidP="00891674">
      <w:pPr>
        <w:pStyle w:val="Heading1"/>
        <w:keepLines/>
        <w:numPr>
          <w:ilvl w:val="0"/>
          <w:numId w:val="1"/>
        </w:numPr>
        <w:spacing w:before="240"/>
        <w:ind w:left="709" w:hanging="709"/>
        <w:rPr>
          <w:sz w:val="32"/>
          <w:szCs w:val="32"/>
        </w:rPr>
      </w:pPr>
      <w:r w:rsidRPr="00A42717">
        <w:rPr>
          <w:sz w:val="32"/>
          <w:szCs w:val="32"/>
        </w:rPr>
        <w:t>PBAC Outcome</w:t>
      </w:r>
    </w:p>
    <w:p w14:paraId="362E91E6" w14:textId="08480EED" w:rsidR="00A42717" w:rsidRDefault="00A42717" w:rsidP="00891674">
      <w:pPr>
        <w:widowControl w:val="0"/>
        <w:numPr>
          <w:ilvl w:val="1"/>
          <w:numId w:val="1"/>
        </w:numPr>
        <w:spacing w:after="120"/>
        <w:rPr>
          <w:rFonts w:asciiTheme="minorHAnsi" w:hAnsiTheme="minorHAnsi" w:cs="Arial"/>
          <w:snapToGrid w:val="0"/>
          <w:lang w:val="en-GB"/>
        </w:rPr>
      </w:pPr>
      <w:r w:rsidRPr="00CE42B4">
        <w:rPr>
          <w:rFonts w:asciiTheme="minorHAnsi" w:hAnsiTheme="minorHAnsi" w:cs="Arial"/>
          <w:snapToGrid w:val="0"/>
          <w:lang w:val="en-GB"/>
        </w:rPr>
        <w:t xml:space="preserve">The PBAC recommended the </w:t>
      </w:r>
      <w:r w:rsidR="006D1081">
        <w:rPr>
          <w:rFonts w:asciiTheme="minorHAnsi" w:hAnsiTheme="minorHAnsi" w:cs="Arial"/>
          <w:snapToGrid w:val="0"/>
          <w:lang w:val="en-GB"/>
        </w:rPr>
        <w:t xml:space="preserve">Authority Required listing of adalimumab (Hulio) in the form of 40 mg in 0.8 mL PFS and PFP as a biosimilar brand of Humira on the General Schedule (Section 85) and Section 100 (Highly Specialised Drug Program). </w:t>
      </w:r>
      <w:r w:rsidR="00C4269A">
        <w:rPr>
          <w:rFonts w:asciiTheme="minorHAnsi" w:hAnsiTheme="minorHAnsi" w:cs="Arial"/>
          <w:snapToGrid w:val="0"/>
          <w:lang w:val="en-GB"/>
        </w:rPr>
        <w:t xml:space="preserve">The PBAC’s recommendation for listing was based on, among other matters, its assessment that the cost-effectiveness of Hulio PFP and PFS would be acceptable if it were cost-minimised to Humira for the following indications: </w:t>
      </w:r>
    </w:p>
    <w:p w14:paraId="4F715B82" w14:textId="1E819316" w:rsidR="00C4269A" w:rsidRPr="005037D9" w:rsidRDefault="00C4269A" w:rsidP="00891674">
      <w:pPr>
        <w:pStyle w:val="3Bodytext"/>
        <w:numPr>
          <w:ilvl w:val="0"/>
          <w:numId w:val="6"/>
        </w:numPr>
      </w:pPr>
      <w:r w:rsidRPr="005037D9">
        <w:t>Severe Crohn disease</w:t>
      </w:r>
    </w:p>
    <w:p w14:paraId="6BF47DD8" w14:textId="3609215A" w:rsidR="00C4269A" w:rsidRPr="005037D9" w:rsidRDefault="00C4269A" w:rsidP="00891674">
      <w:pPr>
        <w:pStyle w:val="3Bodytext"/>
        <w:numPr>
          <w:ilvl w:val="0"/>
          <w:numId w:val="6"/>
        </w:numPr>
      </w:pPr>
      <w:r w:rsidRPr="005037D9">
        <w:t>Moderate to severe ulcerative colitis</w:t>
      </w:r>
    </w:p>
    <w:p w14:paraId="17515795" w14:textId="58FB7612" w:rsidR="00C4269A" w:rsidRPr="005037D9" w:rsidRDefault="00C4269A" w:rsidP="00891674">
      <w:pPr>
        <w:pStyle w:val="3Bodytext"/>
        <w:numPr>
          <w:ilvl w:val="0"/>
          <w:numId w:val="6"/>
        </w:numPr>
      </w:pPr>
      <w:r w:rsidRPr="005037D9">
        <w:t xml:space="preserve">Severe active juvenile idiopathic arthritis </w:t>
      </w:r>
    </w:p>
    <w:p w14:paraId="41ED84AE" w14:textId="0A2DD305" w:rsidR="00C4269A" w:rsidRPr="005037D9" w:rsidRDefault="00C4269A" w:rsidP="00891674">
      <w:pPr>
        <w:pStyle w:val="3Bodytext"/>
        <w:numPr>
          <w:ilvl w:val="0"/>
          <w:numId w:val="6"/>
        </w:numPr>
      </w:pPr>
      <w:r w:rsidRPr="005037D9">
        <w:t>Complex refractory fistulising Crohn disease</w:t>
      </w:r>
    </w:p>
    <w:p w14:paraId="1B052C81" w14:textId="46350C80" w:rsidR="00C4269A" w:rsidRPr="005037D9" w:rsidRDefault="00C4269A" w:rsidP="00891674">
      <w:pPr>
        <w:pStyle w:val="3Bodytext"/>
        <w:numPr>
          <w:ilvl w:val="0"/>
          <w:numId w:val="6"/>
        </w:numPr>
      </w:pPr>
      <w:r w:rsidRPr="005037D9">
        <w:t>Severe active rheumatoid arthritis</w:t>
      </w:r>
    </w:p>
    <w:p w14:paraId="7C2D63BC" w14:textId="5CCDADB4" w:rsidR="00C4269A" w:rsidRPr="005037D9" w:rsidRDefault="00C4269A" w:rsidP="00891674">
      <w:pPr>
        <w:pStyle w:val="3Bodytext"/>
        <w:numPr>
          <w:ilvl w:val="0"/>
          <w:numId w:val="6"/>
        </w:numPr>
      </w:pPr>
      <w:r w:rsidRPr="005037D9">
        <w:t>Severe psoriatic arthritis</w:t>
      </w:r>
    </w:p>
    <w:p w14:paraId="598DC93A" w14:textId="225B7B47" w:rsidR="00C4269A" w:rsidRPr="005037D9" w:rsidRDefault="005037D9" w:rsidP="00891674">
      <w:pPr>
        <w:pStyle w:val="3Bodytext"/>
        <w:numPr>
          <w:ilvl w:val="0"/>
          <w:numId w:val="6"/>
        </w:numPr>
      </w:pPr>
      <w:r w:rsidRPr="005037D9">
        <w:lastRenderedPageBreak/>
        <w:t>A</w:t>
      </w:r>
      <w:r w:rsidR="00C4269A" w:rsidRPr="005037D9">
        <w:t>nkylosing</w:t>
      </w:r>
      <w:r w:rsidRPr="005037D9">
        <w:t xml:space="preserve"> spondylitis </w:t>
      </w:r>
    </w:p>
    <w:p w14:paraId="2A951A47" w14:textId="16F7452C" w:rsidR="005037D9" w:rsidRPr="005037D9" w:rsidRDefault="005037D9" w:rsidP="00891674">
      <w:pPr>
        <w:pStyle w:val="3Bodytext"/>
        <w:numPr>
          <w:ilvl w:val="0"/>
          <w:numId w:val="6"/>
        </w:numPr>
      </w:pPr>
      <w:r w:rsidRPr="005037D9">
        <w:t>Severe chronic plaque psoriasis</w:t>
      </w:r>
    </w:p>
    <w:p w14:paraId="27256468" w14:textId="4528EA09" w:rsidR="005037D9" w:rsidRDefault="005037D9" w:rsidP="00891674">
      <w:pPr>
        <w:pStyle w:val="3Bodytext"/>
        <w:numPr>
          <w:ilvl w:val="0"/>
          <w:numId w:val="6"/>
        </w:numPr>
      </w:pPr>
      <w:r w:rsidRPr="005037D9">
        <w:t xml:space="preserve">Moderate to severe hidradenitis </w:t>
      </w:r>
      <w:r>
        <w:t>suppuratives</w:t>
      </w:r>
    </w:p>
    <w:p w14:paraId="410895D8" w14:textId="0BF84ED4" w:rsidR="00891674" w:rsidRDefault="00891674" w:rsidP="006027BA">
      <w:pPr>
        <w:pStyle w:val="3Bodytext"/>
      </w:pPr>
      <w:r>
        <w:t xml:space="preserve">The PBAC advised the equi-effective doses </w:t>
      </w:r>
      <w:r w:rsidR="003B66BD">
        <w:t>to be</w:t>
      </w:r>
      <w:r w:rsidR="00234C47">
        <w:t xml:space="preserve"> a</w:t>
      </w:r>
      <w:r>
        <w:t xml:space="preserve"> 1:1 unit equivalence for Hulio to Humira and all other biosimilar brands and formulations of adalimumab. </w:t>
      </w:r>
    </w:p>
    <w:p w14:paraId="453F58FB" w14:textId="31EC1400" w:rsidR="006027BA" w:rsidRDefault="006027BA" w:rsidP="006027BA">
      <w:pPr>
        <w:pStyle w:val="3Bodytext"/>
      </w:pPr>
      <w:r>
        <w:t xml:space="preserve">The PBAC considered that the claim of biosimilarity for Hulio compared to Humira was </w:t>
      </w:r>
      <w:r w:rsidR="00891674">
        <w:t xml:space="preserve">reasonably supported by </w:t>
      </w:r>
      <w:r w:rsidR="00476C32">
        <w:t xml:space="preserve">the </w:t>
      </w:r>
      <w:r w:rsidR="00891674">
        <w:t xml:space="preserve">data. </w:t>
      </w:r>
      <w:r w:rsidR="00601637">
        <w:t xml:space="preserve">The TGA Delegate noted that Hulio is biosimilar to Humira and that there were no </w:t>
      </w:r>
      <w:r w:rsidR="00601637" w:rsidRPr="005D0C24">
        <w:rPr>
          <w:iCs/>
          <w:lang w:eastAsia="en-US"/>
        </w:rPr>
        <w:t>clinically meaningful differences</w:t>
      </w:r>
      <w:r w:rsidR="00601637">
        <w:rPr>
          <w:iCs/>
          <w:lang w:eastAsia="en-US"/>
        </w:rPr>
        <w:t xml:space="preserve"> in the comparative</w:t>
      </w:r>
      <w:r w:rsidR="00601637">
        <w:t xml:space="preserve"> pharmacology, pharmacokinetic and toxicity studies. </w:t>
      </w:r>
    </w:p>
    <w:p w14:paraId="3EBEC6A5" w14:textId="44E01E8A" w:rsidR="003B66BD" w:rsidRDefault="003B66BD" w:rsidP="006027BA">
      <w:pPr>
        <w:pStyle w:val="3Bodytext"/>
      </w:pPr>
      <w:r>
        <w:t>The PBAC noted that the sponsor intended to supply only the pack size of two PFP/PFS. Where Humira has pack sizes of 4 and 6 listed for certain treatment phases and condition</w:t>
      </w:r>
      <w:r w:rsidR="00BA2662">
        <w:t>s</w:t>
      </w:r>
      <w:r>
        <w:t xml:space="preserve">, the PBAC considered that it is appropriate to list </w:t>
      </w:r>
      <w:r w:rsidR="0085743E">
        <w:t xml:space="preserve">Hulio </w:t>
      </w:r>
      <w:r>
        <w:t xml:space="preserve">with </w:t>
      </w:r>
      <w:r w:rsidR="0085743E">
        <w:t xml:space="preserve">the </w:t>
      </w:r>
      <w:r>
        <w:t>equivalent maximum quantity units to provide the same number of injections (i.e. maximum pack quantities of 2 and 3 in place of 4-pack and 6-pack, respectively).</w:t>
      </w:r>
    </w:p>
    <w:p w14:paraId="7305958F" w14:textId="1898E730" w:rsidR="006027BA" w:rsidRDefault="00D4786F" w:rsidP="0064569A">
      <w:pPr>
        <w:pStyle w:val="3Bodytext"/>
      </w:pPr>
      <w:r>
        <w:t>The PBAC considered that the biosimilar uptake drivers should be applied to Hulio</w:t>
      </w:r>
      <w:r w:rsidR="00B023C9">
        <w:t>,</w:t>
      </w:r>
      <w:r>
        <w:t xml:space="preserve"> consistent with the current PBS listings for adalimumab biosimilar brands, including: </w:t>
      </w:r>
    </w:p>
    <w:p w14:paraId="1AE7AF05" w14:textId="06AEB45D" w:rsidR="006027BA" w:rsidRPr="009639EE" w:rsidRDefault="006027BA" w:rsidP="00891674">
      <w:pPr>
        <w:pStyle w:val="3Bodytext"/>
        <w:numPr>
          <w:ilvl w:val="0"/>
          <w:numId w:val="6"/>
        </w:numPr>
      </w:pPr>
      <w:r w:rsidRPr="009639EE">
        <w:t>Authority Required (Written</w:t>
      </w:r>
      <w:r>
        <w:t>) listing of Hulio</w:t>
      </w:r>
      <w:r w:rsidRPr="009639EE">
        <w:t xml:space="preserve"> for</w:t>
      </w:r>
      <w:r w:rsidR="009B0990">
        <w:t xml:space="preserve"> the</w:t>
      </w:r>
      <w:r w:rsidRPr="009639EE">
        <w:t xml:space="preserve"> initial </w:t>
      </w:r>
      <w:r w:rsidR="00B023C9">
        <w:t xml:space="preserve">and </w:t>
      </w:r>
      <w:r w:rsidRPr="009639EE">
        <w:t xml:space="preserve">first continuing treatment restrictions. </w:t>
      </w:r>
    </w:p>
    <w:p w14:paraId="45320551" w14:textId="46B2006F" w:rsidR="006027BA" w:rsidRPr="009639EE" w:rsidRDefault="006027BA" w:rsidP="00891674">
      <w:pPr>
        <w:pStyle w:val="3Bodytext"/>
        <w:numPr>
          <w:ilvl w:val="0"/>
          <w:numId w:val="6"/>
        </w:numPr>
      </w:pPr>
      <w:r w:rsidRPr="009639EE">
        <w:t xml:space="preserve">A separate Authority Required </w:t>
      </w:r>
      <w:r>
        <w:t>(Streamlined) listing of Hulio</w:t>
      </w:r>
      <w:r w:rsidRPr="009639EE">
        <w:t xml:space="preserve"> for </w:t>
      </w:r>
      <w:r w:rsidR="009B0990">
        <w:t xml:space="preserve">the </w:t>
      </w:r>
      <w:r w:rsidRPr="009639EE">
        <w:t>subsequent continuing treatment restriction.</w:t>
      </w:r>
    </w:p>
    <w:p w14:paraId="2B02DE9A" w14:textId="6DA93A49" w:rsidR="006027BA" w:rsidRPr="006027BA" w:rsidRDefault="006027BA" w:rsidP="00891674">
      <w:pPr>
        <w:pStyle w:val="3Bodytext"/>
        <w:numPr>
          <w:ilvl w:val="0"/>
          <w:numId w:val="6"/>
        </w:numPr>
      </w:pPr>
      <w:r w:rsidRPr="009639EE">
        <w:t xml:space="preserve">The application of the ‘Biosimilar prescribing policy’ administrative note encouraging the use of biosimilar brands for treatment naïve patients (this note will need to be updated for the other biosimilar brands of adalimumab </w:t>
      </w:r>
      <w:r>
        <w:t>to include Hulio</w:t>
      </w:r>
      <w:r w:rsidRPr="009639EE">
        <w:t xml:space="preserve"> in the list):</w:t>
      </w:r>
    </w:p>
    <w:p w14:paraId="28227C2F" w14:textId="75FF821E" w:rsidR="006027BA" w:rsidRPr="006027BA" w:rsidRDefault="006027BA" w:rsidP="006027BA">
      <w:pPr>
        <w:pStyle w:val="3Bodytext"/>
        <w:numPr>
          <w:ilvl w:val="0"/>
          <w:numId w:val="0"/>
        </w:numPr>
        <w:ind w:left="1440"/>
        <w:rPr>
          <w:i/>
        </w:rPr>
      </w:pPr>
      <w:r w:rsidRPr="006027BA">
        <w:rPr>
          <w:i/>
        </w:rPr>
        <w:t>Prescribing of the biosimilar brand, HULIO, is encouraged for treatment naïve patients.</w:t>
      </w:r>
    </w:p>
    <w:p w14:paraId="4E02E06E" w14:textId="1682F85C" w:rsidR="006027BA" w:rsidRPr="008154E2" w:rsidRDefault="006027BA" w:rsidP="008154E2">
      <w:pPr>
        <w:pStyle w:val="3Bodytext"/>
        <w:numPr>
          <w:ilvl w:val="0"/>
          <w:numId w:val="0"/>
        </w:numPr>
        <w:ind w:left="1440"/>
      </w:pPr>
      <w:r w:rsidRPr="006027BA">
        <w:rPr>
          <w:i/>
          <w:snapToGrid w:val="0"/>
          <w:lang w:eastAsia="en-US"/>
        </w:rPr>
        <w:t xml:space="preserve">Encouraging biosimilar prescribing for treatment naïve patients is Government policy. A viable biosimilar market is expected to result in reduced costs for biological medicines, allowing the Government to reinvest in new treatments. Further information can be found on the Biosimilar Awareness Initiative </w:t>
      </w:r>
      <w:r w:rsidRPr="008154E2">
        <w:t>webpage (</w:t>
      </w:r>
      <w:hyperlink r:id="rId8" w:history="1">
        <w:r w:rsidRPr="008B4E22">
          <w:rPr>
            <w:u w:val="single"/>
          </w:rPr>
          <w:t>www.health.gov.au/biosimilars</w:t>
        </w:r>
      </w:hyperlink>
      <w:r w:rsidRPr="008154E2">
        <w:t>)</w:t>
      </w:r>
    </w:p>
    <w:p w14:paraId="1733D5CC" w14:textId="6E76FDEE" w:rsidR="006027BA" w:rsidRPr="008154E2" w:rsidRDefault="008154E2" w:rsidP="008154E2">
      <w:pPr>
        <w:pStyle w:val="3Bodytext"/>
      </w:pPr>
      <w:r>
        <w:t>The PBAC advised that, under Section 101(4AACD) of the</w:t>
      </w:r>
      <w:r w:rsidRPr="0062695A">
        <w:rPr>
          <w:iCs/>
        </w:rPr>
        <w:t xml:space="preserve"> </w:t>
      </w:r>
      <w:r w:rsidR="00B023C9" w:rsidRPr="009C04F1">
        <w:rPr>
          <w:iCs/>
        </w:rPr>
        <w:t>Act</w:t>
      </w:r>
      <w:r w:rsidRPr="009C04F1">
        <w:rPr>
          <w:iCs/>
        </w:rPr>
        <w:t xml:space="preserve">, </w:t>
      </w:r>
      <w:r>
        <w:t xml:space="preserve">in the Schedule of Pharmaceutical Benefits, </w:t>
      </w:r>
      <w:r w:rsidR="00ED7A58">
        <w:t xml:space="preserve">Abrilada, Amgevita, Hadlima, Hulio, Humira, Hyrimoz and Idacio </w:t>
      </w:r>
      <w:r w:rsidR="004C1E2B">
        <w:t xml:space="preserve">PFS should be treated as equivalent to each other; and Abrilada, Amgevita, Hadlima, Hulio, Humira, Hyrimoz and Idacio PFP should be treated as equivalent to each other for the purpose of substitution (i.e. ‘a’ flagged in </w:t>
      </w:r>
      <w:r w:rsidR="003B2E64">
        <w:t xml:space="preserve">the </w:t>
      </w:r>
      <w:r w:rsidR="004C1E2B">
        <w:t>Schedule).</w:t>
      </w:r>
    </w:p>
    <w:p w14:paraId="7731F224" w14:textId="781571F7" w:rsidR="006027BA" w:rsidRDefault="004736AF" w:rsidP="00171542">
      <w:pPr>
        <w:pStyle w:val="3Bodytext"/>
      </w:pPr>
      <w:r>
        <w:lastRenderedPageBreak/>
        <w:t xml:space="preserve">The PBAC advised that, under Section 101(4AACD) of the </w:t>
      </w:r>
      <w:r w:rsidR="00C67A60" w:rsidRPr="009C04F1">
        <w:rPr>
          <w:iCs/>
        </w:rPr>
        <w:t>Act</w:t>
      </w:r>
      <w:r w:rsidR="00DC0E6E" w:rsidRPr="009C04F1">
        <w:rPr>
          <w:iCs/>
        </w:rPr>
        <w:t>,</w:t>
      </w:r>
      <w:r w:rsidR="00DC0E6E">
        <w:t xml:space="preserve"> in the Schedule of Pharmaceutical Benefits, Hulio 40 mg/0.8 mL </w:t>
      </w:r>
      <w:r w:rsidR="002E2C02">
        <w:t>PFP</w:t>
      </w:r>
      <w:r w:rsidR="00DC0E6E">
        <w:t xml:space="preserve"> and </w:t>
      </w:r>
      <w:r w:rsidR="002E2C02">
        <w:t>PFS</w:t>
      </w:r>
      <w:r w:rsidR="00DC0E6E">
        <w:t xml:space="preserve"> and adalimumab 40 mg/0.4 mL </w:t>
      </w:r>
      <w:r w:rsidR="0034298E">
        <w:t>PFP</w:t>
      </w:r>
      <w:r w:rsidR="00DC0E6E">
        <w:t xml:space="preserve"> and </w:t>
      </w:r>
      <w:r w:rsidR="0034298E">
        <w:t>PFS</w:t>
      </w:r>
      <w:r w:rsidR="00DC0E6E">
        <w:t xml:space="preserve"> should be considered equivalent for the purposes of substitution</w:t>
      </w:r>
      <w:r w:rsidR="006373D4">
        <w:t>,</w:t>
      </w:r>
      <w:r w:rsidR="00DC0E6E">
        <w:t xml:space="preserve"> respectively. </w:t>
      </w:r>
    </w:p>
    <w:p w14:paraId="728A472E" w14:textId="673B511B" w:rsidR="006373D4" w:rsidRPr="009C04F1" w:rsidRDefault="00E50F5E" w:rsidP="00A97FC0">
      <w:pPr>
        <w:widowControl w:val="0"/>
        <w:numPr>
          <w:ilvl w:val="1"/>
          <w:numId w:val="1"/>
        </w:numPr>
        <w:spacing w:after="120" w:line="259" w:lineRule="auto"/>
        <w:rPr>
          <w:rFonts w:eastAsia="Calibri" w:cs="Arial"/>
          <w:bCs/>
          <w:snapToGrid w:val="0"/>
          <w:lang w:eastAsia="en-US"/>
        </w:rPr>
      </w:pPr>
      <w:r>
        <w:rPr>
          <w:rFonts w:eastAsia="Calibri" w:cs="Arial"/>
          <w:bCs/>
          <w:snapToGrid w:val="0"/>
          <w:lang w:eastAsia="en-US"/>
        </w:rPr>
        <w:t xml:space="preserve">The PBAC </w:t>
      </w:r>
      <w:r>
        <w:t xml:space="preserve">advised that, under Section 101(4AACD) of the </w:t>
      </w:r>
      <w:r w:rsidR="00C67A60" w:rsidRPr="009C04F1">
        <w:rPr>
          <w:iCs/>
        </w:rPr>
        <w:t>Act</w:t>
      </w:r>
      <w:r w:rsidRPr="009C04F1">
        <w:rPr>
          <w:iCs/>
        </w:rPr>
        <w:t>,</w:t>
      </w:r>
      <w:r>
        <w:t xml:space="preserve"> in the Schedule of Pharmaceutical Benefits, Hulio PFP should not be considered equivalent for the purposes of substitution with any adalimumab PFS</w:t>
      </w:r>
      <w:r w:rsidR="00C67A60">
        <w:t>, consistent with its previous considerations of adalimumab.</w:t>
      </w:r>
    </w:p>
    <w:p w14:paraId="6A5AA4EB" w14:textId="40EB15AB" w:rsidR="00E3493D" w:rsidRPr="00427899" w:rsidRDefault="00E3493D" w:rsidP="00A97FC0">
      <w:pPr>
        <w:widowControl w:val="0"/>
        <w:numPr>
          <w:ilvl w:val="1"/>
          <w:numId w:val="1"/>
        </w:numPr>
        <w:spacing w:after="120" w:line="259" w:lineRule="auto"/>
        <w:rPr>
          <w:rFonts w:eastAsia="Calibri" w:cs="Arial"/>
          <w:bCs/>
          <w:snapToGrid w:val="0"/>
          <w:lang w:eastAsia="en-US"/>
        </w:rPr>
      </w:pPr>
      <w:r>
        <w:rPr>
          <w:rFonts w:eastAsia="Calibri" w:cs="Arial"/>
          <w:bCs/>
          <w:snapToGrid w:val="0"/>
          <w:lang w:eastAsia="en-US"/>
        </w:rPr>
        <w:t xml:space="preserve">The PBAC noted that the listing of Hulio will not increase overall market utilisation as it is expected that Hulio would substitute for the Humira or other biosimilar brands of adalimumab. </w:t>
      </w:r>
    </w:p>
    <w:p w14:paraId="46FD19F4" w14:textId="3E1C9A5D" w:rsidR="00A97FC0" w:rsidRPr="009639EE" w:rsidRDefault="00A97FC0" w:rsidP="00A97FC0">
      <w:pPr>
        <w:widowControl w:val="0"/>
        <w:numPr>
          <w:ilvl w:val="1"/>
          <w:numId w:val="1"/>
        </w:numPr>
        <w:spacing w:after="120" w:line="259" w:lineRule="auto"/>
        <w:rPr>
          <w:rFonts w:eastAsia="Calibri" w:cs="Arial"/>
          <w:bCs/>
          <w:snapToGrid w:val="0"/>
          <w:lang w:eastAsia="en-US"/>
        </w:rPr>
      </w:pPr>
      <w:r w:rsidRPr="009639EE">
        <w:t>The PBAC noted that its recommendation was on a cost-minimisation basis an</w:t>
      </w:r>
      <w:r w:rsidR="00DA6AFD">
        <w:t>d advised that, because Hulio</w:t>
      </w:r>
      <w:r w:rsidRPr="009639EE">
        <w:t xml:space="preserve"> is not expected to provide a substantial and clinically relevant improvement in efficacy, or reduction of toxicity over Humira, or not expected to address a high and urgent unmet clinical need given the presence of an alternative therapy, the criteria prescribed by the </w:t>
      </w:r>
      <w:r w:rsidRPr="009639EE">
        <w:rPr>
          <w:i/>
        </w:rPr>
        <w:t>National Health (Pharmaceuticals and Vaccines – Cost Recovery) Regulations 2009</w:t>
      </w:r>
      <w:r w:rsidRPr="009639EE">
        <w:t xml:space="preserve"> for Pricing Pathway A were not met.</w:t>
      </w:r>
    </w:p>
    <w:p w14:paraId="35287F66" w14:textId="000F0DC0" w:rsidR="00A97FC0" w:rsidRDefault="00A97FC0" w:rsidP="00A97FC0">
      <w:pPr>
        <w:widowControl w:val="0"/>
        <w:numPr>
          <w:ilvl w:val="1"/>
          <w:numId w:val="1"/>
        </w:numPr>
        <w:spacing w:after="120" w:line="259" w:lineRule="auto"/>
        <w:jc w:val="left"/>
        <w:rPr>
          <w:rFonts w:eastAsia="Calibri" w:cs="Arial"/>
          <w:bCs/>
          <w:snapToGrid w:val="0"/>
          <w:lang w:eastAsia="en-US"/>
        </w:rPr>
      </w:pPr>
      <w:r w:rsidRPr="009639EE">
        <w:rPr>
          <w:rFonts w:eastAsia="Calibri" w:cs="Arial"/>
          <w:bCs/>
          <w:snapToGrid w:val="0"/>
          <w:lang w:eastAsia="en-US"/>
        </w:rPr>
        <w:t xml:space="preserve">The PBAC noted that this submission is not eligible for </w:t>
      </w:r>
      <w:r w:rsidR="00A3234B">
        <w:rPr>
          <w:rFonts w:eastAsia="Calibri" w:cs="Arial"/>
          <w:bCs/>
          <w:snapToGrid w:val="0"/>
          <w:lang w:eastAsia="en-US"/>
        </w:rPr>
        <w:t xml:space="preserve">an </w:t>
      </w:r>
      <w:r w:rsidRPr="009639EE">
        <w:rPr>
          <w:rFonts w:eastAsia="Calibri" w:cs="Arial"/>
          <w:bCs/>
          <w:snapToGrid w:val="0"/>
          <w:lang w:eastAsia="en-US"/>
        </w:rPr>
        <w:t>Independent Review as it rece</w:t>
      </w:r>
      <w:r>
        <w:rPr>
          <w:rFonts w:eastAsia="Calibri" w:cs="Arial"/>
          <w:bCs/>
          <w:snapToGrid w:val="0"/>
          <w:lang w:eastAsia="en-US"/>
        </w:rPr>
        <w:t>ived a positive recommendation.</w:t>
      </w:r>
    </w:p>
    <w:p w14:paraId="1E771CA8" w14:textId="05600865" w:rsidR="00171542" w:rsidRDefault="00171542" w:rsidP="00A3234B">
      <w:r w:rsidRPr="00171542">
        <w:rPr>
          <w:b/>
        </w:rPr>
        <w:t>Outcome:</w:t>
      </w:r>
      <w:r w:rsidR="00A3234B">
        <w:br/>
      </w:r>
      <w:r>
        <w:t>Recommended</w:t>
      </w:r>
    </w:p>
    <w:p w14:paraId="15D1CAF3" w14:textId="77777777" w:rsidR="00A3234B" w:rsidRDefault="00A3234B" w:rsidP="006749A1"/>
    <w:p w14:paraId="76BD7C08" w14:textId="6E244B68" w:rsidR="00171542" w:rsidRDefault="00171542" w:rsidP="00171542">
      <w:pPr>
        <w:pStyle w:val="Heading1"/>
        <w:keepLines/>
        <w:numPr>
          <w:ilvl w:val="0"/>
          <w:numId w:val="1"/>
        </w:numPr>
        <w:spacing w:before="240"/>
        <w:ind w:left="709" w:hanging="709"/>
        <w:rPr>
          <w:sz w:val="32"/>
          <w:szCs w:val="32"/>
        </w:rPr>
      </w:pPr>
      <w:r>
        <w:rPr>
          <w:sz w:val="32"/>
          <w:szCs w:val="32"/>
        </w:rPr>
        <w:t xml:space="preserve">Recommended listing </w:t>
      </w:r>
    </w:p>
    <w:p w14:paraId="016DCC4C" w14:textId="01BBE11B" w:rsidR="00E45F53" w:rsidRDefault="00E45F53" w:rsidP="00E45F53">
      <w:pPr>
        <w:pStyle w:val="3Bodytext"/>
      </w:pPr>
      <w:r>
        <w:t>Add new adalimumab brand (Hulio) with schedule equivalence (‘a’ flag) for the same indications as</w:t>
      </w:r>
      <w:r w:rsidR="009C0C80">
        <w:t xml:space="preserve"> </w:t>
      </w:r>
      <w:r>
        <w:t>Humira as noted in Section 3.</w:t>
      </w:r>
    </w:p>
    <w:p w14:paraId="46CF93C2" w14:textId="052A0048" w:rsidR="00E45F53" w:rsidRDefault="00E45F53" w:rsidP="00E45F53">
      <w:pPr>
        <w:pStyle w:val="3Bodytext"/>
      </w:pPr>
      <w:r>
        <w:t>Amend existing/recommended listing as follows:</w:t>
      </w:r>
    </w:p>
    <w:p w14:paraId="5CDB1AB6" w14:textId="700ACFBB" w:rsidR="00E45F53" w:rsidRPr="009639EE" w:rsidRDefault="00E45F53" w:rsidP="00E45F53">
      <w:pPr>
        <w:pStyle w:val="3Bodytext"/>
        <w:numPr>
          <w:ilvl w:val="0"/>
          <w:numId w:val="6"/>
        </w:numPr>
      </w:pPr>
      <w:r w:rsidRPr="009639EE">
        <w:t>Authority Required (Written</w:t>
      </w:r>
      <w:r>
        <w:t>) listing of Hulio</w:t>
      </w:r>
      <w:r w:rsidRPr="009639EE">
        <w:t xml:space="preserve"> for </w:t>
      </w:r>
      <w:r w:rsidR="00A3234B">
        <w:t xml:space="preserve">the </w:t>
      </w:r>
      <w:r w:rsidRPr="009639EE">
        <w:t xml:space="preserve">initial </w:t>
      </w:r>
      <w:r w:rsidR="00A3234B">
        <w:t>and</w:t>
      </w:r>
      <w:r w:rsidRPr="009639EE">
        <w:t xml:space="preserve"> first continuing treatment restrictions. </w:t>
      </w:r>
    </w:p>
    <w:p w14:paraId="5C9C9C25" w14:textId="66EB3862" w:rsidR="00E45F53" w:rsidRPr="009639EE" w:rsidRDefault="00E45F53" w:rsidP="00E45F53">
      <w:pPr>
        <w:pStyle w:val="3Bodytext"/>
        <w:numPr>
          <w:ilvl w:val="0"/>
          <w:numId w:val="6"/>
        </w:numPr>
      </w:pPr>
      <w:r w:rsidRPr="009639EE">
        <w:t xml:space="preserve">A separate Authority Required </w:t>
      </w:r>
      <w:r>
        <w:t>(Streamlined) listing of Hulio</w:t>
      </w:r>
      <w:r w:rsidRPr="009639EE">
        <w:t xml:space="preserve"> for </w:t>
      </w:r>
      <w:r w:rsidR="00A3234B">
        <w:t xml:space="preserve">the </w:t>
      </w:r>
      <w:r w:rsidRPr="009639EE">
        <w:t>subsequent continuing treatment restriction.</w:t>
      </w:r>
    </w:p>
    <w:p w14:paraId="7F1F2F8C" w14:textId="1F573630" w:rsidR="00E45F53" w:rsidRPr="006027BA" w:rsidRDefault="00E45F53" w:rsidP="00E45F53">
      <w:pPr>
        <w:pStyle w:val="3Bodytext"/>
        <w:numPr>
          <w:ilvl w:val="0"/>
          <w:numId w:val="6"/>
        </w:numPr>
      </w:pPr>
      <w:r w:rsidRPr="009639EE">
        <w:t xml:space="preserve">The application of the ‘Biosimilar prescribing policy’ administrative note encouraging the use of biosimilar brands for treatment naïve patients (this note will need to be updated for the other biosimilar brands of adalimumab </w:t>
      </w:r>
      <w:r>
        <w:t>to include Hulio</w:t>
      </w:r>
      <w:r w:rsidRPr="009639EE">
        <w:t xml:space="preserve"> in the list):</w:t>
      </w:r>
    </w:p>
    <w:p w14:paraId="6A701494" w14:textId="3216E8F3" w:rsidR="00E45F53" w:rsidRPr="006027BA" w:rsidRDefault="00E45F53" w:rsidP="00E45F53">
      <w:pPr>
        <w:pStyle w:val="3Bodytext"/>
        <w:numPr>
          <w:ilvl w:val="0"/>
          <w:numId w:val="0"/>
        </w:numPr>
        <w:ind w:left="1440"/>
        <w:rPr>
          <w:i/>
        </w:rPr>
      </w:pPr>
      <w:r w:rsidRPr="006027BA">
        <w:rPr>
          <w:i/>
        </w:rPr>
        <w:lastRenderedPageBreak/>
        <w:t xml:space="preserve">Prescribing of the biosimilar brand, HULIO, is encouraged for treatment naïve patients. </w:t>
      </w:r>
    </w:p>
    <w:p w14:paraId="7F9EEB51" w14:textId="69D02BF2" w:rsidR="008B4E22" w:rsidRDefault="00E45F53" w:rsidP="00EA0F00">
      <w:pPr>
        <w:ind w:left="1440"/>
        <w:jc w:val="left"/>
        <w:rPr>
          <w:b/>
          <w:i/>
        </w:rPr>
      </w:pPr>
      <w:r w:rsidRPr="006027BA">
        <w:rPr>
          <w:i/>
          <w:snapToGrid w:val="0"/>
          <w:lang w:eastAsia="en-US"/>
        </w:rPr>
        <w:t xml:space="preserve">Encouraging biosimilar prescribing for treatment naïve patients is Government policy. A viable biosimilar market is expected to result in reduced costs for biological medicines, allowing the Government to reinvest in new treatments. Further information can be found on the Biosimilar Awareness Initiative </w:t>
      </w:r>
      <w:r w:rsidRPr="008154E2">
        <w:t>webpage (</w:t>
      </w:r>
      <w:hyperlink r:id="rId9" w:history="1">
        <w:r w:rsidRPr="008B4E22">
          <w:rPr>
            <w:u w:val="single"/>
          </w:rPr>
          <w:t>www.health.gov.au/biosimilars</w:t>
        </w:r>
      </w:hyperlink>
      <w:r w:rsidRPr="008154E2">
        <w:t>)</w:t>
      </w:r>
    </w:p>
    <w:p w14:paraId="7B0B7DD5" w14:textId="77777777" w:rsidR="00EA0F00" w:rsidRDefault="00EA0F00" w:rsidP="00E45F53">
      <w:pPr>
        <w:spacing w:after="160" w:line="259" w:lineRule="auto"/>
        <w:jc w:val="left"/>
        <w:rPr>
          <w:b/>
          <w:i/>
        </w:rPr>
      </w:pPr>
    </w:p>
    <w:p w14:paraId="25EC5814" w14:textId="1363E9C2" w:rsidR="00E45F53" w:rsidRPr="009639EE" w:rsidRDefault="00E45F53" w:rsidP="008E6E90">
      <w:pPr>
        <w:spacing w:after="160" w:line="259" w:lineRule="auto"/>
        <w:ind w:left="709"/>
        <w:jc w:val="left"/>
        <w:rPr>
          <w:rFonts w:eastAsia="Calibri" w:cs="Calibri"/>
          <w:b/>
          <w:i/>
          <w:lang w:eastAsia="en-US"/>
        </w:rPr>
      </w:pPr>
      <w:r w:rsidRPr="009639EE">
        <w:rPr>
          <w:b/>
          <w:i/>
        </w:rPr>
        <w:t>This restriction may be subject to further review. Should there be any changes made to the restriction the Sponsor will be informed.</w:t>
      </w:r>
    </w:p>
    <w:p w14:paraId="3CD15016" w14:textId="6E612BBD" w:rsidR="009520B3" w:rsidRPr="007F5687" w:rsidRDefault="009520B3" w:rsidP="007F5687">
      <w:pPr>
        <w:pStyle w:val="Heading1"/>
        <w:keepLines/>
        <w:numPr>
          <w:ilvl w:val="0"/>
          <w:numId w:val="1"/>
        </w:numPr>
        <w:spacing w:before="240"/>
        <w:ind w:left="709" w:hanging="709"/>
        <w:rPr>
          <w:sz w:val="32"/>
          <w:szCs w:val="32"/>
        </w:rPr>
      </w:pPr>
      <w:r w:rsidRPr="007F5687">
        <w:rPr>
          <w:sz w:val="32"/>
          <w:szCs w:val="32"/>
        </w:rPr>
        <w:t>Context for Decision</w:t>
      </w:r>
    </w:p>
    <w:p w14:paraId="44FA2B1E" w14:textId="77777777" w:rsidR="009520B3" w:rsidRPr="007129F2" w:rsidRDefault="009520B3" w:rsidP="007F5687">
      <w:pPr>
        <w:spacing w:after="120"/>
        <w:ind w:left="709"/>
        <w:rPr>
          <w:rFonts w:cs="Arial"/>
          <w:bCs/>
          <w:lang w:val="en-GB"/>
        </w:rPr>
      </w:pPr>
      <w:r w:rsidRPr="007129F2">
        <w:rPr>
          <w:rFonts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C54F08B" w14:textId="57A3DABB" w:rsidR="009520B3" w:rsidRPr="007F5687" w:rsidRDefault="009520B3" w:rsidP="007F5687">
      <w:pPr>
        <w:pStyle w:val="Heading1"/>
        <w:keepLines/>
        <w:numPr>
          <w:ilvl w:val="0"/>
          <w:numId w:val="1"/>
        </w:numPr>
        <w:spacing w:before="240"/>
        <w:ind w:left="709" w:hanging="709"/>
        <w:rPr>
          <w:b w:val="0"/>
          <w:sz w:val="32"/>
          <w:szCs w:val="32"/>
        </w:rPr>
      </w:pPr>
      <w:r w:rsidRPr="007F5687">
        <w:rPr>
          <w:sz w:val="32"/>
          <w:szCs w:val="32"/>
        </w:rPr>
        <w:t>Sponsor’s Comment</w:t>
      </w:r>
    </w:p>
    <w:p w14:paraId="2C0CE3C4" w14:textId="77777777" w:rsidR="009520B3" w:rsidRPr="001179AC" w:rsidRDefault="009520B3" w:rsidP="007F5687">
      <w:pPr>
        <w:spacing w:after="120"/>
        <w:ind w:left="426" w:firstLine="283"/>
        <w:rPr>
          <w:rFonts w:cs="Arial"/>
          <w:bCs/>
        </w:rPr>
      </w:pPr>
      <w:r w:rsidRPr="00C07617">
        <w:rPr>
          <w:rFonts w:cs="Arial"/>
          <w:bCs/>
        </w:rPr>
        <w:t>The sponsor had no comment.</w:t>
      </w:r>
    </w:p>
    <w:p w14:paraId="2ECDD949" w14:textId="0391CFC5" w:rsidR="000A3CB2" w:rsidRPr="007E13FF" w:rsidRDefault="000A3CB2" w:rsidP="000A3CB2">
      <w:pPr>
        <w:jc w:val="left"/>
        <w:rPr>
          <w:rFonts w:cs="Calibri"/>
          <w:lang w:eastAsia="en-US"/>
        </w:rPr>
      </w:pPr>
    </w:p>
    <w:sectPr w:rsidR="000A3CB2" w:rsidRPr="007E13FF" w:rsidSect="00C27B58">
      <w:headerReference w:type="even" r:id="rId10"/>
      <w:headerReference w:type="default" r:id="rId11"/>
      <w:footerReference w:type="even" r:id="rId12"/>
      <w:footerReference w:type="defaul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6A029" w14:textId="77777777" w:rsidR="00403282" w:rsidRDefault="00403282">
      <w:r>
        <w:separator/>
      </w:r>
    </w:p>
    <w:p w14:paraId="572B3789" w14:textId="77777777" w:rsidR="00403282" w:rsidRDefault="00403282"/>
  </w:endnote>
  <w:endnote w:type="continuationSeparator" w:id="0">
    <w:p w14:paraId="4BB52409" w14:textId="77777777" w:rsidR="00403282" w:rsidRDefault="00403282">
      <w:r>
        <w:continuationSeparator/>
      </w:r>
    </w:p>
    <w:p w14:paraId="7F343C2A" w14:textId="77777777" w:rsidR="00403282" w:rsidRDefault="00403282"/>
  </w:endnote>
  <w:endnote w:type="continuationNotice" w:id="1">
    <w:p w14:paraId="041BA9D3" w14:textId="77777777" w:rsidR="00403282" w:rsidRDefault="004032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403282" w14:paraId="4075D3FE" w14:textId="77777777" w:rsidTr="005A3173">
      <w:trPr>
        <w:trHeight w:val="151"/>
      </w:trPr>
      <w:tc>
        <w:tcPr>
          <w:tcW w:w="2250" w:type="pct"/>
          <w:tcBorders>
            <w:top w:val="nil"/>
            <w:left w:val="nil"/>
            <w:bottom w:val="single" w:sz="4" w:space="0" w:color="4F81BD"/>
            <w:right w:val="nil"/>
          </w:tcBorders>
        </w:tcPr>
        <w:p w14:paraId="096D0DDE" w14:textId="77777777" w:rsidR="00403282" w:rsidRPr="005A3173" w:rsidRDefault="00403282"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403282" w:rsidRPr="005A3173" w:rsidRDefault="0040328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403282" w:rsidRPr="005A3173" w:rsidRDefault="00403282" w:rsidP="005A3173">
          <w:pPr>
            <w:pStyle w:val="Header"/>
            <w:spacing w:line="276" w:lineRule="auto"/>
            <w:rPr>
              <w:rFonts w:eastAsia="MS Gothic"/>
              <w:b/>
              <w:bCs/>
              <w:color w:val="4F81BD"/>
            </w:rPr>
          </w:pPr>
        </w:p>
      </w:tc>
    </w:tr>
    <w:tr w:rsidR="00403282" w14:paraId="32EF4DB8" w14:textId="77777777" w:rsidTr="005A3173">
      <w:trPr>
        <w:trHeight w:val="150"/>
      </w:trPr>
      <w:tc>
        <w:tcPr>
          <w:tcW w:w="2250" w:type="pct"/>
          <w:tcBorders>
            <w:top w:val="single" w:sz="4" w:space="0" w:color="4F81BD"/>
            <w:left w:val="nil"/>
            <w:bottom w:val="nil"/>
            <w:right w:val="nil"/>
          </w:tcBorders>
        </w:tcPr>
        <w:p w14:paraId="03528A4C" w14:textId="77777777" w:rsidR="00403282" w:rsidRPr="005A3173" w:rsidRDefault="00403282" w:rsidP="005A3173">
          <w:pPr>
            <w:pStyle w:val="Header"/>
            <w:spacing w:line="276" w:lineRule="auto"/>
            <w:rPr>
              <w:rFonts w:eastAsia="MS Gothic"/>
              <w:b/>
              <w:bCs/>
              <w:color w:val="4F81BD"/>
            </w:rPr>
          </w:pPr>
        </w:p>
      </w:tc>
      <w:tc>
        <w:tcPr>
          <w:tcW w:w="0" w:type="auto"/>
          <w:vMerge/>
          <w:vAlign w:val="center"/>
          <w:hideMark/>
        </w:tcPr>
        <w:p w14:paraId="109042FB" w14:textId="77777777" w:rsidR="00403282" w:rsidRPr="005A3173" w:rsidRDefault="00403282" w:rsidP="005A3173">
          <w:pPr>
            <w:rPr>
              <w:color w:val="365F91"/>
              <w:sz w:val="22"/>
              <w:szCs w:val="22"/>
            </w:rPr>
          </w:pPr>
        </w:p>
      </w:tc>
      <w:tc>
        <w:tcPr>
          <w:tcW w:w="2250" w:type="pct"/>
          <w:tcBorders>
            <w:top w:val="single" w:sz="4" w:space="0" w:color="4F81BD"/>
            <w:left w:val="nil"/>
            <w:bottom w:val="nil"/>
            <w:right w:val="nil"/>
          </w:tcBorders>
        </w:tcPr>
        <w:p w14:paraId="09664199" w14:textId="77777777" w:rsidR="00403282" w:rsidRPr="005A3173" w:rsidRDefault="00403282" w:rsidP="005A3173">
          <w:pPr>
            <w:pStyle w:val="Header"/>
            <w:spacing w:line="276" w:lineRule="auto"/>
            <w:rPr>
              <w:rFonts w:eastAsia="MS Gothic"/>
              <w:b/>
              <w:bCs/>
              <w:color w:val="4F81BD"/>
            </w:rPr>
          </w:pPr>
        </w:p>
      </w:tc>
    </w:tr>
  </w:tbl>
  <w:p w14:paraId="21855C18" w14:textId="77777777" w:rsidR="00403282" w:rsidRDefault="00403282"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403282" w:rsidRDefault="00403282">
    <w:pPr>
      <w:pStyle w:val="Footer"/>
    </w:pPr>
  </w:p>
  <w:p w14:paraId="48FFA445" w14:textId="77777777" w:rsidR="00403282" w:rsidRDefault="004032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2F575" w14:textId="77777777" w:rsidR="005D0C24" w:rsidRDefault="005D0C24">
    <w:pPr>
      <w:pStyle w:val="Footer"/>
      <w:jc w:val="center"/>
    </w:pPr>
  </w:p>
  <w:p w14:paraId="7094D86F" w14:textId="76626EE8" w:rsidR="005D0C24" w:rsidRPr="00AA268E" w:rsidRDefault="008E6E90">
    <w:pPr>
      <w:pStyle w:val="Footer"/>
      <w:jc w:val="center"/>
      <w:rPr>
        <w:b/>
        <w:bCs/>
      </w:rPr>
    </w:pPr>
    <w:sdt>
      <w:sdtPr>
        <w:id w:val="1144938196"/>
        <w:docPartObj>
          <w:docPartGallery w:val="Page Numbers (Bottom of Page)"/>
          <w:docPartUnique/>
        </w:docPartObj>
      </w:sdtPr>
      <w:sdtEndPr>
        <w:rPr>
          <w:b/>
          <w:bCs/>
          <w:noProof/>
        </w:rPr>
      </w:sdtEndPr>
      <w:sdtContent>
        <w:r w:rsidR="005D0C24" w:rsidRPr="00AA268E">
          <w:rPr>
            <w:b/>
            <w:bCs/>
          </w:rPr>
          <w:fldChar w:fldCharType="begin"/>
        </w:r>
        <w:r w:rsidR="005D0C24" w:rsidRPr="00AA268E">
          <w:rPr>
            <w:b/>
            <w:bCs/>
          </w:rPr>
          <w:instrText xml:space="preserve"> PAGE   \* MERGEFORMAT </w:instrText>
        </w:r>
        <w:r w:rsidR="005D0C24" w:rsidRPr="00AA268E">
          <w:rPr>
            <w:b/>
            <w:bCs/>
          </w:rPr>
          <w:fldChar w:fldCharType="separate"/>
        </w:r>
        <w:r w:rsidR="007F5687" w:rsidRPr="00AA268E">
          <w:rPr>
            <w:b/>
            <w:bCs/>
            <w:noProof/>
          </w:rPr>
          <w:t>7</w:t>
        </w:r>
        <w:r w:rsidR="005D0C24" w:rsidRPr="00AA268E">
          <w:rPr>
            <w:b/>
            <w:bCs/>
            <w:noProof/>
          </w:rPr>
          <w:fldChar w:fldCharType="end"/>
        </w:r>
      </w:sdtContent>
    </w:sdt>
  </w:p>
  <w:p w14:paraId="355827FE" w14:textId="0C7145F1" w:rsidR="00403282" w:rsidRPr="00BE3A4E" w:rsidRDefault="00403282" w:rsidP="00A510E4">
    <w:pPr>
      <w:pStyle w:val="PBACFooter"/>
      <w:rPr>
        <w:rFonts w:asciiTheme="minorHAnsi" w:hAnsiTheme="minorHAnsi" w:cstheme="minorHAnsi"/>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887"/>
      <w:gridCol w:w="1252"/>
      <w:gridCol w:w="3887"/>
    </w:tblGrid>
    <w:tr w:rsidR="00403282" w14:paraId="1B1A9BFB" w14:textId="77777777" w:rsidTr="005A3173">
      <w:trPr>
        <w:trHeight w:val="151"/>
      </w:trPr>
      <w:tc>
        <w:tcPr>
          <w:tcW w:w="2250" w:type="pct"/>
          <w:tcBorders>
            <w:top w:val="nil"/>
            <w:left w:val="nil"/>
            <w:bottom w:val="single" w:sz="4" w:space="0" w:color="4F81BD"/>
            <w:right w:val="nil"/>
          </w:tcBorders>
        </w:tcPr>
        <w:p w14:paraId="1AEC0F9B" w14:textId="77777777" w:rsidR="00403282" w:rsidRPr="005A3173" w:rsidRDefault="00403282"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403282" w:rsidRPr="005A3173" w:rsidRDefault="0040328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403282" w:rsidRPr="005A3173" w:rsidRDefault="00403282" w:rsidP="005A3173">
          <w:pPr>
            <w:pStyle w:val="Header"/>
            <w:spacing w:line="276" w:lineRule="auto"/>
            <w:rPr>
              <w:rFonts w:eastAsia="MS Gothic"/>
              <w:b/>
              <w:bCs/>
              <w:color w:val="4F81BD"/>
            </w:rPr>
          </w:pPr>
        </w:p>
      </w:tc>
    </w:tr>
    <w:tr w:rsidR="00403282" w14:paraId="0A17FD7B" w14:textId="77777777" w:rsidTr="005A3173">
      <w:trPr>
        <w:trHeight w:val="150"/>
      </w:trPr>
      <w:tc>
        <w:tcPr>
          <w:tcW w:w="2250" w:type="pct"/>
          <w:tcBorders>
            <w:top w:val="single" w:sz="4" w:space="0" w:color="4F81BD"/>
            <w:left w:val="nil"/>
            <w:bottom w:val="nil"/>
            <w:right w:val="nil"/>
          </w:tcBorders>
        </w:tcPr>
        <w:p w14:paraId="66DEA9D9" w14:textId="77777777" w:rsidR="00403282" w:rsidRPr="005A3173" w:rsidRDefault="00403282" w:rsidP="005A3173">
          <w:pPr>
            <w:pStyle w:val="Header"/>
            <w:spacing w:line="276" w:lineRule="auto"/>
            <w:rPr>
              <w:rFonts w:eastAsia="MS Gothic"/>
              <w:b/>
              <w:bCs/>
              <w:color w:val="4F81BD"/>
            </w:rPr>
          </w:pPr>
        </w:p>
      </w:tc>
      <w:tc>
        <w:tcPr>
          <w:tcW w:w="0" w:type="auto"/>
          <w:vMerge/>
          <w:vAlign w:val="center"/>
          <w:hideMark/>
        </w:tcPr>
        <w:p w14:paraId="0726D67B" w14:textId="77777777" w:rsidR="00403282" w:rsidRPr="005A3173" w:rsidRDefault="00403282" w:rsidP="005A3173">
          <w:pPr>
            <w:rPr>
              <w:color w:val="365F91"/>
              <w:sz w:val="22"/>
              <w:szCs w:val="22"/>
            </w:rPr>
          </w:pPr>
        </w:p>
      </w:tc>
      <w:tc>
        <w:tcPr>
          <w:tcW w:w="2250" w:type="pct"/>
          <w:tcBorders>
            <w:top w:val="single" w:sz="4" w:space="0" w:color="4F81BD"/>
            <w:left w:val="nil"/>
            <w:bottom w:val="nil"/>
            <w:right w:val="nil"/>
          </w:tcBorders>
        </w:tcPr>
        <w:p w14:paraId="77FEEEB1" w14:textId="77777777" w:rsidR="00403282" w:rsidRPr="005A3173" w:rsidRDefault="00403282"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403282" w14:paraId="434C4AE3" w14:textId="77777777" w:rsidTr="005A3173">
      <w:trPr>
        <w:trHeight w:val="151"/>
      </w:trPr>
      <w:tc>
        <w:tcPr>
          <w:tcW w:w="2250" w:type="pct"/>
          <w:tcBorders>
            <w:top w:val="nil"/>
            <w:left w:val="nil"/>
            <w:bottom w:val="single" w:sz="4" w:space="0" w:color="4F81BD"/>
            <w:right w:val="nil"/>
          </w:tcBorders>
        </w:tcPr>
        <w:p w14:paraId="556410DA" w14:textId="77777777" w:rsidR="00403282" w:rsidRPr="005A3173" w:rsidRDefault="00403282"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403282" w:rsidRPr="005A3173" w:rsidRDefault="0040328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403282" w:rsidRPr="005A3173" w:rsidRDefault="00403282" w:rsidP="005A3173">
          <w:pPr>
            <w:pStyle w:val="Header"/>
            <w:spacing w:line="276" w:lineRule="auto"/>
            <w:rPr>
              <w:rFonts w:eastAsia="MS Gothic"/>
              <w:b/>
              <w:bCs/>
              <w:color w:val="4F81BD"/>
            </w:rPr>
          </w:pPr>
        </w:p>
      </w:tc>
    </w:tr>
    <w:tr w:rsidR="00403282" w14:paraId="2F5EEC4C" w14:textId="77777777" w:rsidTr="005A3173">
      <w:trPr>
        <w:trHeight w:val="150"/>
      </w:trPr>
      <w:tc>
        <w:tcPr>
          <w:tcW w:w="2250" w:type="pct"/>
          <w:tcBorders>
            <w:top w:val="single" w:sz="4" w:space="0" w:color="4F81BD"/>
            <w:left w:val="nil"/>
            <w:bottom w:val="nil"/>
            <w:right w:val="nil"/>
          </w:tcBorders>
        </w:tcPr>
        <w:p w14:paraId="60E1BA15" w14:textId="77777777" w:rsidR="00403282" w:rsidRPr="005A3173" w:rsidRDefault="00403282" w:rsidP="005A3173">
          <w:pPr>
            <w:pStyle w:val="Header"/>
            <w:spacing w:line="276" w:lineRule="auto"/>
            <w:rPr>
              <w:rFonts w:eastAsia="MS Gothic"/>
              <w:b/>
              <w:bCs/>
              <w:color w:val="4F81BD"/>
            </w:rPr>
          </w:pPr>
        </w:p>
      </w:tc>
      <w:tc>
        <w:tcPr>
          <w:tcW w:w="0" w:type="auto"/>
          <w:vMerge/>
          <w:vAlign w:val="center"/>
          <w:hideMark/>
        </w:tcPr>
        <w:p w14:paraId="4EACACBE" w14:textId="77777777" w:rsidR="00403282" w:rsidRPr="005A3173" w:rsidRDefault="00403282" w:rsidP="005A3173">
          <w:pPr>
            <w:rPr>
              <w:color w:val="365F91"/>
              <w:sz w:val="22"/>
              <w:szCs w:val="22"/>
            </w:rPr>
          </w:pPr>
        </w:p>
      </w:tc>
      <w:tc>
        <w:tcPr>
          <w:tcW w:w="2250" w:type="pct"/>
          <w:tcBorders>
            <w:top w:val="single" w:sz="4" w:space="0" w:color="4F81BD"/>
            <w:left w:val="nil"/>
            <w:bottom w:val="nil"/>
            <w:right w:val="nil"/>
          </w:tcBorders>
        </w:tcPr>
        <w:p w14:paraId="516BCB31" w14:textId="77777777" w:rsidR="00403282" w:rsidRPr="005A3173" w:rsidRDefault="00403282" w:rsidP="005A3173">
          <w:pPr>
            <w:pStyle w:val="Header"/>
            <w:spacing w:line="276" w:lineRule="auto"/>
            <w:rPr>
              <w:rFonts w:eastAsia="MS Gothic"/>
              <w:b/>
              <w:bCs/>
              <w:color w:val="4F81BD"/>
            </w:rPr>
          </w:pPr>
        </w:p>
      </w:tc>
    </w:tr>
  </w:tbl>
  <w:p w14:paraId="679BDCC0" w14:textId="51729BA5" w:rsidR="00403282" w:rsidRPr="007C0F57" w:rsidRDefault="00403282"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sidR="009520B3">
      <w:rPr>
        <w:rStyle w:val="PageNumber"/>
        <w:noProof/>
      </w:rPr>
      <w:t>1</w:t>
    </w:r>
    <w:r>
      <w:rPr>
        <w:rStyle w:val="PageNumber"/>
      </w:rPr>
      <w:fldChar w:fldCharType="end"/>
    </w:r>
    <w:r w:rsidRPr="007C0F57">
      <w:rPr>
        <w:b/>
        <w:i/>
        <w:sz w:val="20"/>
        <w:szCs w:val="20"/>
      </w:rPr>
      <w:t>BAC Meeting</w:t>
    </w:r>
  </w:p>
  <w:p w14:paraId="617093FB" w14:textId="77777777" w:rsidR="00403282" w:rsidRPr="007C0F57" w:rsidRDefault="00403282" w:rsidP="007C0F57">
    <w:pPr>
      <w:pStyle w:val="Footer"/>
      <w:jc w:val="center"/>
      <w:rPr>
        <w:b/>
        <w:i/>
        <w:sz w:val="20"/>
        <w:szCs w:val="20"/>
      </w:rPr>
    </w:pPr>
    <w:r w:rsidRPr="007C0F57">
      <w:rPr>
        <w:b/>
        <w:i/>
        <w:sz w:val="20"/>
        <w:szCs w:val="20"/>
      </w:rPr>
      <w:t>Commercial-in-Confidence</w:t>
    </w:r>
  </w:p>
  <w:p w14:paraId="36E9E30B" w14:textId="77777777" w:rsidR="00403282" w:rsidRDefault="004032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1C7ED" w14:textId="77777777" w:rsidR="00403282" w:rsidRDefault="00403282">
      <w:r>
        <w:separator/>
      </w:r>
    </w:p>
    <w:p w14:paraId="615FB1ED" w14:textId="77777777" w:rsidR="00403282" w:rsidRDefault="00403282"/>
  </w:footnote>
  <w:footnote w:type="continuationSeparator" w:id="0">
    <w:p w14:paraId="55BB0431" w14:textId="77777777" w:rsidR="00403282" w:rsidRDefault="00403282">
      <w:r>
        <w:continuationSeparator/>
      </w:r>
    </w:p>
    <w:p w14:paraId="029CA0A0" w14:textId="77777777" w:rsidR="00403282" w:rsidRDefault="00403282"/>
  </w:footnote>
  <w:footnote w:type="continuationNotice" w:id="1">
    <w:p w14:paraId="760AF7F7" w14:textId="77777777" w:rsidR="00403282" w:rsidRDefault="004032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403282"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403282" w:rsidRPr="00A06225" w:rsidRDefault="00403282">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403282" w:rsidRPr="00A06225" w:rsidRDefault="00403282"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403282" w:rsidRPr="00A06225" w:rsidRDefault="00403282">
          <w:pPr>
            <w:pStyle w:val="Header"/>
            <w:spacing w:line="276" w:lineRule="auto"/>
            <w:rPr>
              <w:rFonts w:ascii="Cambria" w:eastAsia="MS Gothic" w:hAnsi="Cambria"/>
              <w:b/>
              <w:bCs/>
              <w:color w:val="4F81BD"/>
            </w:rPr>
          </w:pPr>
        </w:p>
      </w:tc>
    </w:tr>
    <w:tr w:rsidR="00403282"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403282" w:rsidRPr="00A06225" w:rsidRDefault="00403282">
          <w:pPr>
            <w:pStyle w:val="Header"/>
            <w:spacing w:line="276" w:lineRule="auto"/>
            <w:rPr>
              <w:rFonts w:ascii="Cambria" w:eastAsia="MS Gothic" w:hAnsi="Cambria"/>
              <w:b/>
              <w:bCs/>
              <w:color w:val="4F81BD"/>
            </w:rPr>
          </w:pPr>
        </w:p>
      </w:tc>
      <w:tc>
        <w:tcPr>
          <w:tcW w:w="0" w:type="auto"/>
          <w:vMerge/>
          <w:vAlign w:val="center"/>
          <w:hideMark/>
        </w:tcPr>
        <w:p w14:paraId="00B70FF1" w14:textId="77777777" w:rsidR="00403282" w:rsidRPr="00A06225" w:rsidRDefault="00403282">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403282" w:rsidRPr="00A06225" w:rsidRDefault="00403282">
          <w:pPr>
            <w:pStyle w:val="Header"/>
            <w:spacing w:line="276" w:lineRule="auto"/>
            <w:rPr>
              <w:rFonts w:ascii="Cambria" w:eastAsia="MS Gothic" w:hAnsi="Cambria"/>
              <w:b/>
              <w:bCs/>
              <w:color w:val="4F81BD"/>
            </w:rPr>
          </w:pPr>
        </w:p>
      </w:tc>
    </w:tr>
  </w:tbl>
  <w:p w14:paraId="7DCC695F" w14:textId="77777777" w:rsidR="00403282" w:rsidRDefault="00403282">
    <w:pPr>
      <w:pStyle w:val="Header"/>
    </w:pPr>
  </w:p>
  <w:p w14:paraId="25F34A60" w14:textId="77777777" w:rsidR="00403282" w:rsidRDefault="004032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1B9F5" w14:textId="772E32F0" w:rsidR="00403282" w:rsidRPr="00AA268E" w:rsidRDefault="009520B3" w:rsidP="005D0C24">
    <w:pPr>
      <w:pStyle w:val="NoSpacing"/>
      <w:jc w:val="center"/>
      <w:rPr>
        <w:rFonts w:asciiTheme="minorHAnsi" w:hAnsiTheme="minorHAnsi" w:cstheme="minorHAnsi"/>
        <w:i/>
        <w:sz w:val="24"/>
        <w:szCs w:val="24"/>
      </w:rPr>
    </w:pPr>
    <w:r w:rsidRPr="00AA268E">
      <w:rPr>
        <w:rFonts w:asciiTheme="minorHAnsi" w:hAnsiTheme="minorHAnsi" w:cstheme="minorHAnsi"/>
        <w:i/>
        <w:sz w:val="24"/>
        <w:szCs w:val="24"/>
      </w:rPr>
      <w:t xml:space="preserve">Public Summary Document </w:t>
    </w:r>
    <w:r w:rsidR="00F7309C" w:rsidRPr="00AA268E">
      <w:rPr>
        <w:rFonts w:asciiTheme="minorHAnsi" w:hAnsiTheme="minorHAnsi" w:cstheme="minorHAnsi"/>
        <w:i/>
        <w:sz w:val="24"/>
        <w:szCs w:val="24"/>
      </w:rPr>
      <w:t>– November</w:t>
    </w:r>
    <w:r w:rsidR="005D0C24" w:rsidRPr="00AA268E">
      <w:rPr>
        <w:rFonts w:asciiTheme="minorHAnsi" w:hAnsiTheme="minorHAnsi" w:cstheme="minorHAnsi"/>
        <w:i/>
        <w:sz w:val="24"/>
        <w:szCs w:val="24"/>
      </w:rPr>
      <w:t xml:space="preserve"> 2021 PBAC Meeting</w:t>
    </w:r>
  </w:p>
  <w:p w14:paraId="6E36D60E" w14:textId="77777777" w:rsidR="005D0C24" w:rsidRDefault="005D0C24" w:rsidP="00A128E6">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1440"/>
        </w:tabs>
        <w:ind w:left="144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2506374"/>
    <w:multiLevelType w:val="hybridMultilevel"/>
    <w:tmpl w:val="2AAA25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477D83"/>
    <w:multiLevelType w:val="hybridMultilevel"/>
    <w:tmpl w:val="A08E0F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D2B62A6"/>
    <w:multiLevelType w:val="hybridMultilevel"/>
    <w:tmpl w:val="0AE2D5EC"/>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6"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784D033C"/>
    <w:multiLevelType w:val="multilevel"/>
    <w:tmpl w:val="1CAC54A6"/>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7E537B19"/>
    <w:multiLevelType w:val="hybridMultilevel"/>
    <w:tmpl w:val="4E5EBFD8"/>
    <w:lvl w:ilvl="0" w:tplc="4B2ADFF8">
      <w:start w:val="1"/>
      <w:numFmt w:val="upperLetter"/>
      <w:lvlText w:val="%1."/>
      <w:lvlJc w:val="left"/>
      <w:pPr>
        <w:ind w:left="360" w:hanging="360"/>
      </w:pPr>
      <w:rPr>
        <w:rFonts w:eastAsiaTheme="minorHAnsi" w:hint="default"/>
        <w:i w:val="0"/>
        <w:iCs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7"/>
  </w:num>
  <w:num w:numId="2">
    <w:abstractNumId w:val="0"/>
  </w:num>
  <w:num w:numId="3">
    <w:abstractNumId w:val="6"/>
  </w:num>
  <w:num w:numId="4">
    <w:abstractNumId w:val="5"/>
  </w:num>
  <w:num w:numId="5">
    <w:abstractNumId w:val="1"/>
  </w:num>
  <w:num w:numId="6">
    <w:abstractNumId w:val="3"/>
  </w:num>
  <w:num w:numId="7">
    <w:abstractNumId w:val="8"/>
  </w:num>
  <w:num w:numId="8">
    <w:abstractNumId w:val="7"/>
  </w:num>
  <w:num w:numId="9">
    <w:abstractNumId w:val="7"/>
  </w:num>
  <w:num w:numId="10">
    <w:abstractNumId w:val="4"/>
  </w:num>
  <w:num w:numId="11">
    <w:abstractNumId w:val="7"/>
    <w:lvlOverride w:ilvl="0">
      <w:startOverride w:val="6"/>
    </w:lvlOverride>
    <w:lvlOverride w:ilvl="1">
      <w:startOverride w:val="3"/>
    </w:lvlOverride>
  </w:num>
  <w:num w:numId="12">
    <w:abstractNumId w:val="7"/>
  </w:num>
  <w:num w:numId="13">
    <w:abstractNumId w:val="2"/>
  </w:num>
  <w:num w:numId="14">
    <w:abstractNumId w:val="7"/>
  </w:num>
  <w:num w:numId="1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07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1663"/>
    <w:rsid w:val="000025AD"/>
    <w:rsid w:val="0000335D"/>
    <w:rsid w:val="00003C2A"/>
    <w:rsid w:val="00006782"/>
    <w:rsid w:val="00006E08"/>
    <w:rsid w:val="00011A3C"/>
    <w:rsid w:val="00011A59"/>
    <w:rsid w:val="00013B6D"/>
    <w:rsid w:val="00014D69"/>
    <w:rsid w:val="00015878"/>
    <w:rsid w:val="00016A41"/>
    <w:rsid w:val="0002000D"/>
    <w:rsid w:val="00021057"/>
    <w:rsid w:val="000214D1"/>
    <w:rsid w:val="0002464A"/>
    <w:rsid w:val="00025A04"/>
    <w:rsid w:val="00025F56"/>
    <w:rsid w:val="0002693D"/>
    <w:rsid w:val="0003050E"/>
    <w:rsid w:val="0003106B"/>
    <w:rsid w:val="00034905"/>
    <w:rsid w:val="000421A1"/>
    <w:rsid w:val="0004240E"/>
    <w:rsid w:val="00044EC4"/>
    <w:rsid w:val="00045E26"/>
    <w:rsid w:val="000514B5"/>
    <w:rsid w:val="0005319F"/>
    <w:rsid w:val="0005322E"/>
    <w:rsid w:val="00053BCC"/>
    <w:rsid w:val="00054E2B"/>
    <w:rsid w:val="00056D2F"/>
    <w:rsid w:val="00060E64"/>
    <w:rsid w:val="00062E88"/>
    <w:rsid w:val="00066193"/>
    <w:rsid w:val="00066755"/>
    <w:rsid w:val="00071A5B"/>
    <w:rsid w:val="00072730"/>
    <w:rsid w:val="0007337F"/>
    <w:rsid w:val="00074320"/>
    <w:rsid w:val="000763D5"/>
    <w:rsid w:val="00076C38"/>
    <w:rsid w:val="00077143"/>
    <w:rsid w:val="00077DF7"/>
    <w:rsid w:val="0008050C"/>
    <w:rsid w:val="00082169"/>
    <w:rsid w:val="00082B45"/>
    <w:rsid w:val="000834BE"/>
    <w:rsid w:val="00083F01"/>
    <w:rsid w:val="00087C4C"/>
    <w:rsid w:val="000918CB"/>
    <w:rsid w:val="00091B06"/>
    <w:rsid w:val="000951C4"/>
    <w:rsid w:val="00095ADA"/>
    <w:rsid w:val="000969AD"/>
    <w:rsid w:val="000975FB"/>
    <w:rsid w:val="000A02F8"/>
    <w:rsid w:val="000A1870"/>
    <w:rsid w:val="000A377A"/>
    <w:rsid w:val="000A3AA2"/>
    <w:rsid w:val="000A3CB2"/>
    <w:rsid w:val="000A44B2"/>
    <w:rsid w:val="000A52F6"/>
    <w:rsid w:val="000A7A9F"/>
    <w:rsid w:val="000B1817"/>
    <w:rsid w:val="000B213E"/>
    <w:rsid w:val="000B2EB7"/>
    <w:rsid w:val="000B44C3"/>
    <w:rsid w:val="000B4E93"/>
    <w:rsid w:val="000B558D"/>
    <w:rsid w:val="000B5A89"/>
    <w:rsid w:val="000B65F6"/>
    <w:rsid w:val="000B7767"/>
    <w:rsid w:val="000C40A7"/>
    <w:rsid w:val="000C5F95"/>
    <w:rsid w:val="000C6996"/>
    <w:rsid w:val="000C6F5D"/>
    <w:rsid w:val="000C7C46"/>
    <w:rsid w:val="000D09E9"/>
    <w:rsid w:val="000D113F"/>
    <w:rsid w:val="000D23BA"/>
    <w:rsid w:val="000E12C9"/>
    <w:rsid w:val="000E19B7"/>
    <w:rsid w:val="000E1F80"/>
    <w:rsid w:val="000E20FC"/>
    <w:rsid w:val="000E3DFB"/>
    <w:rsid w:val="000E4451"/>
    <w:rsid w:val="000E47E5"/>
    <w:rsid w:val="000E5EA1"/>
    <w:rsid w:val="000E681E"/>
    <w:rsid w:val="000E7E52"/>
    <w:rsid w:val="000F0003"/>
    <w:rsid w:val="000F02D4"/>
    <w:rsid w:val="000F3384"/>
    <w:rsid w:val="000F368E"/>
    <w:rsid w:val="000F4E6A"/>
    <w:rsid w:val="000F7354"/>
    <w:rsid w:val="001007FE"/>
    <w:rsid w:val="001012A9"/>
    <w:rsid w:val="00101ABE"/>
    <w:rsid w:val="00102202"/>
    <w:rsid w:val="001022DD"/>
    <w:rsid w:val="00102700"/>
    <w:rsid w:val="00102A78"/>
    <w:rsid w:val="00103118"/>
    <w:rsid w:val="00104227"/>
    <w:rsid w:val="00104367"/>
    <w:rsid w:val="001104F5"/>
    <w:rsid w:val="001107BF"/>
    <w:rsid w:val="001124E9"/>
    <w:rsid w:val="00113649"/>
    <w:rsid w:val="00113D5C"/>
    <w:rsid w:val="00122B3C"/>
    <w:rsid w:val="00122CDC"/>
    <w:rsid w:val="0012417C"/>
    <w:rsid w:val="00124BF2"/>
    <w:rsid w:val="0012597F"/>
    <w:rsid w:val="0012749D"/>
    <w:rsid w:val="001306A5"/>
    <w:rsid w:val="00130918"/>
    <w:rsid w:val="001311AE"/>
    <w:rsid w:val="0013354F"/>
    <w:rsid w:val="00140B74"/>
    <w:rsid w:val="00140D94"/>
    <w:rsid w:val="00142395"/>
    <w:rsid w:val="00142714"/>
    <w:rsid w:val="00144166"/>
    <w:rsid w:val="00144D09"/>
    <w:rsid w:val="001452ED"/>
    <w:rsid w:val="00147D84"/>
    <w:rsid w:val="00151975"/>
    <w:rsid w:val="001548E0"/>
    <w:rsid w:val="001549C1"/>
    <w:rsid w:val="00156C8D"/>
    <w:rsid w:val="00160F4D"/>
    <w:rsid w:val="00162BDD"/>
    <w:rsid w:val="00162D4E"/>
    <w:rsid w:val="00163329"/>
    <w:rsid w:val="001633E0"/>
    <w:rsid w:val="00164623"/>
    <w:rsid w:val="001652DE"/>
    <w:rsid w:val="00165B64"/>
    <w:rsid w:val="00167C39"/>
    <w:rsid w:val="00171542"/>
    <w:rsid w:val="00172028"/>
    <w:rsid w:val="00173934"/>
    <w:rsid w:val="00176B9D"/>
    <w:rsid w:val="00180713"/>
    <w:rsid w:val="00180720"/>
    <w:rsid w:val="00180C61"/>
    <w:rsid w:val="001830CE"/>
    <w:rsid w:val="001836E3"/>
    <w:rsid w:val="00185C13"/>
    <w:rsid w:val="0018643B"/>
    <w:rsid w:val="00192D68"/>
    <w:rsid w:val="00196307"/>
    <w:rsid w:val="00196E15"/>
    <w:rsid w:val="00197F03"/>
    <w:rsid w:val="001A0D10"/>
    <w:rsid w:val="001A33EA"/>
    <w:rsid w:val="001A4413"/>
    <w:rsid w:val="001A4C4F"/>
    <w:rsid w:val="001A5A2B"/>
    <w:rsid w:val="001A76FB"/>
    <w:rsid w:val="001B017F"/>
    <w:rsid w:val="001B0397"/>
    <w:rsid w:val="001B0B79"/>
    <w:rsid w:val="001B2BBC"/>
    <w:rsid w:val="001B2BCD"/>
    <w:rsid w:val="001B3A40"/>
    <w:rsid w:val="001B3FFE"/>
    <w:rsid w:val="001B470C"/>
    <w:rsid w:val="001B5129"/>
    <w:rsid w:val="001C0B4C"/>
    <w:rsid w:val="001C0EC4"/>
    <w:rsid w:val="001C1195"/>
    <w:rsid w:val="001C12AE"/>
    <w:rsid w:val="001C1E84"/>
    <w:rsid w:val="001C2E42"/>
    <w:rsid w:val="001D1F5F"/>
    <w:rsid w:val="001D466B"/>
    <w:rsid w:val="001E06D2"/>
    <w:rsid w:val="001E17C4"/>
    <w:rsid w:val="001E528A"/>
    <w:rsid w:val="001E5E82"/>
    <w:rsid w:val="001E6D4C"/>
    <w:rsid w:val="001F005B"/>
    <w:rsid w:val="001F1850"/>
    <w:rsid w:val="001F1FBF"/>
    <w:rsid w:val="001F2B80"/>
    <w:rsid w:val="001F2F1C"/>
    <w:rsid w:val="001F3189"/>
    <w:rsid w:val="001F6F7D"/>
    <w:rsid w:val="00201FB8"/>
    <w:rsid w:val="00203FAC"/>
    <w:rsid w:val="00211810"/>
    <w:rsid w:val="00213CFB"/>
    <w:rsid w:val="0021553C"/>
    <w:rsid w:val="0021557B"/>
    <w:rsid w:val="00216B87"/>
    <w:rsid w:val="002173B2"/>
    <w:rsid w:val="002174FD"/>
    <w:rsid w:val="00217BE1"/>
    <w:rsid w:val="002214B9"/>
    <w:rsid w:val="00223370"/>
    <w:rsid w:val="00230F63"/>
    <w:rsid w:val="00234252"/>
    <w:rsid w:val="0023466E"/>
    <w:rsid w:val="00234C47"/>
    <w:rsid w:val="00237AC6"/>
    <w:rsid w:val="00243A8D"/>
    <w:rsid w:val="00244139"/>
    <w:rsid w:val="00244490"/>
    <w:rsid w:val="00245B9C"/>
    <w:rsid w:val="002476AE"/>
    <w:rsid w:val="00252BD1"/>
    <w:rsid w:val="00253143"/>
    <w:rsid w:val="00253307"/>
    <w:rsid w:val="00253499"/>
    <w:rsid w:val="002551A4"/>
    <w:rsid w:val="00257664"/>
    <w:rsid w:val="00260165"/>
    <w:rsid w:val="00261546"/>
    <w:rsid w:val="00263E53"/>
    <w:rsid w:val="00265151"/>
    <w:rsid w:val="00265C2C"/>
    <w:rsid w:val="00266509"/>
    <w:rsid w:val="002713C1"/>
    <w:rsid w:val="00271BA1"/>
    <w:rsid w:val="00273AC5"/>
    <w:rsid w:val="00274253"/>
    <w:rsid w:val="00275394"/>
    <w:rsid w:val="002762FA"/>
    <w:rsid w:val="00277505"/>
    <w:rsid w:val="0028158C"/>
    <w:rsid w:val="002823B6"/>
    <w:rsid w:val="002877EA"/>
    <w:rsid w:val="00290C03"/>
    <w:rsid w:val="00292DD7"/>
    <w:rsid w:val="00294274"/>
    <w:rsid w:val="0029458F"/>
    <w:rsid w:val="002A018F"/>
    <w:rsid w:val="002A0E04"/>
    <w:rsid w:val="002A104C"/>
    <w:rsid w:val="002A1EF7"/>
    <w:rsid w:val="002A494D"/>
    <w:rsid w:val="002A4960"/>
    <w:rsid w:val="002A636A"/>
    <w:rsid w:val="002B0AE0"/>
    <w:rsid w:val="002B1AE6"/>
    <w:rsid w:val="002B1C4C"/>
    <w:rsid w:val="002B1D51"/>
    <w:rsid w:val="002B2523"/>
    <w:rsid w:val="002B2DE8"/>
    <w:rsid w:val="002B30F8"/>
    <w:rsid w:val="002B388A"/>
    <w:rsid w:val="002B3C1A"/>
    <w:rsid w:val="002B5596"/>
    <w:rsid w:val="002B77D7"/>
    <w:rsid w:val="002C212F"/>
    <w:rsid w:val="002C2F35"/>
    <w:rsid w:val="002C3224"/>
    <w:rsid w:val="002C6AA9"/>
    <w:rsid w:val="002C701C"/>
    <w:rsid w:val="002C7485"/>
    <w:rsid w:val="002D2641"/>
    <w:rsid w:val="002D283A"/>
    <w:rsid w:val="002D4543"/>
    <w:rsid w:val="002E2C02"/>
    <w:rsid w:val="002E3153"/>
    <w:rsid w:val="002E4A02"/>
    <w:rsid w:val="002E5292"/>
    <w:rsid w:val="002E66FA"/>
    <w:rsid w:val="002E72CA"/>
    <w:rsid w:val="002F170B"/>
    <w:rsid w:val="002F1D07"/>
    <w:rsid w:val="002F306B"/>
    <w:rsid w:val="002F600D"/>
    <w:rsid w:val="002F6F0F"/>
    <w:rsid w:val="002F7E47"/>
    <w:rsid w:val="00300AD6"/>
    <w:rsid w:val="00300B1B"/>
    <w:rsid w:val="003019D0"/>
    <w:rsid w:val="003024BD"/>
    <w:rsid w:val="00303745"/>
    <w:rsid w:val="00305166"/>
    <w:rsid w:val="003064AF"/>
    <w:rsid w:val="00307DC6"/>
    <w:rsid w:val="00310A8B"/>
    <w:rsid w:val="00310B68"/>
    <w:rsid w:val="003160D2"/>
    <w:rsid w:val="003173FC"/>
    <w:rsid w:val="00317C6C"/>
    <w:rsid w:val="00320B80"/>
    <w:rsid w:val="00320CD3"/>
    <w:rsid w:val="00326E79"/>
    <w:rsid w:val="0032748A"/>
    <w:rsid w:val="003301B1"/>
    <w:rsid w:val="00331189"/>
    <w:rsid w:val="0033263D"/>
    <w:rsid w:val="00334E69"/>
    <w:rsid w:val="0033518A"/>
    <w:rsid w:val="00335535"/>
    <w:rsid w:val="00336410"/>
    <w:rsid w:val="003367EF"/>
    <w:rsid w:val="00341AE4"/>
    <w:rsid w:val="0034298E"/>
    <w:rsid w:val="00343D2F"/>
    <w:rsid w:val="003476EE"/>
    <w:rsid w:val="003541DD"/>
    <w:rsid w:val="00356E5B"/>
    <w:rsid w:val="00357741"/>
    <w:rsid w:val="00360197"/>
    <w:rsid w:val="003612D5"/>
    <w:rsid w:val="003613BB"/>
    <w:rsid w:val="00366C1D"/>
    <w:rsid w:val="003736C9"/>
    <w:rsid w:val="0037383D"/>
    <w:rsid w:val="00380E57"/>
    <w:rsid w:val="00381435"/>
    <w:rsid w:val="00381AFB"/>
    <w:rsid w:val="003830AA"/>
    <w:rsid w:val="00383B77"/>
    <w:rsid w:val="00384988"/>
    <w:rsid w:val="003872CF"/>
    <w:rsid w:val="00395543"/>
    <w:rsid w:val="0039782C"/>
    <w:rsid w:val="003A13A6"/>
    <w:rsid w:val="003A2165"/>
    <w:rsid w:val="003A3AF3"/>
    <w:rsid w:val="003A5B4A"/>
    <w:rsid w:val="003A5D95"/>
    <w:rsid w:val="003B0240"/>
    <w:rsid w:val="003B0D3A"/>
    <w:rsid w:val="003B2302"/>
    <w:rsid w:val="003B23C5"/>
    <w:rsid w:val="003B2A75"/>
    <w:rsid w:val="003B2E64"/>
    <w:rsid w:val="003B379B"/>
    <w:rsid w:val="003B49B2"/>
    <w:rsid w:val="003B6124"/>
    <w:rsid w:val="003B66BD"/>
    <w:rsid w:val="003B70C9"/>
    <w:rsid w:val="003B7960"/>
    <w:rsid w:val="003C0908"/>
    <w:rsid w:val="003C093A"/>
    <w:rsid w:val="003C1ECF"/>
    <w:rsid w:val="003C2FB5"/>
    <w:rsid w:val="003D04FF"/>
    <w:rsid w:val="003D0561"/>
    <w:rsid w:val="003D0878"/>
    <w:rsid w:val="003D24C5"/>
    <w:rsid w:val="003D4594"/>
    <w:rsid w:val="003D4AC4"/>
    <w:rsid w:val="003D63B7"/>
    <w:rsid w:val="003D74C5"/>
    <w:rsid w:val="003E4374"/>
    <w:rsid w:val="003E468B"/>
    <w:rsid w:val="003E62BD"/>
    <w:rsid w:val="003F044F"/>
    <w:rsid w:val="003F0C3A"/>
    <w:rsid w:val="003F1576"/>
    <w:rsid w:val="003F15F0"/>
    <w:rsid w:val="003F3228"/>
    <w:rsid w:val="003F5C8C"/>
    <w:rsid w:val="003F63CE"/>
    <w:rsid w:val="003F775A"/>
    <w:rsid w:val="004001DF"/>
    <w:rsid w:val="00400E55"/>
    <w:rsid w:val="0040128E"/>
    <w:rsid w:val="0040216B"/>
    <w:rsid w:val="00403282"/>
    <w:rsid w:val="004039D7"/>
    <w:rsid w:val="0040590E"/>
    <w:rsid w:val="0040729E"/>
    <w:rsid w:val="004131E3"/>
    <w:rsid w:val="00414F0C"/>
    <w:rsid w:val="00420400"/>
    <w:rsid w:val="004252EC"/>
    <w:rsid w:val="00425985"/>
    <w:rsid w:val="00427899"/>
    <w:rsid w:val="00430D39"/>
    <w:rsid w:val="00431372"/>
    <w:rsid w:val="00436BEB"/>
    <w:rsid w:val="00437903"/>
    <w:rsid w:val="00442474"/>
    <w:rsid w:val="00442C91"/>
    <w:rsid w:val="004465BD"/>
    <w:rsid w:val="00446938"/>
    <w:rsid w:val="004528FA"/>
    <w:rsid w:val="00461A44"/>
    <w:rsid w:val="00462D26"/>
    <w:rsid w:val="0046385A"/>
    <w:rsid w:val="00463E46"/>
    <w:rsid w:val="00464039"/>
    <w:rsid w:val="00466ADA"/>
    <w:rsid w:val="004676FB"/>
    <w:rsid w:val="004702BB"/>
    <w:rsid w:val="004736AF"/>
    <w:rsid w:val="0047494B"/>
    <w:rsid w:val="00476245"/>
    <w:rsid w:val="00476C32"/>
    <w:rsid w:val="00477A9B"/>
    <w:rsid w:val="00483035"/>
    <w:rsid w:val="00485415"/>
    <w:rsid w:val="00485940"/>
    <w:rsid w:val="00486C95"/>
    <w:rsid w:val="004877C2"/>
    <w:rsid w:val="004904B9"/>
    <w:rsid w:val="00492503"/>
    <w:rsid w:val="00496662"/>
    <w:rsid w:val="004A0DC0"/>
    <w:rsid w:val="004A1431"/>
    <w:rsid w:val="004A2484"/>
    <w:rsid w:val="004A5A85"/>
    <w:rsid w:val="004A71D1"/>
    <w:rsid w:val="004A7C5B"/>
    <w:rsid w:val="004B1845"/>
    <w:rsid w:val="004B2348"/>
    <w:rsid w:val="004B2E01"/>
    <w:rsid w:val="004B2E98"/>
    <w:rsid w:val="004B546B"/>
    <w:rsid w:val="004B5640"/>
    <w:rsid w:val="004B6084"/>
    <w:rsid w:val="004BCF29"/>
    <w:rsid w:val="004C0206"/>
    <w:rsid w:val="004C03D0"/>
    <w:rsid w:val="004C1BD7"/>
    <w:rsid w:val="004C1E2B"/>
    <w:rsid w:val="004C239C"/>
    <w:rsid w:val="004C31FE"/>
    <w:rsid w:val="004C524C"/>
    <w:rsid w:val="004C5FFA"/>
    <w:rsid w:val="004C618F"/>
    <w:rsid w:val="004C691D"/>
    <w:rsid w:val="004C6C07"/>
    <w:rsid w:val="004C7E15"/>
    <w:rsid w:val="004D2CD1"/>
    <w:rsid w:val="004D4FF6"/>
    <w:rsid w:val="004D5ADD"/>
    <w:rsid w:val="004E10CB"/>
    <w:rsid w:val="004E692D"/>
    <w:rsid w:val="004E7230"/>
    <w:rsid w:val="004E7D87"/>
    <w:rsid w:val="004F246E"/>
    <w:rsid w:val="004F2553"/>
    <w:rsid w:val="004F306A"/>
    <w:rsid w:val="00501554"/>
    <w:rsid w:val="00502AFE"/>
    <w:rsid w:val="00502E64"/>
    <w:rsid w:val="005037D9"/>
    <w:rsid w:val="00503AD7"/>
    <w:rsid w:val="00503E89"/>
    <w:rsid w:val="00504E0C"/>
    <w:rsid w:val="00504E13"/>
    <w:rsid w:val="005109D4"/>
    <w:rsid w:val="00514CD7"/>
    <w:rsid w:val="005167EC"/>
    <w:rsid w:val="005170DA"/>
    <w:rsid w:val="00520D6A"/>
    <w:rsid w:val="005212E4"/>
    <w:rsid w:val="00522600"/>
    <w:rsid w:val="00522DB6"/>
    <w:rsid w:val="005264A7"/>
    <w:rsid w:val="0052792D"/>
    <w:rsid w:val="00530239"/>
    <w:rsid w:val="005319B2"/>
    <w:rsid w:val="00532402"/>
    <w:rsid w:val="00532C74"/>
    <w:rsid w:val="00534E2E"/>
    <w:rsid w:val="00535133"/>
    <w:rsid w:val="00535B84"/>
    <w:rsid w:val="0054064C"/>
    <w:rsid w:val="00542F2E"/>
    <w:rsid w:val="00544552"/>
    <w:rsid w:val="00545130"/>
    <w:rsid w:val="00545E6B"/>
    <w:rsid w:val="0055286A"/>
    <w:rsid w:val="00555745"/>
    <w:rsid w:val="00557D4F"/>
    <w:rsid w:val="0056122E"/>
    <w:rsid w:val="0056484E"/>
    <w:rsid w:val="005651F6"/>
    <w:rsid w:val="00567D8A"/>
    <w:rsid w:val="005709C0"/>
    <w:rsid w:val="005764CD"/>
    <w:rsid w:val="00577C4D"/>
    <w:rsid w:val="00580532"/>
    <w:rsid w:val="00581932"/>
    <w:rsid w:val="00582814"/>
    <w:rsid w:val="00584DF1"/>
    <w:rsid w:val="005963BB"/>
    <w:rsid w:val="005A15D2"/>
    <w:rsid w:val="005A173B"/>
    <w:rsid w:val="005A3173"/>
    <w:rsid w:val="005A3223"/>
    <w:rsid w:val="005A3DA3"/>
    <w:rsid w:val="005A52C4"/>
    <w:rsid w:val="005A63A1"/>
    <w:rsid w:val="005B0106"/>
    <w:rsid w:val="005B1473"/>
    <w:rsid w:val="005C4F73"/>
    <w:rsid w:val="005C6EE7"/>
    <w:rsid w:val="005D03AB"/>
    <w:rsid w:val="005D0C24"/>
    <w:rsid w:val="005D3215"/>
    <w:rsid w:val="005D371B"/>
    <w:rsid w:val="005D3D36"/>
    <w:rsid w:val="005D401D"/>
    <w:rsid w:val="005D5017"/>
    <w:rsid w:val="005D5479"/>
    <w:rsid w:val="005D63FA"/>
    <w:rsid w:val="005D73C7"/>
    <w:rsid w:val="005E0C2D"/>
    <w:rsid w:val="005E0D82"/>
    <w:rsid w:val="005E0F59"/>
    <w:rsid w:val="005E1333"/>
    <w:rsid w:val="005E3136"/>
    <w:rsid w:val="005E507D"/>
    <w:rsid w:val="005E6E72"/>
    <w:rsid w:val="005F0AD0"/>
    <w:rsid w:val="005F5311"/>
    <w:rsid w:val="005F6DF7"/>
    <w:rsid w:val="00600AD6"/>
    <w:rsid w:val="00601637"/>
    <w:rsid w:val="00601A91"/>
    <w:rsid w:val="006027BA"/>
    <w:rsid w:val="00602BA3"/>
    <w:rsid w:val="00605B63"/>
    <w:rsid w:val="00605F9A"/>
    <w:rsid w:val="00606442"/>
    <w:rsid w:val="00606EED"/>
    <w:rsid w:val="00612A95"/>
    <w:rsid w:val="00612E34"/>
    <w:rsid w:val="00614159"/>
    <w:rsid w:val="006158A3"/>
    <w:rsid w:val="00616C5F"/>
    <w:rsid w:val="00616DAC"/>
    <w:rsid w:val="00617725"/>
    <w:rsid w:val="00617C00"/>
    <w:rsid w:val="006263BF"/>
    <w:rsid w:val="0062695A"/>
    <w:rsid w:val="006272C0"/>
    <w:rsid w:val="0062748A"/>
    <w:rsid w:val="00630546"/>
    <w:rsid w:val="00630A2C"/>
    <w:rsid w:val="0063682E"/>
    <w:rsid w:val="006373D4"/>
    <w:rsid w:val="00640088"/>
    <w:rsid w:val="00642672"/>
    <w:rsid w:val="00642DA8"/>
    <w:rsid w:val="006436CD"/>
    <w:rsid w:val="0064569A"/>
    <w:rsid w:val="00651169"/>
    <w:rsid w:val="00653D69"/>
    <w:rsid w:val="00654EEF"/>
    <w:rsid w:val="006552E6"/>
    <w:rsid w:val="00655794"/>
    <w:rsid w:val="00656F2F"/>
    <w:rsid w:val="00657C63"/>
    <w:rsid w:val="00660ABB"/>
    <w:rsid w:val="00661CBC"/>
    <w:rsid w:val="00662B85"/>
    <w:rsid w:val="00664866"/>
    <w:rsid w:val="006670BE"/>
    <w:rsid w:val="00670A76"/>
    <w:rsid w:val="006711AA"/>
    <w:rsid w:val="00672B57"/>
    <w:rsid w:val="00673F1F"/>
    <w:rsid w:val="006749A1"/>
    <w:rsid w:val="00675622"/>
    <w:rsid w:val="0067747D"/>
    <w:rsid w:val="006818D5"/>
    <w:rsid w:val="00681CA4"/>
    <w:rsid w:val="0069039D"/>
    <w:rsid w:val="006906DB"/>
    <w:rsid w:val="00691900"/>
    <w:rsid w:val="00691E6C"/>
    <w:rsid w:val="006927C9"/>
    <w:rsid w:val="0069342D"/>
    <w:rsid w:val="00693DFB"/>
    <w:rsid w:val="00694FD5"/>
    <w:rsid w:val="0069501D"/>
    <w:rsid w:val="00696129"/>
    <w:rsid w:val="00697CF2"/>
    <w:rsid w:val="006A0101"/>
    <w:rsid w:val="006A12A5"/>
    <w:rsid w:val="006A2515"/>
    <w:rsid w:val="006A5E20"/>
    <w:rsid w:val="006A6828"/>
    <w:rsid w:val="006A79B6"/>
    <w:rsid w:val="006B0D94"/>
    <w:rsid w:val="006B485D"/>
    <w:rsid w:val="006B67A9"/>
    <w:rsid w:val="006C0C45"/>
    <w:rsid w:val="006C3284"/>
    <w:rsid w:val="006C334C"/>
    <w:rsid w:val="006C6C10"/>
    <w:rsid w:val="006C708E"/>
    <w:rsid w:val="006D1081"/>
    <w:rsid w:val="006D14E7"/>
    <w:rsid w:val="006D4444"/>
    <w:rsid w:val="006D6493"/>
    <w:rsid w:val="006D6EC7"/>
    <w:rsid w:val="006E1BCD"/>
    <w:rsid w:val="006E1DC7"/>
    <w:rsid w:val="006E2732"/>
    <w:rsid w:val="006E4ABB"/>
    <w:rsid w:val="006E4BB2"/>
    <w:rsid w:val="006E59CD"/>
    <w:rsid w:val="006E7F44"/>
    <w:rsid w:val="006F0A33"/>
    <w:rsid w:val="006F0A71"/>
    <w:rsid w:val="006F1C6B"/>
    <w:rsid w:val="006F40C2"/>
    <w:rsid w:val="006F4BB5"/>
    <w:rsid w:val="006F5125"/>
    <w:rsid w:val="006F733D"/>
    <w:rsid w:val="00700765"/>
    <w:rsid w:val="007025EF"/>
    <w:rsid w:val="00702959"/>
    <w:rsid w:val="00702B6F"/>
    <w:rsid w:val="00704069"/>
    <w:rsid w:val="00706A2F"/>
    <w:rsid w:val="0070718E"/>
    <w:rsid w:val="00707E52"/>
    <w:rsid w:val="00710259"/>
    <w:rsid w:val="007102C8"/>
    <w:rsid w:val="0071031F"/>
    <w:rsid w:val="0071340B"/>
    <w:rsid w:val="0071436D"/>
    <w:rsid w:val="00715398"/>
    <w:rsid w:val="00715BBB"/>
    <w:rsid w:val="007174BB"/>
    <w:rsid w:val="0072025D"/>
    <w:rsid w:val="00722D4E"/>
    <w:rsid w:val="00723328"/>
    <w:rsid w:val="0073137C"/>
    <w:rsid w:val="007340B9"/>
    <w:rsid w:val="007353D3"/>
    <w:rsid w:val="00736C69"/>
    <w:rsid w:val="00737B57"/>
    <w:rsid w:val="0074156B"/>
    <w:rsid w:val="00741619"/>
    <w:rsid w:val="00747092"/>
    <w:rsid w:val="007526E6"/>
    <w:rsid w:val="00753B33"/>
    <w:rsid w:val="00754DF9"/>
    <w:rsid w:val="007555E8"/>
    <w:rsid w:val="00755CC5"/>
    <w:rsid w:val="00762268"/>
    <w:rsid w:val="007635ED"/>
    <w:rsid w:val="0076420C"/>
    <w:rsid w:val="0076610B"/>
    <w:rsid w:val="00771D07"/>
    <w:rsid w:val="0077352D"/>
    <w:rsid w:val="00773BE3"/>
    <w:rsid w:val="007743DD"/>
    <w:rsid w:val="00774E2C"/>
    <w:rsid w:val="00774F62"/>
    <w:rsid w:val="0077518D"/>
    <w:rsid w:val="007753C2"/>
    <w:rsid w:val="007838B8"/>
    <w:rsid w:val="00787582"/>
    <w:rsid w:val="00787FD8"/>
    <w:rsid w:val="007915BA"/>
    <w:rsid w:val="00791844"/>
    <w:rsid w:val="007979BD"/>
    <w:rsid w:val="007A0428"/>
    <w:rsid w:val="007A0790"/>
    <w:rsid w:val="007A6A2F"/>
    <w:rsid w:val="007B024E"/>
    <w:rsid w:val="007B0695"/>
    <w:rsid w:val="007B3DDC"/>
    <w:rsid w:val="007B718A"/>
    <w:rsid w:val="007B72A6"/>
    <w:rsid w:val="007C06D2"/>
    <w:rsid w:val="007C08E0"/>
    <w:rsid w:val="007C0F57"/>
    <w:rsid w:val="007C40B6"/>
    <w:rsid w:val="007C729F"/>
    <w:rsid w:val="007D503D"/>
    <w:rsid w:val="007D59E7"/>
    <w:rsid w:val="007D5F2A"/>
    <w:rsid w:val="007D7F66"/>
    <w:rsid w:val="007E13FF"/>
    <w:rsid w:val="007E1D28"/>
    <w:rsid w:val="007E3247"/>
    <w:rsid w:val="007E328F"/>
    <w:rsid w:val="007E490F"/>
    <w:rsid w:val="007F0021"/>
    <w:rsid w:val="007F1F9B"/>
    <w:rsid w:val="007F2641"/>
    <w:rsid w:val="007F5687"/>
    <w:rsid w:val="007F7C36"/>
    <w:rsid w:val="008055AF"/>
    <w:rsid w:val="008057CD"/>
    <w:rsid w:val="00805868"/>
    <w:rsid w:val="00806796"/>
    <w:rsid w:val="00810167"/>
    <w:rsid w:val="00811CC0"/>
    <w:rsid w:val="008151D6"/>
    <w:rsid w:val="008154E2"/>
    <w:rsid w:val="00816E2D"/>
    <w:rsid w:val="00821527"/>
    <w:rsid w:val="00822696"/>
    <w:rsid w:val="00825A6C"/>
    <w:rsid w:val="0082617E"/>
    <w:rsid w:val="008268BB"/>
    <w:rsid w:val="00826F6D"/>
    <w:rsid w:val="008306F3"/>
    <w:rsid w:val="00830E40"/>
    <w:rsid w:val="00832D9A"/>
    <w:rsid w:val="00835C62"/>
    <w:rsid w:val="008368A1"/>
    <w:rsid w:val="00840EF7"/>
    <w:rsid w:val="00843324"/>
    <w:rsid w:val="00844C0A"/>
    <w:rsid w:val="00846056"/>
    <w:rsid w:val="0084681F"/>
    <w:rsid w:val="00847EC0"/>
    <w:rsid w:val="00852076"/>
    <w:rsid w:val="00855FD6"/>
    <w:rsid w:val="00856DDD"/>
    <w:rsid w:val="0085743E"/>
    <w:rsid w:val="00863E68"/>
    <w:rsid w:val="008647B5"/>
    <w:rsid w:val="00867D64"/>
    <w:rsid w:val="00872E8F"/>
    <w:rsid w:val="0087563F"/>
    <w:rsid w:val="00875DCB"/>
    <w:rsid w:val="0087755A"/>
    <w:rsid w:val="00882085"/>
    <w:rsid w:val="00883188"/>
    <w:rsid w:val="00884A0C"/>
    <w:rsid w:val="00886ACA"/>
    <w:rsid w:val="00886BAB"/>
    <w:rsid w:val="0089031E"/>
    <w:rsid w:val="00891674"/>
    <w:rsid w:val="00893A6E"/>
    <w:rsid w:val="0089460B"/>
    <w:rsid w:val="00897D58"/>
    <w:rsid w:val="00897F22"/>
    <w:rsid w:val="008A0B39"/>
    <w:rsid w:val="008A17A3"/>
    <w:rsid w:val="008A1956"/>
    <w:rsid w:val="008A1E85"/>
    <w:rsid w:val="008A2419"/>
    <w:rsid w:val="008A4937"/>
    <w:rsid w:val="008A50F1"/>
    <w:rsid w:val="008A59D9"/>
    <w:rsid w:val="008A643E"/>
    <w:rsid w:val="008A6819"/>
    <w:rsid w:val="008B2EC0"/>
    <w:rsid w:val="008B4E22"/>
    <w:rsid w:val="008B6DCF"/>
    <w:rsid w:val="008C2542"/>
    <w:rsid w:val="008D0945"/>
    <w:rsid w:val="008D1409"/>
    <w:rsid w:val="008D15CC"/>
    <w:rsid w:val="008D1729"/>
    <w:rsid w:val="008D1B5C"/>
    <w:rsid w:val="008D3C82"/>
    <w:rsid w:val="008D447E"/>
    <w:rsid w:val="008D6ACF"/>
    <w:rsid w:val="008D7A41"/>
    <w:rsid w:val="008E2C72"/>
    <w:rsid w:val="008E3680"/>
    <w:rsid w:val="008E5870"/>
    <w:rsid w:val="008E6E90"/>
    <w:rsid w:val="008E77E4"/>
    <w:rsid w:val="008F0213"/>
    <w:rsid w:val="008F07ED"/>
    <w:rsid w:val="008F11F8"/>
    <w:rsid w:val="008F1434"/>
    <w:rsid w:val="008F2182"/>
    <w:rsid w:val="008F2BB9"/>
    <w:rsid w:val="008F3D6A"/>
    <w:rsid w:val="008F54C3"/>
    <w:rsid w:val="008F7355"/>
    <w:rsid w:val="009008A5"/>
    <w:rsid w:val="009023DC"/>
    <w:rsid w:val="009027C5"/>
    <w:rsid w:val="00904413"/>
    <w:rsid w:val="009067B7"/>
    <w:rsid w:val="0090775A"/>
    <w:rsid w:val="00907DFD"/>
    <w:rsid w:val="00911C46"/>
    <w:rsid w:val="00913C99"/>
    <w:rsid w:val="009175CB"/>
    <w:rsid w:val="00917D69"/>
    <w:rsid w:val="00920297"/>
    <w:rsid w:val="00920B6D"/>
    <w:rsid w:val="0092278A"/>
    <w:rsid w:val="0092513A"/>
    <w:rsid w:val="00925331"/>
    <w:rsid w:val="00926560"/>
    <w:rsid w:val="00926B15"/>
    <w:rsid w:val="00930291"/>
    <w:rsid w:val="00930937"/>
    <w:rsid w:val="009324A6"/>
    <w:rsid w:val="00933E6C"/>
    <w:rsid w:val="00935A6E"/>
    <w:rsid w:val="00937958"/>
    <w:rsid w:val="009406E5"/>
    <w:rsid w:val="00941602"/>
    <w:rsid w:val="00942160"/>
    <w:rsid w:val="00945DDC"/>
    <w:rsid w:val="00946921"/>
    <w:rsid w:val="00947343"/>
    <w:rsid w:val="0095146F"/>
    <w:rsid w:val="009520B3"/>
    <w:rsid w:val="00952FB6"/>
    <w:rsid w:val="009534C7"/>
    <w:rsid w:val="00956F21"/>
    <w:rsid w:val="00957944"/>
    <w:rsid w:val="009602C5"/>
    <w:rsid w:val="00962223"/>
    <w:rsid w:val="0096252B"/>
    <w:rsid w:val="00962571"/>
    <w:rsid w:val="00963648"/>
    <w:rsid w:val="00964A9F"/>
    <w:rsid w:val="00966D0D"/>
    <w:rsid w:val="00967732"/>
    <w:rsid w:val="0096783C"/>
    <w:rsid w:val="00971BC2"/>
    <w:rsid w:val="009722B3"/>
    <w:rsid w:val="00973E24"/>
    <w:rsid w:val="00974C21"/>
    <w:rsid w:val="00975948"/>
    <w:rsid w:val="00976146"/>
    <w:rsid w:val="00977BF3"/>
    <w:rsid w:val="009803E4"/>
    <w:rsid w:val="00980B0E"/>
    <w:rsid w:val="00981141"/>
    <w:rsid w:val="00982B39"/>
    <w:rsid w:val="009836A3"/>
    <w:rsid w:val="00984C58"/>
    <w:rsid w:val="009855A8"/>
    <w:rsid w:val="00985D1A"/>
    <w:rsid w:val="00987223"/>
    <w:rsid w:val="009913F4"/>
    <w:rsid w:val="00991782"/>
    <w:rsid w:val="00991927"/>
    <w:rsid w:val="009937F7"/>
    <w:rsid w:val="0099465B"/>
    <w:rsid w:val="009951A1"/>
    <w:rsid w:val="00997A44"/>
    <w:rsid w:val="009A0CDD"/>
    <w:rsid w:val="009A24EE"/>
    <w:rsid w:val="009A3168"/>
    <w:rsid w:val="009A33C8"/>
    <w:rsid w:val="009A4BDF"/>
    <w:rsid w:val="009A5D04"/>
    <w:rsid w:val="009A61CA"/>
    <w:rsid w:val="009B0990"/>
    <w:rsid w:val="009B0BB8"/>
    <w:rsid w:val="009B0C64"/>
    <w:rsid w:val="009B0F67"/>
    <w:rsid w:val="009B2756"/>
    <w:rsid w:val="009B3D31"/>
    <w:rsid w:val="009B3D56"/>
    <w:rsid w:val="009B3F8C"/>
    <w:rsid w:val="009B533B"/>
    <w:rsid w:val="009C04F1"/>
    <w:rsid w:val="009C0C80"/>
    <w:rsid w:val="009C703C"/>
    <w:rsid w:val="009C77FF"/>
    <w:rsid w:val="009D0C29"/>
    <w:rsid w:val="009D206E"/>
    <w:rsid w:val="009D3665"/>
    <w:rsid w:val="009D3CAA"/>
    <w:rsid w:val="009D507A"/>
    <w:rsid w:val="009D6532"/>
    <w:rsid w:val="009D71FD"/>
    <w:rsid w:val="009E10AD"/>
    <w:rsid w:val="009E2588"/>
    <w:rsid w:val="009E2E8E"/>
    <w:rsid w:val="009E40E1"/>
    <w:rsid w:val="009E7EF4"/>
    <w:rsid w:val="009F0EFA"/>
    <w:rsid w:val="009F4E46"/>
    <w:rsid w:val="009F5B65"/>
    <w:rsid w:val="009F5F2E"/>
    <w:rsid w:val="00A01432"/>
    <w:rsid w:val="00A057FD"/>
    <w:rsid w:val="00A06225"/>
    <w:rsid w:val="00A110D1"/>
    <w:rsid w:val="00A117A3"/>
    <w:rsid w:val="00A12587"/>
    <w:rsid w:val="00A128E6"/>
    <w:rsid w:val="00A13A5C"/>
    <w:rsid w:val="00A144D3"/>
    <w:rsid w:val="00A1466C"/>
    <w:rsid w:val="00A16FC5"/>
    <w:rsid w:val="00A20BB8"/>
    <w:rsid w:val="00A22AC3"/>
    <w:rsid w:val="00A23F3F"/>
    <w:rsid w:val="00A24067"/>
    <w:rsid w:val="00A24A4B"/>
    <w:rsid w:val="00A26508"/>
    <w:rsid w:val="00A2744D"/>
    <w:rsid w:val="00A30D16"/>
    <w:rsid w:val="00A3234B"/>
    <w:rsid w:val="00A34E6C"/>
    <w:rsid w:val="00A34FD0"/>
    <w:rsid w:val="00A36398"/>
    <w:rsid w:val="00A37C8D"/>
    <w:rsid w:val="00A4020E"/>
    <w:rsid w:val="00A40449"/>
    <w:rsid w:val="00A408E8"/>
    <w:rsid w:val="00A40FB5"/>
    <w:rsid w:val="00A42717"/>
    <w:rsid w:val="00A42826"/>
    <w:rsid w:val="00A429B3"/>
    <w:rsid w:val="00A44EC1"/>
    <w:rsid w:val="00A478D0"/>
    <w:rsid w:val="00A50154"/>
    <w:rsid w:val="00A510E4"/>
    <w:rsid w:val="00A51EAE"/>
    <w:rsid w:val="00A5273B"/>
    <w:rsid w:val="00A53A9D"/>
    <w:rsid w:val="00A55217"/>
    <w:rsid w:val="00A55FEE"/>
    <w:rsid w:val="00A57422"/>
    <w:rsid w:val="00A603B6"/>
    <w:rsid w:val="00A62C1A"/>
    <w:rsid w:val="00A6426D"/>
    <w:rsid w:val="00A665C1"/>
    <w:rsid w:val="00A673A4"/>
    <w:rsid w:val="00A7001A"/>
    <w:rsid w:val="00A70622"/>
    <w:rsid w:val="00A70977"/>
    <w:rsid w:val="00A70D58"/>
    <w:rsid w:val="00A744F9"/>
    <w:rsid w:val="00A74ED1"/>
    <w:rsid w:val="00A77613"/>
    <w:rsid w:val="00A77B87"/>
    <w:rsid w:val="00A81851"/>
    <w:rsid w:val="00A8390C"/>
    <w:rsid w:val="00A86AE0"/>
    <w:rsid w:val="00A91362"/>
    <w:rsid w:val="00A9151C"/>
    <w:rsid w:val="00A919C6"/>
    <w:rsid w:val="00A928BD"/>
    <w:rsid w:val="00A970C6"/>
    <w:rsid w:val="00A97DE9"/>
    <w:rsid w:val="00A97FC0"/>
    <w:rsid w:val="00AA12CD"/>
    <w:rsid w:val="00AA268E"/>
    <w:rsid w:val="00AA4D1C"/>
    <w:rsid w:val="00AA52FD"/>
    <w:rsid w:val="00AA7006"/>
    <w:rsid w:val="00AB3379"/>
    <w:rsid w:val="00AB45A9"/>
    <w:rsid w:val="00AB4684"/>
    <w:rsid w:val="00AB5856"/>
    <w:rsid w:val="00AC081D"/>
    <w:rsid w:val="00AC193C"/>
    <w:rsid w:val="00AC30C1"/>
    <w:rsid w:val="00AC4DE5"/>
    <w:rsid w:val="00AC5206"/>
    <w:rsid w:val="00AD3106"/>
    <w:rsid w:val="00AD4322"/>
    <w:rsid w:val="00AE11A5"/>
    <w:rsid w:val="00AE13E2"/>
    <w:rsid w:val="00AE22D3"/>
    <w:rsid w:val="00AE5A49"/>
    <w:rsid w:val="00AF11D8"/>
    <w:rsid w:val="00AF5867"/>
    <w:rsid w:val="00AF62DF"/>
    <w:rsid w:val="00AF68CC"/>
    <w:rsid w:val="00AF70D7"/>
    <w:rsid w:val="00B00CD0"/>
    <w:rsid w:val="00B00E7F"/>
    <w:rsid w:val="00B01FF4"/>
    <w:rsid w:val="00B023C9"/>
    <w:rsid w:val="00B0326D"/>
    <w:rsid w:val="00B041DE"/>
    <w:rsid w:val="00B06478"/>
    <w:rsid w:val="00B074A7"/>
    <w:rsid w:val="00B07533"/>
    <w:rsid w:val="00B07CFB"/>
    <w:rsid w:val="00B1059E"/>
    <w:rsid w:val="00B11CF1"/>
    <w:rsid w:val="00B14A36"/>
    <w:rsid w:val="00B16273"/>
    <w:rsid w:val="00B16B65"/>
    <w:rsid w:val="00B170A5"/>
    <w:rsid w:val="00B1725F"/>
    <w:rsid w:val="00B176C8"/>
    <w:rsid w:val="00B17EE5"/>
    <w:rsid w:val="00B205AA"/>
    <w:rsid w:val="00B20F31"/>
    <w:rsid w:val="00B2169F"/>
    <w:rsid w:val="00B22E84"/>
    <w:rsid w:val="00B233AD"/>
    <w:rsid w:val="00B23E25"/>
    <w:rsid w:val="00B24D1D"/>
    <w:rsid w:val="00B25EC5"/>
    <w:rsid w:val="00B25F75"/>
    <w:rsid w:val="00B26B3F"/>
    <w:rsid w:val="00B2778F"/>
    <w:rsid w:val="00B327E2"/>
    <w:rsid w:val="00B33635"/>
    <w:rsid w:val="00B41015"/>
    <w:rsid w:val="00B420D7"/>
    <w:rsid w:val="00B427B1"/>
    <w:rsid w:val="00B42AF4"/>
    <w:rsid w:val="00B43148"/>
    <w:rsid w:val="00B43E90"/>
    <w:rsid w:val="00B44308"/>
    <w:rsid w:val="00B45722"/>
    <w:rsid w:val="00B467DC"/>
    <w:rsid w:val="00B519EC"/>
    <w:rsid w:val="00B534FE"/>
    <w:rsid w:val="00B5392A"/>
    <w:rsid w:val="00B56118"/>
    <w:rsid w:val="00B566E1"/>
    <w:rsid w:val="00B602F6"/>
    <w:rsid w:val="00B6773F"/>
    <w:rsid w:val="00B70EB3"/>
    <w:rsid w:val="00B72906"/>
    <w:rsid w:val="00B74B1B"/>
    <w:rsid w:val="00B74F48"/>
    <w:rsid w:val="00B7525E"/>
    <w:rsid w:val="00B760FB"/>
    <w:rsid w:val="00B76765"/>
    <w:rsid w:val="00B767AB"/>
    <w:rsid w:val="00B801BA"/>
    <w:rsid w:val="00B812D6"/>
    <w:rsid w:val="00B84D5C"/>
    <w:rsid w:val="00B85AF6"/>
    <w:rsid w:val="00B956ED"/>
    <w:rsid w:val="00BA03D8"/>
    <w:rsid w:val="00BA1196"/>
    <w:rsid w:val="00BA2662"/>
    <w:rsid w:val="00BA2DA8"/>
    <w:rsid w:val="00BA347C"/>
    <w:rsid w:val="00BB298A"/>
    <w:rsid w:val="00BB3469"/>
    <w:rsid w:val="00BB5C49"/>
    <w:rsid w:val="00BB5E66"/>
    <w:rsid w:val="00BB6240"/>
    <w:rsid w:val="00BB6285"/>
    <w:rsid w:val="00BB69F5"/>
    <w:rsid w:val="00BB7310"/>
    <w:rsid w:val="00BB7EC3"/>
    <w:rsid w:val="00BC04B1"/>
    <w:rsid w:val="00BC3ACC"/>
    <w:rsid w:val="00BC470E"/>
    <w:rsid w:val="00BC4B9A"/>
    <w:rsid w:val="00BD02C3"/>
    <w:rsid w:val="00BD7483"/>
    <w:rsid w:val="00BD784C"/>
    <w:rsid w:val="00BE020A"/>
    <w:rsid w:val="00BE13DF"/>
    <w:rsid w:val="00BE17CB"/>
    <w:rsid w:val="00BE25D7"/>
    <w:rsid w:val="00BE3A4E"/>
    <w:rsid w:val="00BE57F4"/>
    <w:rsid w:val="00BE5FD3"/>
    <w:rsid w:val="00BF092C"/>
    <w:rsid w:val="00BF27A0"/>
    <w:rsid w:val="00BF4CB6"/>
    <w:rsid w:val="00BF556E"/>
    <w:rsid w:val="00BF6CBD"/>
    <w:rsid w:val="00C00DA7"/>
    <w:rsid w:val="00C04CDE"/>
    <w:rsid w:val="00C0598F"/>
    <w:rsid w:val="00C068A6"/>
    <w:rsid w:val="00C12768"/>
    <w:rsid w:val="00C12D70"/>
    <w:rsid w:val="00C16724"/>
    <w:rsid w:val="00C21B09"/>
    <w:rsid w:val="00C2673A"/>
    <w:rsid w:val="00C27B58"/>
    <w:rsid w:val="00C27C1C"/>
    <w:rsid w:val="00C33186"/>
    <w:rsid w:val="00C3367E"/>
    <w:rsid w:val="00C35996"/>
    <w:rsid w:val="00C4269A"/>
    <w:rsid w:val="00C46CB5"/>
    <w:rsid w:val="00C4747E"/>
    <w:rsid w:val="00C5151E"/>
    <w:rsid w:val="00C5342C"/>
    <w:rsid w:val="00C53B2B"/>
    <w:rsid w:val="00C57395"/>
    <w:rsid w:val="00C57465"/>
    <w:rsid w:val="00C57677"/>
    <w:rsid w:val="00C60272"/>
    <w:rsid w:val="00C603D4"/>
    <w:rsid w:val="00C6256A"/>
    <w:rsid w:val="00C64EBC"/>
    <w:rsid w:val="00C664D2"/>
    <w:rsid w:val="00C67A60"/>
    <w:rsid w:val="00C710E2"/>
    <w:rsid w:val="00C71C3F"/>
    <w:rsid w:val="00C7409E"/>
    <w:rsid w:val="00C74D6D"/>
    <w:rsid w:val="00C754C9"/>
    <w:rsid w:val="00C76E76"/>
    <w:rsid w:val="00C77891"/>
    <w:rsid w:val="00C829A9"/>
    <w:rsid w:val="00C8664A"/>
    <w:rsid w:val="00C87B80"/>
    <w:rsid w:val="00C90330"/>
    <w:rsid w:val="00C91449"/>
    <w:rsid w:val="00C92D10"/>
    <w:rsid w:val="00C967E4"/>
    <w:rsid w:val="00C96EC0"/>
    <w:rsid w:val="00CA48D9"/>
    <w:rsid w:val="00CB1193"/>
    <w:rsid w:val="00CB20A7"/>
    <w:rsid w:val="00CB4767"/>
    <w:rsid w:val="00CB493D"/>
    <w:rsid w:val="00CB708B"/>
    <w:rsid w:val="00CC3B97"/>
    <w:rsid w:val="00CC6919"/>
    <w:rsid w:val="00CC6B32"/>
    <w:rsid w:val="00CD37BF"/>
    <w:rsid w:val="00CD6257"/>
    <w:rsid w:val="00CD6514"/>
    <w:rsid w:val="00CD7C0B"/>
    <w:rsid w:val="00CE10C4"/>
    <w:rsid w:val="00CE1257"/>
    <w:rsid w:val="00CE2343"/>
    <w:rsid w:val="00CE27B5"/>
    <w:rsid w:val="00CE6DAF"/>
    <w:rsid w:val="00CF410A"/>
    <w:rsid w:val="00CF7528"/>
    <w:rsid w:val="00CF7FDE"/>
    <w:rsid w:val="00D0321E"/>
    <w:rsid w:val="00D069EB"/>
    <w:rsid w:val="00D07A8A"/>
    <w:rsid w:val="00D11199"/>
    <w:rsid w:val="00D11479"/>
    <w:rsid w:val="00D1455A"/>
    <w:rsid w:val="00D14A70"/>
    <w:rsid w:val="00D207EA"/>
    <w:rsid w:val="00D21FD2"/>
    <w:rsid w:val="00D22093"/>
    <w:rsid w:val="00D31150"/>
    <w:rsid w:val="00D3138B"/>
    <w:rsid w:val="00D31FCE"/>
    <w:rsid w:val="00D3280C"/>
    <w:rsid w:val="00D3406A"/>
    <w:rsid w:val="00D35943"/>
    <w:rsid w:val="00D40B11"/>
    <w:rsid w:val="00D429EC"/>
    <w:rsid w:val="00D441F1"/>
    <w:rsid w:val="00D4572C"/>
    <w:rsid w:val="00D469B2"/>
    <w:rsid w:val="00D4786F"/>
    <w:rsid w:val="00D52B24"/>
    <w:rsid w:val="00D54B09"/>
    <w:rsid w:val="00D605B7"/>
    <w:rsid w:val="00D6243E"/>
    <w:rsid w:val="00D6523A"/>
    <w:rsid w:val="00D65658"/>
    <w:rsid w:val="00D67EB2"/>
    <w:rsid w:val="00D70349"/>
    <w:rsid w:val="00D717EC"/>
    <w:rsid w:val="00D718E6"/>
    <w:rsid w:val="00D72B6F"/>
    <w:rsid w:val="00D741EB"/>
    <w:rsid w:val="00D7679C"/>
    <w:rsid w:val="00D820DF"/>
    <w:rsid w:val="00D820F3"/>
    <w:rsid w:val="00D83605"/>
    <w:rsid w:val="00D84934"/>
    <w:rsid w:val="00D8626C"/>
    <w:rsid w:val="00D866EB"/>
    <w:rsid w:val="00D87D1A"/>
    <w:rsid w:val="00D91271"/>
    <w:rsid w:val="00D919F5"/>
    <w:rsid w:val="00D945F6"/>
    <w:rsid w:val="00D94F03"/>
    <w:rsid w:val="00D95161"/>
    <w:rsid w:val="00DA0A82"/>
    <w:rsid w:val="00DA0D14"/>
    <w:rsid w:val="00DA1FC9"/>
    <w:rsid w:val="00DA2CB5"/>
    <w:rsid w:val="00DA46F6"/>
    <w:rsid w:val="00DA4BAC"/>
    <w:rsid w:val="00DA5ACB"/>
    <w:rsid w:val="00DA5BC0"/>
    <w:rsid w:val="00DA6AFD"/>
    <w:rsid w:val="00DA7B88"/>
    <w:rsid w:val="00DB0151"/>
    <w:rsid w:val="00DB04D7"/>
    <w:rsid w:val="00DB0F4C"/>
    <w:rsid w:val="00DB50E1"/>
    <w:rsid w:val="00DC0566"/>
    <w:rsid w:val="00DC05E1"/>
    <w:rsid w:val="00DC0E6E"/>
    <w:rsid w:val="00DC1499"/>
    <w:rsid w:val="00DC2C3E"/>
    <w:rsid w:val="00DC3137"/>
    <w:rsid w:val="00DC4880"/>
    <w:rsid w:val="00DD08E0"/>
    <w:rsid w:val="00DD26F9"/>
    <w:rsid w:val="00DD404D"/>
    <w:rsid w:val="00DD42AB"/>
    <w:rsid w:val="00DD6DC9"/>
    <w:rsid w:val="00DE06AF"/>
    <w:rsid w:val="00DE67A5"/>
    <w:rsid w:val="00DE6D27"/>
    <w:rsid w:val="00DF01F8"/>
    <w:rsid w:val="00DF021D"/>
    <w:rsid w:val="00DF14EE"/>
    <w:rsid w:val="00DF1CBF"/>
    <w:rsid w:val="00DF217D"/>
    <w:rsid w:val="00DF26A7"/>
    <w:rsid w:val="00DF3277"/>
    <w:rsid w:val="00DF4FE0"/>
    <w:rsid w:val="00DF65A6"/>
    <w:rsid w:val="00DF6A31"/>
    <w:rsid w:val="00DF77A1"/>
    <w:rsid w:val="00DF7919"/>
    <w:rsid w:val="00E0207E"/>
    <w:rsid w:val="00E02AE6"/>
    <w:rsid w:val="00E03912"/>
    <w:rsid w:val="00E04748"/>
    <w:rsid w:val="00E04EEC"/>
    <w:rsid w:val="00E078D9"/>
    <w:rsid w:val="00E10293"/>
    <w:rsid w:val="00E103A0"/>
    <w:rsid w:val="00E1043F"/>
    <w:rsid w:val="00E11F44"/>
    <w:rsid w:val="00E13E60"/>
    <w:rsid w:val="00E15627"/>
    <w:rsid w:val="00E164B3"/>
    <w:rsid w:val="00E16910"/>
    <w:rsid w:val="00E178F4"/>
    <w:rsid w:val="00E239E2"/>
    <w:rsid w:val="00E24E09"/>
    <w:rsid w:val="00E25498"/>
    <w:rsid w:val="00E27234"/>
    <w:rsid w:val="00E27D78"/>
    <w:rsid w:val="00E3045C"/>
    <w:rsid w:val="00E31F34"/>
    <w:rsid w:val="00E32AC0"/>
    <w:rsid w:val="00E3493D"/>
    <w:rsid w:val="00E3495C"/>
    <w:rsid w:val="00E403F5"/>
    <w:rsid w:val="00E42BDB"/>
    <w:rsid w:val="00E4548C"/>
    <w:rsid w:val="00E45F53"/>
    <w:rsid w:val="00E50286"/>
    <w:rsid w:val="00E50F5E"/>
    <w:rsid w:val="00E5726D"/>
    <w:rsid w:val="00E57EEB"/>
    <w:rsid w:val="00E602C8"/>
    <w:rsid w:val="00E62D94"/>
    <w:rsid w:val="00E62ECC"/>
    <w:rsid w:val="00E64F37"/>
    <w:rsid w:val="00E65091"/>
    <w:rsid w:val="00E65E54"/>
    <w:rsid w:val="00E661C7"/>
    <w:rsid w:val="00E732C4"/>
    <w:rsid w:val="00E74E41"/>
    <w:rsid w:val="00E75E7B"/>
    <w:rsid w:val="00E76E1E"/>
    <w:rsid w:val="00E80155"/>
    <w:rsid w:val="00E8134B"/>
    <w:rsid w:val="00E81E0D"/>
    <w:rsid w:val="00E81F28"/>
    <w:rsid w:val="00E848C0"/>
    <w:rsid w:val="00E84BB8"/>
    <w:rsid w:val="00E86F92"/>
    <w:rsid w:val="00E91B96"/>
    <w:rsid w:val="00E91D69"/>
    <w:rsid w:val="00E935DA"/>
    <w:rsid w:val="00E935E6"/>
    <w:rsid w:val="00E93D1E"/>
    <w:rsid w:val="00E941A1"/>
    <w:rsid w:val="00E95CE3"/>
    <w:rsid w:val="00E95F9A"/>
    <w:rsid w:val="00E9637C"/>
    <w:rsid w:val="00E96993"/>
    <w:rsid w:val="00EA0856"/>
    <w:rsid w:val="00EA0F00"/>
    <w:rsid w:val="00EA252F"/>
    <w:rsid w:val="00EA2825"/>
    <w:rsid w:val="00EA6518"/>
    <w:rsid w:val="00EA71A2"/>
    <w:rsid w:val="00EA7466"/>
    <w:rsid w:val="00EA7EDE"/>
    <w:rsid w:val="00EB0B63"/>
    <w:rsid w:val="00EB1936"/>
    <w:rsid w:val="00EB3545"/>
    <w:rsid w:val="00EB37BE"/>
    <w:rsid w:val="00EB4BAE"/>
    <w:rsid w:val="00EB5088"/>
    <w:rsid w:val="00EB7210"/>
    <w:rsid w:val="00EC11EF"/>
    <w:rsid w:val="00EC2726"/>
    <w:rsid w:val="00EC681C"/>
    <w:rsid w:val="00ED1644"/>
    <w:rsid w:val="00ED2593"/>
    <w:rsid w:val="00ED3709"/>
    <w:rsid w:val="00ED7A58"/>
    <w:rsid w:val="00ED7D55"/>
    <w:rsid w:val="00ED7D9C"/>
    <w:rsid w:val="00EE0C3B"/>
    <w:rsid w:val="00EE31A2"/>
    <w:rsid w:val="00EE3C1F"/>
    <w:rsid w:val="00EE78AA"/>
    <w:rsid w:val="00EF0069"/>
    <w:rsid w:val="00EF44A0"/>
    <w:rsid w:val="00EF4580"/>
    <w:rsid w:val="00EF4FED"/>
    <w:rsid w:val="00EF5F45"/>
    <w:rsid w:val="00EF625D"/>
    <w:rsid w:val="00EF6843"/>
    <w:rsid w:val="00EF6FB3"/>
    <w:rsid w:val="00F0068B"/>
    <w:rsid w:val="00F007C6"/>
    <w:rsid w:val="00F0172E"/>
    <w:rsid w:val="00F050BD"/>
    <w:rsid w:val="00F05657"/>
    <w:rsid w:val="00F05AB0"/>
    <w:rsid w:val="00F10076"/>
    <w:rsid w:val="00F128B1"/>
    <w:rsid w:val="00F12C74"/>
    <w:rsid w:val="00F1559A"/>
    <w:rsid w:val="00F17ED6"/>
    <w:rsid w:val="00F20676"/>
    <w:rsid w:val="00F209E2"/>
    <w:rsid w:val="00F24F29"/>
    <w:rsid w:val="00F25578"/>
    <w:rsid w:val="00F258E5"/>
    <w:rsid w:val="00F25B9C"/>
    <w:rsid w:val="00F2675A"/>
    <w:rsid w:val="00F26CC6"/>
    <w:rsid w:val="00F300BC"/>
    <w:rsid w:val="00F3263C"/>
    <w:rsid w:val="00F3334E"/>
    <w:rsid w:val="00F354E6"/>
    <w:rsid w:val="00F36CCB"/>
    <w:rsid w:val="00F374E5"/>
    <w:rsid w:val="00F37B93"/>
    <w:rsid w:val="00F37BAD"/>
    <w:rsid w:val="00F37ECA"/>
    <w:rsid w:val="00F40A1C"/>
    <w:rsid w:val="00F42BF4"/>
    <w:rsid w:val="00F43AF2"/>
    <w:rsid w:val="00F45216"/>
    <w:rsid w:val="00F5007E"/>
    <w:rsid w:val="00F50EC4"/>
    <w:rsid w:val="00F51005"/>
    <w:rsid w:val="00F52232"/>
    <w:rsid w:val="00F52DC2"/>
    <w:rsid w:val="00F550CF"/>
    <w:rsid w:val="00F553D2"/>
    <w:rsid w:val="00F57A6D"/>
    <w:rsid w:val="00F6044B"/>
    <w:rsid w:val="00F62F19"/>
    <w:rsid w:val="00F638CC"/>
    <w:rsid w:val="00F64C9E"/>
    <w:rsid w:val="00F64CC1"/>
    <w:rsid w:val="00F7102C"/>
    <w:rsid w:val="00F72317"/>
    <w:rsid w:val="00F7309C"/>
    <w:rsid w:val="00F73DC1"/>
    <w:rsid w:val="00F75BB8"/>
    <w:rsid w:val="00F77714"/>
    <w:rsid w:val="00F80475"/>
    <w:rsid w:val="00F80E6E"/>
    <w:rsid w:val="00F81390"/>
    <w:rsid w:val="00F81F7A"/>
    <w:rsid w:val="00F8247A"/>
    <w:rsid w:val="00F82E5C"/>
    <w:rsid w:val="00F83EBF"/>
    <w:rsid w:val="00F83F58"/>
    <w:rsid w:val="00F85206"/>
    <w:rsid w:val="00F87CEA"/>
    <w:rsid w:val="00F90AC7"/>
    <w:rsid w:val="00F9629A"/>
    <w:rsid w:val="00F975DB"/>
    <w:rsid w:val="00F97EFC"/>
    <w:rsid w:val="00FA0B04"/>
    <w:rsid w:val="00FA0C7C"/>
    <w:rsid w:val="00FA1BDD"/>
    <w:rsid w:val="00FA1FC3"/>
    <w:rsid w:val="00FA305C"/>
    <w:rsid w:val="00FA462E"/>
    <w:rsid w:val="00FA4DD5"/>
    <w:rsid w:val="00FA5883"/>
    <w:rsid w:val="00FA6055"/>
    <w:rsid w:val="00FA78A5"/>
    <w:rsid w:val="00FB0B39"/>
    <w:rsid w:val="00FB322F"/>
    <w:rsid w:val="00FB442F"/>
    <w:rsid w:val="00FC118C"/>
    <w:rsid w:val="00FC1929"/>
    <w:rsid w:val="00FC5B46"/>
    <w:rsid w:val="00FC6463"/>
    <w:rsid w:val="00FD0AEE"/>
    <w:rsid w:val="00FD1D4F"/>
    <w:rsid w:val="00FD2375"/>
    <w:rsid w:val="00FD24BF"/>
    <w:rsid w:val="00FD3B6E"/>
    <w:rsid w:val="00FD57EB"/>
    <w:rsid w:val="00FD6D8E"/>
    <w:rsid w:val="00FE0663"/>
    <w:rsid w:val="00FE0E94"/>
    <w:rsid w:val="00FE369C"/>
    <w:rsid w:val="00FE3CD9"/>
    <w:rsid w:val="00FE3E7E"/>
    <w:rsid w:val="00FF00BD"/>
    <w:rsid w:val="00FF0B13"/>
    <w:rsid w:val="00FF1ED4"/>
    <w:rsid w:val="00FF2801"/>
    <w:rsid w:val="00FF799B"/>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0705"/>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7714"/>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Styl moj,Akapit z listą11,Bullets,列出段落1"/>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列出段落1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4"/>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5"/>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customStyle="1" w:styleId="label-">
    <w:name w:val="label-"/>
    <w:basedOn w:val="DefaultParagraphFont"/>
    <w:rsid w:val="00366C1D"/>
  </w:style>
  <w:style w:type="paragraph" w:styleId="NormalWeb">
    <w:name w:val="Normal (Web)"/>
    <w:basedOn w:val="Normal"/>
    <w:uiPriority w:val="99"/>
    <w:semiHidden/>
    <w:unhideWhenUsed/>
    <w:rsid w:val="00366C1D"/>
    <w:pPr>
      <w:spacing w:before="100" w:beforeAutospacing="1" w:after="100" w:afterAutospacing="1"/>
      <w:jc w:val="left"/>
    </w:pPr>
    <w:rPr>
      <w:rFonts w:ascii="Times New Roman" w:hAnsi="Times New Roman"/>
    </w:rPr>
  </w:style>
  <w:style w:type="paragraph" w:styleId="FootnoteText">
    <w:name w:val="footnote text"/>
    <w:basedOn w:val="Normal"/>
    <w:link w:val="FootnoteTextChar"/>
    <w:semiHidden/>
    <w:unhideWhenUsed/>
    <w:rsid w:val="00082B45"/>
    <w:rPr>
      <w:sz w:val="20"/>
      <w:szCs w:val="20"/>
    </w:rPr>
  </w:style>
  <w:style w:type="character" w:customStyle="1" w:styleId="FootnoteTextChar">
    <w:name w:val="Footnote Text Char"/>
    <w:basedOn w:val="DefaultParagraphFont"/>
    <w:link w:val="FootnoteText"/>
    <w:semiHidden/>
    <w:rsid w:val="00082B45"/>
    <w:rPr>
      <w:rFonts w:ascii="Calibri" w:hAnsi="Calibri"/>
    </w:rPr>
  </w:style>
  <w:style w:type="character" w:styleId="FootnoteReference">
    <w:name w:val="footnote reference"/>
    <w:basedOn w:val="DefaultParagraphFont"/>
    <w:semiHidden/>
    <w:unhideWhenUsed/>
    <w:rsid w:val="00082B45"/>
    <w:rPr>
      <w:vertAlign w:val="superscript"/>
    </w:rPr>
  </w:style>
  <w:style w:type="paragraph" w:customStyle="1" w:styleId="3-SubsectionHeading">
    <w:name w:val="3-Subsection Heading"/>
    <w:basedOn w:val="Heading2"/>
    <w:next w:val="Normal"/>
    <w:link w:val="3-SubsectionHeadingChar"/>
    <w:qFormat/>
    <w:rsid w:val="005D0C24"/>
    <w:pPr>
      <w:spacing w:before="120" w:after="120"/>
      <w:outlineLvl w:val="9"/>
    </w:pPr>
    <w:rPr>
      <w:rFonts w:asciiTheme="minorHAnsi" w:eastAsiaTheme="majorEastAsia" w:hAnsiTheme="minorHAnsi" w:cstheme="majorBidi"/>
      <w:spacing w:val="5"/>
      <w:kern w:val="28"/>
      <w:sz w:val="28"/>
      <w:szCs w:val="36"/>
      <w:lang w:eastAsia="en-US"/>
    </w:rPr>
  </w:style>
  <w:style w:type="character" w:customStyle="1" w:styleId="3-SubsectionHeadingChar">
    <w:name w:val="3-Subsection Heading Char"/>
    <w:basedOn w:val="Heading2Char"/>
    <w:link w:val="3-SubsectionHeading"/>
    <w:rsid w:val="005D0C24"/>
    <w:rPr>
      <w:rFonts w:asciiTheme="minorHAnsi" w:eastAsiaTheme="majorEastAsia" w:hAnsiTheme="minorHAnsi" w:cstheme="majorBidi"/>
      <w:b/>
      <w:i/>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02397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biosimila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alth.gov.au/biosimilar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9B9D7-C611-44EB-905F-6D41AC481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2039</Words>
  <Characters>11436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2022-02-22T04:08:00Z</dcterms:created>
  <dcterms:modified xsi:type="dcterms:W3CDTF">2022-02-22T04:20:00Z</dcterms:modified>
</cp:coreProperties>
</file>