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11340" w14:textId="77777777" w:rsidR="00FE1325" w:rsidRPr="000B09B9" w:rsidRDefault="00FE1325" w:rsidP="00A67EE6">
      <w:pPr>
        <w:pStyle w:val="1-MainHeading"/>
        <w:keepNext w:val="0"/>
      </w:pPr>
      <w:bookmarkStart w:id="0" w:name="_Toc22898842"/>
      <w:bookmarkStart w:id="1" w:name="_Toc82537439"/>
      <w:r w:rsidRPr="000B09B9">
        <w:t>5.02</w:t>
      </w:r>
      <w:r w:rsidRPr="000B09B9">
        <w:tab/>
        <w:t>AMIFAMPRIDINE,</w:t>
      </w:r>
      <w:r w:rsidRPr="000B09B9">
        <w:br/>
      </w:r>
      <w:r w:rsidR="000125F6" w:rsidRPr="000B09B9">
        <w:t>T</w:t>
      </w:r>
      <w:r w:rsidRPr="000B09B9">
        <w:t>ablet</w:t>
      </w:r>
      <w:r w:rsidR="000125F6" w:rsidRPr="000B09B9">
        <w:t xml:space="preserve"> 10 mg</w:t>
      </w:r>
      <w:r w:rsidRPr="000B09B9">
        <w:t>,</w:t>
      </w:r>
      <w:r w:rsidRPr="000B09B9">
        <w:br/>
        <w:t>Ruzurgi</w:t>
      </w:r>
      <w:r w:rsidRPr="000B09B9">
        <w:rPr>
          <w:vertAlign w:val="superscript"/>
        </w:rPr>
        <w:t>®</w:t>
      </w:r>
      <w:r w:rsidRPr="000B09B9">
        <w:t>,</w:t>
      </w:r>
      <w:r w:rsidRPr="000B09B9">
        <w:br/>
      </w:r>
      <w:r w:rsidR="000125F6" w:rsidRPr="000B09B9">
        <w:t>The Trustee for Orspec Pharma Unit Trust</w:t>
      </w:r>
      <w:bookmarkEnd w:id="0"/>
      <w:bookmarkEnd w:id="1"/>
    </w:p>
    <w:p w14:paraId="7DAC5F81" w14:textId="77777777" w:rsidR="00FE1325" w:rsidRPr="000B09B9" w:rsidRDefault="00FE1325" w:rsidP="002B0564">
      <w:pPr>
        <w:pStyle w:val="2-SectionHeading"/>
        <w:numPr>
          <w:ilvl w:val="0"/>
          <w:numId w:val="9"/>
        </w:numPr>
      </w:pPr>
      <w:bookmarkStart w:id="2" w:name="_Toc22898844"/>
      <w:bookmarkStart w:id="3" w:name="_Toc82537441"/>
      <w:r w:rsidRPr="000B09B9">
        <w:t>Purpose of submission</w:t>
      </w:r>
      <w:bookmarkEnd w:id="2"/>
      <w:bookmarkEnd w:id="3"/>
    </w:p>
    <w:p w14:paraId="58D8CF39" w14:textId="77777777" w:rsidR="00FE1325" w:rsidRPr="000B09B9" w:rsidRDefault="00FE1325" w:rsidP="002B0564">
      <w:pPr>
        <w:pStyle w:val="3-BodyText"/>
        <w:numPr>
          <w:ilvl w:val="1"/>
          <w:numId w:val="11"/>
        </w:numPr>
      </w:pPr>
      <w:r w:rsidRPr="000B09B9">
        <w:t>The</w:t>
      </w:r>
      <w:r w:rsidR="000125F6" w:rsidRPr="000B09B9">
        <w:t xml:space="preserve"> Category 1</w:t>
      </w:r>
      <w:r w:rsidRPr="000B09B9">
        <w:t xml:space="preserve"> submission requested </w:t>
      </w:r>
      <w:r w:rsidR="0097655E" w:rsidRPr="000B09B9">
        <w:t xml:space="preserve">an </w:t>
      </w:r>
      <w:r w:rsidRPr="000B09B9">
        <w:t xml:space="preserve">Authority Required listing </w:t>
      </w:r>
      <w:r w:rsidR="0097655E" w:rsidRPr="000B09B9">
        <w:t xml:space="preserve">(in writing) </w:t>
      </w:r>
      <w:r w:rsidRPr="000B09B9">
        <w:t xml:space="preserve">for amifampridine for the treatment of Lambert-Eaton myasthenic syndrome (LEMS) in adults and children aged 6 years and above. </w:t>
      </w:r>
    </w:p>
    <w:p w14:paraId="1092A530" w14:textId="77777777" w:rsidR="00FE1325" w:rsidRPr="000B09B9" w:rsidRDefault="00FE1325" w:rsidP="002B0564">
      <w:pPr>
        <w:pStyle w:val="3-BodyText"/>
        <w:numPr>
          <w:ilvl w:val="1"/>
          <w:numId w:val="9"/>
        </w:numPr>
        <w:rPr>
          <w:rStyle w:val="CommentReference"/>
          <w:bCs w:val="0"/>
        </w:rPr>
      </w:pPr>
      <w:r w:rsidRPr="000B09B9">
        <w:t>Listing was requested on the basis of a cost-utility analysis versus placebo</w:t>
      </w:r>
      <w:r w:rsidR="001B5945" w:rsidRPr="000B09B9">
        <w:t>. The key components of the clinical issues addressed by the submission are summarised below.</w:t>
      </w:r>
      <w:r w:rsidR="00677537" w:rsidRPr="000B09B9">
        <w:t xml:space="preserve"> (Table 1)</w:t>
      </w:r>
      <w:r w:rsidRPr="000B09B9">
        <w:t xml:space="preserve">. </w:t>
      </w:r>
    </w:p>
    <w:p w14:paraId="64D7CFFE" w14:textId="77777777" w:rsidR="00FE1325" w:rsidRPr="000B09B9" w:rsidRDefault="00FE1325" w:rsidP="008807D2">
      <w:pPr>
        <w:pStyle w:val="3-BodyText"/>
        <w:numPr>
          <w:ilvl w:val="1"/>
          <w:numId w:val="0"/>
        </w:numPr>
        <w:spacing w:after="0"/>
        <w:rPr>
          <w:rStyle w:val="CommentReference"/>
          <w:bCs w:val="0"/>
        </w:rPr>
      </w:pPr>
      <w:r w:rsidRPr="000B09B9">
        <w:rPr>
          <w:rStyle w:val="CommentReference"/>
        </w:rPr>
        <w:t xml:space="preserve">Table 1: Key components of the clinical issue addressed by the submission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FE1325" w:rsidRPr="000B09B9" w14:paraId="30D47927" w14:textId="77777777" w:rsidTr="009F56FD">
        <w:trPr>
          <w:cantSplit/>
          <w:tblHeader/>
        </w:trPr>
        <w:tc>
          <w:tcPr>
            <w:tcW w:w="924" w:type="pct"/>
            <w:shd w:val="clear" w:color="auto" w:fill="auto"/>
          </w:tcPr>
          <w:p w14:paraId="46532DE5" w14:textId="77777777" w:rsidR="00FE1325" w:rsidRPr="000B09B9" w:rsidRDefault="00FE1325" w:rsidP="008807D2">
            <w:pPr>
              <w:pStyle w:val="In-tableHeading"/>
              <w:keepNext w:val="0"/>
              <w:rPr>
                <w:szCs w:val="20"/>
                <w:lang w:val="en-AU"/>
              </w:rPr>
            </w:pPr>
            <w:r w:rsidRPr="000B09B9">
              <w:rPr>
                <w:lang w:val="en-AU"/>
              </w:rPr>
              <w:t>Component</w:t>
            </w:r>
          </w:p>
        </w:tc>
        <w:tc>
          <w:tcPr>
            <w:tcW w:w="4076" w:type="pct"/>
            <w:shd w:val="clear" w:color="auto" w:fill="auto"/>
          </w:tcPr>
          <w:p w14:paraId="0014963E" w14:textId="77777777" w:rsidR="00FE1325" w:rsidRPr="000B09B9" w:rsidRDefault="00FE1325" w:rsidP="008807D2">
            <w:pPr>
              <w:pStyle w:val="In-tableHeading"/>
              <w:keepNext w:val="0"/>
              <w:rPr>
                <w:lang w:val="en-AU"/>
              </w:rPr>
            </w:pPr>
            <w:r w:rsidRPr="000B09B9">
              <w:rPr>
                <w:lang w:val="en-AU"/>
              </w:rPr>
              <w:t>Description</w:t>
            </w:r>
          </w:p>
        </w:tc>
      </w:tr>
      <w:tr w:rsidR="00FE1325" w:rsidRPr="000B09B9" w14:paraId="03EAE85D" w14:textId="77777777" w:rsidTr="009F56FD">
        <w:trPr>
          <w:cantSplit/>
        </w:trPr>
        <w:tc>
          <w:tcPr>
            <w:tcW w:w="924" w:type="pct"/>
            <w:shd w:val="clear" w:color="auto" w:fill="auto"/>
          </w:tcPr>
          <w:p w14:paraId="6238A296" w14:textId="77777777" w:rsidR="00FE1325" w:rsidRPr="000B09B9" w:rsidRDefault="00FE1325" w:rsidP="008807D2">
            <w:pPr>
              <w:pStyle w:val="TableText0"/>
              <w:widowControl/>
            </w:pPr>
            <w:r w:rsidRPr="000B09B9">
              <w:t>Population</w:t>
            </w:r>
          </w:p>
        </w:tc>
        <w:tc>
          <w:tcPr>
            <w:tcW w:w="4076" w:type="pct"/>
            <w:shd w:val="clear" w:color="auto" w:fill="auto"/>
          </w:tcPr>
          <w:p w14:paraId="31C23EAB" w14:textId="77777777" w:rsidR="00FE1325" w:rsidRPr="000B09B9" w:rsidRDefault="00FE1325" w:rsidP="008807D2">
            <w:pPr>
              <w:pStyle w:val="TableText0"/>
              <w:widowControl/>
            </w:pPr>
            <w:r w:rsidRPr="000B09B9">
              <w:rPr>
                <w:rStyle w:val="SmallItalics"/>
                <w:rFonts w:ascii="Arial Narrow" w:hAnsi="Arial Narrow"/>
                <w:i w:val="0"/>
                <w:iCs w:val="0"/>
                <w:szCs w:val="24"/>
              </w:rPr>
              <w:t>Patients (≥ 6 years old) with confirmed Lambert-Eaton myasthenic syndrome (LEMS) including paraneoplastic LEMS (pLEMS) and autoimmune LEMS (aLEMS)</w:t>
            </w:r>
          </w:p>
        </w:tc>
      </w:tr>
      <w:tr w:rsidR="00FE1325" w:rsidRPr="000B09B9" w14:paraId="7297BB88" w14:textId="77777777" w:rsidTr="009F56FD">
        <w:trPr>
          <w:cantSplit/>
        </w:trPr>
        <w:tc>
          <w:tcPr>
            <w:tcW w:w="924" w:type="pct"/>
            <w:shd w:val="clear" w:color="auto" w:fill="auto"/>
          </w:tcPr>
          <w:p w14:paraId="65E0DAC6" w14:textId="77777777" w:rsidR="00FE1325" w:rsidRPr="000B09B9" w:rsidRDefault="00FE1325" w:rsidP="008807D2">
            <w:pPr>
              <w:pStyle w:val="TableText0"/>
              <w:widowControl/>
            </w:pPr>
            <w:r w:rsidRPr="000B09B9">
              <w:t>Intervention</w:t>
            </w:r>
          </w:p>
        </w:tc>
        <w:tc>
          <w:tcPr>
            <w:tcW w:w="4076" w:type="pct"/>
            <w:shd w:val="clear" w:color="auto" w:fill="auto"/>
          </w:tcPr>
          <w:p w14:paraId="7E35D776" w14:textId="77777777" w:rsidR="00FE1325" w:rsidRPr="000B09B9" w:rsidRDefault="00FE1325" w:rsidP="008807D2">
            <w:pPr>
              <w:pStyle w:val="TableText0"/>
              <w:widowControl/>
            </w:pPr>
            <w:r w:rsidRPr="000B09B9">
              <w:rPr>
                <w:rStyle w:val="SmallItalics"/>
                <w:rFonts w:ascii="Arial Narrow" w:hAnsi="Arial Narrow"/>
                <w:i w:val="0"/>
                <w:iCs w:val="0"/>
                <w:szCs w:val="24"/>
              </w:rPr>
              <w:t>Amifampridine</w:t>
            </w:r>
            <w:r w:rsidRPr="000B09B9">
              <w:t xml:space="preserve"> (3,4-diaminopyridine or 3,4-DAP)</w:t>
            </w:r>
            <w:r w:rsidRPr="000B09B9">
              <w:rPr>
                <w:rStyle w:val="SmallItalics"/>
                <w:rFonts w:ascii="Arial Narrow" w:hAnsi="Arial Narrow"/>
                <w:i w:val="0"/>
                <w:iCs w:val="0"/>
                <w:szCs w:val="24"/>
              </w:rPr>
              <w:t xml:space="preserve"> 10 mg tablets</w:t>
            </w:r>
          </w:p>
        </w:tc>
      </w:tr>
      <w:tr w:rsidR="00FE1325" w:rsidRPr="000B09B9" w14:paraId="7C4CC05F" w14:textId="77777777" w:rsidTr="009F56FD">
        <w:trPr>
          <w:cantSplit/>
        </w:trPr>
        <w:tc>
          <w:tcPr>
            <w:tcW w:w="924" w:type="pct"/>
            <w:shd w:val="clear" w:color="auto" w:fill="auto"/>
          </w:tcPr>
          <w:p w14:paraId="42023F60" w14:textId="77777777" w:rsidR="00FE1325" w:rsidRPr="000B09B9" w:rsidRDefault="00FE1325" w:rsidP="008807D2">
            <w:pPr>
              <w:pStyle w:val="TableText0"/>
              <w:widowControl/>
            </w:pPr>
            <w:r w:rsidRPr="000B09B9">
              <w:t>Comparator</w:t>
            </w:r>
          </w:p>
        </w:tc>
        <w:tc>
          <w:tcPr>
            <w:tcW w:w="4076" w:type="pct"/>
            <w:shd w:val="clear" w:color="auto" w:fill="auto"/>
          </w:tcPr>
          <w:p w14:paraId="6B462029" w14:textId="77777777" w:rsidR="00FE1325" w:rsidRPr="000B09B9" w:rsidRDefault="00FE1325" w:rsidP="008807D2">
            <w:pPr>
              <w:pStyle w:val="TableText0"/>
              <w:widowControl/>
            </w:pPr>
            <w:r w:rsidRPr="000B09B9">
              <w:t>Placebo</w:t>
            </w:r>
          </w:p>
        </w:tc>
      </w:tr>
      <w:tr w:rsidR="00FE1325" w:rsidRPr="000B09B9" w14:paraId="0D7EC030" w14:textId="77777777" w:rsidTr="009F56FD">
        <w:trPr>
          <w:cantSplit/>
        </w:trPr>
        <w:tc>
          <w:tcPr>
            <w:tcW w:w="924" w:type="pct"/>
            <w:shd w:val="clear" w:color="auto" w:fill="auto"/>
          </w:tcPr>
          <w:p w14:paraId="277D09E7" w14:textId="77777777" w:rsidR="00FE1325" w:rsidRPr="000B09B9" w:rsidRDefault="00FE1325" w:rsidP="008807D2">
            <w:pPr>
              <w:pStyle w:val="TableText0"/>
              <w:widowControl/>
            </w:pPr>
            <w:r w:rsidRPr="000B09B9">
              <w:t>Outcomes</w:t>
            </w:r>
          </w:p>
        </w:tc>
        <w:tc>
          <w:tcPr>
            <w:tcW w:w="4076" w:type="pct"/>
            <w:shd w:val="clear" w:color="auto" w:fill="auto"/>
          </w:tcPr>
          <w:p w14:paraId="02F1B378" w14:textId="77777777" w:rsidR="00FE1325" w:rsidRPr="000B09B9" w:rsidRDefault="0059397F" w:rsidP="008807D2">
            <w:pPr>
              <w:pStyle w:val="TableText0"/>
              <w:widowControl/>
            </w:pPr>
            <w:r w:rsidRPr="000B09B9">
              <w:rPr>
                <w:rStyle w:val="SmallItalics"/>
                <w:rFonts w:ascii="Arial Narrow" w:hAnsi="Arial Narrow"/>
                <w:i w:val="0"/>
                <w:iCs w:val="0"/>
                <w:szCs w:val="24"/>
              </w:rPr>
              <w:t>S</w:t>
            </w:r>
            <w:r w:rsidR="00FE1325" w:rsidRPr="000B09B9">
              <w:rPr>
                <w:rStyle w:val="SmallItalics"/>
                <w:rFonts w:ascii="Arial Narrow" w:hAnsi="Arial Narrow"/>
                <w:i w:val="0"/>
                <w:iCs w:val="0"/>
                <w:szCs w:val="24"/>
              </w:rPr>
              <w:t>ymptomatic relief from the weakness associated with LEMS</w:t>
            </w:r>
            <w:r w:rsidRPr="000B09B9">
              <w:rPr>
                <w:rStyle w:val="SmallItalics"/>
                <w:rFonts w:ascii="Arial Narrow" w:hAnsi="Arial Narrow"/>
                <w:i w:val="0"/>
                <w:iCs w:val="0"/>
                <w:szCs w:val="24"/>
              </w:rPr>
              <w:t>:</w:t>
            </w:r>
            <w:r w:rsidR="00FE1325" w:rsidRPr="000B09B9">
              <w:rPr>
                <w:rStyle w:val="SmallItalics"/>
                <w:rFonts w:ascii="Arial Narrow" w:hAnsi="Arial Narrow"/>
                <w:i w:val="0"/>
                <w:iCs w:val="0"/>
                <w:szCs w:val="24"/>
              </w:rPr>
              <w:t xml:space="preserve"> Triple Timed-up-and-GO (3TUG) test, Quantitative Myasthenia Gravis (QMG), Subject Self-Assessment of LEMS-Related Weakness (W-SAS), Compound muscle action potential (CMAP), Lower Extremity Function Scale (LEFS), LEMS-related activities of daily living (ADLs)</w:t>
            </w:r>
          </w:p>
        </w:tc>
      </w:tr>
      <w:tr w:rsidR="00FE1325" w:rsidRPr="000B09B9" w14:paraId="416B9D9F" w14:textId="77777777" w:rsidTr="009F56FD">
        <w:trPr>
          <w:cantSplit/>
        </w:trPr>
        <w:tc>
          <w:tcPr>
            <w:tcW w:w="924" w:type="pct"/>
            <w:shd w:val="clear" w:color="auto" w:fill="auto"/>
          </w:tcPr>
          <w:p w14:paraId="529FB0C1" w14:textId="77777777" w:rsidR="00FE1325" w:rsidRPr="000B09B9" w:rsidRDefault="00FE1325" w:rsidP="008807D2">
            <w:pPr>
              <w:pStyle w:val="TableText0"/>
              <w:widowControl/>
            </w:pPr>
            <w:r w:rsidRPr="000B09B9">
              <w:t>Clinical claim</w:t>
            </w:r>
          </w:p>
        </w:tc>
        <w:tc>
          <w:tcPr>
            <w:tcW w:w="4076" w:type="pct"/>
            <w:shd w:val="clear" w:color="auto" w:fill="auto"/>
          </w:tcPr>
          <w:p w14:paraId="534CB940" w14:textId="77777777" w:rsidR="00FE1325" w:rsidRPr="000B09B9" w:rsidRDefault="00FE1325" w:rsidP="008807D2">
            <w:pPr>
              <w:pStyle w:val="TableText0"/>
              <w:widowControl/>
            </w:pPr>
            <w:r w:rsidRPr="000B09B9">
              <w:rPr>
                <w:rStyle w:val="SmallItalics"/>
                <w:rFonts w:ascii="Arial Narrow" w:hAnsi="Arial Narrow"/>
                <w:i w:val="0"/>
                <w:iCs w:val="0"/>
                <w:szCs w:val="24"/>
              </w:rPr>
              <w:t xml:space="preserve">In </w:t>
            </w:r>
            <w:r w:rsidR="0059397F" w:rsidRPr="000B09B9">
              <w:rPr>
                <w:rStyle w:val="SmallItalics"/>
                <w:rFonts w:ascii="Arial Narrow" w:hAnsi="Arial Narrow"/>
                <w:i w:val="0"/>
                <w:iCs w:val="0"/>
                <w:szCs w:val="24"/>
              </w:rPr>
              <w:t>p</w:t>
            </w:r>
            <w:r w:rsidRPr="000B09B9">
              <w:rPr>
                <w:rStyle w:val="SmallItalics"/>
                <w:rFonts w:ascii="Arial Narrow" w:hAnsi="Arial Narrow"/>
                <w:i w:val="0"/>
                <w:iCs w:val="0"/>
                <w:szCs w:val="24"/>
              </w:rPr>
              <w:t>atients (≥6</w:t>
            </w:r>
            <w:r w:rsidR="0059397F" w:rsidRPr="000B09B9">
              <w:rPr>
                <w:rStyle w:val="SmallItalics"/>
                <w:rFonts w:ascii="Arial Narrow" w:hAnsi="Arial Narrow"/>
                <w:i w:val="0"/>
                <w:iCs w:val="0"/>
                <w:szCs w:val="24"/>
              </w:rPr>
              <w:t xml:space="preserve"> </w:t>
            </w:r>
            <w:r w:rsidRPr="000B09B9">
              <w:rPr>
                <w:rStyle w:val="SmallItalics"/>
                <w:rFonts w:ascii="Arial Narrow" w:hAnsi="Arial Narrow"/>
                <w:i w:val="0"/>
                <w:iCs w:val="0"/>
                <w:szCs w:val="24"/>
              </w:rPr>
              <w:t>years old) with confirmed LEMS including pLEMS and aLEMS, amifampridine</w:t>
            </w:r>
            <w:r w:rsidR="00590862" w:rsidRPr="000B09B9">
              <w:rPr>
                <w:rStyle w:val="SmallItalics"/>
                <w:rFonts w:ascii="Arial Narrow" w:hAnsi="Arial Narrow"/>
                <w:i w:val="0"/>
                <w:iCs w:val="0"/>
                <w:szCs w:val="24"/>
              </w:rPr>
              <w:t xml:space="preserve"> </w:t>
            </w:r>
            <w:r w:rsidR="000D2530" w:rsidRPr="000B09B9">
              <w:rPr>
                <w:rStyle w:val="SmallItalics"/>
                <w:rFonts w:ascii="Arial Narrow" w:hAnsi="Arial Narrow"/>
                <w:i w:val="0"/>
                <w:iCs w:val="0"/>
                <w:szCs w:val="24"/>
              </w:rPr>
              <w:t>ha</w:t>
            </w:r>
            <w:r w:rsidR="00590862" w:rsidRPr="000B09B9">
              <w:rPr>
                <w:rStyle w:val="SmallItalics"/>
                <w:rFonts w:ascii="Arial Narrow" w:hAnsi="Arial Narrow"/>
                <w:i w:val="0"/>
              </w:rPr>
              <w:t>s</w:t>
            </w:r>
            <w:r w:rsidR="00590862" w:rsidRPr="000B09B9">
              <w:rPr>
                <w:rStyle w:val="SmallItalics"/>
                <w:rFonts w:ascii="Arial Narrow" w:hAnsi="Arial Narrow"/>
                <w:szCs w:val="24"/>
              </w:rPr>
              <w:t xml:space="preserve"> </w:t>
            </w:r>
            <w:r w:rsidR="00590862" w:rsidRPr="000B09B9">
              <w:t>superior clinical efficacy and superior safety outcomes</w:t>
            </w:r>
            <w:r w:rsidR="00590862" w:rsidRPr="000B09B9">
              <w:rPr>
                <w:rStyle w:val="SmallItalics"/>
                <w:rFonts w:ascii="Arial Narrow" w:hAnsi="Arial Narrow"/>
                <w:i w:val="0"/>
                <w:iCs w:val="0"/>
                <w:szCs w:val="24"/>
              </w:rPr>
              <w:t xml:space="preserve"> </w:t>
            </w:r>
            <w:r w:rsidR="00FA044B" w:rsidRPr="000B09B9">
              <w:rPr>
                <w:rStyle w:val="SmallItalics"/>
                <w:rFonts w:ascii="Arial Narrow" w:hAnsi="Arial Narrow"/>
                <w:i w:val="0"/>
                <w:iCs w:val="0"/>
                <w:szCs w:val="24"/>
              </w:rPr>
              <w:t>compared with</w:t>
            </w:r>
            <w:r w:rsidRPr="000B09B9">
              <w:rPr>
                <w:rStyle w:val="SmallItalics"/>
                <w:rFonts w:ascii="Arial Narrow" w:hAnsi="Arial Narrow"/>
                <w:i w:val="0"/>
                <w:iCs w:val="0"/>
                <w:szCs w:val="24"/>
              </w:rPr>
              <w:t xml:space="preserve"> </w:t>
            </w:r>
            <w:r w:rsidR="0059397F" w:rsidRPr="000B09B9">
              <w:rPr>
                <w:rStyle w:val="SmallItalics"/>
                <w:rFonts w:ascii="Arial Narrow" w:hAnsi="Arial Narrow"/>
                <w:i w:val="0"/>
                <w:iCs w:val="0"/>
                <w:szCs w:val="24"/>
              </w:rPr>
              <w:t>p</w:t>
            </w:r>
            <w:r w:rsidRPr="000B09B9">
              <w:rPr>
                <w:rStyle w:val="SmallItalics"/>
                <w:rFonts w:ascii="Arial Narrow" w:hAnsi="Arial Narrow"/>
                <w:i w:val="0"/>
                <w:iCs w:val="0"/>
                <w:szCs w:val="24"/>
              </w:rPr>
              <w:t>lacebo</w:t>
            </w:r>
            <w:r w:rsidR="00366819" w:rsidRPr="000B09B9">
              <w:rPr>
                <w:rStyle w:val="SmallItalics"/>
                <w:rFonts w:ascii="Arial Narrow" w:hAnsi="Arial Narrow"/>
                <w:i w:val="0"/>
                <w:iCs w:val="0"/>
                <w:szCs w:val="24"/>
              </w:rPr>
              <w:t>.</w:t>
            </w:r>
          </w:p>
        </w:tc>
      </w:tr>
    </w:tbl>
    <w:p w14:paraId="588AC0A4" w14:textId="77777777" w:rsidR="00FE1325" w:rsidRPr="000B09B9" w:rsidRDefault="00FE1325" w:rsidP="008807D2">
      <w:pPr>
        <w:pStyle w:val="TableFigureFooter"/>
        <w:rPr>
          <w:sz w:val="20"/>
          <w:szCs w:val="20"/>
        </w:rPr>
      </w:pPr>
      <w:bookmarkStart w:id="4" w:name="_Toc22898845"/>
      <w:r w:rsidRPr="000B09B9">
        <w:t>Source: Table 1.2, p14 of the submission</w:t>
      </w:r>
      <w:r w:rsidR="00094F67" w:rsidRPr="000B09B9">
        <w:t xml:space="preserve"> and page 121 of the submission</w:t>
      </w:r>
      <w:r w:rsidRPr="000B09B9">
        <w:t>.</w:t>
      </w:r>
      <w:r w:rsidR="00E97090" w:rsidRPr="000B09B9">
        <w:t xml:space="preserve"> Amended during evaluation.</w:t>
      </w:r>
    </w:p>
    <w:p w14:paraId="5E0D3249" w14:textId="77777777" w:rsidR="00FE1325" w:rsidRPr="000B09B9" w:rsidRDefault="00FE1325" w:rsidP="002B0564">
      <w:pPr>
        <w:pStyle w:val="2-SectionHeading"/>
        <w:numPr>
          <w:ilvl w:val="0"/>
          <w:numId w:val="9"/>
        </w:numPr>
      </w:pPr>
      <w:bookmarkStart w:id="5" w:name="_Toc82537442"/>
      <w:r w:rsidRPr="000B09B9">
        <w:t>Background</w:t>
      </w:r>
      <w:bookmarkEnd w:id="4"/>
      <w:bookmarkEnd w:id="5"/>
    </w:p>
    <w:p w14:paraId="3B4F0B23" w14:textId="77777777" w:rsidR="00FE1325" w:rsidRPr="000B09B9" w:rsidRDefault="00FE1325" w:rsidP="002B0564">
      <w:pPr>
        <w:pStyle w:val="4-SubsectionHeading"/>
      </w:pPr>
      <w:bookmarkStart w:id="6" w:name="_Toc22897638"/>
      <w:bookmarkStart w:id="7" w:name="_Toc22898846"/>
      <w:bookmarkStart w:id="8" w:name="_Toc82537443"/>
      <w:r w:rsidRPr="000B09B9">
        <w:t>Registration status</w:t>
      </w:r>
      <w:bookmarkEnd w:id="6"/>
      <w:bookmarkEnd w:id="7"/>
      <w:bookmarkEnd w:id="8"/>
    </w:p>
    <w:p w14:paraId="626B17C7" w14:textId="77777777" w:rsidR="009101A9" w:rsidRPr="000B09B9" w:rsidRDefault="00BF22F9" w:rsidP="002B0564">
      <w:pPr>
        <w:pStyle w:val="3-BodyText"/>
        <w:numPr>
          <w:ilvl w:val="1"/>
          <w:numId w:val="12"/>
        </w:numPr>
        <w:rPr>
          <w:rFonts w:eastAsiaTheme="minorEastAsia" w:cstheme="minorBidi"/>
          <w:color w:val="000000" w:themeColor="text1"/>
        </w:rPr>
      </w:pPr>
      <w:bookmarkStart w:id="9" w:name="_Toc22897639"/>
      <w:bookmarkStart w:id="10" w:name="_Toc22898847"/>
      <w:bookmarkStart w:id="11" w:name="_Hlk24117209"/>
      <w:r w:rsidRPr="000B09B9">
        <w:t>Amifampridine</w:t>
      </w:r>
      <w:r w:rsidR="00162FE9" w:rsidRPr="000B09B9">
        <w:t xml:space="preserve"> (Ruzurgi® 10 mg tablet)</w:t>
      </w:r>
      <w:r w:rsidR="00522965" w:rsidRPr="000B09B9">
        <w:t xml:space="preserve"> </w:t>
      </w:r>
      <w:r w:rsidR="00162FE9" w:rsidRPr="000B09B9">
        <w:t>is</w:t>
      </w:r>
      <w:r w:rsidR="00522965" w:rsidRPr="000B09B9">
        <w:t xml:space="preserve"> approved by the TGA for the treatment of LEMS</w:t>
      </w:r>
      <w:r w:rsidR="00162FE9" w:rsidRPr="000B09B9">
        <w:t xml:space="preserve"> and was listed on the Australian Register of Therapeutic Goods (ARTG) on 14</w:t>
      </w:r>
      <w:r w:rsidR="0030056B" w:rsidRPr="000B09B9">
        <w:t> </w:t>
      </w:r>
      <w:r w:rsidR="00522965" w:rsidRPr="000B09B9">
        <w:t>September 2021.</w:t>
      </w:r>
      <w:r w:rsidR="00522965" w:rsidRPr="000B09B9" w:rsidDel="00522965">
        <w:t xml:space="preserve"> </w:t>
      </w:r>
      <w:r w:rsidR="009101A9" w:rsidRPr="000B09B9">
        <w:t>The</w:t>
      </w:r>
      <w:r w:rsidRPr="000B09B9">
        <w:t xml:space="preserve"> TGA indication</w:t>
      </w:r>
      <w:r w:rsidR="003C4B7B" w:rsidRPr="000B09B9">
        <w:t xml:space="preserve"> is</w:t>
      </w:r>
      <w:r w:rsidR="009101A9" w:rsidRPr="000B09B9">
        <w:t xml:space="preserve">: </w:t>
      </w:r>
    </w:p>
    <w:p w14:paraId="417C13DF" w14:textId="77777777" w:rsidR="00BF22F9" w:rsidRPr="000B09B9" w:rsidRDefault="00BF22F9" w:rsidP="002B0564">
      <w:pPr>
        <w:pStyle w:val="3-BodyText"/>
        <w:numPr>
          <w:ilvl w:val="0"/>
          <w:numId w:val="0"/>
        </w:numPr>
        <w:ind w:left="1134"/>
        <w:rPr>
          <w:rFonts w:eastAsiaTheme="minorEastAsia" w:cstheme="minorBidi"/>
          <w:color w:val="000000" w:themeColor="text1"/>
        </w:rPr>
      </w:pPr>
      <w:r w:rsidRPr="000B09B9">
        <w:rPr>
          <w:rFonts w:eastAsiaTheme="minorEastAsia" w:cstheme="minorBidi"/>
          <w:color w:val="000000" w:themeColor="text1"/>
        </w:rPr>
        <w:t>RUZURGI is indicated for the treatment of Lambert-Eaton myasthenic syndrome (LEMS) in adults and children aged 6 years and above.</w:t>
      </w:r>
    </w:p>
    <w:p w14:paraId="50131F0A" w14:textId="77777777" w:rsidR="00FE1325" w:rsidRPr="000B09B9" w:rsidRDefault="00FE1325" w:rsidP="002B0564">
      <w:pPr>
        <w:pStyle w:val="3-BodyText"/>
        <w:numPr>
          <w:ilvl w:val="1"/>
          <w:numId w:val="12"/>
        </w:numPr>
        <w:rPr>
          <w:rFonts w:eastAsiaTheme="minorEastAsia" w:cstheme="minorBidi"/>
          <w:color w:val="000000" w:themeColor="text1"/>
        </w:rPr>
      </w:pPr>
      <w:r w:rsidRPr="000B09B9">
        <w:rPr>
          <w:rFonts w:ascii="Calibri" w:eastAsia="Calibri" w:hAnsi="Calibri" w:cs="Calibri"/>
          <w:color w:val="000000" w:themeColor="text1"/>
        </w:rPr>
        <w:t>The dossier was submitted</w:t>
      </w:r>
      <w:r w:rsidR="00BF22F9" w:rsidRPr="000B09B9">
        <w:rPr>
          <w:rFonts w:ascii="Calibri" w:eastAsia="Calibri" w:hAnsi="Calibri" w:cs="Calibri"/>
          <w:color w:val="000000" w:themeColor="text1"/>
        </w:rPr>
        <w:t xml:space="preserve"> to the TGA</w:t>
      </w:r>
      <w:r w:rsidRPr="000B09B9">
        <w:rPr>
          <w:rFonts w:ascii="Calibri" w:eastAsia="Calibri" w:hAnsi="Calibri" w:cs="Calibri"/>
          <w:color w:val="000000" w:themeColor="text1"/>
        </w:rPr>
        <w:t xml:space="preserve"> in October 2020 as an Orphan Drug with priority review status. </w:t>
      </w:r>
    </w:p>
    <w:p w14:paraId="089A91FC" w14:textId="11E0CAE4" w:rsidR="00FE1325" w:rsidRPr="000B09B9" w:rsidRDefault="00F13104" w:rsidP="002B0564">
      <w:pPr>
        <w:pStyle w:val="3-BodyText"/>
        <w:numPr>
          <w:ilvl w:val="1"/>
          <w:numId w:val="9"/>
        </w:numPr>
        <w:rPr>
          <w:rFonts w:eastAsiaTheme="minorEastAsia" w:cstheme="minorBidi"/>
          <w:color w:val="000000" w:themeColor="text1"/>
        </w:rPr>
      </w:pPr>
      <w:r w:rsidRPr="000B09B9">
        <w:rPr>
          <w:rFonts w:ascii="Calibri" w:eastAsia="Calibri" w:hAnsi="Calibri" w:cs="Calibri"/>
          <w:color w:val="000000" w:themeColor="text1"/>
        </w:rPr>
        <w:t>The current application for amifampridine (Ruzurgi) is for the free base form of 3,4</w:t>
      </w:r>
      <w:r w:rsidR="00A21462" w:rsidRPr="000B09B9">
        <w:rPr>
          <w:rFonts w:ascii="Calibri" w:eastAsia="Calibri" w:hAnsi="Calibri" w:cs="Calibri"/>
          <w:color w:val="000000" w:themeColor="text1"/>
        </w:rPr>
        <w:noBreakHyphen/>
      </w:r>
      <w:r w:rsidRPr="000B09B9">
        <w:rPr>
          <w:rFonts w:ascii="Calibri" w:eastAsia="Calibri" w:hAnsi="Calibri" w:cs="Calibri"/>
          <w:color w:val="000000" w:themeColor="text1"/>
        </w:rPr>
        <w:t xml:space="preserve">diaminopyridine. </w:t>
      </w:r>
      <w:r w:rsidR="00A21462" w:rsidRPr="000B09B9">
        <w:rPr>
          <w:rFonts w:ascii="Calibri" w:eastAsia="Calibri" w:hAnsi="Calibri" w:cs="Calibri"/>
          <w:color w:val="000000" w:themeColor="text1"/>
        </w:rPr>
        <w:t xml:space="preserve">Amifampridine (Ruzurgi) has also been approved for use in Canada. </w:t>
      </w:r>
      <w:r w:rsidR="00182DC4" w:rsidRPr="000B09B9">
        <w:rPr>
          <w:rFonts w:ascii="Calibri" w:eastAsia="Calibri" w:hAnsi="Calibri" w:cs="Calibri"/>
          <w:color w:val="000000" w:themeColor="text1"/>
        </w:rPr>
        <w:t>A different formulation, t</w:t>
      </w:r>
      <w:r w:rsidR="00FE1325" w:rsidRPr="000B09B9">
        <w:rPr>
          <w:rFonts w:ascii="Calibri" w:eastAsia="Calibri" w:hAnsi="Calibri" w:cs="Calibri"/>
          <w:color w:val="000000" w:themeColor="text1"/>
        </w:rPr>
        <w:t xml:space="preserve">he phosphate salt of amifampridine </w:t>
      </w:r>
      <w:r w:rsidR="000A7C5A" w:rsidRPr="000B09B9">
        <w:rPr>
          <w:rFonts w:ascii="Calibri" w:eastAsia="Calibri" w:hAnsi="Calibri" w:cs="Calibri"/>
          <w:color w:val="000000" w:themeColor="text1"/>
        </w:rPr>
        <w:t>(which has the chemical name 3,4-diaminopyridine phosphate)</w:t>
      </w:r>
      <w:r w:rsidR="00182DC4" w:rsidRPr="000B09B9">
        <w:rPr>
          <w:rFonts w:ascii="Calibri" w:eastAsia="Calibri" w:hAnsi="Calibri" w:cs="Calibri"/>
          <w:color w:val="000000" w:themeColor="text1"/>
        </w:rPr>
        <w:t>,</w:t>
      </w:r>
      <w:r w:rsidR="000A7C5A" w:rsidRPr="000B09B9">
        <w:rPr>
          <w:rFonts w:ascii="Calibri" w:eastAsia="Calibri" w:hAnsi="Calibri" w:cs="Calibri"/>
          <w:color w:val="000000" w:themeColor="text1"/>
        </w:rPr>
        <w:t xml:space="preserve"> </w:t>
      </w:r>
      <w:r w:rsidRPr="000B09B9">
        <w:rPr>
          <w:rFonts w:ascii="Calibri" w:eastAsia="Calibri" w:hAnsi="Calibri" w:cs="Calibri"/>
          <w:color w:val="000000" w:themeColor="text1"/>
        </w:rPr>
        <w:t>was</w:t>
      </w:r>
      <w:r w:rsidR="00FE1325" w:rsidRPr="000B09B9">
        <w:rPr>
          <w:rFonts w:ascii="Calibri" w:eastAsia="Calibri" w:hAnsi="Calibri" w:cs="Calibri"/>
          <w:color w:val="000000" w:themeColor="text1"/>
        </w:rPr>
        <w:t xml:space="preserve"> approved in Europe (</w:t>
      </w:r>
      <w:r w:rsidR="00A21462" w:rsidRPr="000B09B9">
        <w:rPr>
          <w:rFonts w:ascii="Calibri" w:eastAsia="Calibri" w:hAnsi="Calibri" w:cs="Calibri"/>
          <w:color w:val="000000" w:themeColor="text1"/>
        </w:rPr>
        <w:t xml:space="preserve">in </w:t>
      </w:r>
      <w:r w:rsidR="00FE1325" w:rsidRPr="000B09B9">
        <w:rPr>
          <w:rFonts w:ascii="Calibri" w:eastAsia="Calibri" w:hAnsi="Calibri" w:cs="Calibri"/>
          <w:color w:val="000000" w:themeColor="text1"/>
        </w:rPr>
        <w:t>2009)</w:t>
      </w:r>
      <w:r w:rsidR="00A21462" w:rsidRPr="000B09B9">
        <w:rPr>
          <w:rFonts w:ascii="Calibri" w:eastAsia="Calibri" w:hAnsi="Calibri" w:cs="Calibri"/>
          <w:color w:val="000000" w:themeColor="text1"/>
        </w:rPr>
        <w:t xml:space="preserve">, </w:t>
      </w:r>
      <w:r w:rsidR="00FE1325" w:rsidRPr="000B09B9">
        <w:rPr>
          <w:rFonts w:ascii="Calibri" w:eastAsia="Calibri" w:hAnsi="Calibri" w:cs="Calibri"/>
          <w:color w:val="000000" w:themeColor="text1"/>
        </w:rPr>
        <w:t>the US (</w:t>
      </w:r>
      <w:r w:rsidR="00A21462" w:rsidRPr="000B09B9">
        <w:rPr>
          <w:rFonts w:ascii="Calibri" w:eastAsia="Calibri" w:hAnsi="Calibri" w:cs="Calibri"/>
          <w:color w:val="000000" w:themeColor="text1"/>
        </w:rPr>
        <w:t xml:space="preserve">in </w:t>
      </w:r>
      <w:r w:rsidR="00FE1325" w:rsidRPr="000B09B9">
        <w:rPr>
          <w:rFonts w:ascii="Calibri" w:eastAsia="Calibri" w:hAnsi="Calibri" w:cs="Calibri"/>
          <w:color w:val="000000" w:themeColor="text1"/>
        </w:rPr>
        <w:t xml:space="preserve">2018) </w:t>
      </w:r>
      <w:r w:rsidR="00A21462" w:rsidRPr="000B09B9">
        <w:rPr>
          <w:rFonts w:ascii="Calibri" w:eastAsia="Calibri" w:hAnsi="Calibri" w:cs="Calibri"/>
          <w:color w:val="000000" w:themeColor="text1"/>
        </w:rPr>
        <w:t xml:space="preserve">and Canada (in 2020) and has the trade name </w:t>
      </w:r>
      <w:r w:rsidRPr="000B09B9">
        <w:rPr>
          <w:rFonts w:ascii="Calibri" w:eastAsia="Calibri" w:hAnsi="Calibri" w:cs="Calibri"/>
          <w:color w:val="000000" w:themeColor="text1"/>
        </w:rPr>
        <w:t>Firdapse®</w:t>
      </w:r>
      <w:r w:rsidR="2E3255E3" w:rsidRPr="000B09B9">
        <w:rPr>
          <w:rFonts w:ascii="Calibri" w:eastAsia="Calibri" w:hAnsi="Calibri" w:cs="Calibri"/>
          <w:iCs/>
        </w:rPr>
        <w:t xml:space="preserve">. Currently, </w:t>
      </w:r>
      <w:r w:rsidR="2E3255E3" w:rsidRPr="000B09B9">
        <w:rPr>
          <w:rFonts w:ascii="Calibri" w:eastAsia="Calibri" w:hAnsi="Calibri" w:cs="Calibri"/>
          <w:iCs/>
        </w:rPr>
        <w:lastRenderedPageBreak/>
        <w:t>there is no direct comparison between the two formulations</w:t>
      </w:r>
      <w:r w:rsidRPr="000B09B9">
        <w:rPr>
          <w:rFonts w:ascii="Calibri" w:eastAsia="Calibri" w:hAnsi="Calibri" w:cs="Calibri"/>
          <w:iCs/>
        </w:rPr>
        <w:t xml:space="preserve"> (free base and phosphate salt)</w:t>
      </w:r>
      <w:r w:rsidR="00837CAF" w:rsidRPr="000B09B9">
        <w:rPr>
          <w:rFonts w:ascii="Calibri" w:eastAsia="Calibri" w:hAnsi="Calibri" w:cs="Calibri"/>
          <w:iCs/>
        </w:rPr>
        <w:t xml:space="preserve"> to establish</w:t>
      </w:r>
      <w:r w:rsidR="2E3255E3" w:rsidRPr="000B09B9">
        <w:rPr>
          <w:rFonts w:ascii="Calibri" w:eastAsia="Calibri" w:hAnsi="Calibri" w:cs="Calibri"/>
          <w:iCs/>
        </w:rPr>
        <w:t xml:space="preserve"> equivalen</w:t>
      </w:r>
      <w:r w:rsidR="00837CAF" w:rsidRPr="000B09B9">
        <w:rPr>
          <w:rFonts w:ascii="Calibri" w:eastAsia="Calibri" w:hAnsi="Calibri" w:cs="Calibri"/>
          <w:iCs/>
        </w:rPr>
        <w:t>ce</w:t>
      </w:r>
      <w:r w:rsidR="2E3255E3" w:rsidRPr="000B09B9">
        <w:rPr>
          <w:rFonts w:ascii="Calibri" w:eastAsia="Calibri" w:hAnsi="Calibri" w:cs="Calibri"/>
          <w:iCs/>
        </w:rPr>
        <w:t xml:space="preserve"> in terms of effectiveness and safety.</w:t>
      </w:r>
    </w:p>
    <w:p w14:paraId="2CDF31BC" w14:textId="77777777" w:rsidR="00FB78C3" w:rsidRPr="000B09B9" w:rsidRDefault="00FB78C3" w:rsidP="002B0564">
      <w:pPr>
        <w:pStyle w:val="3-BodyText"/>
        <w:numPr>
          <w:ilvl w:val="1"/>
          <w:numId w:val="9"/>
        </w:numPr>
        <w:rPr>
          <w:rFonts w:eastAsiaTheme="minorEastAsia" w:cstheme="minorBidi"/>
          <w:color w:val="000000" w:themeColor="text1"/>
        </w:rPr>
      </w:pPr>
      <w:r w:rsidRPr="000B09B9">
        <w:t xml:space="preserve">Amifampridine has been used in global clinical practice for many years (granted orphan drug status in the US in 1990) for LEMS without high quality evidence. In Australia amifampridine has been used for about 15 years under </w:t>
      </w:r>
      <w:r w:rsidR="00264428" w:rsidRPr="000B09B9">
        <w:t xml:space="preserve">the </w:t>
      </w:r>
      <w:r w:rsidRPr="000B09B9">
        <w:t>Special Access Scheme</w:t>
      </w:r>
      <w:r w:rsidR="00BD5A27" w:rsidRPr="000B09B9">
        <w:t xml:space="preserve"> (SAS)</w:t>
      </w:r>
      <w:r w:rsidRPr="000B09B9">
        <w:t>.</w:t>
      </w:r>
      <w:r w:rsidR="000D4BBA" w:rsidRPr="000B09B9">
        <w:t xml:space="preserve"> The ESC noted that amifampridine may also be supplied by authorised medical practitioners via the Authorised Prescriber (AP) scheme, and that amifampridine is included in the list of medicines with an established history of use under that scheme.</w:t>
      </w:r>
    </w:p>
    <w:p w14:paraId="0983D430" w14:textId="77777777" w:rsidR="00BD5A27" w:rsidRPr="000B09B9" w:rsidRDefault="00BD5A27" w:rsidP="00D9654E">
      <w:pPr>
        <w:pStyle w:val="3-BodyText"/>
        <w:numPr>
          <w:ilvl w:val="1"/>
          <w:numId w:val="9"/>
        </w:numPr>
        <w:rPr>
          <w:rFonts w:eastAsiaTheme="minorEastAsia" w:cstheme="minorBidi"/>
          <w:color w:val="000000" w:themeColor="text1"/>
        </w:rPr>
      </w:pPr>
      <w:r w:rsidRPr="000B09B9">
        <w:t xml:space="preserve">The PBAC noted that amifampridine is available via the SAS, however </w:t>
      </w:r>
      <w:r w:rsidR="009C781E" w:rsidRPr="000B09B9">
        <w:t xml:space="preserve">considered that </w:t>
      </w:r>
      <w:r w:rsidRPr="000B09B9">
        <w:t xml:space="preserve">some </w:t>
      </w:r>
      <w:r w:rsidR="009C781E" w:rsidRPr="000B09B9">
        <w:t xml:space="preserve">LEMS </w:t>
      </w:r>
      <w:r w:rsidRPr="000B09B9">
        <w:t xml:space="preserve">patients </w:t>
      </w:r>
      <w:r w:rsidR="00F2179F">
        <w:t>experience</w:t>
      </w:r>
      <w:r w:rsidR="0062371B" w:rsidRPr="000B09B9">
        <w:t xml:space="preserve"> access challenges</w:t>
      </w:r>
      <w:r w:rsidRPr="000B09B9">
        <w:t>.</w:t>
      </w:r>
      <w:r w:rsidR="009C781E" w:rsidRPr="000B09B9">
        <w:t xml:space="preserve"> The PBAC </w:t>
      </w:r>
      <w:r w:rsidRPr="000B09B9">
        <w:t>considered that PBS listing would improve equity of access for patients, especially for those living in regional areas.</w:t>
      </w:r>
    </w:p>
    <w:p w14:paraId="216FF594" w14:textId="77777777" w:rsidR="001743D2" w:rsidRPr="000B09B9" w:rsidRDefault="001743D2" w:rsidP="001743D2">
      <w:pPr>
        <w:pStyle w:val="3-BodyText"/>
        <w:numPr>
          <w:ilvl w:val="0"/>
          <w:numId w:val="0"/>
        </w:numPr>
        <w:ind w:left="720"/>
        <w:rPr>
          <w:rFonts w:eastAsiaTheme="minorEastAsia" w:cstheme="minorBidi"/>
          <w:color w:val="000000" w:themeColor="text1"/>
        </w:rPr>
      </w:pPr>
      <w:r w:rsidRPr="000B09B9">
        <w:rPr>
          <w:i/>
        </w:rPr>
        <w:t>For more detail on PBAC’s view, see section 7 PBAC outcome.</w:t>
      </w:r>
    </w:p>
    <w:p w14:paraId="5F2CF4D2" w14:textId="77777777" w:rsidR="00AF249B" w:rsidRPr="000B09B9" w:rsidRDefault="00FE1325" w:rsidP="0002346E">
      <w:pPr>
        <w:pStyle w:val="2-SectionHeading"/>
        <w:numPr>
          <w:ilvl w:val="0"/>
          <w:numId w:val="9"/>
        </w:numPr>
      </w:pPr>
      <w:bookmarkStart w:id="12" w:name="_Toc22898848"/>
      <w:bookmarkStart w:id="13" w:name="_Toc82537444"/>
      <w:bookmarkEnd w:id="9"/>
      <w:bookmarkEnd w:id="10"/>
      <w:bookmarkEnd w:id="11"/>
      <w:r w:rsidRPr="000B09B9">
        <w:t>Requested listing</w:t>
      </w:r>
      <w:bookmarkEnd w:id="12"/>
      <w:bookmarkEnd w:id="13"/>
    </w:p>
    <w:p w14:paraId="5AB9161F" w14:textId="77777777" w:rsidR="0002346E" w:rsidRPr="000B09B9" w:rsidRDefault="0002346E" w:rsidP="0002346E">
      <w:pPr>
        <w:pStyle w:val="3-BodyText"/>
        <w:numPr>
          <w:ilvl w:val="1"/>
          <w:numId w:val="10"/>
        </w:numPr>
        <w:rPr>
          <w:iCs/>
        </w:rPr>
      </w:pPr>
      <w:r w:rsidRPr="000B09B9">
        <w:t>The requested listing is presented below. Suggestions and additions proposed by the Secretariat are added in italics and suggested deletions are crossed out with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1805"/>
        <w:gridCol w:w="1311"/>
        <w:gridCol w:w="1147"/>
        <w:gridCol w:w="1311"/>
        <w:gridCol w:w="1805"/>
      </w:tblGrid>
      <w:tr w:rsidR="00630FF9" w:rsidRPr="000B09B9" w14:paraId="3F75B2DA" w14:textId="77777777" w:rsidTr="00630FF9">
        <w:trPr>
          <w:cantSplit/>
          <w:trHeight w:val="471"/>
        </w:trPr>
        <w:tc>
          <w:tcPr>
            <w:tcW w:w="908" w:type="pct"/>
          </w:tcPr>
          <w:p w14:paraId="09928A71" w14:textId="77777777" w:rsidR="00630FF9" w:rsidRPr="000B09B9" w:rsidRDefault="00630FF9" w:rsidP="004F653E">
            <w:pPr>
              <w:rPr>
                <w:rFonts w:eastAsia="Calibri"/>
              </w:rPr>
            </w:pPr>
            <w:r w:rsidRPr="000B09B9">
              <w:rPr>
                <w:rFonts w:ascii="Arial Narrow" w:eastAsia="Calibri" w:hAnsi="Arial Narrow"/>
                <w:b/>
                <w:sz w:val="20"/>
                <w:szCs w:val="20"/>
              </w:rPr>
              <w:t>MEDICINAL PRODUCT medicinal product pack</w:t>
            </w:r>
          </w:p>
        </w:tc>
        <w:tc>
          <w:tcPr>
            <w:tcW w:w="1001" w:type="pct"/>
          </w:tcPr>
          <w:p w14:paraId="55D5C919" w14:textId="77777777" w:rsidR="00630FF9" w:rsidRPr="000B09B9" w:rsidRDefault="00630FF9" w:rsidP="00817A04">
            <w:pPr>
              <w:keepNext/>
              <w:ind w:left="-108"/>
              <w:jc w:val="center"/>
              <w:rPr>
                <w:rFonts w:ascii="Arial Narrow" w:eastAsia="Calibri" w:hAnsi="Arial Narrow"/>
                <w:b/>
                <w:sz w:val="20"/>
                <w:szCs w:val="20"/>
              </w:rPr>
            </w:pPr>
            <w:r w:rsidRPr="000B09B9">
              <w:rPr>
                <w:rFonts w:ascii="Arial Narrow" w:eastAsia="Calibri" w:hAnsi="Arial Narrow"/>
                <w:b/>
                <w:sz w:val="20"/>
                <w:szCs w:val="20"/>
              </w:rPr>
              <w:t>PBS item code</w:t>
            </w:r>
          </w:p>
        </w:tc>
        <w:tc>
          <w:tcPr>
            <w:tcW w:w="727" w:type="pct"/>
          </w:tcPr>
          <w:p w14:paraId="059098D4" w14:textId="77777777" w:rsidR="00630FF9" w:rsidRPr="000B09B9" w:rsidRDefault="00630FF9" w:rsidP="00817A04">
            <w:pPr>
              <w:keepNext/>
              <w:ind w:left="-108"/>
              <w:jc w:val="center"/>
              <w:rPr>
                <w:rFonts w:ascii="Arial Narrow" w:eastAsia="Calibri" w:hAnsi="Arial Narrow"/>
                <w:b/>
                <w:sz w:val="20"/>
                <w:szCs w:val="20"/>
              </w:rPr>
            </w:pPr>
            <w:r w:rsidRPr="000B09B9">
              <w:rPr>
                <w:rFonts w:ascii="Arial Narrow" w:eastAsia="Calibri" w:hAnsi="Arial Narrow"/>
                <w:b/>
                <w:sz w:val="20"/>
                <w:szCs w:val="20"/>
              </w:rPr>
              <w:t>Max. qty packs</w:t>
            </w:r>
          </w:p>
        </w:tc>
        <w:tc>
          <w:tcPr>
            <w:tcW w:w="636" w:type="pct"/>
          </w:tcPr>
          <w:p w14:paraId="1743C134" w14:textId="77777777" w:rsidR="00630FF9" w:rsidRPr="000B09B9" w:rsidRDefault="00630FF9" w:rsidP="00817A04">
            <w:pPr>
              <w:keepNext/>
              <w:ind w:left="-108"/>
              <w:jc w:val="center"/>
              <w:rPr>
                <w:rFonts w:ascii="Arial Narrow" w:eastAsia="Calibri" w:hAnsi="Arial Narrow"/>
                <w:b/>
                <w:sz w:val="20"/>
                <w:szCs w:val="20"/>
              </w:rPr>
            </w:pPr>
            <w:r w:rsidRPr="000B09B9">
              <w:rPr>
                <w:rFonts w:ascii="Arial Narrow" w:eastAsia="Calibri" w:hAnsi="Arial Narrow"/>
                <w:b/>
                <w:sz w:val="20"/>
                <w:szCs w:val="20"/>
              </w:rPr>
              <w:t>Max. qty units</w:t>
            </w:r>
          </w:p>
        </w:tc>
        <w:tc>
          <w:tcPr>
            <w:tcW w:w="727" w:type="pct"/>
          </w:tcPr>
          <w:p w14:paraId="1D57A69C" w14:textId="77777777" w:rsidR="00630FF9" w:rsidRPr="000B09B9" w:rsidRDefault="00630FF9" w:rsidP="00817A04">
            <w:pPr>
              <w:keepNext/>
              <w:ind w:left="-108"/>
              <w:jc w:val="center"/>
              <w:rPr>
                <w:rFonts w:ascii="Arial Narrow" w:eastAsia="Calibri" w:hAnsi="Arial Narrow"/>
                <w:b/>
                <w:sz w:val="20"/>
                <w:szCs w:val="20"/>
              </w:rPr>
            </w:pPr>
            <w:r w:rsidRPr="000B09B9">
              <w:rPr>
                <w:rFonts w:ascii="Arial Narrow" w:eastAsia="Calibri" w:hAnsi="Arial Narrow"/>
                <w:b/>
                <w:sz w:val="20"/>
                <w:szCs w:val="20"/>
              </w:rPr>
              <w:t>№.of</w:t>
            </w:r>
          </w:p>
          <w:p w14:paraId="469F636C" w14:textId="77777777" w:rsidR="00630FF9" w:rsidRPr="000B09B9" w:rsidRDefault="00630FF9" w:rsidP="00817A04">
            <w:pPr>
              <w:keepNext/>
              <w:ind w:left="-108"/>
              <w:jc w:val="center"/>
              <w:rPr>
                <w:rFonts w:ascii="Arial Narrow" w:eastAsia="Calibri" w:hAnsi="Arial Narrow"/>
                <w:b/>
                <w:sz w:val="20"/>
                <w:szCs w:val="20"/>
              </w:rPr>
            </w:pPr>
            <w:r w:rsidRPr="000B09B9">
              <w:rPr>
                <w:rFonts w:ascii="Arial Narrow" w:eastAsia="Calibri" w:hAnsi="Arial Narrow"/>
                <w:b/>
                <w:sz w:val="20"/>
                <w:szCs w:val="20"/>
              </w:rPr>
              <w:t>Rpts</w:t>
            </w:r>
          </w:p>
        </w:tc>
        <w:tc>
          <w:tcPr>
            <w:tcW w:w="1001" w:type="pct"/>
          </w:tcPr>
          <w:p w14:paraId="6BB5FB47" w14:textId="77777777" w:rsidR="00630FF9" w:rsidRPr="000B09B9" w:rsidRDefault="00630FF9" w:rsidP="00817A04">
            <w:pPr>
              <w:keepNext/>
              <w:rPr>
                <w:rFonts w:ascii="Arial Narrow" w:eastAsia="Calibri" w:hAnsi="Arial Narrow"/>
                <w:b/>
                <w:sz w:val="20"/>
                <w:szCs w:val="20"/>
              </w:rPr>
            </w:pPr>
            <w:r w:rsidRPr="000B09B9">
              <w:rPr>
                <w:rFonts w:ascii="Arial Narrow" w:eastAsia="Calibri" w:hAnsi="Arial Narrow"/>
                <w:b/>
                <w:sz w:val="20"/>
                <w:szCs w:val="20"/>
              </w:rPr>
              <w:t>Available brands</w:t>
            </w:r>
          </w:p>
        </w:tc>
      </w:tr>
      <w:tr w:rsidR="00630FF9" w:rsidRPr="000B09B9" w14:paraId="4164C6BC" w14:textId="77777777" w:rsidTr="00630FF9">
        <w:trPr>
          <w:cantSplit/>
          <w:trHeight w:val="224"/>
        </w:trPr>
        <w:tc>
          <w:tcPr>
            <w:tcW w:w="5000" w:type="pct"/>
            <w:gridSpan w:val="6"/>
          </w:tcPr>
          <w:p w14:paraId="215B29F1" w14:textId="77777777" w:rsidR="00630FF9" w:rsidRPr="000B09B9" w:rsidRDefault="00630FF9" w:rsidP="00630FF9">
            <w:pPr>
              <w:keepNext/>
              <w:ind w:left="-57"/>
              <w:rPr>
                <w:rFonts w:ascii="Arial Narrow" w:eastAsia="Calibri" w:hAnsi="Arial Narrow"/>
                <w:sz w:val="20"/>
                <w:szCs w:val="20"/>
              </w:rPr>
            </w:pPr>
            <w:r w:rsidRPr="000B09B9">
              <w:rPr>
                <w:rFonts w:ascii="Arial Narrow" w:eastAsia="Calibri" w:hAnsi="Arial Narrow"/>
                <w:sz w:val="20"/>
                <w:szCs w:val="20"/>
              </w:rPr>
              <w:t xml:space="preserve">AMIFAMPRIDINE  </w:t>
            </w:r>
          </w:p>
        </w:tc>
      </w:tr>
      <w:tr w:rsidR="00630FF9" w:rsidRPr="000B09B9" w14:paraId="5086E6D5" w14:textId="77777777" w:rsidTr="00630FF9">
        <w:trPr>
          <w:cantSplit/>
          <w:trHeight w:val="218"/>
        </w:trPr>
        <w:tc>
          <w:tcPr>
            <w:tcW w:w="908" w:type="pct"/>
          </w:tcPr>
          <w:p w14:paraId="5228FF60" w14:textId="77777777" w:rsidR="00630FF9" w:rsidRPr="000B09B9" w:rsidRDefault="00630FF9" w:rsidP="00630FF9">
            <w:pPr>
              <w:keepNext/>
              <w:ind w:left="-57"/>
              <w:rPr>
                <w:rFonts w:ascii="Arial Narrow" w:eastAsia="Calibri" w:hAnsi="Arial Narrow"/>
                <w:sz w:val="20"/>
                <w:szCs w:val="20"/>
              </w:rPr>
            </w:pPr>
            <w:r w:rsidRPr="000B09B9">
              <w:rPr>
                <w:rFonts w:ascii="Arial Narrow" w:eastAsia="Calibri" w:hAnsi="Arial Narrow"/>
                <w:sz w:val="20"/>
                <w:szCs w:val="20"/>
              </w:rPr>
              <w:t>amifampridine 10 mg tablet, 100</w:t>
            </w:r>
          </w:p>
        </w:tc>
        <w:tc>
          <w:tcPr>
            <w:tcW w:w="1001" w:type="pct"/>
          </w:tcPr>
          <w:p w14:paraId="09D9E0FE" w14:textId="77777777" w:rsidR="00630FF9" w:rsidRPr="000B09B9" w:rsidRDefault="00630FF9" w:rsidP="00630FF9">
            <w:pPr>
              <w:keepNext/>
              <w:jc w:val="center"/>
              <w:rPr>
                <w:rFonts w:ascii="Arial Narrow" w:eastAsia="Calibri" w:hAnsi="Arial Narrow"/>
                <w:sz w:val="20"/>
                <w:szCs w:val="20"/>
              </w:rPr>
            </w:pPr>
            <w:r w:rsidRPr="000B09B9">
              <w:rPr>
                <w:rFonts w:ascii="Arial Narrow" w:eastAsia="Calibri" w:hAnsi="Arial Narrow"/>
                <w:sz w:val="20"/>
                <w:szCs w:val="20"/>
              </w:rPr>
              <w:t>NEW</w:t>
            </w:r>
          </w:p>
        </w:tc>
        <w:tc>
          <w:tcPr>
            <w:tcW w:w="727" w:type="pct"/>
          </w:tcPr>
          <w:p w14:paraId="06991EF5" w14:textId="77777777" w:rsidR="00630FF9" w:rsidRPr="000B09B9" w:rsidRDefault="00630FF9" w:rsidP="00630FF9">
            <w:pPr>
              <w:keepNext/>
              <w:jc w:val="center"/>
              <w:rPr>
                <w:rFonts w:ascii="Arial Narrow" w:eastAsia="Calibri" w:hAnsi="Arial Narrow"/>
                <w:sz w:val="20"/>
                <w:szCs w:val="20"/>
              </w:rPr>
            </w:pPr>
            <w:r w:rsidRPr="000B09B9">
              <w:rPr>
                <w:rFonts w:ascii="Arial Narrow" w:eastAsia="Calibri" w:hAnsi="Arial Narrow"/>
                <w:sz w:val="20"/>
                <w:szCs w:val="20"/>
              </w:rPr>
              <w:t>2</w:t>
            </w:r>
          </w:p>
        </w:tc>
        <w:tc>
          <w:tcPr>
            <w:tcW w:w="636" w:type="pct"/>
          </w:tcPr>
          <w:p w14:paraId="3B4556B3" w14:textId="77777777" w:rsidR="00630FF9" w:rsidRPr="000B09B9" w:rsidRDefault="00630FF9" w:rsidP="00630FF9">
            <w:pPr>
              <w:keepNext/>
              <w:jc w:val="center"/>
              <w:rPr>
                <w:rFonts w:ascii="Arial Narrow" w:eastAsia="Calibri" w:hAnsi="Arial Narrow"/>
                <w:sz w:val="20"/>
                <w:szCs w:val="20"/>
              </w:rPr>
            </w:pPr>
            <w:r w:rsidRPr="000B09B9">
              <w:rPr>
                <w:rFonts w:ascii="Arial Narrow" w:eastAsia="Calibri" w:hAnsi="Arial Narrow"/>
                <w:sz w:val="20"/>
                <w:szCs w:val="20"/>
              </w:rPr>
              <w:t>200</w:t>
            </w:r>
          </w:p>
        </w:tc>
        <w:tc>
          <w:tcPr>
            <w:tcW w:w="727" w:type="pct"/>
          </w:tcPr>
          <w:p w14:paraId="6E1BE59E" w14:textId="77777777" w:rsidR="00630FF9" w:rsidRPr="000B09B9" w:rsidRDefault="00630FF9" w:rsidP="00630FF9">
            <w:pPr>
              <w:keepNext/>
              <w:jc w:val="center"/>
              <w:rPr>
                <w:rFonts w:ascii="Arial Narrow" w:eastAsia="Calibri" w:hAnsi="Arial Narrow"/>
                <w:sz w:val="20"/>
                <w:szCs w:val="20"/>
              </w:rPr>
            </w:pPr>
            <w:r w:rsidRPr="000B09B9">
              <w:rPr>
                <w:rFonts w:ascii="Arial Narrow" w:eastAsia="Calibri" w:hAnsi="Arial Narrow"/>
                <w:sz w:val="20"/>
                <w:szCs w:val="20"/>
              </w:rPr>
              <w:t>5</w:t>
            </w:r>
          </w:p>
        </w:tc>
        <w:tc>
          <w:tcPr>
            <w:tcW w:w="1001" w:type="pct"/>
          </w:tcPr>
          <w:p w14:paraId="3F44E160" w14:textId="77777777" w:rsidR="00630FF9" w:rsidRPr="000B09B9" w:rsidRDefault="00630FF9" w:rsidP="00630FF9">
            <w:pPr>
              <w:keepNext/>
              <w:rPr>
                <w:rFonts w:ascii="Arial Narrow" w:eastAsia="Calibri" w:hAnsi="Arial Narrow"/>
                <w:sz w:val="20"/>
                <w:szCs w:val="20"/>
              </w:rPr>
            </w:pPr>
            <w:r w:rsidRPr="000B09B9">
              <w:rPr>
                <w:rFonts w:ascii="Arial Narrow" w:eastAsia="Calibri" w:hAnsi="Arial Narrow"/>
                <w:sz w:val="20"/>
                <w:szCs w:val="20"/>
              </w:rPr>
              <w:t>Ruzurgi</w:t>
            </w:r>
          </w:p>
        </w:tc>
      </w:tr>
      <w:tr w:rsidR="00630FF9" w:rsidRPr="000B09B9" w14:paraId="0B637C1D" w14:textId="77777777" w:rsidTr="00630FF9">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right w:val="single" w:sz="4" w:space="0" w:color="auto"/>
            </w:tcBorders>
          </w:tcPr>
          <w:p w14:paraId="625253BE" w14:textId="77777777" w:rsidR="00630FF9" w:rsidRPr="000B09B9" w:rsidRDefault="00630FF9" w:rsidP="00630FF9">
            <w:pPr>
              <w:rPr>
                <w:rFonts w:ascii="Arial Narrow" w:eastAsia="Calibri" w:hAnsi="Arial Narrow"/>
                <w:sz w:val="20"/>
                <w:szCs w:val="20"/>
              </w:rPr>
            </w:pPr>
          </w:p>
        </w:tc>
      </w:tr>
      <w:tr w:rsidR="00630FF9" w:rsidRPr="000B09B9" w14:paraId="610ACD1D" w14:textId="77777777" w:rsidTr="00630FF9">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right w:val="single" w:sz="4" w:space="0" w:color="auto"/>
            </w:tcBorders>
          </w:tcPr>
          <w:p w14:paraId="029D2115" w14:textId="77777777" w:rsidR="00630FF9" w:rsidRPr="000B09B9" w:rsidRDefault="00630FF9" w:rsidP="00630FF9">
            <w:pPr>
              <w:rPr>
                <w:rFonts w:ascii="Arial Narrow" w:eastAsia="Calibri" w:hAnsi="Arial Narrow"/>
                <w:b/>
                <w:sz w:val="20"/>
                <w:szCs w:val="20"/>
              </w:rPr>
            </w:pPr>
            <w:r w:rsidRPr="000B09B9">
              <w:rPr>
                <w:rFonts w:ascii="Arial Narrow" w:eastAsia="Calibri" w:hAnsi="Arial Narrow"/>
                <w:b/>
                <w:sz w:val="20"/>
                <w:szCs w:val="20"/>
              </w:rPr>
              <w:t>Restriction Summary / Treatment of Concept: [New 1]</w:t>
            </w:r>
          </w:p>
        </w:tc>
      </w:tr>
      <w:tr w:rsidR="00630FF9" w:rsidRPr="000B09B9" w14:paraId="1B8C0B33" w14:textId="77777777" w:rsidTr="00630FF9">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766BAB00" w14:textId="77D437AF" w:rsidR="00630FF9" w:rsidRPr="000B09B9" w:rsidRDefault="00630FF9" w:rsidP="00630FF9">
            <w:pPr>
              <w:rPr>
                <w:rFonts w:ascii="Arial Narrow" w:eastAsia="Calibri" w:hAnsi="Arial Narrow"/>
                <w:sz w:val="20"/>
                <w:szCs w:val="20"/>
              </w:rPr>
            </w:pPr>
            <w:r w:rsidRPr="000B09B9">
              <w:rPr>
                <w:rFonts w:ascii="Arial Narrow" w:eastAsia="Calibri" w:hAnsi="Arial Narrow"/>
                <w:b/>
                <w:sz w:val="20"/>
                <w:szCs w:val="20"/>
              </w:rPr>
              <w:t xml:space="preserve">Category / Program: </w:t>
            </w:r>
            <w:r w:rsidRPr="000B09B9">
              <w:rPr>
                <w:rFonts w:ascii="Arial Narrow" w:eastAsia="Calibri" w:hAnsi="Arial Narrow"/>
                <w:sz w:val="20"/>
                <w:szCs w:val="20"/>
              </w:rPr>
              <w:t xml:space="preserve">GENERAL – General Schedule (Code GE) </w:t>
            </w:r>
          </w:p>
        </w:tc>
      </w:tr>
      <w:tr w:rsidR="00630FF9" w:rsidRPr="000B09B9" w14:paraId="323DFFE5" w14:textId="77777777" w:rsidTr="00630FF9">
        <w:tblPrEx>
          <w:tblCellMar>
            <w:top w:w="15" w:type="dxa"/>
            <w:left w:w="15" w:type="dxa"/>
            <w:bottom w:w="15" w:type="dxa"/>
            <w:right w:w="15" w:type="dxa"/>
          </w:tblCellMar>
          <w:tblLook w:val="04A0" w:firstRow="1" w:lastRow="0" w:firstColumn="1" w:lastColumn="0" w:noHBand="0" w:noVBand="1"/>
        </w:tblPrEx>
        <w:trPr>
          <w:trHeight w:val="240"/>
        </w:trPr>
        <w:tc>
          <w:tcPr>
            <w:tcW w:w="5000" w:type="pct"/>
            <w:gridSpan w:val="6"/>
            <w:tcBorders>
              <w:top w:val="single" w:sz="4" w:space="0" w:color="auto"/>
              <w:left w:val="single" w:sz="4" w:space="0" w:color="auto"/>
              <w:bottom w:val="single" w:sz="4" w:space="0" w:color="auto"/>
              <w:right w:val="single" w:sz="4" w:space="0" w:color="auto"/>
            </w:tcBorders>
          </w:tcPr>
          <w:p w14:paraId="66966217" w14:textId="236930E2" w:rsidR="00630FF9" w:rsidRPr="000B09B9" w:rsidRDefault="00630FF9" w:rsidP="00630FF9">
            <w:pPr>
              <w:rPr>
                <w:rFonts w:ascii="Arial Narrow" w:eastAsia="Calibri" w:hAnsi="Arial Narrow"/>
                <w:b/>
                <w:sz w:val="20"/>
                <w:szCs w:val="20"/>
              </w:rPr>
            </w:pPr>
            <w:r w:rsidRPr="000B09B9">
              <w:rPr>
                <w:rFonts w:ascii="Arial Narrow" w:eastAsia="Calibri" w:hAnsi="Arial Narrow"/>
                <w:b/>
                <w:sz w:val="20"/>
                <w:szCs w:val="20"/>
              </w:rPr>
              <w:t xml:space="preserve">Prescriber type: </w:t>
            </w:r>
            <w:r w:rsidRPr="000B09B9">
              <w:rPr>
                <w:rFonts w:ascii="Arial Narrow" w:eastAsia="Calibri" w:hAnsi="Arial Narrow"/>
                <w:sz w:val="20"/>
                <w:szCs w:val="20"/>
              </w:rPr>
              <w:fldChar w:fldCharType="begin">
                <w:ffData>
                  <w:name w:val=""/>
                  <w:enabled/>
                  <w:calcOnExit w:val="0"/>
                  <w:checkBox>
                    <w:sizeAuto/>
                    <w:default w:val="1"/>
                  </w:checkBox>
                </w:ffData>
              </w:fldChar>
            </w:r>
            <w:r w:rsidRPr="000B09B9">
              <w:rPr>
                <w:rFonts w:ascii="Arial Narrow" w:eastAsia="Calibri" w:hAnsi="Arial Narrow"/>
                <w:sz w:val="20"/>
                <w:szCs w:val="20"/>
              </w:rPr>
              <w:instrText xml:space="preserve"> FORMCHECKBOX </w:instrText>
            </w:r>
            <w:r w:rsidR="000868D1">
              <w:rPr>
                <w:rFonts w:ascii="Arial Narrow" w:eastAsia="Calibri" w:hAnsi="Arial Narrow"/>
                <w:sz w:val="20"/>
                <w:szCs w:val="20"/>
              </w:rPr>
            </w:r>
            <w:r w:rsidR="000868D1">
              <w:rPr>
                <w:rFonts w:ascii="Arial Narrow" w:eastAsia="Calibri" w:hAnsi="Arial Narrow"/>
                <w:sz w:val="20"/>
                <w:szCs w:val="20"/>
              </w:rPr>
              <w:fldChar w:fldCharType="separate"/>
            </w:r>
            <w:r w:rsidRPr="000B09B9">
              <w:rPr>
                <w:rFonts w:ascii="Arial Narrow" w:eastAsia="Calibri" w:hAnsi="Arial Narrow"/>
                <w:sz w:val="20"/>
                <w:szCs w:val="20"/>
              </w:rPr>
              <w:fldChar w:fldCharType="end"/>
            </w:r>
            <w:r w:rsidRPr="000B09B9">
              <w:rPr>
                <w:rFonts w:ascii="Arial Narrow" w:eastAsia="Calibri" w:hAnsi="Arial Narrow"/>
                <w:sz w:val="20"/>
                <w:szCs w:val="20"/>
              </w:rPr>
              <w:t xml:space="preserve"> Medical Practitioners </w:t>
            </w:r>
          </w:p>
        </w:tc>
      </w:tr>
      <w:tr w:rsidR="00630FF9" w:rsidRPr="000B09B9" w14:paraId="750714A0" w14:textId="77777777" w:rsidTr="00630FF9">
        <w:tblPrEx>
          <w:tblCellMar>
            <w:top w:w="15" w:type="dxa"/>
            <w:left w:w="15" w:type="dxa"/>
            <w:bottom w:w="15" w:type="dxa"/>
            <w:right w:w="15" w:type="dxa"/>
          </w:tblCellMar>
          <w:tblLook w:val="04A0" w:firstRow="1" w:lastRow="0" w:firstColumn="1" w:lastColumn="0" w:noHBand="0" w:noVBand="1"/>
        </w:tblPrEx>
        <w:trPr>
          <w:trHeight w:val="286"/>
        </w:trPr>
        <w:tc>
          <w:tcPr>
            <w:tcW w:w="5000" w:type="pct"/>
            <w:gridSpan w:val="6"/>
            <w:tcBorders>
              <w:top w:val="single" w:sz="4" w:space="0" w:color="auto"/>
              <w:left w:val="single" w:sz="4" w:space="0" w:color="auto"/>
              <w:bottom w:val="single" w:sz="4" w:space="0" w:color="auto"/>
              <w:right w:val="single" w:sz="4" w:space="0" w:color="auto"/>
            </w:tcBorders>
          </w:tcPr>
          <w:p w14:paraId="0F8ED17B" w14:textId="77777777" w:rsidR="00630FF9" w:rsidRPr="000B09B9" w:rsidRDefault="00630FF9" w:rsidP="00630FF9">
            <w:pPr>
              <w:rPr>
                <w:rFonts w:ascii="Arial Narrow" w:eastAsia="Calibri" w:hAnsi="Arial Narrow"/>
                <w:sz w:val="20"/>
                <w:szCs w:val="20"/>
              </w:rPr>
            </w:pPr>
            <w:r w:rsidRPr="000B09B9">
              <w:rPr>
                <w:rFonts w:ascii="Arial Narrow" w:eastAsia="Calibri" w:hAnsi="Arial Narrow"/>
                <w:b/>
                <w:sz w:val="20"/>
                <w:szCs w:val="20"/>
              </w:rPr>
              <w:t xml:space="preserve">Restriction type: </w:t>
            </w:r>
            <w:r w:rsidRPr="000B09B9">
              <w:rPr>
                <w:rFonts w:ascii="Arial Narrow" w:eastAsia="Calibri" w:hAnsi="Arial Narrow"/>
                <w:sz w:val="20"/>
                <w:szCs w:val="20"/>
              </w:rPr>
              <w:fldChar w:fldCharType="begin">
                <w:ffData>
                  <w:name w:val="Check3"/>
                  <w:enabled/>
                  <w:calcOnExit w:val="0"/>
                  <w:checkBox>
                    <w:sizeAuto/>
                    <w:default w:val="1"/>
                  </w:checkBox>
                </w:ffData>
              </w:fldChar>
            </w:r>
            <w:r w:rsidRPr="000B09B9">
              <w:rPr>
                <w:rFonts w:ascii="Arial Narrow" w:eastAsia="Calibri" w:hAnsi="Arial Narrow"/>
                <w:sz w:val="20"/>
                <w:szCs w:val="20"/>
              </w:rPr>
              <w:instrText xml:space="preserve"> FORMCHECKBOX </w:instrText>
            </w:r>
            <w:r w:rsidR="000868D1">
              <w:rPr>
                <w:rFonts w:ascii="Arial Narrow" w:eastAsia="Calibri" w:hAnsi="Arial Narrow"/>
                <w:sz w:val="20"/>
                <w:szCs w:val="20"/>
              </w:rPr>
            </w:r>
            <w:r w:rsidR="000868D1">
              <w:rPr>
                <w:rFonts w:ascii="Arial Narrow" w:eastAsia="Calibri" w:hAnsi="Arial Narrow"/>
                <w:sz w:val="20"/>
                <w:szCs w:val="20"/>
              </w:rPr>
              <w:fldChar w:fldCharType="separate"/>
            </w:r>
            <w:r w:rsidRPr="000B09B9">
              <w:rPr>
                <w:rFonts w:ascii="Arial Narrow" w:eastAsia="Calibri" w:hAnsi="Arial Narrow"/>
                <w:sz w:val="20"/>
                <w:szCs w:val="20"/>
              </w:rPr>
              <w:fldChar w:fldCharType="end"/>
            </w:r>
            <w:r w:rsidRPr="000B09B9">
              <w:rPr>
                <w:rFonts w:ascii="Arial Narrow" w:eastAsia="Calibri" w:hAnsi="Arial Narrow"/>
                <w:sz w:val="20"/>
                <w:szCs w:val="20"/>
              </w:rPr>
              <w:t xml:space="preserve"> Authority Required – </w:t>
            </w:r>
            <w:r w:rsidRPr="000B09B9">
              <w:rPr>
                <w:rFonts w:ascii="Arial Narrow" w:eastAsia="Calibri" w:hAnsi="Arial Narrow"/>
                <w:strike/>
                <w:sz w:val="20"/>
                <w:szCs w:val="20"/>
              </w:rPr>
              <w:t>in writing</w:t>
            </w:r>
            <w:r w:rsidRPr="000B09B9">
              <w:rPr>
                <w:rFonts w:ascii="Arial Narrow" w:eastAsia="Calibri" w:hAnsi="Arial Narrow"/>
                <w:sz w:val="20"/>
                <w:szCs w:val="20"/>
              </w:rPr>
              <w:t xml:space="preserve"> </w:t>
            </w:r>
            <w:r w:rsidRPr="000B09B9">
              <w:rPr>
                <w:rFonts w:ascii="Arial Narrow" w:eastAsia="Calibri" w:hAnsi="Arial Narrow"/>
                <w:i/>
                <w:sz w:val="20"/>
                <w:szCs w:val="20"/>
              </w:rPr>
              <w:t>(telephone/online PBS Authorities system)</w:t>
            </w:r>
          </w:p>
        </w:tc>
      </w:tr>
      <w:tr w:rsidR="00630FF9" w:rsidRPr="000B09B9" w14:paraId="7D3BEB28" w14:textId="77777777" w:rsidTr="00630FF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2BAF4021" w14:textId="77777777" w:rsidR="00630FF9" w:rsidRPr="000B09B9" w:rsidRDefault="00630FF9" w:rsidP="00630FF9">
            <w:pPr>
              <w:rPr>
                <w:rFonts w:ascii="Arial Narrow" w:hAnsi="Arial Narrow"/>
                <w:i/>
                <w:sz w:val="20"/>
                <w:szCs w:val="20"/>
              </w:rPr>
            </w:pPr>
            <w:r w:rsidRPr="000B09B9">
              <w:rPr>
                <w:rFonts w:ascii="Arial Narrow" w:hAnsi="Arial Narrow"/>
                <w:b/>
                <w:bCs/>
                <w:i/>
                <w:sz w:val="20"/>
                <w:szCs w:val="20"/>
              </w:rPr>
              <w:t xml:space="preserve">Administrative Advice: </w:t>
            </w:r>
            <w:r w:rsidRPr="000B09B9">
              <w:rPr>
                <w:rFonts w:ascii="Arial Narrow" w:hAnsi="Arial Narrow"/>
                <w:i/>
                <w:sz w:val="20"/>
                <w:szCs w:val="20"/>
              </w:rPr>
              <w:t>No increase in the maximum quantity or number of units may be authorised.</w:t>
            </w:r>
          </w:p>
        </w:tc>
      </w:tr>
      <w:tr w:rsidR="00630FF9" w:rsidRPr="000B09B9" w14:paraId="25F50226" w14:textId="77777777" w:rsidTr="00630FF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7EB94E12" w14:textId="77777777" w:rsidR="00630FF9" w:rsidRPr="000B09B9" w:rsidRDefault="00630FF9" w:rsidP="00630FF9">
            <w:pPr>
              <w:rPr>
                <w:rFonts w:ascii="Arial Narrow" w:hAnsi="Arial Narrow"/>
                <w:b/>
                <w:bCs/>
                <w:i/>
                <w:sz w:val="20"/>
                <w:szCs w:val="20"/>
              </w:rPr>
            </w:pPr>
            <w:r w:rsidRPr="000B09B9">
              <w:rPr>
                <w:rFonts w:ascii="Arial Narrow" w:hAnsi="Arial Narrow"/>
                <w:b/>
                <w:bCs/>
                <w:i/>
                <w:sz w:val="20"/>
                <w:szCs w:val="20"/>
              </w:rPr>
              <w:t xml:space="preserve">Administrative Advice: </w:t>
            </w:r>
            <w:r w:rsidRPr="000B09B9">
              <w:rPr>
                <w:rFonts w:ascii="Arial Narrow" w:hAnsi="Arial Narrow"/>
                <w:bCs/>
                <w:i/>
                <w:sz w:val="20"/>
                <w:szCs w:val="20"/>
              </w:rPr>
              <w:t>No increase in the maximum number of repeats may be authorised.</w:t>
            </w:r>
          </w:p>
        </w:tc>
      </w:tr>
      <w:tr w:rsidR="00630FF9" w:rsidRPr="000B09B9" w14:paraId="6B6FAF5B" w14:textId="77777777" w:rsidTr="00630FF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43603E27" w14:textId="77777777" w:rsidR="00630FF9" w:rsidRPr="000B09B9" w:rsidRDefault="00630FF9" w:rsidP="00630FF9">
            <w:pPr>
              <w:rPr>
                <w:rFonts w:ascii="Arial Narrow" w:hAnsi="Arial Narrow"/>
                <w:bCs/>
                <w:i/>
                <w:sz w:val="20"/>
                <w:szCs w:val="20"/>
              </w:rPr>
            </w:pPr>
            <w:r w:rsidRPr="000B09B9">
              <w:rPr>
                <w:rFonts w:ascii="Arial Narrow" w:hAnsi="Arial Narrow"/>
                <w:b/>
                <w:bCs/>
                <w:i/>
                <w:sz w:val="20"/>
                <w:szCs w:val="20"/>
              </w:rPr>
              <w:t xml:space="preserve">Administrative Advice: </w:t>
            </w:r>
          </w:p>
          <w:p w14:paraId="5E3D298B" w14:textId="77777777" w:rsidR="00630FF9" w:rsidRPr="000B09B9" w:rsidRDefault="00630FF9" w:rsidP="00630FF9">
            <w:pPr>
              <w:rPr>
                <w:rFonts w:ascii="Arial Narrow" w:hAnsi="Arial Narrow"/>
                <w:b/>
                <w:bCs/>
                <w:i/>
                <w:sz w:val="20"/>
                <w:szCs w:val="20"/>
              </w:rPr>
            </w:pPr>
            <w:r w:rsidRPr="000B09B9">
              <w:rPr>
                <w:rFonts w:ascii="Arial Narrow" w:hAnsi="Arial Narrow"/>
                <w:bCs/>
                <w:i/>
                <w:sz w:val="20"/>
                <w:szCs w:val="20"/>
              </w:rPr>
              <w:t>Applications for authorisation under this restriction may be made in real time using the Online PBS Authorities system (see www.servicesaustralia.gov.au/HPOS) or by telephone by contacting Services Australia on 1800 888 333.</w:t>
            </w:r>
          </w:p>
        </w:tc>
      </w:tr>
      <w:tr w:rsidR="00630FF9" w:rsidRPr="000B09B9" w14:paraId="463E6C81" w14:textId="77777777" w:rsidTr="00630FF9">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36A72B8C" w14:textId="77777777" w:rsidR="00630FF9" w:rsidRPr="000B09B9" w:rsidRDefault="00630FF9" w:rsidP="00630FF9">
            <w:pPr>
              <w:rPr>
                <w:rFonts w:ascii="Arial Narrow" w:hAnsi="Arial Narrow"/>
                <w:sz w:val="20"/>
                <w:szCs w:val="20"/>
              </w:rPr>
            </w:pPr>
            <w:r w:rsidRPr="000B09B9">
              <w:rPr>
                <w:rFonts w:ascii="Arial Narrow" w:hAnsi="Arial Narrow"/>
                <w:b/>
                <w:bCs/>
                <w:sz w:val="20"/>
                <w:szCs w:val="20"/>
              </w:rPr>
              <w:t>Indication:</w:t>
            </w:r>
            <w:r w:rsidRPr="000B09B9">
              <w:rPr>
                <w:sz w:val="20"/>
                <w:szCs w:val="20"/>
              </w:rPr>
              <w:t xml:space="preserve"> </w:t>
            </w:r>
            <w:r w:rsidRPr="000B09B9">
              <w:rPr>
                <w:rFonts w:ascii="Arial Narrow" w:eastAsia="Arial Narrow" w:hAnsi="Arial Narrow" w:cs="Arial Narrow"/>
                <w:strike/>
                <w:sz w:val="20"/>
                <w:szCs w:val="20"/>
              </w:rPr>
              <w:t>Amifampridine is indicated for the treatment of</w:t>
            </w:r>
            <w:r w:rsidRPr="000B09B9">
              <w:rPr>
                <w:rFonts w:ascii="Arial Narrow" w:eastAsia="Arial Narrow" w:hAnsi="Arial Narrow" w:cs="Arial Narrow"/>
                <w:sz w:val="20"/>
                <w:szCs w:val="20"/>
              </w:rPr>
              <w:t xml:space="preserve"> </w:t>
            </w:r>
            <w:r w:rsidRPr="000B09B9">
              <w:rPr>
                <w:rFonts w:ascii="Arial Narrow" w:hAnsi="Arial Narrow"/>
                <w:sz w:val="20"/>
                <w:szCs w:val="20"/>
              </w:rPr>
              <w:t xml:space="preserve">Lambert-Eaton myasthenic syndrome (LEMS) </w:t>
            </w:r>
            <w:r w:rsidRPr="000B09B9">
              <w:rPr>
                <w:rFonts w:ascii="Arial Narrow" w:eastAsia="Arial Narrow" w:hAnsi="Arial Narrow" w:cs="Arial Narrow"/>
                <w:strike/>
                <w:sz w:val="20"/>
                <w:szCs w:val="20"/>
              </w:rPr>
              <w:t>in adults and children aged 6 years and above</w:t>
            </w:r>
          </w:p>
        </w:tc>
      </w:tr>
      <w:tr w:rsidR="00630FF9" w:rsidRPr="000B09B9" w14:paraId="0F6DD5EB" w14:textId="77777777" w:rsidTr="00630FF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63D5781D" w14:textId="77777777" w:rsidR="00630FF9" w:rsidRPr="000B09B9" w:rsidRDefault="00630FF9" w:rsidP="00630FF9">
            <w:pPr>
              <w:rPr>
                <w:rFonts w:ascii="Arial Narrow" w:hAnsi="Arial Narrow"/>
                <w:b/>
                <w:bCs/>
                <w:strike/>
                <w:sz w:val="20"/>
                <w:szCs w:val="20"/>
              </w:rPr>
            </w:pPr>
            <w:r w:rsidRPr="000B09B9">
              <w:rPr>
                <w:rFonts w:ascii="Arial Narrow" w:hAnsi="Arial Narrow"/>
                <w:b/>
                <w:bCs/>
                <w:strike/>
                <w:sz w:val="20"/>
                <w:szCs w:val="20"/>
              </w:rPr>
              <w:t xml:space="preserve">Condition: </w:t>
            </w:r>
            <w:r w:rsidRPr="000B09B9">
              <w:rPr>
                <w:rFonts w:ascii="Arial Narrow" w:hAnsi="Arial Narrow"/>
                <w:bCs/>
                <w:strike/>
                <w:sz w:val="20"/>
                <w:szCs w:val="20"/>
              </w:rPr>
              <w:t>Lambert-Eaton myasthenic syndrome (LEMS)</w:t>
            </w:r>
          </w:p>
        </w:tc>
      </w:tr>
      <w:tr w:rsidR="00630FF9" w:rsidRPr="000B09B9" w14:paraId="356D0569" w14:textId="77777777" w:rsidTr="00630FF9">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03B442A2" w14:textId="77777777" w:rsidR="00630FF9" w:rsidRPr="000B09B9" w:rsidRDefault="00630FF9" w:rsidP="00630FF9">
            <w:pPr>
              <w:rPr>
                <w:rFonts w:ascii="Arial Narrow" w:hAnsi="Arial Narrow"/>
                <w:sz w:val="20"/>
                <w:szCs w:val="20"/>
              </w:rPr>
            </w:pPr>
            <w:r w:rsidRPr="000B09B9">
              <w:rPr>
                <w:rFonts w:ascii="Arial Narrow" w:hAnsi="Arial Narrow"/>
                <w:b/>
                <w:bCs/>
                <w:sz w:val="20"/>
                <w:szCs w:val="20"/>
              </w:rPr>
              <w:t>Treatment Phase:</w:t>
            </w:r>
            <w:r w:rsidRPr="000B09B9">
              <w:rPr>
                <w:rFonts w:ascii="Arial Narrow" w:hAnsi="Arial Narrow"/>
                <w:sz w:val="20"/>
                <w:szCs w:val="20"/>
              </w:rPr>
              <w:t xml:space="preserve"> </w:t>
            </w:r>
            <w:r w:rsidRPr="000B09B9">
              <w:rPr>
                <w:rFonts w:ascii="Arial Narrow" w:hAnsi="Arial Narrow"/>
                <w:i/>
                <w:sz w:val="20"/>
                <w:szCs w:val="20"/>
              </w:rPr>
              <w:t>[blank]</w:t>
            </w:r>
            <w:r w:rsidRPr="000B09B9">
              <w:rPr>
                <w:rFonts w:ascii="Arial Narrow" w:hAnsi="Arial Narrow"/>
                <w:sz w:val="20"/>
                <w:szCs w:val="20"/>
              </w:rPr>
              <w:t xml:space="preserve"> </w:t>
            </w:r>
            <w:r w:rsidRPr="000B09B9">
              <w:rPr>
                <w:rFonts w:ascii="Arial Narrow" w:hAnsi="Arial Narrow"/>
                <w:strike/>
                <w:sz w:val="20"/>
                <w:szCs w:val="20"/>
              </w:rPr>
              <w:t>Initial treatment of weakness associated with LEMS</w:t>
            </w:r>
          </w:p>
        </w:tc>
      </w:tr>
      <w:tr w:rsidR="00630FF9" w:rsidRPr="000B09B9" w14:paraId="5E24B5E6" w14:textId="77777777" w:rsidTr="00630FF9">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32756EB4" w14:textId="77777777" w:rsidR="00630FF9" w:rsidRPr="000B09B9" w:rsidRDefault="00630FF9" w:rsidP="00630FF9">
            <w:pPr>
              <w:rPr>
                <w:rFonts w:ascii="Arial Narrow" w:hAnsi="Arial Narrow"/>
                <w:sz w:val="20"/>
                <w:szCs w:val="20"/>
              </w:rPr>
            </w:pPr>
            <w:r w:rsidRPr="000B09B9">
              <w:rPr>
                <w:rFonts w:ascii="Arial Narrow" w:hAnsi="Arial Narrow"/>
                <w:b/>
                <w:bCs/>
                <w:sz w:val="20"/>
                <w:szCs w:val="20"/>
              </w:rPr>
              <w:t xml:space="preserve">Population criteria: </w:t>
            </w:r>
          </w:p>
        </w:tc>
      </w:tr>
      <w:tr w:rsidR="00630FF9" w:rsidRPr="000B09B9" w14:paraId="10556369" w14:textId="77777777" w:rsidTr="00630FF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41630F79" w14:textId="77777777" w:rsidR="00630FF9" w:rsidRPr="000B09B9" w:rsidRDefault="00630FF9" w:rsidP="00630FF9">
            <w:pPr>
              <w:rPr>
                <w:rFonts w:ascii="Arial Narrow" w:hAnsi="Arial Narrow"/>
                <w:bCs/>
                <w:strike/>
                <w:sz w:val="20"/>
                <w:szCs w:val="20"/>
              </w:rPr>
            </w:pPr>
            <w:r w:rsidRPr="000B09B9">
              <w:rPr>
                <w:rFonts w:ascii="Arial Narrow" w:hAnsi="Arial Narrow"/>
                <w:bCs/>
                <w:strike/>
                <w:sz w:val="20"/>
                <w:szCs w:val="20"/>
              </w:rPr>
              <w:t>Amifampridine must not be given to children under the age of 6</w:t>
            </w:r>
          </w:p>
        </w:tc>
      </w:tr>
      <w:tr w:rsidR="00630FF9" w:rsidRPr="000B09B9" w14:paraId="681A47AA" w14:textId="77777777" w:rsidTr="00630FF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36D36D71" w14:textId="77777777" w:rsidR="00630FF9" w:rsidRPr="000B09B9" w:rsidRDefault="00630FF9" w:rsidP="00630FF9">
            <w:pPr>
              <w:rPr>
                <w:rFonts w:ascii="Arial Narrow" w:hAnsi="Arial Narrow"/>
                <w:i/>
                <w:sz w:val="20"/>
                <w:szCs w:val="20"/>
              </w:rPr>
            </w:pPr>
            <w:r w:rsidRPr="000B09B9">
              <w:rPr>
                <w:rFonts w:ascii="Arial Narrow" w:hAnsi="Arial Narrow"/>
                <w:i/>
                <w:sz w:val="20"/>
                <w:szCs w:val="20"/>
              </w:rPr>
              <w:t>Patient must be each of: (i) untreated with this drug, (ii) diagnosed with the condition stated in the PBS indication; or</w:t>
            </w:r>
          </w:p>
        </w:tc>
      </w:tr>
      <w:tr w:rsidR="00630FF9" w:rsidRPr="000B09B9" w14:paraId="45A7F728" w14:textId="77777777" w:rsidTr="00630FF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533C26C3" w14:textId="77777777" w:rsidR="00630FF9" w:rsidRPr="000B09B9" w:rsidRDefault="00630FF9" w:rsidP="00630FF9">
            <w:pPr>
              <w:rPr>
                <w:rFonts w:ascii="Arial Narrow" w:hAnsi="Arial Narrow"/>
                <w:i/>
                <w:sz w:val="20"/>
                <w:szCs w:val="20"/>
              </w:rPr>
            </w:pPr>
            <w:r w:rsidRPr="000B09B9">
              <w:rPr>
                <w:rFonts w:ascii="Arial Narrow" w:hAnsi="Arial Narrow"/>
                <w:i/>
                <w:sz w:val="20"/>
                <w:szCs w:val="20"/>
              </w:rPr>
              <w:t>Patient must be continuing PBS-subsidised treatment with this drug; or</w:t>
            </w:r>
          </w:p>
        </w:tc>
      </w:tr>
      <w:tr w:rsidR="00630FF9" w:rsidRPr="000B09B9" w14:paraId="39DA82B1" w14:textId="77777777" w:rsidTr="00630FF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57C19E15" w14:textId="77777777" w:rsidR="00630FF9" w:rsidRPr="000B09B9" w:rsidRDefault="00630FF9" w:rsidP="00630FF9">
            <w:pPr>
              <w:rPr>
                <w:rFonts w:ascii="Arial Narrow" w:hAnsi="Arial Narrow"/>
                <w:i/>
                <w:sz w:val="20"/>
                <w:szCs w:val="20"/>
              </w:rPr>
            </w:pPr>
            <w:r w:rsidRPr="000B09B9">
              <w:rPr>
                <w:rFonts w:ascii="Arial Narrow" w:hAnsi="Arial Narrow"/>
                <w:i/>
                <w:sz w:val="20"/>
                <w:szCs w:val="20"/>
              </w:rPr>
              <w:t xml:space="preserve">Patient must be transitioning from non-PBS supply to PBS-subsidised supply, involving one of: (i) treatment with this drug via the Therapeutic Goods Administration’s Special Access Scheme (SAS) for this condition, (ii) a source other than the SAS for this condition; apply under this transitioning criterion once only; </w:t>
            </w:r>
          </w:p>
        </w:tc>
      </w:tr>
      <w:tr w:rsidR="00630FF9" w:rsidRPr="000B09B9" w14:paraId="0B052174" w14:textId="77777777" w:rsidTr="00630FF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0ED48BD5" w14:textId="77777777" w:rsidR="00630FF9" w:rsidRPr="000B09B9" w:rsidRDefault="00630FF9" w:rsidP="00630FF9">
            <w:pPr>
              <w:rPr>
                <w:rFonts w:ascii="Arial Narrow" w:hAnsi="Arial Narrow"/>
                <w:strike/>
                <w:sz w:val="20"/>
                <w:szCs w:val="20"/>
              </w:rPr>
            </w:pPr>
            <w:r w:rsidRPr="000B09B9">
              <w:rPr>
                <w:rFonts w:ascii="Arial Narrow" w:hAnsi="Arial Narrow"/>
                <w:b/>
                <w:bCs/>
                <w:strike/>
                <w:sz w:val="20"/>
                <w:szCs w:val="20"/>
              </w:rPr>
              <w:t>Clinical criteria:</w:t>
            </w:r>
          </w:p>
        </w:tc>
      </w:tr>
      <w:tr w:rsidR="00630FF9" w:rsidRPr="000B09B9" w14:paraId="7E7C8792" w14:textId="77777777" w:rsidTr="00630FF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5EE12605" w14:textId="77777777" w:rsidR="00630FF9" w:rsidRPr="000B09B9" w:rsidRDefault="00630FF9" w:rsidP="00630FF9">
            <w:pPr>
              <w:rPr>
                <w:rFonts w:ascii="Arial Narrow" w:hAnsi="Arial Narrow"/>
                <w:strike/>
                <w:sz w:val="20"/>
                <w:szCs w:val="20"/>
              </w:rPr>
            </w:pPr>
            <w:r w:rsidRPr="000B09B9">
              <w:rPr>
                <w:rFonts w:ascii="Arial Narrow" w:hAnsi="Arial Narrow"/>
                <w:strike/>
                <w:sz w:val="20"/>
                <w:szCs w:val="20"/>
              </w:rPr>
              <w:t>The patient must have weakness associated with LEMS</w:t>
            </w:r>
          </w:p>
        </w:tc>
      </w:tr>
      <w:tr w:rsidR="00630FF9" w:rsidRPr="000B09B9" w14:paraId="1D8D2D34" w14:textId="77777777" w:rsidTr="00630FF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0A69F29D" w14:textId="77777777" w:rsidR="00630FF9" w:rsidRPr="000B09B9" w:rsidRDefault="00630FF9" w:rsidP="00630FF9">
            <w:pPr>
              <w:rPr>
                <w:rFonts w:ascii="Arial Narrow" w:hAnsi="Arial Narrow"/>
                <w:b/>
                <w:strike/>
                <w:sz w:val="20"/>
                <w:szCs w:val="20"/>
              </w:rPr>
            </w:pPr>
            <w:r w:rsidRPr="000B09B9">
              <w:rPr>
                <w:rFonts w:ascii="Arial Narrow" w:hAnsi="Arial Narrow"/>
                <w:b/>
                <w:strike/>
                <w:sz w:val="20"/>
                <w:szCs w:val="20"/>
              </w:rPr>
              <w:t>AND</w:t>
            </w:r>
          </w:p>
        </w:tc>
      </w:tr>
      <w:tr w:rsidR="00630FF9" w:rsidRPr="000B09B9" w14:paraId="023FEA0D" w14:textId="77777777" w:rsidTr="00630FF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4C0BF842" w14:textId="77777777" w:rsidR="00630FF9" w:rsidRPr="000B09B9" w:rsidRDefault="00630FF9" w:rsidP="00630FF9">
            <w:pPr>
              <w:rPr>
                <w:rFonts w:ascii="Arial Narrow" w:hAnsi="Arial Narrow"/>
                <w:strike/>
                <w:sz w:val="20"/>
                <w:szCs w:val="20"/>
              </w:rPr>
            </w:pPr>
            <w:r w:rsidRPr="000B09B9">
              <w:rPr>
                <w:rFonts w:ascii="Arial Narrow" w:hAnsi="Arial Narrow"/>
                <w:b/>
                <w:bCs/>
                <w:strike/>
                <w:sz w:val="20"/>
                <w:szCs w:val="20"/>
              </w:rPr>
              <w:t>Clinical criteria:</w:t>
            </w:r>
          </w:p>
        </w:tc>
      </w:tr>
      <w:tr w:rsidR="00630FF9" w:rsidRPr="000B09B9" w14:paraId="25016974" w14:textId="77777777" w:rsidTr="00630FF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6902A1AD" w14:textId="77777777" w:rsidR="00630FF9" w:rsidRPr="000B09B9" w:rsidRDefault="00630FF9" w:rsidP="00630FF9">
            <w:pPr>
              <w:rPr>
                <w:rFonts w:ascii="Arial Narrow" w:hAnsi="Arial Narrow"/>
                <w:strike/>
                <w:sz w:val="20"/>
                <w:szCs w:val="20"/>
              </w:rPr>
            </w:pPr>
            <w:r w:rsidRPr="000B09B9">
              <w:rPr>
                <w:rFonts w:ascii="Arial Narrow" w:hAnsi="Arial Narrow"/>
                <w:strike/>
                <w:sz w:val="20"/>
                <w:szCs w:val="20"/>
              </w:rPr>
              <w:t>The patient must not have a history of seizures</w:t>
            </w:r>
          </w:p>
        </w:tc>
      </w:tr>
      <w:tr w:rsidR="00630FF9" w:rsidRPr="000B09B9" w14:paraId="612E9340" w14:textId="77777777" w:rsidTr="00630FF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42375E6F" w14:textId="77777777" w:rsidR="00630FF9" w:rsidRPr="000B09B9" w:rsidRDefault="00630FF9" w:rsidP="00630FF9">
            <w:pPr>
              <w:rPr>
                <w:rFonts w:ascii="Arial Narrow" w:hAnsi="Arial Narrow"/>
                <w:strike/>
                <w:sz w:val="20"/>
                <w:szCs w:val="20"/>
              </w:rPr>
            </w:pPr>
            <w:r w:rsidRPr="000B09B9">
              <w:rPr>
                <w:rFonts w:ascii="Arial Narrow" w:hAnsi="Arial Narrow"/>
                <w:b/>
                <w:strike/>
                <w:sz w:val="20"/>
                <w:szCs w:val="20"/>
              </w:rPr>
              <w:t>AND</w:t>
            </w:r>
          </w:p>
        </w:tc>
      </w:tr>
      <w:tr w:rsidR="00630FF9" w:rsidRPr="000B09B9" w14:paraId="27C4919C" w14:textId="77777777" w:rsidTr="00630FF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52D3F0AA" w14:textId="77777777" w:rsidR="00630FF9" w:rsidRPr="000B09B9" w:rsidRDefault="00630FF9" w:rsidP="00630FF9">
            <w:pPr>
              <w:rPr>
                <w:rFonts w:ascii="Arial Narrow" w:hAnsi="Arial Narrow"/>
                <w:strike/>
                <w:sz w:val="20"/>
                <w:szCs w:val="20"/>
              </w:rPr>
            </w:pPr>
            <w:r w:rsidRPr="000B09B9">
              <w:rPr>
                <w:rFonts w:ascii="Arial Narrow" w:hAnsi="Arial Narrow"/>
                <w:b/>
                <w:bCs/>
                <w:strike/>
                <w:sz w:val="20"/>
                <w:szCs w:val="20"/>
              </w:rPr>
              <w:t>Clinical criteria:</w:t>
            </w:r>
          </w:p>
        </w:tc>
      </w:tr>
      <w:tr w:rsidR="00630FF9" w:rsidRPr="000B09B9" w14:paraId="5DDE2E8E" w14:textId="77777777" w:rsidTr="00630FF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3B12DE12" w14:textId="77777777" w:rsidR="00630FF9" w:rsidRPr="000B09B9" w:rsidRDefault="00630FF9" w:rsidP="00630FF9">
            <w:pPr>
              <w:rPr>
                <w:rFonts w:ascii="Arial Narrow" w:hAnsi="Arial Narrow"/>
                <w:strike/>
                <w:sz w:val="20"/>
                <w:szCs w:val="20"/>
              </w:rPr>
            </w:pPr>
            <w:r w:rsidRPr="000B09B9">
              <w:rPr>
                <w:rFonts w:ascii="Arial Narrow" w:hAnsi="Arial Narrow"/>
                <w:strike/>
                <w:sz w:val="20"/>
                <w:szCs w:val="20"/>
              </w:rPr>
              <w:t>The patient must not have a hypersensitivity to amifampridine or another aminopyridine</w:t>
            </w:r>
          </w:p>
        </w:tc>
      </w:tr>
      <w:tr w:rsidR="00630FF9" w:rsidRPr="000B09B9" w14:paraId="17D39F9D" w14:textId="77777777" w:rsidTr="00630FF9">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2FACEB82" w14:textId="77777777" w:rsidR="00630FF9" w:rsidRPr="000B09B9" w:rsidRDefault="00630FF9" w:rsidP="00630FF9">
            <w:pPr>
              <w:rPr>
                <w:rFonts w:ascii="Arial Narrow" w:hAnsi="Arial Narrow"/>
                <w:i/>
                <w:sz w:val="20"/>
                <w:szCs w:val="20"/>
              </w:rPr>
            </w:pPr>
            <w:r w:rsidRPr="000B09B9">
              <w:rPr>
                <w:rFonts w:ascii="Arial Narrow" w:hAnsi="Arial Narrow"/>
                <w:b/>
                <w:bCs/>
                <w:i/>
                <w:sz w:val="20"/>
                <w:szCs w:val="20"/>
              </w:rPr>
              <w:t>Clinical criteria:</w:t>
            </w:r>
          </w:p>
        </w:tc>
      </w:tr>
      <w:tr w:rsidR="00630FF9" w:rsidRPr="000B09B9" w14:paraId="6B958F11" w14:textId="77777777" w:rsidTr="00630FF9">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2C9F0528" w14:textId="77777777" w:rsidR="00630FF9" w:rsidRPr="000B09B9" w:rsidRDefault="00630FF9" w:rsidP="00630FF9">
            <w:pPr>
              <w:rPr>
                <w:rFonts w:ascii="Arial Narrow" w:hAnsi="Arial Narrow"/>
                <w:i/>
                <w:sz w:val="20"/>
                <w:szCs w:val="20"/>
              </w:rPr>
            </w:pPr>
            <w:r w:rsidRPr="000B09B9">
              <w:rPr>
                <w:rFonts w:ascii="Arial Narrow" w:hAnsi="Arial Narrow"/>
                <w:i/>
                <w:sz w:val="20"/>
                <w:szCs w:val="20"/>
              </w:rPr>
              <w:t>The condition must not be any of: (i) myasthenia gravis, (ii) Guillain-Barre syndrome</w:t>
            </w:r>
          </w:p>
        </w:tc>
      </w:tr>
      <w:tr w:rsidR="00630FF9" w:rsidRPr="000B09B9" w14:paraId="52B77BEA" w14:textId="77777777" w:rsidTr="00630FF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639E8093" w14:textId="77777777" w:rsidR="00630FF9" w:rsidRPr="000B09B9" w:rsidRDefault="00630FF9" w:rsidP="00630FF9">
            <w:pPr>
              <w:autoSpaceDE w:val="0"/>
              <w:autoSpaceDN w:val="0"/>
              <w:adjustRightInd w:val="0"/>
              <w:rPr>
                <w:rFonts w:ascii="Arial Narrow" w:eastAsia="Calibri" w:hAnsi="Arial Narrow" w:cs="Arial Narrow"/>
                <w:b/>
                <w:bCs/>
                <w:i/>
                <w:sz w:val="20"/>
                <w:szCs w:val="20"/>
              </w:rPr>
            </w:pPr>
            <w:r w:rsidRPr="000B09B9">
              <w:rPr>
                <w:rFonts w:ascii="Arial Narrow" w:eastAsia="Calibri" w:hAnsi="Arial Narrow" w:cs="Arial Narrow"/>
                <w:b/>
                <w:bCs/>
                <w:i/>
                <w:sz w:val="20"/>
                <w:szCs w:val="20"/>
              </w:rPr>
              <w:t>Treatment criteria:</w:t>
            </w:r>
          </w:p>
        </w:tc>
      </w:tr>
      <w:tr w:rsidR="00630FF9" w:rsidRPr="000B09B9" w14:paraId="47C7EDA1" w14:textId="77777777" w:rsidTr="00630FF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6419AB27" w14:textId="77777777" w:rsidR="00630FF9" w:rsidRPr="000B09B9" w:rsidRDefault="00630FF9" w:rsidP="00630FF9">
            <w:pPr>
              <w:autoSpaceDE w:val="0"/>
              <w:autoSpaceDN w:val="0"/>
              <w:adjustRightInd w:val="0"/>
              <w:rPr>
                <w:rFonts w:ascii="Arial Narrow" w:eastAsia="Calibri" w:hAnsi="Arial Narrow" w:cs="Arial Narrow"/>
                <w:i/>
                <w:sz w:val="20"/>
                <w:szCs w:val="20"/>
              </w:rPr>
            </w:pPr>
            <w:r w:rsidRPr="000B09B9">
              <w:rPr>
                <w:rFonts w:ascii="Arial Narrow" w:eastAsia="Calibri" w:hAnsi="Arial Narrow" w:cs="Arial Narrow"/>
                <w:i/>
                <w:sz w:val="20"/>
                <w:szCs w:val="20"/>
              </w:rPr>
              <w:t>Must be treated by a prescriber type identifying as at least one of the following: (i) a clinical immunologist, (ii) a neurologist, (iii) a medical practitioner working under the direct supervision of one of these mentioned specialists</w:t>
            </w:r>
          </w:p>
        </w:tc>
      </w:tr>
    </w:tbl>
    <w:p w14:paraId="5BF419FF" w14:textId="77777777" w:rsidR="004F653E" w:rsidRPr="000B09B9" w:rsidRDefault="004F653E" w:rsidP="004F653E">
      <w:pPr>
        <w:rPr>
          <w:sz w:val="20"/>
          <w:szCs w:val="20"/>
        </w:rPr>
      </w:pPr>
    </w:p>
    <w:tbl>
      <w:tblPr>
        <w:tblStyle w:val="TableGrid10"/>
        <w:tblW w:w="5000" w:type="pct"/>
        <w:tblLook w:val="0000" w:firstRow="0" w:lastRow="0" w:firstColumn="0" w:lastColumn="0" w:noHBand="0" w:noVBand="0"/>
      </w:tblPr>
      <w:tblGrid>
        <w:gridCol w:w="9017"/>
      </w:tblGrid>
      <w:tr w:rsidR="00347782" w:rsidRPr="000B09B9" w14:paraId="20E38E19" w14:textId="77777777" w:rsidTr="00476940">
        <w:trPr>
          <w:trHeight w:val="284"/>
          <w:tblHeader/>
        </w:trPr>
        <w:tc>
          <w:tcPr>
            <w:tcW w:w="5000" w:type="pct"/>
            <w:vAlign w:val="center"/>
          </w:tcPr>
          <w:p w14:paraId="3E9623AE" w14:textId="77777777" w:rsidR="00347782" w:rsidRPr="000B09B9" w:rsidRDefault="00347782" w:rsidP="00817A04">
            <w:pPr>
              <w:pStyle w:val="TableLeft"/>
              <w:keepNext/>
              <w:keepLines/>
              <w:rPr>
                <w:rFonts w:ascii="Arial Narrow" w:hAnsi="Arial Narrow" w:cstheme="minorHAnsi"/>
                <w:strike/>
                <w:sz w:val="20"/>
                <w:szCs w:val="20"/>
                <w:shd w:val="clear" w:color="auto" w:fill="FAF9F8"/>
                <w:lang w:val="en-AU"/>
              </w:rPr>
            </w:pPr>
            <w:r w:rsidRPr="000B09B9">
              <w:rPr>
                <w:rFonts w:ascii="Arial Narrow" w:hAnsi="Arial Narrow" w:cstheme="minorHAnsi"/>
                <w:b/>
                <w:strike/>
                <w:sz w:val="20"/>
                <w:szCs w:val="20"/>
                <w:lang w:val="en-AU"/>
              </w:rPr>
              <w:t>Treatment phase:</w:t>
            </w:r>
            <w:r w:rsidRPr="000B09B9">
              <w:rPr>
                <w:rFonts w:ascii="Arial Narrow" w:hAnsi="Arial Narrow" w:cstheme="minorHAnsi"/>
                <w:strike/>
                <w:sz w:val="20"/>
                <w:szCs w:val="20"/>
                <w:lang w:val="en-AU"/>
              </w:rPr>
              <w:t xml:space="preserve"> Continuing treatment - Patient must have previously received PBS-subsidised treatment with an authority prescription for this drug for the treatment of weakness associated with LEMS</w:t>
            </w:r>
          </w:p>
        </w:tc>
      </w:tr>
      <w:tr w:rsidR="00347782" w:rsidRPr="000B09B9" w14:paraId="28C9C21E" w14:textId="77777777" w:rsidTr="00347782">
        <w:trPr>
          <w:trHeight w:val="284"/>
        </w:trPr>
        <w:tc>
          <w:tcPr>
            <w:tcW w:w="5000" w:type="pct"/>
            <w:vAlign w:val="center"/>
          </w:tcPr>
          <w:p w14:paraId="54CF1E49" w14:textId="77777777" w:rsidR="00347782" w:rsidRPr="000B09B9" w:rsidRDefault="00347782" w:rsidP="00817A04">
            <w:pPr>
              <w:pStyle w:val="TableLeft"/>
              <w:keepNext/>
              <w:keepLines/>
              <w:rPr>
                <w:rFonts w:ascii="Arial Narrow" w:hAnsi="Arial Narrow" w:cstheme="minorHAnsi"/>
                <w:b/>
                <w:strike/>
                <w:sz w:val="20"/>
                <w:szCs w:val="20"/>
                <w:shd w:val="clear" w:color="auto" w:fill="FAF9F8"/>
                <w:lang w:val="en-AU"/>
              </w:rPr>
            </w:pPr>
            <w:r w:rsidRPr="000B09B9">
              <w:rPr>
                <w:rFonts w:ascii="Arial Narrow" w:hAnsi="Arial Narrow" w:cstheme="minorHAnsi"/>
                <w:b/>
                <w:strike/>
                <w:sz w:val="20"/>
                <w:szCs w:val="20"/>
                <w:lang w:val="en-AU"/>
              </w:rPr>
              <w:t xml:space="preserve">Clinical criteria: </w:t>
            </w:r>
          </w:p>
        </w:tc>
      </w:tr>
      <w:tr w:rsidR="00347782" w:rsidRPr="000B09B9" w14:paraId="3B37F932" w14:textId="77777777" w:rsidTr="00347782">
        <w:trPr>
          <w:trHeight w:val="284"/>
        </w:trPr>
        <w:tc>
          <w:tcPr>
            <w:tcW w:w="5000" w:type="pct"/>
            <w:vAlign w:val="center"/>
          </w:tcPr>
          <w:p w14:paraId="5F28CC71" w14:textId="77777777" w:rsidR="00347782" w:rsidRPr="000B09B9" w:rsidRDefault="00347782" w:rsidP="00817A04">
            <w:pPr>
              <w:pStyle w:val="TableLeft"/>
              <w:keepNext/>
              <w:keepLines/>
              <w:rPr>
                <w:rFonts w:ascii="Arial Narrow" w:hAnsi="Arial Narrow" w:cstheme="minorHAnsi"/>
                <w:strike/>
                <w:sz w:val="20"/>
                <w:szCs w:val="20"/>
                <w:lang w:val="en-AU"/>
              </w:rPr>
            </w:pPr>
            <w:r w:rsidRPr="000B09B9">
              <w:rPr>
                <w:rFonts w:ascii="Arial Narrow" w:hAnsi="Arial Narrow" w:cstheme="minorHAnsi"/>
                <w:strike/>
                <w:sz w:val="20"/>
                <w:szCs w:val="20"/>
                <w:lang w:val="en-AU"/>
              </w:rPr>
              <w:t>Patient must demonstrate a clinically meaningful response to the initial treatment as determined by the treating clinician</w:t>
            </w:r>
          </w:p>
        </w:tc>
      </w:tr>
    </w:tbl>
    <w:p w14:paraId="6D5FCD73" w14:textId="77777777" w:rsidR="004F653E" w:rsidRPr="000B09B9" w:rsidRDefault="004F653E" w:rsidP="004F653E">
      <w:pPr>
        <w:rPr>
          <w:sz w:val="20"/>
          <w:szCs w:val="20"/>
        </w:rPr>
      </w:pPr>
    </w:p>
    <w:tbl>
      <w:tblPr>
        <w:tblStyle w:val="TableGrid10"/>
        <w:tblW w:w="5000" w:type="pct"/>
        <w:tblLook w:val="0000" w:firstRow="0" w:lastRow="0" w:firstColumn="0" w:lastColumn="0" w:noHBand="0" w:noVBand="0"/>
      </w:tblPr>
      <w:tblGrid>
        <w:gridCol w:w="9017"/>
      </w:tblGrid>
      <w:tr w:rsidR="00347782" w:rsidRPr="000B09B9" w14:paraId="7ECBBB00" w14:textId="77777777" w:rsidTr="00476940">
        <w:trPr>
          <w:trHeight w:val="284"/>
          <w:tblHeader/>
        </w:trPr>
        <w:tc>
          <w:tcPr>
            <w:tcW w:w="5000" w:type="pct"/>
            <w:vAlign w:val="center"/>
          </w:tcPr>
          <w:p w14:paraId="0F59B043" w14:textId="77777777" w:rsidR="00347782" w:rsidRPr="000B09B9" w:rsidRDefault="00347782" w:rsidP="00817A04">
            <w:pPr>
              <w:pStyle w:val="TableLeft"/>
              <w:rPr>
                <w:rFonts w:ascii="Arial Narrow" w:hAnsi="Arial Narrow" w:cstheme="minorHAnsi"/>
                <w:strike/>
                <w:sz w:val="20"/>
                <w:szCs w:val="20"/>
                <w:shd w:val="clear" w:color="auto" w:fill="FAF9F8"/>
                <w:lang w:val="en-AU"/>
              </w:rPr>
            </w:pPr>
            <w:r w:rsidRPr="000B09B9">
              <w:rPr>
                <w:rFonts w:ascii="Arial Narrow" w:hAnsi="Arial Narrow" w:cstheme="minorHAnsi"/>
                <w:b/>
                <w:strike/>
                <w:sz w:val="20"/>
                <w:szCs w:val="20"/>
                <w:lang w:val="en-AU"/>
              </w:rPr>
              <w:t>Treatment phase:</w:t>
            </w:r>
            <w:r w:rsidRPr="000B09B9">
              <w:rPr>
                <w:rFonts w:ascii="Arial Narrow" w:hAnsi="Arial Narrow" w:cstheme="minorHAnsi"/>
                <w:strike/>
                <w:sz w:val="20"/>
                <w:szCs w:val="20"/>
                <w:lang w:val="en-AU"/>
              </w:rPr>
              <w:t xml:space="preserve"> Grandfather treatment - Transitioning from non-PBS to PBS-subsidised supply for the treatment of weakness associated with LEMS</w:t>
            </w:r>
          </w:p>
        </w:tc>
      </w:tr>
      <w:tr w:rsidR="00347782" w:rsidRPr="000B09B9" w14:paraId="576B1FE0" w14:textId="77777777" w:rsidTr="00347782">
        <w:trPr>
          <w:trHeight w:val="284"/>
        </w:trPr>
        <w:tc>
          <w:tcPr>
            <w:tcW w:w="5000" w:type="pct"/>
            <w:vAlign w:val="center"/>
          </w:tcPr>
          <w:p w14:paraId="68D1E5D6" w14:textId="77777777" w:rsidR="00347782" w:rsidRPr="000B09B9" w:rsidRDefault="00347782" w:rsidP="00817A04">
            <w:pPr>
              <w:pStyle w:val="TableLeft"/>
              <w:rPr>
                <w:rFonts w:ascii="Arial Narrow" w:hAnsi="Arial Narrow" w:cstheme="minorHAnsi"/>
                <w:strike/>
                <w:sz w:val="20"/>
                <w:szCs w:val="20"/>
                <w:lang w:val="en-AU"/>
              </w:rPr>
            </w:pPr>
            <w:r w:rsidRPr="000B09B9">
              <w:rPr>
                <w:rFonts w:ascii="Arial Narrow" w:eastAsia="Times New Roman" w:hAnsi="Arial Narrow"/>
                <w:b/>
                <w:bCs/>
                <w:strike/>
                <w:sz w:val="20"/>
                <w:szCs w:val="20"/>
                <w:lang w:val="en-AU"/>
              </w:rPr>
              <w:t>Clinical criteria:</w:t>
            </w:r>
          </w:p>
        </w:tc>
      </w:tr>
      <w:tr w:rsidR="00347782" w:rsidRPr="000B09B9" w14:paraId="3D4D320D" w14:textId="77777777" w:rsidTr="00347782">
        <w:trPr>
          <w:trHeight w:val="284"/>
        </w:trPr>
        <w:tc>
          <w:tcPr>
            <w:tcW w:w="5000" w:type="pct"/>
            <w:vAlign w:val="center"/>
          </w:tcPr>
          <w:p w14:paraId="43B2CC1C" w14:textId="77777777" w:rsidR="00347782" w:rsidRPr="000B09B9" w:rsidRDefault="00347782" w:rsidP="00817A04">
            <w:pPr>
              <w:pStyle w:val="TableLeft"/>
              <w:rPr>
                <w:rFonts w:ascii="Arial Narrow" w:eastAsia="Times New Roman" w:hAnsi="Arial Narrow"/>
                <w:b/>
                <w:bCs/>
                <w:strike/>
                <w:sz w:val="20"/>
                <w:szCs w:val="20"/>
                <w:lang w:val="en-AU"/>
              </w:rPr>
            </w:pPr>
            <w:r w:rsidRPr="000B09B9">
              <w:rPr>
                <w:rFonts w:ascii="Arial Narrow" w:eastAsia="Times New Roman" w:hAnsi="Arial Narrow"/>
                <w:strike/>
                <w:sz w:val="20"/>
                <w:szCs w:val="20"/>
                <w:lang w:val="en-AU"/>
              </w:rPr>
              <w:t>The patient must have weakness associated with LEMS</w:t>
            </w:r>
          </w:p>
        </w:tc>
      </w:tr>
      <w:tr w:rsidR="00347782" w:rsidRPr="000B09B9" w14:paraId="100B9B95" w14:textId="77777777" w:rsidTr="00347782">
        <w:trPr>
          <w:trHeight w:val="284"/>
        </w:trPr>
        <w:tc>
          <w:tcPr>
            <w:tcW w:w="5000" w:type="pct"/>
            <w:vAlign w:val="center"/>
          </w:tcPr>
          <w:p w14:paraId="5585FB6E" w14:textId="77777777" w:rsidR="00347782" w:rsidRPr="000B09B9" w:rsidRDefault="00347782" w:rsidP="00817A04">
            <w:pPr>
              <w:pStyle w:val="TableLeft"/>
              <w:rPr>
                <w:rFonts w:ascii="Arial Narrow" w:eastAsia="Times New Roman" w:hAnsi="Arial Narrow"/>
                <w:strike/>
                <w:sz w:val="20"/>
                <w:szCs w:val="20"/>
                <w:lang w:val="en-AU"/>
              </w:rPr>
            </w:pPr>
            <w:r w:rsidRPr="000B09B9">
              <w:rPr>
                <w:rFonts w:ascii="Arial Narrow" w:eastAsia="Times New Roman" w:hAnsi="Arial Narrow"/>
                <w:b/>
                <w:strike/>
                <w:sz w:val="20"/>
                <w:szCs w:val="20"/>
                <w:lang w:val="en-AU"/>
              </w:rPr>
              <w:t>AND</w:t>
            </w:r>
          </w:p>
        </w:tc>
      </w:tr>
      <w:tr w:rsidR="00347782" w:rsidRPr="000B09B9" w14:paraId="797BE997" w14:textId="77777777" w:rsidTr="00347782">
        <w:trPr>
          <w:trHeight w:val="284"/>
        </w:trPr>
        <w:tc>
          <w:tcPr>
            <w:tcW w:w="5000" w:type="pct"/>
            <w:vAlign w:val="center"/>
          </w:tcPr>
          <w:p w14:paraId="285C56D5" w14:textId="77777777" w:rsidR="00347782" w:rsidRPr="000B09B9" w:rsidRDefault="00347782" w:rsidP="00817A04">
            <w:pPr>
              <w:pStyle w:val="TableLeft"/>
              <w:rPr>
                <w:rFonts w:ascii="Arial Narrow" w:eastAsia="Times New Roman" w:hAnsi="Arial Narrow"/>
                <w:b/>
                <w:strike/>
                <w:sz w:val="20"/>
                <w:szCs w:val="20"/>
                <w:lang w:val="en-AU"/>
              </w:rPr>
            </w:pPr>
            <w:r w:rsidRPr="000B09B9">
              <w:rPr>
                <w:rFonts w:ascii="Arial Narrow" w:eastAsia="Times New Roman" w:hAnsi="Arial Narrow"/>
                <w:b/>
                <w:bCs/>
                <w:strike/>
                <w:sz w:val="20"/>
                <w:szCs w:val="20"/>
                <w:lang w:val="en-AU"/>
              </w:rPr>
              <w:t>Clinical criteria:</w:t>
            </w:r>
          </w:p>
        </w:tc>
      </w:tr>
      <w:tr w:rsidR="00347782" w:rsidRPr="000B09B9" w14:paraId="7349F53C" w14:textId="77777777" w:rsidTr="00347782">
        <w:trPr>
          <w:trHeight w:val="284"/>
        </w:trPr>
        <w:tc>
          <w:tcPr>
            <w:tcW w:w="5000" w:type="pct"/>
            <w:vAlign w:val="center"/>
          </w:tcPr>
          <w:p w14:paraId="21BD393F" w14:textId="77777777" w:rsidR="00347782" w:rsidRPr="000B09B9" w:rsidRDefault="00347782" w:rsidP="00817A04">
            <w:pPr>
              <w:pStyle w:val="TableLeft"/>
              <w:rPr>
                <w:rFonts w:ascii="Arial Narrow" w:eastAsia="Times New Roman" w:hAnsi="Arial Narrow"/>
                <w:b/>
                <w:bCs/>
                <w:strike/>
                <w:sz w:val="20"/>
                <w:szCs w:val="20"/>
                <w:lang w:val="en-AU"/>
              </w:rPr>
            </w:pPr>
            <w:r w:rsidRPr="000B09B9">
              <w:rPr>
                <w:rFonts w:ascii="Arial Narrow" w:eastAsia="Times New Roman" w:hAnsi="Arial Narrow"/>
                <w:strike/>
                <w:sz w:val="20"/>
                <w:szCs w:val="20"/>
                <w:lang w:val="en-AU"/>
              </w:rPr>
              <w:t>The patient must not have a history of seizures</w:t>
            </w:r>
          </w:p>
        </w:tc>
      </w:tr>
      <w:tr w:rsidR="00347782" w:rsidRPr="000B09B9" w14:paraId="1BFEBF5F" w14:textId="77777777" w:rsidTr="00347782">
        <w:trPr>
          <w:trHeight w:val="284"/>
        </w:trPr>
        <w:tc>
          <w:tcPr>
            <w:tcW w:w="5000" w:type="pct"/>
            <w:vAlign w:val="center"/>
          </w:tcPr>
          <w:p w14:paraId="7751E658" w14:textId="77777777" w:rsidR="00347782" w:rsidRPr="000B09B9" w:rsidRDefault="00347782" w:rsidP="00817A04">
            <w:pPr>
              <w:pStyle w:val="TableLeft"/>
              <w:rPr>
                <w:rFonts w:ascii="Arial Narrow" w:eastAsia="Times New Roman" w:hAnsi="Arial Narrow"/>
                <w:strike/>
                <w:sz w:val="20"/>
                <w:szCs w:val="20"/>
                <w:lang w:val="en-AU"/>
              </w:rPr>
            </w:pPr>
            <w:r w:rsidRPr="000B09B9">
              <w:rPr>
                <w:rFonts w:ascii="Arial Narrow" w:eastAsia="Times New Roman" w:hAnsi="Arial Narrow"/>
                <w:b/>
                <w:strike/>
                <w:sz w:val="20"/>
                <w:szCs w:val="20"/>
                <w:lang w:val="en-AU"/>
              </w:rPr>
              <w:t>AND</w:t>
            </w:r>
          </w:p>
        </w:tc>
      </w:tr>
      <w:tr w:rsidR="00347782" w:rsidRPr="000B09B9" w14:paraId="067BD78C" w14:textId="77777777" w:rsidTr="00347782">
        <w:trPr>
          <w:trHeight w:val="284"/>
        </w:trPr>
        <w:tc>
          <w:tcPr>
            <w:tcW w:w="5000" w:type="pct"/>
            <w:vAlign w:val="center"/>
          </w:tcPr>
          <w:p w14:paraId="17006DAA" w14:textId="77777777" w:rsidR="00347782" w:rsidRPr="000B09B9" w:rsidRDefault="00347782" w:rsidP="00817A04">
            <w:pPr>
              <w:pStyle w:val="TableLeft"/>
              <w:rPr>
                <w:rFonts w:ascii="Arial Narrow" w:eastAsia="Times New Roman" w:hAnsi="Arial Narrow"/>
                <w:b/>
                <w:strike/>
                <w:sz w:val="20"/>
                <w:szCs w:val="20"/>
                <w:lang w:val="en-AU"/>
              </w:rPr>
            </w:pPr>
            <w:r w:rsidRPr="000B09B9">
              <w:rPr>
                <w:rFonts w:ascii="Arial Narrow" w:eastAsia="Times New Roman" w:hAnsi="Arial Narrow"/>
                <w:b/>
                <w:bCs/>
                <w:strike/>
                <w:sz w:val="20"/>
                <w:szCs w:val="20"/>
                <w:lang w:val="en-AU"/>
              </w:rPr>
              <w:t>Clinical criteria:</w:t>
            </w:r>
          </w:p>
        </w:tc>
      </w:tr>
      <w:tr w:rsidR="00347782" w:rsidRPr="000B09B9" w14:paraId="62AB0AB9" w14:textId="77777777" w:rsidTr="00347782">
        <w:trPr>
          <w:trHeight w:val="284"/>
        </w:trPr>
        <w:tc>
          <w:tcPr>
            <w:tcW w:w="5000" w:type="pct"/>
            <w:vAlign w:val="center"/>
          </w:tcPr>
          <w:p w14:paraId="5808BF98" w14:textId="77777777" w:rsidR="00347782" w:rsidRPr="000B09B9" w:rsidRDefault="00347782" w:rsidP="00817A04">
            <w:pPr>
              <w:pStyle w:val="TableLeft"/>
              <w:rPr>
                <w:rFonts w:ascii="Arial Narrow" w:eastAsia="Times New Roman" w:hAnsi="Arial Narrow"/>
                <w:b/>
                <w:bCs/>
                <w:strike/>
                <w:sz w:val="20"/>
                <w:szCs w:val="20"/>
                <w:lang w:val="en-AU"/>
              </w:rPr>
            </w:pPr>
            <w:r w:rsidRPr="000B09B9">
              <w:rPr>
                <w:rFonts w:ascii="Arial Narrow" w:eastAsia="Times New Roman" w:hAnsi="Arial Narrow"/>
                <w:strike/>
                <w:sz w:val="20"/>
                <w:szCs w:val="20"/>
                <w:lang w:val="en-AU"/>
              </w:rPr>
              <w:t>The patient must not have a hypersensitivity to amifampridine or another aminopyridine</w:t>
            </w:r>
          </w:p>
        </w:tc>
      </w:tr>
    </w:tbl>
    <w:p w14:paraId="56C7599C" w14:textId="77777777" w:rsidR="004F653E" w:rsidRPr="000B09B9" w:rsidRDefault="004F653E" w:rsidP="004F653E">
      <w:pPr>
        <w:pStyle w:val="PBACTableText"/>
      </w:pPr>
    </w:p>
    <w:p w14:paraId="38C59FEC" w14:textId="77777777" w:rsidR="0002346E" w:rsidRPr="000B09B9" w:rsidRDefault="0002346E" w:rsidP="0002346E">
      <w:pPr>
        <w:pStyle w:val="3-BodyText"/>
        <w:numPr>
          <w:ilvl w:val="1"/>
          <w:numId w:val="10"/>
        </w:numPr>
        <w:rPr>
          <w:iCs/>
        </w:rPr>
      </w:pPr>
      <w:r w:rsidRPr="000B09B9">
        <w:rPr>
          <w:iCs/>
        </w:rPr>
        <w:t>The submission proposed an ex-manufacturer price of $</w:t>
      </w:r>
      <w:r w:rsidR="00E928EF">
        <w:rPr>
          <w:iCs/>
          <w:noProof/>
          <w:color w:val="000000"/>
          <w:highlight w:val="black"/>
        </w:rPr>
        <w:t>''''''''''</w:t>
      </w:r>
      <w:r w:rsidRPr="000B09B9">
        <w:rPr>
          <w:iCs/>
        </w:rPr>
        <w:t xml:space="preserve"> per pack of 100 tablets (10 mg tablets).</w:t>
      </w:r>
    </w:p>
    <w:p w14:paraId="1094E9F1" w14:textId="77777777" w:rsidR="0002346E" w:rsidRPr="000B09B9" w:rsidRDefault="0002346E" w:rsidP="00A4391B">
      <w:pPr>
        <w:pStyle w:val="3-BodyText"/>
        <w:rPr>
          <w:rFonts w:eastAsia="Calibri"/>
        </w:rPr>
      </w:pPr>
      <w:r w:rsidRPr="000B09B9">
        <w:rPr>
          <w:rFonts w:eastAsia="Calibri"/>
        </w:rPr>
        <w:t>The restriction differs from the clinical algorithm presented (Figure 1). The clinical algorithm indicates that only patients with moderate or severe weakness are recommended to receive amifampridine, whereas patients with mild symptoms should receive treatment for malignancy (if present) and monitor LEMS symptoms. There was no information in the submission about how to define “moderate or severe weakness”. The proposed restriction did not include an indication of the severity of the condition. The Pre-Sub-Committee Response (PSCR) clarified that Weinberg (2021)</w:t>
      </w:r>
      <w:r w:rsidRPr="000B09B9">
        <w:rPr>
          <w:rStyle w:val="FootnoteReference"/>
          <w:rFonts w:eastAsia="Calibri"/>
          <w:iCs/>
        </w:rPr>
        <w:footnoteReference w:id="2"/>
      </w:r>
      <w:r w:rsidRPr="000B09B9">
        <w:rPr>
          <w:rFonts w:eastAsia="Calibri"/>
        </w:rPr>
        <w:t xml:space="preserve"> described mild weakness as having no functional impact, whereas moderate to severe weakness interferes with patient function. The Pre-PBAC response stated that </w:t>
      </w:r>
      <w:r w:rsidRPr="000B09B9">
        <w:rPr>
          <w:rFonts w:eastAsia="Calibri"/>
          <w:iCs/>
        </w:rPr>
        <w:t xml:space="preserve">inclusion of a requirement for “moderate to severe weakness” in the restriction is appropriate, </w:t>
      </w:r>
      <w:r w:rsidRPr="000B09B9">
        <w:rPr>
          <w:rFonts w:eastAsia="Calibri"/>
        </w:rPr>
        <w:t>but did not state how it should be defined or measured.</w:t>
      </w:r>
      <w:r w:rsidR="00A4391B" w:rsidRPr="000B09B9">
        <w:rPr>
          <w:rFonts w:eastAsia="Calibri"/>
        </w:rPr>
        <w:t xml:space="preserve"> </w:t>
      </w:r>
    </w:p>
    <w:p w14:paraId="3BDF87C9" w14:textId="77777777" w:rsidR="0002346E" w:rsidRPr="000B09B9" w:rsidRDefault="0002346E" w:rsidP="0002346E">
      <w:pPr>
        <w:pStyle w:val="3-BodyText"/>
        <w:rPr>
          <w:rStyle w:val="eop"/>
          <w:iCs/>
        </w:rPr>
      </w:pPr>
      <w:r w:rsidRPr="000B09B9">
        <w:rPr>
          <w:rFonts w:eastAsia="Calibri"/>
        </w:rPr>
        <w:t xml:space="preserve">The requested continuing criteria requires that the patient demonstrate a clinically meaningful response to the initial treatment as determined by the treating clinician. </w:t>
      </w:r>
      <w:r w:rsidRPr="000B09B9">
        <w:rPr>
          <w:rFonts w:eastAsia="Calibri"/>
          <w:iCs/>
        </w:rPr>
        <w:t>The definition of a clinically meaningful response is unclear. T</w:t>
      </w:r>
      <w:r w:rsidRPr="000B09B9">
        <w:rPr>
          <w:rStyle w:val="normaltextrun"/>
          <w:rFonts w:eastAsia="Calibri" w:cs="Calibri"/>
          <w:iCs/>
          <w:color w:val="000000" w:themeColor="text1"/>
        </w:rPr>
        <w:t>his could include the Triple Timed Up and Go (3TUG) test or the Quantitative Myasthenia Gravis (QMG) score which were used as the main effectiveness outcomes in the trials presented in the submission. It should however be noted that 3TUG test requires patients to be ambulatory.</w:t>
      </w:r>
      <w:r w:rsidRPr="000B09B9">
        <w:rPr>
          <w:rStyle w:val="eop"/>
          <w:rFonts w:eastAsia="Calibri" w:cs="Calibri"/>
          <w:iCs/>
          <w:color w:val="000000" w:themeColor="text1"/>
        </w:rPr>
        <w:t> Alternative criteria may include the Medical Research Council (MRC) Scale for Muscle Strength used by the National Blood Authority to determine qualifying criteria for intravenous immunoglobulin (IVIg) therapy for LEMS. While the ESC noted that it may be reasonable to allow continuing treatment at the discretion of the prescriber, with the financial impact managed by a risk sharing arrangement (RSA) and/or Quality Use of Medicines (QUM) initiatives, it also considered that it may be reasonable to refer to a scale to qualify for continuing treatment, with clinicians likely to adopt this in practice since the Scale for Muscle Strength is used in LEMS patients to access IVIg. The Pre-PBAC response stated that it would be inappropriate to restrict ongoing use based on a specific scale, and treatment should be continued at the discretion of the prescriber.</w:t>
      </w:r>
    </w:p>
    <w:p w14:paraId="0968FD91" w14:textId="77777777" w:rsidR="00A4391B" w:rsidRPr="000B09B9" w:rsidRDefault="00A4391B" w:rsidP="0002346E">
      <w:pPr>
        <w:pStyle w:val="3-BodyText"/>
        <w:rPr>
          <w:rStyle w:val="eop"/>
          <w:iCs/>
        </w:rPr>
      </w:pPr>
      <w:r w:rsidRPr="000B09B9">
        <w:t>The submission requested initial, continuing and grandfather listings for treatment of weakness associated with LEMs. The Secretariat noted that if treatment is continued at the discretion of the prescriber, all the treatment phases can be combined into a single restriction, as shown in the listing proposed by the Secretariat.</w:t>
      </w:r>
    </w:p>
    <w:p w14:paraId="1BD46B76" w14:textId="77777777" w:rsidR="0002346E" w:rsidRPr="000B09B9" w:rsidRDefault="0002346E" w:rsidP="0002346E">
      <w:pPr>
        <w:pStyle w:val="3-BodyText"/>
        <w:rPr>
          <w:rStyle w:val="normaltextrun"/>
          <w:rFonts w:eastAsia="Calibri" w:cs="Calibri"/>
          <w:iCs/>
          <w:color w:val="000000" w:themeColor="text1"/>
        </w:rPr>
      </w:pPr>
      <w:r w:rsidRPr="000B09B9">
        <w:rPr>
          <w:rStyle w:val="normaltextrun"/>
          <w:rFonts w:eastAsia="Calibri"/>
          <w:iCs/>
        </w:rPr>
        <w:t>LEMS is a rare condition and patients are likely to be managed by neurologists and immunologists, and therefore the treatment criteria should reflect this. The PSCR agreed with the evaluation that it would be appropriate for amifampridine to be prescribed by a neurologist or immunologist. The PBAC considered it would be appropriate to add “treated by a neurologist or immunologist” to the treatment criteria.</w:t>
      </w:r>
    </w:p>
    <w:p w14:paraId="3F2B41CB" w14:textId="77777777" w:rsidR="0002346E" w:rsidRPr="000B09B9" w:rsidRDefault="0002346E" w:rsidP="0002346E">
      <w:pPr>
        <w:pStyle w:val="3-BodyText"/>
        <w:rPr>
          <w:rStyle w:val="normaltextrun"/>
          <w:rFonts w:eastAsia="Calibri" w:cs="Calibri"/>
          <w:iCs/>
          <w:color w:val="000000" w:themeColor="text1"/>
        </w:rPr>
      </w:pPr>
      <w:r w:rsidRPr="000B09B9">
        <w:rPr>
          <w:rStyle w:val="normaltextrun"/>
          <w:rFonts w:eastAsia="Calibri"/>
          <w:iCs/>
        </w:rPr>
        <w:t>With respect to patient age, the evidence presented in the submission (patients aged 18 years or over) was not consistent with the requested listing (from 6 years of age and above). LEMS rarely affects paediatric patients and thus there was insufficient data in terms of clinical effectiveness or safety among paediatric populations. The PBAC considered that patient age is not required to be specified in the restriction.</w:t>
      </w:r>
    </w:p>
    <w:p w14:paraId="7987DDDD" w14:textId="77777777" w:rsidR="0002346E" w:rsidRPr="000B09B9" w:rsidRDefault="0002346E" w:rsidP="0002346E">
      <w:pPr>
        <w:pStyle w:val="3-BodyText"/>
        <w:rPr>
          <w:rFonts w:eastAsia="Calibri" w:cs="Calibri"/>
          <w:iCs/>
          <w:color w:val="000000" w:themeColor="text1"/>
        </w:rPr>
      </w:pPr>
      <w:r w:rsidRPr="000B09B9">
        <w:rPr>
          <w:rStyle w:val="normaltextrun"/>
          <w:rFonts w:eastAsia="Calibri"/>
          <w:iCs/>
        </w:rPr>
        <w:t xml:space="preserve">The ESC noted that </w:t>
      </w:r>
      <w:r w:rsidRPr="000B09B9">
        <w:t>LEMS symptoms may overlap with myasthenia gravis symptoms but potential points of difference include autonomic symptoms and in ocular presentations.</w:t>
      </w:r>
    </w:p>
    <w:p w14:paraId="6C574E4F" w14:textId="77777777" w:rsidR="0002346E" w:rsidRPr="000B09B9" w:rsidRDefault="0002346E" w:rsidP="0002346E">
      <w:pPr>
        <w:pStyle w:val="3-BodyText"/>
        <w:rPr>
          <w:rStyle w:val="normaltextrun"/>
          <w:rFonts w:eastAsia="Calibri" w:cs="Calibri"/>
          <w:color w:val="000000" w:themeColor="text1"/>
        </w:rPr>
      </w:pPr>
      <w:r w:rsidRPr="000B09B9">
        <w:rPr>
          <w:rStyle w:val="normaltextrun"/>
          <w:rFonts w:eastAsia="Calibri"/>
          <w:iCs/>
        </w:rPr>
        <w:t>The PBAC considered that a written authority may not be required, and the telephone/online PBS Authorities system would be appropriate based on the proposed criteria, if prescribing is limited to specialist prescribers (see paragraph 3.6).</w:t>
      </w:r>
    </w:p>
    <w:p w14:paraId="6C64239C" w14:textId="77777777" w:rsidR="001743D2" w:rsidRPr="000B09B9" w:rsidRDefault="0002346E" w:rsidP="0002346E">
      <w:pPr>
        <w:pStyle w:val="3-BodyText"/>
        <w:numPr>
          <w:ilvl w:val="0"/>
          <w:numId w:val="0"/>
        </w:numPr>
        <w:ind w:left="720"/>
        <w:rPr>
          <w:rStyle w:val="normaltextrun"/>
          <w:rFonts w:eastAsia="Calibri" w:cs="Calibri"/>
          <w:iCs/>
          <w:color w:val="000000" w:themeColor="text1"/>
        </w:rPr>
      </w:pPr>
      <w:r w:rsidRPr="000B09B9">
        <w:rPr>
          <w:i/>
        </w:rPr>
        <w:t>For more detail on PBAC’s view, see section 7 PBAC outcome.</w:t>
      </w:r>
    </w:p>
    <w:p w14:paraId="58B6FBB3" w14:textId="77777777" w:rsidR="00FE1325" w:rsidRPr="000B09B9" w:rsidRDefault="00FE1325" w:rsidP="002B0564">
      <w:pPr>
        <w:pStyle w:val="2-SectionHeading"/>
        <w:numPr>
          <w:ilvl w:val="0"/>
          <w:numId w:val="9"/>
        </w:numPr>
      </w:pPr>
      <w:bookmarkStart w:id="14" w:name="_Toc22898849"/>
      <w:bookmarkStart w:id="15" w:name="_Toc82537445"/>
      <w:r w:rsidRPr="000B09B9">
        <w:t>Population and disease</w:t>
      </w:r>
      <w:bookmarkEnd w:id="14"/>
      <w:bookmarkEnd w:id="15"/>
    </w:p>
    <w:p w14:paraId="7EE2EEBF" w14:textId="77777777" w:rsidR="00CA52BC" w:rsidRPr="000B09B9" w:rsidRDefault="00FE1325" w:rsidP="002B0564">
      <w:pPr>
        <w:pStyle w:val="3-BodyText"/>
        <w:numPr>
          <w:ilvl w:val="1"/>
          <w:numId w:val="13"/>
        </w:numPr>
        <w:rPr>
          <w:rFonts w:eastAsiaTheme="minorEastAsia"/>
        </w:rPr>
      </w:pPr>
      <w:r w:rsidRPr="000B09B9">
        <w:t>LEMS is a rare condition in which</w:t>
      </w:r>
      <w:r w:rsidR="00210EA1" w:rsidRPr="000B09B9">
        <w:t xml:space="preserve"> progressive</w:t>
      </w:r>
      <w:r w:rsidRPr="000B09B9">
        <w:t xml:space="preserve"> muscle weakness results from deficient acetylcholine release from presynaptic terminals of neuromuscular junctions. </w:t>
      </w:r>
      <w:r w:rsidR="00CA52BC" w:rsidRPr="000B09B9">
        <w:t>There</w:t>
      </w:r>
      <w:r w:rsidR="00A90A94" w:rsidRPr="000B09B9">
        <w:t xml:space="preserve"> are</w:t>
      </w:r>
      <w:r w:rsidR="00CA52BC" w:rsidRPr="000B09B9">
        <w:t xml:space="preserve"> limited data available </w:t>
      </w:r>
      <w:r w:rsidR="00A90A94" w:rsidRPr="000B09B9">
        <w:t>for the</w:t>
      </w:r>
      <w:r w:rsidR="00CA52BC" w:rsidRPr="000B09B9">
        <w:t xml:space="preserve"> Australian LEMS population. The submission </w:t>
      </w:r>
      <w:r w:rsidR="00F82C5C">
        <w:t>sta</w:t>
      </w:r>
      <w:r w:rsidR="00CA52BC" w:rsidRPr="000B09B9">
        <w:t>ted that the number of</w:t>
      </w:r>
      <w:r w:rsidR="001B64FC" w:rsidRPr="000B09B9">
        <w:t xml:space="preserve"> prevalent</w:t>
      </w:r>
      <w:r w:rsidR="00CA52BC" w:rsidRPr="000B09B9">
        <w:t xml:space="preserve"> LEMS patients could range</w:t>
      </w:r>
      <w:r w:rsidR="00C46A7A" w:rsidRPr="000B09B9">
        <w:t xml:space="preserve"> from</w:t>
      </w:r>
      <w:r w:rsidR="00CA52BC" w:rsidRPr="000B09B9">
        <w:t xml:space="preserve"> 11 to 192. </w:t>
      </w:r>
      <w:r w:rsidR="00CA52BC" w:rsidRPr="000B09B9">
        <w:rPr>
          <w:iCs/>
        </w:rPr>
        <w:t>However, the source of this was not provided and c</w:t>
      </w:r>
      <w:r w:rsidR="00F82C5C">
        <w:rPr>
          <w:iCs/>
        </w:rPr>
        <w:t>ould not</w:t>
      </w:r>
      <w:r w:rsidR="00CA52BC" w:rsidRPr="000B09B9">
        <w:rPr>
          <w:iCs/>
        </w:rPr>
        <w:t xml:space="preserve"> be verified. The estimates from global prevalence literature indicate prevalence between 1.8 and 10.9 per million, translating to a range between 44 and 269 patients in Australia. The upper estimate is based on reported crude prevalence of 10.9 per million from Abenroth et al (2017). The</w:t>
      </w:r>
      <w:r w:rsidR="00B67870" w:rsidRPr="000B09B9">
        <w:rPr>
          <w:iCs/>
        </w:rPr>
        <w:t>re is a wide range in the</w:t>
      </w:r>
      <w:r w:rsidR="00CA52BC" w:rsidRPr="000B09B9">
        <w:rPr>
          <w:iCs/>
        </w:rPr>
        <w:t xml:space="preserve"> prevalence</w:t>
      </w:r>
      <w:r w:rsidR="00B67870" w:rsidRPr="000B09B9">
        <w:rPr>
          <w:iCs/>
        </w:rPr>
        <w:t xml:space="preserve"> estimates</w:t>
      </w:r>
      <w:r w:rsidR="00CA52BC" w:rsidRPr="000B09B9">
        <w:rPr>
          <w:iCs/>
        </w:rPr>
        <w:t xml:space="preserve"> and </w:t>
      </w:r>
      <w:r w:rsidR="00B67870" w:rsidRPr="000B09B9">
        <w:rPr>
          <w:iCs/>
        </w:rPr>
        <w:t xml:space="preserve">it </w:t>
      </w:r>
      <w:r w:rsidR="00CA52BC" w:rsidRPr="000B09B9">
        <w:rPr>
          <w:iCs/>
        </w:rPr>
        <w:t>remains very uncertain.</w:t>
      </w:r>
    </w:p>
    <w:p w14:paraId="62EE04BA" w14:textId="77777777" w:rsidR="0091079D" w:rsidRPr="000B09B9" w:rsidRDefault="00FE1325" w:rsidP="002B0564">
      <w:pPr>
        <w:pStyle w:val="3-BodyText"/>
        <w:numPr>
          <w:ilvl w:val="1"/>
          <w:numId w:val="13"/>
        </w:numPr>
        <w:rPr>
          <w:rFonts w:eastAsiaTheme="minorEastAsia"/>
        </w:rPr>
      </w:pPr>
      <w:r w:rsidRPr="000B09B9">
        <w:t xml:space="preserve">LEMS can be classified as </w:t>
      </w:r>
      <w:r w:rsidR="00416122" w:rsidRPr="000B09B9">
        <w:t xml:space="preserve">autoimmune (50%) or </w:t>
      </w:r>
      <w:r w:rsidRPr="000B09B9">
        <w:t xml:space="preserve">paraneoplastic (50% of patients) </w:t>
      </w:r>
      <w:r w:rsidR="00416122" w:rsidRPr="000B09B9">
        <w:t>arising from</w:t>
      </w:r>
      <w:r w:rsidR="004873C3" w:rsidRPr="000B09B9">
        <w:t xml:space="preserve"> small cell lung carcinoma (SCLC)</w:t>
      </w:r>
      <w:r w:rsidR="00220330" w:rsidRPr="000B09B9">
        <w:t>.</w:t>
      </w:r>
      <w:r w:rsidR="008A0350" w:rsidRPr="000B09B9">
        <w:t xml:space="preserve"> </w:t>
      </w:r>
      <w:r w:rsidR="00EF0AFE" w:rsidRPr="000B09B9">
        <w:rPr>
          <w:iCs/>
        </w:rPr>
        <w:t>Only 3% of those in the DAPPER trial</w:t>
      </w:r>
      <w:r w:rsidR="00C601F3" w:rsidRPr="000B09B9">
        <w:rPr>
          <w:iCs/>
        </w:rPr>
        <w:t xml:space="preserve"> and 3</w:t>
      </w:r>
      <w:r w:rsidR="007D26A2" w:rsidRPr="000B09B9">
        <w:rPr>
          <w:iCs/>
        </w:rPr>
        <w:t>5</w:t>
      </w:r>
      <w:r w:rsidR="00C601F3" w:rsidRPr="000B09B9">
        <w:rPr>
          <w:iCs/>
        </w:rPr>
        <w:t>% of those in the DUKE trial</w:t>
      </w:r>
      <w:r w:rsidR="00EF0AFE" w:rsidRPr="000B09B9">
        <w:rPr>
          <w:iCs/>
        </w:rPr>
        <w:t xml:space="preserve"> had a diagnosis of paraneoplastic LEMS. </w:t>
      </w:r>
      <w:r w:rsidR="00487936" w:rsidRPr="000B09B9">
        <w:rPr>
          <w:iCs/>
        </w:rPr>
        <w:t xml:space="preserve">Thus, there is less certainty </w:t>
      </w:r>
      <w:r w:rsidR="003E5055" w:rsidRPr="000B09B9">
        <w:rPr>
          <w:iCs/>
        </w:rPr>
        <w:t xml:space="preserve">of the clinical effectiveness of amifampridine </w:t>
      </w:r>
      <w:r w:rsidR="003D70B9" w:rsidRPr="000B09B9">
        <w:rPr>
          <w:iCs/>
        </w:rPr>
        <w:t>in paraneoplastic LEMS</w:t>
      </w:r>
      <w:r w:rsidR="00A90A94" w:rsidRPr="000B09B9">
        <w:rPr>
          <w:iCs/>
        </w:rPr>
        <w:t xml:space="preserve"> and therefore if the trial results are applicable to the Australian LEMS population</w:t>
      </w:r>
      <w:r w:rsidR="003D70B9" w:rsidRPr="000B09B9">
        <w:rPr>
          <w:iCs/>
        </w:rPr>
        <w:t>.</w:t>
      </w:r>
    </w:p>
    <w:p w14:paraId="603850C6" w14:textId="77777777" w:rsidR="00FE1325" w:rsidRPr="000B09B9" w:rsidRDefault="00FE1325" w:rsidP="002B0564">
      <w:pPr>
        <w:pStyle w:val="3-BodyText"/>
        <w:numPr>
          <w:ilvl w:val="1"/>
          <w:numId w:val="9"/>
        </w:numPr>
        <w:rPr>
          <w:rFonts w:eastAsiaTheme="minorEastAsia"/>
        </w:rPr>
      </w:pPr>
      <w:r w:rsidRPr="000B09B9">
        <w:t xml:space="preserve">The most common presentation is progressive proximal muscle weakness, affecting the hip girdle more than the shoulder. As mobility becomes more impaired, basic activities of daily living deteriorate. Patients have a characteristic waddling gait and many are unable to climb stairs and some become bedridden and require mechanical ventilation and tube feeding. Autonomic dysfunction presents with dry mouth, impotence and constipation. </w:t>
      </w:r>
      <w:r w:rsidR="00B87288" w:rsidRPr="000B09B9">
        <w:t>Paraneoplastic LEMS</w:t>
      </w:r>
      <w:r w:rsidR="003D1C6B" w:rsidRPr="000B09B9">
        <w:t xml:space="preserve"> patients typically present with</w:t>
      </w:r>
      <w:r w:rsidR="00B87288" w:rsidRPr="000B09B9">
        <w:t xml:space="preserve"> neurological</w:t>
      </w:r>
      <w:r w:rsidR="003D1C6B" w:rsidRPr="000B09B9">
        <w:t xml:space="preserve"> symptoms </w:t>
      </w:r>
      <w:r w:rsidR="00B87288" w:rsidRPr="000B09B9">
        <w:t>before their cancer is diagnosed.</w:t>
      </w:r>
    </w:p>
    <w:p w14:paraId="6B7FA9C6" w14:textId="5405ED6A" w:rsidR="00937517" w:rsidRPr="000B09B9" w:rsidRDefault="00490972" w:rsidP="002B0564">
      <w:pPr>
        <w:pStyle w:val="3-BodyText"/>
        <w:numPr>
          <w:ilvl w:val="1"/>
          <w:numId w:val="9"/>
        </w:numPr>
        <w:rPr>
          <w:rFonts w:eastAsiaTheme="minorEastAsia"/>
          <w:iCs/>
        </w:rPr>
      </w:pPr>
      <w:r w:rsidRPr="000B09B9">
        <w:t>In terms of the level of disability associated with LEMS</w:t>
      </w:r>
      <w:r w:rsidR="00685215" w:rsidRPr="000B09B9">
        <w:t>, d</w:t>
      </w:r>
      <w:r w:rsidR="00FC29AD" w:rsidRPr="000B09B9">
        <w:t xml:space="preserve">ata from </w:t>
      </w:r>
      <w:r w:rsidR="00DB630B" w:rsidRPr="000B09B9">
        <w:t xml:space="preserve">a sample of </w:t>
      </w:r>
      <w:r w:rsidR="00FC29AD" w:rsidRPr="000B09B9">
        <w:t>14</w:t>
      </w:r>
      <w:r w:rsidR="00961166">
        <w:t> </w:t>
      </w:r>
      <w:r w:rsidR="00DB630B" w:rsidRPr="000B09B9">
        <w:t>Australian</w:t>
      </w:r>
      <w:r w:rsidR="00947640" w:rsidRPr="000B09B9">
        <w:t xml:space="preserve"> </w:t>
      </w:r>
      <w:r w:rsidR="00FC29AD" w:rsidRPr="000B09B9">
        <w:t>patients with LEMS</w:t>
      </w:r>
      <w:r w:rsidR="006864F6" w:rsidRPr="000B09B9">
        <w:t xml:space="preserve"> w</w:t>
      </w:r>
      <w:r w:rsidR="00A90A94" w:rsidRPr="000B09B9">
        <w:t>ere</w:t>
      </w:r>
      <w:r w:rsidR="006864F6" w:rsidRPr="000B09B9">
        <w:t xml:space="preserve"> used to calculate the </w:t>
      </w:r>
      <w:r w:rsidR="00C575DD" w:rsidRPr="000B09B9">
        <w:t>health-related quality of life</w:t>
      </w:r>
      <w:r w:rsidR="00A90A94" w:rsidRPr="000B09B9">
        <w:t xml:space="preserve"> (HRQoL)</w:t>
      </w:r>
      <w:r w:rsidR="00C575DD" w:rsidRPr="000B09B9">
        <w:t xml:space="preserve"> </w:t>
      </w:r>
      <w:r w:rsidR="006864F6" w:rsidRPr="000B09B9">
        <w:t xml:space="preserve">utility </w:t>
      </w:r>
      <w:r w:rsidR="00F7246E" w:rsidRPr="000B09B9">
        <w:t>score prior to treatment (0.122)</w:t>
      </w:r>
      <w:r w:rsidR="003D1C6B" w:rsidRPr="000B09B9">
        <w:t>.</w:t>
      </w:r>
      <w:r w:rsidR="00EB1669" w:rsidRPr="000B09B9">
        <w:t xml:space="preserve"> The pivotal DAPPER study for the submission indicated that 41% of patients had been hospitalised due to LEMS.</w:t>
      </w:r>
      <w:r w:rsidR="00854B32" w:rsidRPr="000B09B9">
        <w:t xml:space="preserve"> </w:t>
      </w:r>
    </w:p>
    <w:p w14:paraId="1BA0F5B6" w14:textId="77777777" w:rsidR="00FE1325" w:rsidRPr="000B09B9" w:rsidRDefault="00FE1325" w:rsidP="002B0564">
      <w:pPr>
        <w:pStyle w:val="3-BodyText"/>
        <w:numPr>
          <w:ilvl w:val="1"/>
          <w:numId w:val="9"/>
        </w:numPr>
      </w:pPr>
      <w:r w:rsidRPr="000B09B9">
        <w:t xml:space="preserve">Amifampridine is proposed as the first line symptomatic treatment of muscle weakness for LEMS. </w:t>
      </w:r>
    </w:p>
    <w:p w14:paraId="08FF066F" w14:textId="77777777" w:rsidR="00332B4C" w:rsidRPr="000B09B9" w:rsidRDefault="00332B4C" w:rsidP="002B0564">
      <w:pPr>
        <w:pStyle w:val="3-BodyText"/>
        <w:numPr>
          <w:ilvl w:val="1"/>
          <w:numId w:val="9"/>
        </w:numPr>
      </w:pPr>
      <w:r w:rsidRPr="000B09B9">
        <w:t>Figure 1 present</w:t>
      </w:r>
      <w:r w:rsidR="000501D5" w:rsidRPr="000B09B9">
        <w:t>s</w:t>
      </w:r>
      <w:r w:rsidRPr="000B09B9">
        <w:t xml:space="preserve"> the proposed clinician management algorithm in Australia.</w:t>
      </w:r>
    </w:p>
    <w:p w14:paraId="3AA69675" w14:textId="18058FE2" w:rsidR="00332B4C" w:rsidRPr="000B09B9" w:rsidRDefault="00332B4C" w:rsidP="002B0564">
      <w:pPr>
        <w:keepNext/>
        <w:keepLines/>
        <w:spacing w:after="120"/>
        <w:rPr>
          <w:rStyle w:val="CommentReference"/>
        </w:rPr>
      </w:pPr>
      <w:r w:rsidRPr="000B09B9">
        <w:rPr>
          <w:rStyle w:val="CommentReference"/>
        </w:rPr>
        <w:t>Figure 1: Predicted clinical management algorithm in Australia</w:t>
      </w:r>
    </w:p>
    <w:p w14:paraId="23E6E0F2" w14:textId="286D8E3F" w:rsidR="00FE1325" w:rsidRPr="000B09B9" w:rsidRDefault="00476940" w:rsidP="002B0564">
      <w:pPr>
        <w:pStyle w:val="TableFigureFooter"/>
        <w:keepNext/>
        <w:keepLines/>
        <w:rPr>
          <w:rFonts w:eastAsia="Arial Narrow"/>
        </w:rPr>
      </w:pPr>
      <w:r w:rsidRPr="000B09B9">
        <w:rPr>
          <w:noProof/>
        </w:rPr>
        <w:drawing>
          <wp:inline distT="0" distB="0" distL="0" distR="0" wp14:anchorId="0DD32932" wp14:editId="78E00B9F">
            <wp:extent cx="5600700" cy="4516179"/>
            <wp:effectExtent l="0" t="0" r="0" b="0"/>
            <wp:docPr id="1835263558" name="Picture 1835263558" title="Figure 1: Predicted clinical management algorithm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a:stretch/>
                  </pic:blipFill>
                  <pic:spPr bwMode="auto">
                    <a:xfrm>
                      <a:off x="0" y="0"/>
                      <a:ext cx="5600700" cy="4516179"/>
                    </a:xfrm>
                    <a:prstGeom prst="rect">
                      <a:avLst/>
                    </a:prstGeom>
                    <a:ln>
                      <a:noFill/>
                    </a:ln>
                    <a:extLst>
                      <a:ext uri="{53640926-AAD7-44D8-BBD7-CCE9431645EC}">
                        <a14:shadowObscured xmlns:a14="http://schemas.microsoft.com/office/drawing/2010/main"/>
                      </a:ext>
                    </a:extLst>
                  </pic:spPr>
                </pic:pic>
              </a:graphicData>
            </a:graphic>
          </wp:inline>
        </w:drawing>
      </w:r>
      <w:bookmarkStart w:id="16" w:name="_GoBack"/>
      <w:bookmarkEnd w:id="16"/>
      <w:r w:rsidR="24C4409F" w:rsidRPr="000B09B9">
        <w:rPr>
          <w:rFonts w:eastAsia="Arial Narrow"/>
        </w:rPr>
        <w:t>Source: Figure 1.3, p32 of the submission.</w:t>
      </w:r>
      <w:r w:rsidR="008A0350" w:rsidRPr="000B09B9">
        <w:rPr>
          <w:rFonts w:eastAsia="Arial Narrow"/>
        </w:rPr>
        <w:t xml:space="preserve"> </w:t>
      </w:r>
    </w:p>
    <w:p w14:paraId="6B50609B" w14:textId="77777777" w:rsidR="00CC1DC1" w:rsidRPr="000B09B9" w:rsidRDefault="00CC1DC1" w:rsidP="002B0564">
      <w:pPr>
        <w:pStyle w:val="TableFigureFooter"/>
        <w:keepNext/>
        <w:keepLines/>
        <w:rPr>
          <w:rFonts w:eastAsia="Arial Narrow"/>
        </w:rPr>
      </w:pPr>
      <w:bookmarkStart w:id="17" w:name="_Hlk81486399"/>
      <w:r w:rsidRPr="000B09B9">
        <w:rPr>
          <w:rFonts w:eastAsia="Arial Narrow"/>
        </w:rPr>
        <w:t>3,4 DAP = 3,4-diaminopyridine</w:t>
      </w:r>
      <w:r w:rsidR="003D524C" w:rsidRPr="000B09B9">
        <w:rPr>
          <w:rFonts w:eastAsia="Arial Narrow"/>
        </w:rPr>
        <w:t xml:space="preserve"> (amifampridine)</w:t>
      </w:r>
      <w:r w:rsidRPr="000B09B9">
        <w:rPr>
          <w:rFonts w:eastAsia="Arial Narrow"/>
        </w:rPr>
        <w:t>; LEMS = Lambert-Eaton myasthenic syndrome; IV</w:t>
      </w:r>
      <w:r w:rsidR="000E2E29" w:rsidRPr="000B09B9">
        <w:rPr>
          <w:rFonts w:eastAsia="Arial Narrow"/>
        </w:rPr>
        <w:t>I</w:t>
      </w:r>
      <w:r w:rsidRPr="000B09B9">
        <w:rPr>
          <w:rFonts w:eastAsia="Arial Narrow"/>
        </w:rPr>
        <w:t>g = intravenous immunoglobulin</w:t>
      </w:r>
    </w:p>
    <w:bookmarkEnd w:id="17"/>
    <w:p w14:paraId="0596F919" w14:textId="77777777" w:rsidR="000D1C82" w:rsidRPr="000B09B9" w:rsidRDefault="00EA1188" w:rsidP="00D9654E">
      <w:pPr>
        <w:pStyle w:val="3-BodyText"/>
        <w:numPr>
          <w:ilvl w:val="1"/>
          <w:numId w:val="9"/>
        </w:numPr>
        <w:rPr>
          <w:rFonts w:eastAsiaTheme="minorEastAsia" w:cstheme="minorBidi"/>
        </w:rPr>
      </w:pPr>
      <w:r w:rsidRPr="000B09B9">
        <w:rPr>
          <w:rFonts w:eastAsiaTheme="minorEastAsia"/>
        </w:rPr>
        <w:t>The evaluation commented that the submission did not provide a verifiable source for the proposed treatment algorithm shown in Figure 1. The PSCR clarified that clinical guidelines from UptoDate (Weinberg 2021) and the National Blood Authority (NBA)</w:t>
      </w:r>
      <w:r w:rsidR="00760E21" w:rsidRPr="000B09B9">
        <w:rPr>
          <w:rStyle w:val="FootnoteReference"/>
          <w:rFonts w:eastAsiaTheme="minorEastAsia" w:cstheme="minorBidi"/>
        </w:rPr>
        <w:footnoteReference w:id="3"/>
      </w:r>
      <w:r w:rsidRPr="000B09B9">
        <w:rPr>
          <w:rFonts w:eastAsiaTheme="minorEastAsia"/>
        </w:rPr>
        <w:t xml:space="preserve"> for the use of IVIg for LEMS were used to build the clinical algorithm. </w:t>
      </w:r>
      <w:r w:rsidR="00EF48D6" w:rsidRPr="000B09B9">
        <w:rPr>
          <w:rFonts w:eastAsiaTheme="minorEastAsia"/>
        </w:rPr>
        <w:t xml:space="preserve">The ESC noted that </w:t>
      </w:r>
      <w:r w:rsidR="00616221" w:rsidRPr="000B09B9">
        <w:rPr>
          <w:rFonts w:eastAsiaTheme="minorEastAsia"/>
        </w:rPr>
        <w:t xml:space="preserve">the proposed treatment algorithm associates mild LEMS symptoms with malignancy, but patients with malignancy may also present with moderate or severe LEMS symptoms. </w:t>
      </w:r>
    </w:p>
    <w:p w14:paraId="0BDEDF05" w14:textId="15850EC5" w:rsidR="00FE1325" w:rsidRPr="000B09B9" w:rsidRDefault="00EA1188" w:rsidP="002B0564">
      <w:pPr>
        <w:pStyle w:val="3-BodyText"/>
        <w:numPr>
          <w:ilvl w:val="1"/>
          <w:numId w:val="9"/>
        </w:numPr>
        <w:rPr>
          <w:rFonts w:eastAsiaTheme="minorEastAsia" w:cstheme="minorBidi"/>
        </w:rPr>
      </w:pPr>
      <w:r w:rsidRPr="000B09B9">
        <w:rPr>
          <w:rFonts w:eastAsiaTheme="minorEastAsia"/>
        </w:rPr>
        <w:t>The ESC also noted that</w:t>
      </w:r>
      <w:r w:rsidR="000372B3" w:rsidRPr="000B09B9">
        <w:rPr>
          <w:rFonts w:eastAsiaTheme="minorEastAsia"/>
        </w:rPr>
        <w:t xml:space="preserve"> </w:t>
      </w:r>
      <w:r w:rsidR="00960A67" w:rsidRPr="000B09B9">
        <w:rPr>
          <w:rFonts w:eastAsiaTheme="minorEastAsia"/>
        </w:rPr>
        <w:t>o</w:t>
      </w:r>
      <w:r w:rsidR="000372B3" w:rsidRPr="000B09B9">
        <w:t>ther medications such as pyridostigmine and immunomodulators</w:t>
      </w:r>
      <w:r w:rsidR="00DB3183" w:rsidRPr="000B09B9">
        <w:t>/</w:t>
      </w:r>
      <w:r w:rsidR="00960A67" w:rsidRPr="000B09B9">
        <w:t>suppress</w:t>
      </w:r>
      <w:r w:rsidR="000501D5" w:rsidRPr="000B09B9">
        <w:t>a</w:t>
      </w:r>
      <w:r w:rsidR="00960A67" w:rsidRPr="000B09B9">
        <w:t xml:space="preserve">nts </w:t>
      </w:r>
      <w:r w:rsidR="000372B3" w:rsidRPr="000B09B9">
        <w:t>are not represented</w:t>
      </w:r>
      <w:r w:rsidR="00960A67" w:rsidRPr="000B09B9">
        <w:t xml:space="preserve"> in the algorithm</w:t>
      </w:r>
      <w:r w:rsidR="00760E21" w:rsidRPr="000B09B9">
        <w:t>, and that patients</w:t>
      </w:r>
      <w:r w:rsidR="00080B7E" w:rsidRPr="000B09B9">
        <w:t xml:space="preserve"> may</w:t>
      </w:r>
      <w:r w:rsidR="00760E21" w:rsidRPr="000B09B9">
        <w:t xml:space="preserve"> use amifampridine in addition to other medications</w:t>
      </w:r>
      <w:r w:rsidR="000372B3" w:rsidRPr="000B09B9">
        <w:t>.</w:t>
      </w:r>
      <w:r w:rsidR="00A51842" w:rsidRPr="000B09B9">
        <w:t xml:space="preserve"> </w:t>
      </w:r>
      <w:r w:rsidR="00A51842" w:rsidRPr="000B09B9">
        <w:rPr>
          <w:rFonts w:eastAsiaTheme="minorEastAsia" w:cstheme="minorBidi"/>
        </w:rPr>
        <w:t xml:space="preserve">The pre-PBAC response stated that feedback was sought from experienced clinicians regarding expected changes to the use of other therapies, </w:t>
      </w:r>
      <w:r w:rsidR="000D1C82" w:rsidRPr="000B09B9">
        <w:rPr>
          <w:rFonts w:eastAsiaTheme="minorEastAsia" w:cstheme="minorBidi"/>
        </w:rPr>
        <w:t xml:space="preserve">should </w:t>
      </w:r>
      <w:r w:rsidR="00A51842" w:rsidRPr="000B09B9">
        <w:rPr>
          <w:rFonts w:eastAsiaTheme="minorEastAsia" w:cstheme="minorBidi"/>
        </w:rPr>
        <w:t xml:space="preserve">amifampridine </w:t>
      </w:r>
      <w:r w:rsidR="000D1C82" w:rsidRPr="000B09B9">
        <w:rPr>
          <w:rFonts w:eastAsiaTheme="minorEastAsia" w:cstheme="minorBidi"/>
        </w:rPr>
        <w:t>be</w:t>
      </w:r>
      <w:r w:rsidR="00A51842" w:rsidRPr="000B09B9">
        <w:rPr>
          <w:rFonts w:eastAsiaTheme="minorEastAsia" w:cstheme="minorBidi"/>
        </w:rPr>
        <w:t xml:space="preserve"> PBS listed. The pre-PBAC response stated that variability of effectiveness with other treatments, notably IVIg, was consistently reported, and that the use of amifampridine would be expected to be associated with a reduction in use of IVIg. The pre-PBAC response also referred to the consumer comments</w:t>
      </w:r>
      <w:r w:rsidR="000D1C82" w:rsidRPr="000B09B9">
        <w:rPr>
          <w:rFonts w:eastAsiaTheme="minorEastAsia" w:cstheme="minorBidi"/>
        </w:rPr>
        <w:t>,</w:t>
      </w:r>
      <w:r w:rsidR="00A51842" w:rsidRPr="000B09B9">
        <w:rPr>
          <w:rFonts w:eastAsiaTheme="minorEastAsia" w:cstheme="minorBidi"/>
        </w:rPr>
        <w:t xml:space="preserve"> which were consistent with this advice (see paragraph</w:t>
      </w:r>
      <w:r w:rsidR="00C3661D" w:rsidRPr="000B09B9">
        <w:rPr>
          <w:rFonts w:eastAsiaTheme="minorEastAsia" w:cstheme="minorBidi"/>
        </w:rPr>
        <w:t>s 6.2 to 6.6</w:t>
      </w:r>
      <w:r w:rsidR="00A51842" w:rsidRPr="000B09B9">
        <w:rPr>
          <w:rFonts w:eastAsiaTheme="minorEastAsia" w:cstheme="minorBidi"/>
        </w:rPr>
        <w:t>).</w:t>
      </w:r>
      <w:r w:rsidR="007D62C4" w:rsidRPr="000B09B9">
        <w:rPr>
          <w:rFonts w:eastAsiaTheme="minorEastAsia" w:cstheme="minorBidi"/>
        </w:rPr>
        <w:t xml:space="preserve"> The PBAC </w:t>
      </w:r>
      <w:r w:rsidR="00D416EC" w:rsidRPr="000B09B9">
        <w:rPr>
          <w:rFonts w:eastAsiaTheme="minorEastAsia" w:cstheme="minorBidi"/>
        </w:rPr>
        <w:t>considered that concomitant therapies (such as IVIg) are not anticipated to change substantially</w:t>
      </w:r>
      <w:r w:rsidR="00BD5A27" w:rsidRPr="000B09B9">
        <w:rPr>
          <w:rFonts w:eastAsiaTheme="minorEastAsia" w:cstheme="minorBidi"/>
        </w:rPr>
        <w:t xml:space="preserve">. Although it may be reasonable to expect </w:t>
      </w:r>
      <w:r w:rsidR="00D416EC" w:rsidRPr="000B09B9">
        <w:rPr>
          <w:rFonts w:eastAsiaTheme="minorEastAsia" w:cstheme="minorBidi"/>
        </w:rPr>
        <w:t>some reduction in use of IVIg</w:t>
      </w:r>
      <w:r w:rsidR="00BD5A27" w:rsidRPr="000B09B9">
        <w:rPr>
          <w:rFonts w:eastAsiaTheme="minorEastAsia" w:cstheme="minorBidi"/>
        </w:rPr>
        <w:t>,</w:t>
      </w:r>
      <w:r w:rsidR="00D416EC" w:rsidRPr="000B09B9">
        <w:rPr>
          <w:rFonts w:eastAsiaTheme="minorEastAsia" w:cstheme="minorBidi"/>
        </w:rPr>
        <w:t xml:space="preserve"> </w:t>
      </w:r>
      <w:r w:rsidR="00BD5A27" w:rsidRPr="000B09B9">
        <w:rPr>
          <w:rFonts w:eastAsiaTheme="minorEastAsia" w:cstheme="minorBidi"/>
        </w:rPr>
        <w:t xml:space="preserve">PBAC considered </w:t>
      </w:r>
      <w:r w:rsidR="00D416EC" w:rsidRPr="000B09B9">
        <w:rPr>
          <w:rFonts w:eastAsiaTheme="minorEastAsia" w:cstheme="minorBidi"/>
        </w:rPr>
        <w:t xml:space="preserve">the magnitude of the impact </w:t>
      </w:r>
      <w:r w:rsidR="00BD5A27" w:rsidRPr="000B09B9">
        <w:rPr>
          <w:rFonts w:eastAsiaTheme="minorEastAsia" w:cstheme="minorBidi"/>
        </w:rPr>
        <w:t xml:space="preserve">to be </w:t>
      </w:r>
      <w:r w:rsidR="00D416EC" w:rsidRPr="000B09B9">
        <w:rPr>
          <w:rFonts w:eastAsiaTheme="minorEastAsia" w:cstheme="minorBidi"/>
        </w:rPr>
        <w:t xml:space="preserve">uncertain given that patients are </w:t>
      </w:r>
      <w:r w:rsidR="007D62C4" w:rsidRPr="000B09B9">
        <w:rPr>
          <w:rFonts w:eastAsiaTheme="minorEastAsia" w:cstheme="minorBidi"/>
        </w:rPr>
        <w:t>already accessing amifampridine via SAS.</w:t>
      </w:r>
      <w:r w:rsidR="00AB28D6" w:rsidRPr="000B09B9">
        <w:rPr>
          <w:rFonts w:eastAsiaTheme="minorEastAsia" w:cstheme="minorBidi"/>
        </w:rPr>
        <w:t xml:space="preserve"> </w:t>
      </w:r>
      <w:r w:rsidR="001B64FC" w:rsidRPr="000B09B9">
        <w:rPr>
          <w:rFonts w:eastAsiaTheme="minorEastAsia" w:cstheme="minorBidi"/>
        </w:rPr>
        <w:t xml:space="preserve">The ESC noted the importance of treating </w:t>
      </w:r>
      <w:r w:rsidR="00153024" w:rsidRPr="000B09B9">
        <w:rPr>
          <w:rFonts w:eastAsiaTheme="minorEastAsia" w:cstheme="minorBidi"/>
        </w:rPr>
        <w:t>the underlying malignancy first (if present), as it may be the only intervention necessary to produce improvement in neurologic symptoms (</w:t>
      </w:r>
      <w:r w:rsidR="00153024" w:rsidRPr="000B09B9">
        <w:rPr>
          <w:rFonts w:eastAsia="Calibri"/>
          <w:iCs/>
        </w:rPr>
        <w:t>Weinberg 2021)</w:t>
      </w:r>
      <w:r w:rsidR="00153024" w:rsidRPr="000B09B9">
        <w:rPr>
          <w:rFonts w:eastAsiaTheme="minorEastAsia" w:cstheme="minorBidi"/>
        </w:rPr>
        <w:t>.</w:t>
      </w:r>
    </w:p>
    <w:p w14:paraId="001E795E" w14:textId="690CDC5C" w:rsidR="003E7228" w:rsidRPr="000B09B9" w:rsidRDefault="003E7228" w:rsidP="002B0564">
      <w:pPr>
        <w:pStyle w:val="3-BodyText"/>
        <w:numPr>
          <w:ilvl w:val="1"/>
          <w:numId w:val="9"/>
        </w:numPr>
        <w:rPr>
          <w:rFonts w:eastAsiaTheme="minorEastAsia" w:cstheme="minorBidi"/>
        </w:rPr>
      </w:pPr>
      <w:r w:rsidRPr="000B09B9">
        <w:rPr>
          <w:rFonts w:eastAsiaTheme="minorEastAsia" w:cstheme="minorBidi"/>
        </w:rPr>
        <w:t>The ESC noted that summary statistics were provided by the NBA to inform the PBAC of utilisation of IVIg for LEMS over the last 3 years.</w:t>
      </w:r>
      <w:r w:rsidR="008A0350" w:rsidRPr="000B09B9">
        <w:rPr>
          <w:rFonts w:eastAsiaTheme="minorEastAsia" w:cstheme="minorBidi"/>
        </w:rPr>
        <w:t xml:space="preserve"> </w:t>
      </w:r>
      <w:r w:rsidRPr="000B09B9">
        <w:rPr>
          <w:rFonts w:eastAsiaTheme="minorEastAsia" w:cstheme="minorBidi"/>
        </w:rPr>
        <w:t xml:space="preserve">In the 2020-2021 financial year, the total number of patients treated with IVIg for LEMS </w:t>
      </w:r>
      <w:r w:rsidR="00D831DC" w:rsidRPr="000B09B9">
        <w:rPr>
          <w:rFonts w:eastAsiaTheme="minorEastAsia" w:cstheme="minorBidi"/>
        </w:rPr>
        <w:t>w</w:t>
      </w:r>
      <w:r w:rsidRPr="000B09B9">
        <w:rPr>
          <w:rFonts w:eastAsiaTheme="minorEastAsia" w:cstheme="minorBidi"/>
        </w:rPr>
        <w:t>as approximately 40</w:t>
      </w:r>
      <w:r w:rsidR="00D831DC" w:rsidRPr="000B09B9">
        <w:rPr>
          <w:rFonts w:eastAsiaTheme="minorEastAsia" w:cstheme="minorBidi"/>
        </w:rPr>
        <w:t xml:space="preserve"> (the exact number could not be reported due to privacy requirements).</w:t>
      </w:r>
      <w:r w:rsidR="008A0350" w:rsidRPr="000B09B9">
        <w:rPr>
          <w:rFonts w:eastAsiaTheme="minorEastAsia" w:cstheme="minorBidi"/>
        </w:rPr>
        <w:t xml:space="preserve"> </w:t>
      </w:r>
      <w:r w:rsidR="00D831DC" w:rsidRPr="000B09B9">
        <w:rPr>
          <w:rFonts w:eastAsiaTheme="minorEastAsia" w:cstheme="minorBidi"/>
        </w:rPr>
        <w:t xml:space="preserve">The average patient age and weight were reported to be </w:t>
      </w:r>
      <w:r w:rsidRPr="000B09B9">
        <w:rPr>
          <w:rFonts w:eastAsiaTheme="minorEastAsia" w:cstheme="minorBidi"/>
        </w:rPr>
        <w:t>65 years</w:t>
      </w:r>
      <w:r w:rsidR="00B67870" w:rsidRPr="000B09B9">
        <w:rPr>
          <w:rFonts w:eastAsiaTheme="minorEastAsia" w:cstheme="minorBidi"/>
        </w:rPr>
        <w:t xml:space="preserve"> and</w:t>
      </w:r>
      <w:r w:rsidRPr="000B09B9">
        <w:rPr>
          <w:rFonts w:eastAsiaTheme="minorEastAsia" w:cstheme="minorBidi"/>
        </w:rPr>
        <w:t xml:space="preserve"> 72 kg</w:t>
      </w:r>
      <w:r w:rsidR="00D831DC" w:rsidRPr="000B09B9">
        <w:rPr>
          <w:rFonts w:eastAsiaTheme="minorEastAsia" w:cstheme="minorBidi"/>
        </w:rPr>
        <w:t>, respectively</w:t>
      </w:r>
      <w:r w:rsidRPr="000B09B9">
        <w:rPr>
          <w:rFonts w:eastAsiaTheme="minorEastAsia" w:cstheme="minorBidi"/>
        </w:rPr>
        <w:t>.</w:t>
      </w:r>
      <w:r w:rsidR="008A0350" w:rsidRPr="000B09B9">
        <w:rPr>
          <w:rFonts w:eastAsiaTheme="minorEastAsia" w:cstheme="minorBidi"/>
        </w:rPr>
        <w:t xml:space="preserve"> </w:t>
      </w:r>
      <w:r w:rsidR="00B577CA" w:rsidRPr="000B09B9">
        <w:rPr>
          <w:rFonts w:eastAsiaTheme="minorEastAsia" w:cstheme="minorBidi"/>
        </w:rPr>
        <w:t>Similar utilisation statistics were seen in the previous two years.</w:t>
      </w:r>
      <w:r w:rsidR="008A0350" w:rsidRPr="000B09B9">
        <w:rPr>
          <w:rFonts w:eastAsiaTheme="minorEastAsia" w:cstheme="minorBidi"/>
        </w:rPr>
        <w:t xml:space="preserve"> </w:t>
      </w:r>
      <w:r w:rsidR="00B577CA" w:rsidRPr="000B09B9">
        <w:rPr>
          <w:rFonts w:eastAsiaTheme="minorEastAsia" w:cstheme="minorBidi"/>
        </w:rPr>
        <w:t xml:space="preserve">The ESC considered that </w:t>
      </w:r>
      <w:r w:rsidR="00D831DC" w:rsidRPr="000B09B9">
        <w:rPr>
          <w:iCs/>
        </w:rPr>
        <w:t>insufficient information was provided</w:t>
      </w:r>
      <w:r w:rsidR="00B577CA" w:rsidRPr="000B09B9">
        <w:rPr>
          <w:iCs/>
        </w:rPr>
        <w:t xml:space="preserve"> in the submission about the potential changes to IVIg use if amifampridine is PBS listed (see </w:t>
      </w:r>
      <w:r w:rsidR="00D831DC" w:rsidRPr="000B09B9">
        <w:rPr>
          <w:rFonts w:eastAsiaTheme="minorEastAsia" w:cstheme="minorBidi"/>
        </w:rPr>
        <w:t>paragraph 6.</w:t>
      </w:r>
      <w:r w:rsidR="003022D4" w:rsidRPr="000B09B9">
        <w:rPr>
          <w:rFonts w:eastAsiaTheme="minorEastAsia" w:cstheme="minorBidi"/>
        </w:rPr>
        <w:t>5</w:t>
      </w:r>
      <w:r w:rsidR="00960684" w:rsidRPr="000B09B9">
        <w:rPr>
          <w:rFonts w:eastAsiaTheme="minorEastAsia" w:cstheme="minorBidi"/>
        </w:rPr>
        <w:t>3</w:t>
      </w:r>
      <w:r w:rsidR="00B577CA" w:rsidRPr="000B09B9">
        <w:rPr>
          <w:rFonts w:eastAsiaTheme="minorEastAsia" w:cstheme="minorBidi"/>
        </w:rPr>
        <w:t>)</w:t>
      </w:r>
      <w:r w:rsidR="00D831DC" w:rsidRPr="000B09B9">
        <w:rPr>
          <w:rFonts w:eastAsiaTheme="minorEastAsia" w:cstheme="minorBidi"/>
        </w:rPr>
        <w:t>.</w:t>
      </w:r>
    </w:p>
    <w:p w14:paraId="2C22C79E" w14:textId="77777777" w:rsidR="001743D2" w:rsidRPr="000B09B9" w:rsidRDefault="001743D2" w:rsidP="001743D2">
      <w:pPr>
        <w:pStyle w:val="3-BodyText"/>
        <w:numPr>
          <w:ilvl w:val="0"/>
          <w:numId w:val="0"/>
        </w:numPr>
        <w:ind w:left="720"/>
        <w:rPr>
          <w:rFonts w:eastAsiaTheme="minorEastAsia" w:cstheme="minorBidi"/>
        </w:rPr>
      </w:pPr>
      <w:r w:rsidRPr="000B09B9">
        <w:rPr>
          <w:i/>
        </w:rPr>
        <w:t>For more detail on PBAC’s view, see section 7 PBAC outcome.</w:t>
      </w:r>
    </w:p>
    <w:p w14:paraId="4D50C247" w14:textId="77777777" w:rsidR="00FE1325" w:rsidRPr="000B09B9" w:rsidRDefault="00FE1325" w:rsidP="002B0564">
      <w:pPr>
        <w:pStyle w:val="2-SectionHeading"/>
        <w:numPr>
          <w:ilvl w:val="0"/>
          <w:numId w:val="9"/>
        </w:numPr>
      </w:pPr>
      <w:bookmarkStart w:id="18" w:name="_Toc22898850"/>
      <w:bookmarkStart w:id="19" w:name="_Toc82537446"/>
      <w:r w:rsidRPr="000B09B9">
        <w:t>Comparator</w:t>
      </w:r>
      <w:bookmarkEnd w:id="18"/>
      <w:bookmarkEnd w:id="19"/>
    </w:p>
    <w:p w14:paraId="2E3A09C4" w14:textId="77777777" w:rsidR="00FE1325" w:rsidRPr="000B09B9" w:rsidRDefault="00901F08" w:rsidP="00AB28D6">
      <w:pPr>
        <w:pStyle w:val="3-BodyText"/>
        <w:numPr>
          <w:ilvl w:val="1"/>
          <w:numId w:val="14"/>
        </w:numPr>
        <w:rPr>
          <w:rFonts w:ascii="Calibri" w:eastAsia="Calibri" w:hAnsi="Calibri" w:cs="Calibri"/>
          <w:iCs/>
          <w:snapToGrid/>
          <w:color w:val="000000" w:themeColor="text1"/>
        </w:rPr>
      </w:pPr>
      <w:r w:rsidRPr="000B09B9">
        <w:t>The submission nominated standard medical man</w:t>
      </w:r>
      <w:r w:rsidR="00FE464E" w:rsidRPr="000B09B9">
        <w:t>a</w:t>
      </w:r>
      <w:r w:rsidRPr="000B09B9">
        <w:t xml:space="preserve">gement as the comparator, which was represented in the key clinical evidence as placebo. </w:t>
      </w:r>
      <w:r w:rsidR="006D58EB" w:rsidRPr="000B09B9">
        <w:rPr>
          <w:iCs/>
        </w:rPr>
        <w:t>O</w:t>
      </w:r>
      <w:r w:rsidR="00FE1325" w:rsidRPr="000B09B9">
        <w:rPr>
          <w:iCs/>
        </w:rPr>
        <w:t xml:space="preserve">ther medications </w:t>
      </w:r>
      <w:r w:rsidR="00293D90" w:rsidRPr="000B09B9">
        <w:rPr>
          <w:iCs/>
        </w:rPr>
        <w:t xml:space="preserve">such as </w:t>
      </w:r>
      <w:r w:rsidR="00FE1325" w:rsidRPr="000B09B9">
        <w:rPr>
          <w:rFonts w:ascii="Calibri" w:eastAsia="Calibri" w:hAnsi="Calibri" w:cs="Calibri"/>
          <w:iCs/>
          <w:color w:val="000000" w:themeColor="text1"/>
        </w:rPr>
        <w:t xml:space="preserve">pyridostigmine or IVIg </w:t>
      </w:r>
      <w:r w:rsidR="00332B4C" w:rsidRPr="000B09B9">
        <w:rPr>
          <w:rFonts w:ascii="Calibri" w:eastAsia="Calibri" w:hAnsi="Calibri" w:cs="Calibri"/>
          <w:iCs/>
          <w:color w:val="000000" w:themeColor="text1"/>
        </w:rPr>
        <w:t>may</w:t>
      </w:r>
      <w:r w:rsidR="00FE1325" w:rsidRPr="000B09B9">
        <w:rPr>
          <w:rFonts w:ascii="Calibri" w:eastAsia="Calibri" w:hAnsi="Calibri" w:cs="Calibri"/>
          <w:iCs/>
          <w:color w:val="000000" w:themeColor="text1"/>
        </w:rPr>
        <w:t xml:space="preserve"> be commonly used in the absence of access to amifampridine. It is unclear how amifampridine would replace or affect the doses of the current standard-of-care treatment.</w:t>
      </w:r>
    </w:p>
    <w:p w14:paraId="0395743B" w14:textId="77777777" w:rsidR="009C781E" w:rsidRPr="000B09B9" w:rsidRDefault="004F3E96" w:rsidP="00521002">
      <w:pPr>
        <w:pStyle w:val="3-BodyText"/>
        <w:numPr>
          <w:ilvl w:val="1"/>
          <w:numId w:val="9"/>
        </w:numPr>
        <w:rPr>
          <w:rFonts w:ascii="Calibri" w:eastAsia="Calibri" w:hAnsi="Calibri" w:cs="Calibri"/>
          <w:iCs/>
          <w:snapToGrid/>
          <w:color w:val="000000" w:themeColor="text1"/>
        </w:rPr>
      </w:pPr>
      <w:r w:rsidRPr="000B09B9">
        <w:rPr>
          <w:iCs/>
          <w:snapToGrid/>
        </w:rPr>
        <w:t xml:space="preserve">The PSCR noted that there are no registered treatments in Australia for patients with LEMS. It stated that IVIg is recommended by the NBA as a </w:t>
      </w:r>
      <w:r w:rsidR="006F7B46" w:rsidRPr="000B09B9">
        <w:rPr>
          <w:iCs/>
          <w:snapToGrid/>
        </w:rPr>
        <w:t>second line treatment following</w:t>
      </w:r>
      <w:r w:rsidR="007B4A84" w:rsidRPr="000B09B9">
        <w:rPr>
          <w:iCs/>
          <w:snapToGrid/>
        </w:rPr>
        <w:t xml:space="preserve"> symptomatic therapy (shown as </w:t>
      </w:r>
      <w:r w:rsidR="0081270D" w:rsidRPr="000B09B9">
        <w:rPr>
          <w:iCs/>
          <w:snapToGrid/>
        </w:rPr>
        <w:t>3,4-DAP [</w:t>
      </w:r>
      <w:r w:rsidR="007B4A84" w:rsidRPr="000B09B9">
        <w:rPr>
          <w:iCs/>
          <w:snapToGrid/>
        </w:rPr>
        <w:t>amifampridine</w:t>
      </w:r>
      <w:r w:rsidR="0081270D" w:rsidRPr="000B09B9">
        <w:rPr>
          <w:iCs/>
          <w:snapToGrid/>
        </w:rPr>
        <w:t>]</w:t>
      </w:r>
      <w:r w:rsidR="007B4A84" w:rsidRPr="000B09B9">
        <w:rPr>
          <w:iCs/>
          <w:snapToGrid/>
        </w:rPr>
        <w:t xml:space="preserve"> in Figure 1) that is insufficient at minimising disability.</w:t>
      </w:r>
      <w:r w:rsidR="006F7B46" w:rsidRPr="000B09B9">
        <w:rPr>
          <w:iCs/>
          <w:snapToGrid/>
        </w:rPr>
        <w:t xml:space="preserve"> </w:t>
      </w:r>
      <w:r w:rsidR="006759B9" w:rsidRPr="000B09B9">
        <w:rPr>
          <w:iCs/>
          <w:snapToGrid/>
        </w:rPr>
        <w:t>However</w:t>
      </w:r>
      <w:r w:rsidR="00022A7F" w:rsidRPr="000B09B9">
        <w:rPr>
          <w:iCs/>
          <w:snapToGrid/>
        </w:rPr>
        <w:t>,</w:t>
      </w:r>
      <w:r w:rsidR="006759B9" w:rsidRPr="000B09B9">
        <w:rPr>
          <w:iCs/>
          <w:snapToGrid/>
        </w:rPr>
        <w:t xml:space="preserve"> </w:t>
      </w:r>
      <w:r w:rsidR="00022A7F" w:rsidRPr="000B09B9">
        <w:rPr>
          <w:iCs/>
          <w:snapToGrid/>
        </w:rPr>
        <w:t xml:space="preserve">the PSCR also stated that </w:t>
      </w:r>
      <w:r w:rsidR="006759B9" w:rsidRPr="000B09B9">
        <w:rPr>
          <w:iCs/>
          <w:snapToGrid/>
        </w:rPr>
        <w:t>if the patient is unable to access amifampridine</w:t>
      </w:r>
      <w:r w:rsidR="002E744E" w:rsidRPr="000B09B9">
        <w:rPr>
          <w:iCs/>
          <w:snapToGrid/>
        </w:rPr>
        <w:t>,</w:t>
      </w:r>
      <w:r w:rsidR="006759B9" w:rsidRPr="000B09B9">
        <w:rPr>
          <w:iCs/>
          <w:snapToGrid/>
        </w:rPr>
        <w:t xml:space="preserve"> then </w:t>
      </w:r>
      <w:r w:rsidR="006F7B46" w:rsidRPr="000B09B9">
        <w:rPr>
          <w:iCs/>
          <w:snapToGrid/>
        </w:rPr>
        <w:t>LEMS patients may receive IVIg</w:t>
      </w:r>
      <w:r w:rsidR="00022A7F" w:rsidRPr="000B09B9">
        <w:rPr>
          <w:iCs/>
          <w:snapToGrid/>
        </w:rPr>
        <w:t xml:space="preserve"> </w:t>
      </w:r>
      <w:r w:rsidR="006F7B46" w:rsidRPr="000B09B9">
        <w:rPr>
          <w:iCs/>
          <w:snapToGrid/>
        </w:rPr>
        <w:t xml:space="preserve">if </w:t>
      </w:r>
      <w:r w:rsidR="005A4BCE" w:rsidRPr="000B09B9">
        <w:rPr>
          <w:iCs/>
          <w:snapToGrid/>
        </w:rPr>
        <w:t>pyridostigmine is insufficient in improving LEMS-related weakness</w:t>
      </w:r>
      <w:r w:rsidR="00022A7F" w:rsidRPr="000B09B9">
        <w:rPr>
          <w:iCs/>
          <w:snapToGrid/>
        </w:rPr>
        <w:t xml:space="preserve"> (</w:t>
      </w:r>
      <w:r w:rsidR="002E744E" w:rsidRPr="000B09B9">
        <w:rPr>
          <w:iCs/>
          <w:snapToGrid/>
        </w:rPr>
        <w:t xml:space="preserve">under these circumstances, </w:t>
      </w:r>
      <w:r w:rsidR="007C2426" w:rsidRPr="000B09B9">
        <w:rPr>
          <w:iCs/>
          <w:snapToGrid/>
        </w:rPr>
        <w:t>the PSCR described</w:t>
      </w:r>
      <w:r w:rsidR="002E744E" w:rsidRPr="000B09B9">
        <w:rPr>
          <w:iCs/>
          <w:snapToGrid/>
        </w:rPr>
        <w:t xml:space="preserve"> IVIg</w:t>
      </w:r>
      <w:r w:rsidR="007C2426" w:rsidRPr="000B09B9">
        <w:rPr>
          <w:iCs/>
          <w:snapToGrid/>
        </w:rPr>
        <w:t xml:space="preserve"> </w:t>
      </w:r>
      <w:r w:rsidR="00022A7F" w:rsidRPr="000B09B9">
        <w:rPr>
          <w:iCs/>
          <w:snapToGrid/>
        </w:rPr>
        <w:t>as a first line treatment</w:t>
      </w:r>
      <w:r w:rsidR="007C2426" w:rsidRPr="000B09B9">
        <w:rPr>
          <w:iCs/>
          <w:snapToGrid/>
        </w:rPr>
        <w:t xml:space="preserve">, although the </w:t>
      </w:r>
      <w:r w:rsidR="002E744E" w:rsidRPr="000B09B9">
        <w:rPr>
          <w:iCs/>
          <w:snapToGrid/>
        </w:rPr>
        <w:t xml:space="preserve">ESC </w:t>
      </w:r>
      <w:r w:rsidR="002E744E" w:rsidRPr="000B09B9">
        <w:rPr>
          <w:rFonts w:eastAsiaTheme="minorEastAsia"/>
        </w:rPr>
        <w:t>noted that o</w:t>
      </w:r>
      <w:r w:rsidR="002E744E" w:rsidRPr="000B09B9">
        <w:t>ther medications such as pyridostigmine and immunomodulators/suppressants [</w:t>
      </w:r>
      <w:r w:rsidR="00F613DB" w:rsidRPr="00F613DB">
        <w:t xml:space="preserve">see </w:t>
      </w:r>
      <w:r w:rsidR="002E744E" w:rsidRPr="00F613DB">
        <w:t>paragraph 4.8</w:t>
      </w:r>
      <w:r w:rsidR="002E744E" w:rsidRPr="000B09B9">
        <w:t>] are not represented in the algorithm</w:t>
      </w:r>
      <w:r w:rsidR="00022A7F" w:rsidRPr="000B09B9">
        <w:rPr>
          <w:iCs/>
          <w:snapToGrid/>
        </w:rPr>
        <w:t>)</w:t>
      </w:r>
      <w:r w:rsidR="006F7B46" w:rsidRPr="000B09B9">
        <w:rPr>
          <w:iCs/>
          <w:snapToGrid/>
        </w:rPr>
        <w:t xml:space="preserve">. </w:t>
      </w:r>
      <w:r w:rsidR="00D31E50" w:rsidRPr="000B09B9">
        <w:rPr>
          <w:iCs/>
          <w:snapToGrid/>
        </w:rPr>
        <w:t xml:space="preserve">The PSCR </w:t>
      </w:r>
      <w:r w:rsidR="006F7B46" w:rsidRPr="000B09B9">
        <w:rPr>
          <w:iCs/>
          <w:snapToGrid/>
        </w:rPr>
        <w:t xml:space="preserve">also stated that in practice, </w:t>
      </w:r>
      <w:r w:rsidR="005A4BCE" w:rsidRPr="000B09B9">
        <w:rPr>
          <w:iCs/>
          <w:snapToGrid/>
        </w:rPr>
        <w:t>other</w:t>
      </w:r>
      <w:r w:rsidR="006F7B46" w:rsidRPr="000B09B9">
        <w:rPr>
          <w:iCs/>
          <w:snapToGrid/>
        </w:rPr>
        <w:t xml:space="preserve"> medicines are used as complementary treatments to amifampridine, and that a multifactorial approach is used to treat complex symptoms.</w:t>
      </w:r>
      <w:r w:rsidR="00016266" w:rsidRPr="000B09B9">
        <w:rPr>
          <w:iCs/>
          <w:snapToGrid/>
        </w:rPr>
        <w:t xml:space="preserve"> The ESC noted that of patients in the DAPPER trial, only one</w:t>
      </w:r>
      <w:r w:rsidR="00DB3183" w:rsidRPr="000B09B9">
        <w:rPr>
          <w:iCs/>
          <w:snapToGrid/>
        </w:rPr>
        <w:t xml:space="preserve"> patient was taking</w:t>
      </w:r>
      <w:r w:rsidR="00016266" w:rsidRPr="000B09B9">
        <w:rPr>
          <w:iCs/>
          <w:snapToGrid/>
        </w:rPr>
        <w:t xml:space="preserve"> amifampridine alone and all other </w:t>
      </w:r>
      <w:r w:rsidR="00DB3183" w:rsidRPr="000B09B9">
        <w:rPr>
          <w:iCs/>
          <w:snapToGrid/>
        </w:rPr>
        <w:t>trial participants</w:t>
      </w:r>
      <w:r w:rsidR="00016266" w:rsidRPr="000B09B9">
        <w:rPr>
          <w:iCs/>
          <w:snapToGrid/>
        </w:rPr>
        <w:t xml:space="preserve"> </w:t>
      </w:r>
      <w:r w:rsidR="00DB3183" w:rsidRPr="000B09B9">
        <w:rPr>
          <w:iCs/>
          <w:snapToGrid/>
        </w:rPr>
        <w:t>were taking</w:t>
      </w:r>
      <w:r w:rsidR="00016266" w:rsidRPr="000B09B9">
        <w:rPr>
          <w:iCs/>
          <w:snapToGrid/>
        </w:rPr>
        <w:t xml:space="preserve"> a </w:t>
      </w:r>
      <w:r w:rsidR="00DB3183" w:rsidRPr="000B09B9">
        <w:rPr>
          <w:iCs/>
          <w:snapToGrid/>
        </w:rPr>
        <w:t>combination</w:t>
      </w:r>
      <w:r w:rsidR="00016266" w:rsidRPr="000B09B9">
        <w:rPr>
          <w:iCs/>
          <w:snapToGrid/>
        </w:rPr>
        <w:t xml:space="preserve"> of medications that included pyridostigmine</w:t>
      </w:r>
      <w:r w:rsidR="00DB3183" w:rsidRPr="000B09B9">
        <w:rPr>
          <w:iCs/>
          <w:snapToGrid/>
        </w:rPr>
        <w:t xml:space="preserve"> and/or immunomodulators/suppress</w:t>
      </w:r>
      <w:r w:rsidR="005A4BCE" w:rsidRPr="000B09B9">
        <w:rPr>
          <w:iCs/>
          <w:snapToGrid/>
        </w:rPr>
        <w:t>a</w:t>
      </w:r>
      <w:r w:rsidR="00DB3183" w:rsidRPr="000B09B9">
        <w:rPr>
          <w:iCs/>
          <w:snapToGrid/>
        </w:rPr>
        <w:t>nts</w:t>
      </w:r>
      <w:r w:rsidR="00016266" w:rsidRPr="000B09B9">
        <w:rPr>
          <w:iCs/>
          <w:snapToGrid/>
        </w:rPr>
        <w:t xml:space="preserve"> in addition to</w:t>
      </w:r>
      <w:r w:rsidR="00DB3183" w:rsidRPr="000B09B9">
        <w:rPr>
          <w:iCs/>
          <w:snapToGrid/>
        </w:rPr>
        <w:t xml:space="preserve"> amifampridine</w:t>
      </w:r>
      <w:r w:rsidR="00D31E50" w:rsidRPr="000B09B9">
        <w:rPr>
          <w:iCs/>
          <w:snapToGrid/>
        </w:rPr>
        <w:t xml:space="preserve"> (</w:t>
      </w:r>
      <w:r w:rsidR="00F613DB">
        <w:rPr>
          <w:iCs/>
          <w:snapToGrid/>
        </w:rPr>
        <w:t xml:space="preserve">see </w:t>
      </w:r>
      <w:r w:rsidR="00D31E50" w:rsidRPr="00F613DB">
        <w:rPr>
          <w:iCs/>
          <w:snapToGrid/>
        </w:rPr>
        <w:t>paragraph 6.21</w:t>
      </w:r>
      <w:r w:rsidR="00D31E50" w:rsidRPr="000B09B9">
        <w:rPr>
          <w:iCs/>
          <w:snapToGrid/>
        </w:rPr>
        <w:t>)</w:t>
      </w:r>
      <w:r w:rsidR="00DB3183" w:rsidRPr="000B09B9">
        <w:rPr>
          <w:iCs/>
          <w:snapToGrid/>
        </w:rPr>
        <w:t>.</w:t>
      </w:r>
      <w:r w:rsidR="006D58EB" w:rsidRPr="000B09B9">
        <w:rPr>
          <w:iCs/>
          <w:snapToGrid/>
        </w:rPr>
        <w:t xml:space="preserve"> The ESC highlighted that comparative evidence against these other medications is limited and unlikely to change.</w:t>
      </w:r>
    </w:p>
    <w:p w14:paraId="1798AE9D" w14:textId="77777777" w:rsidR="001743D2" w:rsidRPr="000B09B9" w:rsidRDefault="001743D2" w:rsidP="001743D2">
      <w:pPr>
        <w:pStyle w:val="3-BodyText"/>
        <w:numPr>
          <w:ilvl w:val="0"/>
          <w:numId w:val="0"/>
        </w:numPr>
        <w:ind w:left="720"/>
        <w:rPr>
          <w:rFonts w:ascii="Calibri" w:eastAsia="Calibri" w:hAnsi="Calibri" w:cs="Calibri"/>
          <w:iCs/>
          <w:snapToGrid/>
          <w:color w:val="000000" w:themeColor="text1"/>
        </w:rPr>
      </w:pPr>
      <w:r w:rsidRPr="000B09B9">
        <w:rPr>
          <w:i/>
        </w:rPr>
        <w:t>For more detail on PBAC’s view, see section 7 PBAC outcome.</w:t>
      </w:r>
    </w:p>
    <w:p w14:paraId="576F72D5" w14:textId="77777777" w:rsidR="00FE1325" w:rsidRPr="000B09B9" w:rsidRDefault="00FE1325" w:rsidP="002B0564">
      <w:pPr>
        <w:pStyle w:val="2-SectionHeading"/>
      </w:pPr>
      <w:bookmarkStart w:id="20" w:name="_Toc82537447"/>
      <w:bookmarkStart w:id="21" w:name="_Toc22897640"/>
      <w:bookmarkStart w:id="22" w:name="_Toc22898852"/>
      <w:r w:rsidRPr="000B09B9">
        <w:t>Consideration of the evidence</w:t>
      </w:r>
      <w:bookmarkEnd w:id="20"/>
    </w:p>
    <w:p w14:paraId="69953F40" w14:textId="77777777" w:rsidR="00EF79CD" w:rsidRPr="000B09B9" w:rsidRDefault="00EF79CD" w:rsidP="005960BC">
      <w:pPr>
        <w:pStyle w:val="4-SubsectionHeading"/>
      </w:pPr>
      <w:bookmarkStart w:id="23" w:name="_Hlk76375935"/>
      <w:r w:rsidRPr="000B09B9">
        <w:t>Sponsor hearing</w:t>
      </w:r>
    </w:p>
    <w:p w14:paraId="1DA86D58" w14:textId="77777777" w:rsidR="00EF79CD" w:rsidRPr="000B09B9" w:rsidRDefault="004A4669" w:rsidP="004A4669">
      <w:pPr>
        <w:widowControl w:val="0"/>
        <w:numPr>
          <w:ilvl w:val="1"/>
          <w:numId w:val="1"/>
        </w:numPr>
        <w:spacing w:after="120"/>
        <w:rPr>
          <w:rFonts w:cs="Calibri"/>
          <w:bCs/>
          <w:snapToGrid w:val="0"/>
        </w:rPr>
      </w:pPr>
      <w:r w:rsidRPr="000B09B9">
        <w:rPr>
          <w:rFonts w:cs="Calibri"/>
          <w:bCs/>
          <w:snapToGrid w:val="0"/>
        </w:rPr>
        <w:t>There was no hearing for this item.</w:t>
      </w:r>
    </w:p>
    <w:p w14:paraId="61777C71" w14:textId="77777777" w:rsidR="00EF79CD" w:rsidRPr="000B09B9" w:rsidRDefault="00EF79CD" w:rsidP="005960BC">
      <w:pPr>
        <w:pStyle w:val="4-SubsectionHeading"/>
      </w:pPr>
      <w:r w:rsidRPr="000B09B9">
        <w:t>Consumer comments</w:t>
      </w:r>
    </w:p>
    <w:p w14:paraId="3FEDF316" w14:textId="77777777" w:rsidR="003274E1" w:rsidRPr="000B09B9" w:rsidRDefault="000A00F5" w:rsidP="00FF35C6">
      <w:pPr>
        <w:widowControl w:val="0"/>
        <w:numPr>
          <w:ilvl w:val="1"/>
          <w:numId w:val="1"/>
        </w:numPr>
        <w:spacing w:after="120"/>
        <w:rPr>
          <w:rFonts w:asciiTheme="minorHAnsi" w:hAnsiTheme="minorHAnsi"/>
          <w:bCs/>
          <w:snapToGrid w:val="0"/>
        </w:rPr>
      </w:pPr>
      <w:bookmarkStart w:id="24" w:name="_Hlk76382618"/>
      <w:r w:rsidRPr="000B09B9">
        <w:rPr>
          <w:rFonts w:asciiTheme="minorHAnsi" w:hAnsiTheme="minorHAnsi"/>
          <w:bCs/>
          <w:snapToGrid w:val="0"/>
        </w:rPr>
        <w:t>The PBAC noted and welcomed the input from individuals (9), a health care professional</w:t>
      </w:r>
      <w:r w:rsidR="008575D5" w:rsidRPr="000B09B9">
        <w:rPr>
          <w:rFonts w:asciiTheme="minorHAnsi" w:hAnsiTheme="minorHAnsi"/>
          <w:bCs/>
          <w:snapToGrid w:val="0"/>
        </w:rPr>
        <w:t xml:space="preserve"> (HCP)</w:t>
      </w:r>
      <w:r w:rsidRPr="000B09B9">
        <w:rPr>
          <w:rFonts w:asciiTheme="minorHAnsi" w:hAnsiTheme="minorHAnsi"/>
          <w:bCs/>
          <w:snapToGrid w:val="0"/>
        </w:rPr>
        <w:t>, and an organisation via the Consumer Comments facility on the PBS website.</w:t>
      </w:r>
      <w:r w:rsidR="008575D5" w:rsidRPr="000B09B9">
        <w:rPr>
          <w:rFonts w:asciiTheme="minorHAnsi" w:hAnsiTheme="minorHAnsi"/>
          <w:bCs/>
          <w:snapToGrid w:val="0"/>
        </w:rPr>
        <w:t xml:space="preserve"> </w:t>
      </w:r>
    </w:p>
    <w:p w14:paraId="26936C62" w14:textId="77777777" w:rsidR="00301D22" w:rsidRPr="000B09B9" w:rsidRDefault="008575D5" w:rsidP="00FF35C6">
      <w:pPr>
        <w:widowControl w:val="0"/>
        <w:numPr>
          <w:ilvl w:val="1"/>
          <w:numId w:val="1"/>
        </w:numPr>
        <w:spacing w:after="120"/>
        <w:rPr>
          <w:rFonts w:asciiTheme="minorHAnsi" w:hAnsiTheme="minorHAnsi"/>
          <w:bCs/>
          <w:snapToGrid w:val="0"/>
        </w:rPr>
      </w:pPr>
      <w:r w:rsidRPr="000B09B9">
        <w:rPr>
          <w:rFonts w:asciiTheme="minorHAnsi" w:hAnsiTheme="minorHAnsi"/>
          <w:bCs/>
          <w:snapToGrid w:val="0"/>
        </w:rPr>
        <w:t xml:space="preserve">The HCP </w:t>
      </w:r>
      <w:r w:rsidR="00301D22" w:rsidRPr="000B09B9">
        <w:rPr>
          <w:rFonts w:asciiTheme="minorHAnsi" w:hAnsiTheme="minorHAnsi"/>
          <w:bCs/>
          <w:snapToGrid w:val="0"/>
        </w:rPr>
        <w:t xml:space="preserve">noted the rarity of </w:t>
      </w:r>
      <w:r w:rsidR="00C27F89" w:rsidRPr="000B09B9">
        <w:rPr>
          <w:rFonts w:asciiTheme="minorHAnsi" w:hAnsiTheme="minorHAnsi"/>
          <w:bCs/>
          <w:snapToGrid w:val="0"/>
        </w:rPr>
        <w:t>LEMS</w:t>
      </w:r>
      <w:r w:rsidR="00301D22" w:rsidRPr="000B09B9">
        <w:rPr>
          <w:rFonts w:asciiTheme="minorHAnsi" w:hAnsiTheme="minorHAnsi"/>
          <w:bCs/>
          <w:snapToGrid w:val="0"/>
        </w:rPr>
        <w:t xml:space="preserve"> but stated that </w:t>
      </w:r>
      <w:r w:rsidR="00301D22" w:rsidRPr="000B09B9">
        <w:rPr>
          <w:color w:val="000000" w:themeColor="text1"/>
        </w:rPr>
        <w:t>diagnosis can usually be reached with certainty. The HCP described the positive impact that</w:t>
      </w:r>
      <w:r w:rsidR="00BB066D" w:rsidRPr="000B09B9">
        <w:rPr>
          <w:color w:val="000000" w:themeColor="text1"/>
        </w:rPr>
        <w:t xml:space="preserve"> amifampridine has on </w:t>
      </w:r>
      <w:r w:rsidR="00301D22" w:rsidRPr="000B09B9">
        <w:rPr>
          <w:color w:val="000000" w:themeColor="text1"/>
        </w:rPr>
        <w:t>muscle strength and quality of life</w:t>
      </w:r>
      <w:r w:rsidR="00BB066D" w:rsidRPr="000B09B9">
        <w:rPr>
          <w:color w:val="000000" w:themeColor="text1"/>
        </w:rPr>
        <w:t xml:space="preserve"> for patients receiving treatment, and how they rely on </w:t>
      </w:r>
      <w:r w:rsidR="00FF35C6" w:rsidRPr="000B09B9">
        <w:rPr>
          <w:color w:val="000000" w:themeColor="text1"/>
        </w:rPr>
        <w:t>it</w:t>
      </w:r>
      <w:r w:rsidR="00BB066D" w:rsidRPr="000B09B9">
        <w:rPr>
          <w:color w:val="000000" w:themeColor="text1"/>
        </w:rPr>
        <w:t xml:space="preserve"> for their daily function</w:t>
      </w:r>
      <w:r w:rsidR="00301D22" w:rsidRPr="000B09B9">
        <w:rPr>
          <w:color w:val="000000" w:themeColor="text1"/>
        </w:rPr>
        <w:t xml:space="preserve">. </w:t>
      </w:r>
      <w:r w:rsidR="00BB066D" w:rsidRPr="000B09B9">
        <w:rPr>
          <w:color w:val="000000" w:themeColor="text1"/>
        </w:rPr>
        <w:t>The HCP stated that amifampridine</w:t>
      </w:r>
      <w:r w:rsidR="00301D22" w:rsidRPr="000B09B9">
        <w:rPr>
          <w:color w:val="000000" w:themeColor="text1"/>
        </w:rPr>
        <w:t xml:space="preserve"> is generally well tolerated and appears to be without major long-term side effects or challenges in it</w:t>
      </w:r>
      <w:r w:rsidR="00FF35C6" w:rsidRPr="000B09B9">
        <w:rPr>
          <w:color w:val="000000" w:themeColor="text1"/>
        </w:rPr>
        <w:t>s prescribing.</w:t>
      </w:r>
    </w:p>
    <w:p w14:paraId="00B1B9D5" w14:textId="77777777" w:rsidR="00EF79CD" w:rsidRPr="000B09B9" w:rsidRDefault="001542FD" w:rsidP="0043045A">
      <w:pPr>
        <w:pStyle w:val="3-BodyText"/>
        <w:rPr>
          <w:bCs/>
        </w:rPr>
      </w:pPr>
      <w:r w:rsidRPr="000B09B9">
        <w:rPr>
          <w:bCs/>
        </w:rPr>
        <w:t xml:space="preserve">The PBAC noted the advice received from </w:t>
      </w:r>
      <w:r w:rsidRPr="000B09B9">
        <w:t>Myasthenia Alliance Australia (MAA)</w:t>
      </w:r>
      <w:r w:rsidRPr="000B09B9">
        <w:rPr>
          <w:bCs/>
        </w:rPr>
        <w:t xml:space="preserve"> clarifying the likely use of amifampridine in clinical practice. </w:t>
      </w:r>
      <w:r w:rsidR="008575D5" w:rsidRPr="000B09B9">
        <w:rPr>
          <w:rFonts w:cstheme="minorHAnsi"/>
        </w:rPr>
        <w:t xml:space="preserve">The </w:t>
      </w:r>
      <w:r w:rsidR="00C27F89" w:rsidRPr="000B09B9">
        <w:rPr>
          <w:rFonts w:cstheme="minorHAnsi"/>
        </w:rPr>
        <w:t>MAA</w:t>
      </w:r>
      <w:r w:rsidR="008575D5" w:rsidRPr="000B09B9">
        <w:rPr>
          <w:rFonts w:cstheme="minorHAnsi"/>
        </w:rPr>
        <w:t xml:space="preserve"> </w:t>
      </w:r>
      <w:r w:rsidR="00670DC3" w:rsidRPr="000B09B9">
        <w:rPr>
          <w:rFonts w:cstheme="minorHAnsi"/>
        </w:rPr>
        <w:t>stated that</w:t>
      </w:r>
      <w:r w:rsidR="008575D5" w:rsidRPr="000B09B9">
        <w:rPr>
          <w:rFonts w:cstheme="minorHAnsi"/>
        </w:rPr>
        <w:t xml:space="preserve"> feedback from people suffering with </w:t>
      </w:r>
      <w:r w:rsidR="00C27F89" w:rsidRPr="000B09B9">
        <w:rPr>
          <w:rFonts w:cstheme="minorHAnsi"/>
        </w:rPr>
        <w:t xml:space="preserve">LEMS </w:t>
      </w:r>
      <w:r w:rsidR="00D37ABC" w:rsidRPr="000B09B9">
        <w:rPr>
          <w:rFonts w:cstheme="minorHAnsi"/>
        </w:rPr>
        <w:t>indicat</w:t>
      </w:r>
      <w:r w:rsidR="00670DC3" w:rsidRPr="000B09B9">
        <w:rPr>
          <w:rFonts w:cstheme="minorHAnsi"/>
        </w:rPr>
        <w:t>ed</w:t>
      </w:r>
      <w:r w:rsidR="00C27F89" w:rsidRPr="000B09B9">
        <w:rPr>
          <w:rFonts w:cstheme="minorHAnsi"/>
        </w:rPr>
        <w:t xml:space="preserve"> that</w:t>
      </w:r>
      <w:r w:rsidR="008575D5" w:rsidRPr="000B09B9">
        <w:rPr>
          <w:rFonts w:cstheme="minorHAnsi"/>
        </w:rPr>
        <w:t xml:space="preserve"> </w:t>
      </w:r>
      <w:r w:rsidR="00C27F89" w:rsidRPr="000B09B9">
        <w:rPr>
          <w:rFonts w:cstheme="minorHAnsi"/>
        </w:rPr>
        <w:t>amifampridine</w:t>
      </w:r>
      <w:r w:rsidR="008575D5" w:rsidRPr="000B09B9">
        <w:rPr>
          <w:rFonts w:cstheme="minorHAnsi"/>
        </w:rPr>
        <w:t xml:space="preserve"> is effec</w:t>
      </w:r>
      <w:r w:rsidR="005A4413" w:rsidRPr="000B09B9">
        <w:rPr>
          <w:rFonts w:cstheme="minorHAnsi"/>
        </w:rPr>
        <w:t xml:space="preserve">tive </w:t>
      </w:r>
      <w:r w:rsidR="00670DC3" w:rsidRPr="000B09B9">
        <w:rPr>
          <w:rFonts w:cstheme="minorHAnsi"/>
        </w:rPr>
        <w:t>f</w:t>
      </w:r>
      <w:r w:rsidR="005A4413" w:rsidRPr="000B09B9">
        <w:rPr>
          <w:rFonts w:cstheme="minorHAnsi"/>
        </w:rPr>
        <w:t>o</w:t>
      </w:r>
      <w:r w:rsidR="00670DC3" w:rsidRPr="000B09B9">
        <w:rPr>
          <w:rFonts w:cstheme="minorHAnsi"/>
        </w:rPr>
        <w:t>r</w:t>
      </w:r>
      <w:r w:rsidR="005A4413" w:rsidRPr="000B09B9">
        <w:rPr>
          <w:rFonts w:cstheme="minorHAnsi"/>
        </w:rPr>
        <w:t xml:space="preserve"> a range of users</w:t>
      </w:r>
      <w:r w:rsidR="00C27F89" w:rsidRPr="000B09B9">
        <w:rPr>
          <w:rFonts w:cstheme="minorHAnsi"/>
        </w:rPr>
        <w:t xml:space="preserve"> </w:t>
      </w:r>
      <w:r w:rsidR="005A4413" w:rsidRPr="000B09B9">
        <w:rPr>
          <w:rFonts w:cstheme="minorHAnsi"/>
        </w:rPr>
        <w:t>and</w:t>
      </w:r>
      <w:r w:rsidR="008575D5" w:rsidRPr="000B09B9">
        <w:rPr>
          <w:rFonts w:cstheme="minorHAnsi"/>
        </w:rPr>
        <w:t xml:space="preserve"> </w:t>
      </w:r>
      <w:r w:rsidR="00C27F89" w:rsidRPr="000B09B9">
        <w:rPr>
          <w:rFonts w:cstheme="minorHAnsi"/>
        </w:rPr>
        <w:t>the free base form</w:t>
      </w:r>
      <w:r w:rsidR="008575D5" w:rsidRPr="000B09B9">
        <w:rPr>
          <w:rFonts w:cstheme="minorHAnsi"/>
        </w:rPr>
        <w:t xml:space="preserve"> </w:t>
      </w:r>
      <w:r w:rsidR="00C27F89" w:rsidRPr="000B09B9">
        <w:rPr>
          <w:rFonts w:cstheme="minorHAnsi"/>
        </w:rPr>
        <w:t>appears</w:t>
      </w:r>
      <w:r w:rsidR="008575D5" w:rsidRPr="000B09B9">
        <w:rPr>
          <w:rFonts w:cstheme="minorHAnsi"/>
        </w:rPr>
        <w:t xml:space="preserve"> well tolerated. </w:t>
      </w:r>
      <w:r w:rsidR="00C27F89" w:rsidRPr="000B09B9">
        <w:rPr>
          <w:rFonts w:cstheme="minorHAnsi"/>
        </w:rPr>
        <w:t>T</w:t>
      </w:r>
      <w:r w:rsidR="008575D5" w:rsidRPr="000B09B9">
        <w:rPr>
          <w:rFonts w:cstheme="minorHAnsi"/>
        </w:rPr>
        <w:t xml:space="preserve">he </w:t>
      </w:r>
      <w:r w:rsidR="00C27F89" w:rsidRPr="000B09B9">
        <w:rPr>
          <w:rFonts w:cstheme="minorHAnsi"/>
        </w:rPr>
        <w:t xml:space="preserve">MAA </w:t>
      </w:r>
      <w:r w:rsidR="00670DC3" w:rsidRPr="000B09B9">
        <w:rPr>
          <w:rFonts w:cstheme="minorHAnsi"/>
        </w:rPr>
        <w:t xml:space="preserve">also shared concerns </w:t>
      </w:r>
      <w:r w:rsidR="008575D5" w:rsidRPr="000B09B9">
        <w:rPr>
          <w:rFonts w:cstheme="minorHAnsi"/>
        </w:rPr>
        <w:t>that not having access</w:t>
      </w:r>
      <w:r w:rsidR="005A4413" w:rsidRPr="000B09B9">
        <w:rPr>
          <w:rFonts w:cstheme="minorHAnsi"/>
        </w:rPr>
        <w:t xml:space="preserve"> to amifampridine</w:t>
      </w:r>
      <w:r w:rsidR="008575D5" w:rsidRPr="000B09B9">
        <w:rPr>
          <w:rFonts w:cstheme="minorHAnsi"/>
        </w:rPr>
        <w:t xml:space="preserve"> </w:t>
      </w:r>
      <w:r w:rsidR="00670DC3" w:rsidRPr="000B09B9">
        <w:rPr>
          <w:rFonts w:cstheme="minorHAnsi"/>
        </w:rPr>
        <w:t xml:space="preserve">would </w:t>
      </w:r>
      <w:r w:rsidR="008575D5" w:rsidRPr="000B09B9">
        <w:rPr>
          <w:rFonts w:cstheme="minorHAnsi"/>
        </w:rPr>
        <w:t xml:space="preserve">be detrimental to health outcomes and quality of life. </w:t>
      </w:r>
      <w:r w:rsidR="005A4413" w:rsidRPr="000B09B9">
        <w:rPr>
          <w:rFonts w:cstheme="minorHAnsi"/>
        </w:rPr>
        <w:t xml:space="preserve">The MAA stated that </w:t>
      </w:r>
      <w:r w:rsidR="0043045A" w:rsidRPr="0043045A">
        <w:rPr>
          <w:rFonts w:cstheme="minorHAnsi"/>
          <w:snapToGrid/>
        </w:rPr>
        <w:t>some patients struggle with current access, which is hospital based and subject to repeat authorisation from a select group of specialist HCPs, and patients must then liaise with the hospital pharmacy to obtain the medication</w:t>
      </w:r>
      <w:r w:rsidR="008575D5" w:rsidRPr="000B09B9">
        <w:rPr>
          <w:rFonts w:cstheme="minorHAnsi"/>
        </w:rPr>
        <w:t xml:space="preserve">. </w:t>
      </w:r>
      <w:r w:rsidR="005A4413" w:rsidRPr="000B09B9">
        <w:rPr>
          <w:rFonts w:cstheme="minorHAnsi"/>
        </w:rPr>
        <w:t xml:space="preserve">The MAA noted these difficulties are </w:t>
      </w:r>
      <w:r w:rsidR="008575D5" w:rsidRPr="000B09B9">
        <w:rPr>
          <w:rFonts w:cstheme="minorHAnsi"/>
        </w:rPr>
        <w:t>compounded for those living in regional areas</w:t>
      </w:r>
      <w:r w:rsidR="005A4413" w:rsidRPr="000B09B9">
        <w:rPr>
          <w:rFonts w:cstheme="minorHAnsi"/>
        </w:rPr>
        <w:t xml:space="preserve">, given the </w:t>
      </w:r>
      <w:r w:rsidR="008575D5" w:rsidRPr="000B09B9">
        <w:rPr>
          <w:rFonts w:cstheme="minorHAnsi"/>
        </w:rPr>
        <w:t>effects of the condition and the impact of travel</w:t>
      </w:r>
      <w:r w:rsidR="005A4413" w:rsidRPr="000B09B9">
        <w:rPr>
          <w:rFonts w:cstheme="minorHAnsi"/>
        </w:rPr>
        <w:t>ling and attending appointments.</w:t>
      </w:r>
      <w:r w:rsidR="008575D5" w:rsidRPr="000B09B9">
        <w:rPr>
          <w:rFonts w:cstheme="minorHAnsi"/>
        </w:rPr>
        <w:t xml:space="preserve"> </w:t>
      </w:r>
      <w:r w:rsidR="005A4413" w:rsidRPr="000B09B9">
        <w:rPr>
          <w:rFonts w:cstheme="minorHAnsi"/>
        </w:rPr>
        <w:t>The MAA stated that</w:t>
      </w:r>
      <w:r w:rsidR="008575D5" w:rsidRPr="000B09B9">
        <w:rPr>
          <w:rFonts w:cstheme="minorHAnsi"/>
        </w:rPr>
        <w:t xml:space="preserve"> access via the PBS would provide a much improved outcome. </w:t>
      </w:r>
      <w:r w:rsidRPr="000B09B9">
        <w:rPr>
          <w:bCs/>
        </w:rPr>
        <w:t>The PBAC noted that this advice was supportive of the evidence provided in the submission</w:t>
      </w:r>
      <w:r w:rsidR="00C27F89" w:rsidRPr="000B09B9">
        <w:rPr>
          <w:rFonts w:cstheme="minorHAnsi"/>
          <w:bCs/>
        </w:rPr>
        <w:t>.</w:t>
      </w:r>
    </w:p>
    <w:p w14:paraId="3D32C5C5" w14:textId="77777777" w:rsidR="008676A6" w:rsidRPr="000B09B9" w:rsidRDefault="005C638D" w:rsidP="008575D5">
      <w:pPr>
        <w:widowControl w:val="0"/>
        <w:numPr>
          <w:ilvl w:val="1"/>
          <w:numId w:val="1"/>
        </w:numPr>
        <w:spacing w:after="120"/>
        <w:rPr>
          <w:rFonts w:asciiTheme="minorHAnsi" w:hAnsiTheme="minorHAnsi"/>
          <w:bCs/>
          <w:snapToGrid w:val="0"/>
        </w:rPr>
      </w:pPr>
      <w:r w:rsidRPr="000B09B9">
        <w:rPr>
          <w:rFonts w:asciiTheme="minorHAnsi" w:hAnsiTheme="minorHAnsi"/>
          <w:bCs/>
          <w:snapToGrid w:val="0"/>
        </w:rPr>
        <w:t>Nine i</w:t>
      </w:r>
      <w:r w:rsidR="008575D5" w:rsidRPr="000B09B9">
        <w:rPr>
          <w:rFonts w:asciiTheme="minorHAnsi" w:hAnsiTheme="minorHAnsi"/>
          <w:bCs/>
          <w:snapToGrid w:val="0"/>
        </w:rPr>
        <w:t>ndividuals (9)</w:t>
      </w:r>
      <w:r w:rsidRPr="000B09B9">
        <w:rPr>
          <w:rFonts w:asciiTheme="minorHAnsi" w:hAnsiTheme="minorHAnsi"/>
          <w:bCs/>
          <w:snapToGrid w:val="0"/>
        </w:rPr>
        <w:t xml:space="preserve"> </w:t>
      </w:r>
      <w:r w:rsidR="00CD564D" w:rsidRPr="000B09B9">
        <w:rPr>
          <w:rFonts w:asciiTheme="minorHAnsi" w:hAnsiTheme="minorHAnsi"/>
          <w:bCs/>
          <w:snapToGrid w:val="0"/>
        </w:rPr>
        <w:t xml:space="preserve">currently receiving amifampridine </w:t>
      </w:r>
      <w:r w:rsidR="006B3323" w:rsidRPr="000B09B9">
        <w:rPr>
          <w:rFonts w:asciiTheme="minorHAnsi" w:hAnsiTheme="minorHAnsi"/>
          <w:bCs/>
          <w:snapToGrid w:val="0"/>
        </w:rPr>
        <w:t xml:space="preserve">provided insight into patients’ experience with LEMS and treatment with this medicine. </w:t>
      </w:r>
      <w:r w:rsidR="003D3774" w:rsidRPr="000B09B9">
        <w:rPr>
          <w:rFonts w:asciiTheme="minorHAnsi" w:hAnsiTheme="minorHAnsi"/>
          <w:bCs/>
          <w:snapToGrid w:val="0"/>
        </w:rPr>
        <w:t xml:space="preserve">Common debilitating LEMS symptoms were described as muscle weakness/fatigue, </w:t>
      </w:r>
      <w:r w:rsidR="003D3774" w:rsidRPr="000B09B9">
        <w:rPr>
          <w:color w:val="000000" w:themeColor="text1"/>
        </w:rPr>
        <w:t>speech disturbance, blurred vision, difficulty swallowing, lack of balance, difficulty standing or walking, inability to move even in bed, dry mouth, and drooping head and eyelids. Patients described repeated falls</w:t>
      </w:r>
      <w:r w:rsidR="005913FA" w:rsidRPr="000B09B9">
        <w:rPr>
          <w:color w:val="000000" w:themeColor="text1"/>
        </w:rPr>
        <w:t>, emergency attendances</w:t>
      </w:r>
      <w:r w:rsidR="003D3774" w:rsidRPr="000B09B9">
        <w:rPr>
          <w:color w:val="000000" w:themeColor="text1"/>
        </w:rPr>
        <w:t xml:space="preserve"> and hospitalisations, confinement to a wheelchair and</w:t>
      </w:r>
      <w:r w:rsidR="005913FA" w:rsidRPr="000B09B9">
        <w:rPr>
          <w:color w:val="000000" w:themeColor="text1"/>
        </w:rPr>
        <w:t xml:space="preserve"> a requirement for</w:t>
      </w:r>
      <w:r w:rsidR="003D3774" w:rsidRPr="000B09B9">
        <w:rPr>
          <w:color w:val="000000" w:themeColor="text1"/>
        </w:rPr>
        <w:t xml:space="preserve"> full time care.</w:t>
      </w:r>
      <w:r w:rsidR="008676A6" w:rsidRPr="000B09B9">
        <w:rPr>
          <w:color w:val="000000" w:themeColor="text1"/>
        </w:rPr>
        <w:t xml:space="preserve"> When provided with amifampridine tablets, patients described their symptoms improving almost immediately and having instant relief, accompanied by a dramatic improvement in quality of life and a return to work and family life.</w:t>
      </w:r>
      <w:r w:rsidR="00440613" w:rsidRPr="000B09B9">
        <w:rPr>
          <w:color w:val="000000" w:themeColor="text1"/>
        </w:rPr>
        <w:t xml:space="preserve"> </w:t>
      </w:r>
      <w:r w:rsidR="00440613" w:rsidRPr="000B09B9">
        <w:rPr>
          <w:rFonts w:asciiTheme="minorHAnsi" w:hAnsiTheme="minorHAnsi"/>
          <w:bCs/>
          <w:snapToGrid w:val="0"/>
        </w:rPr>
        <w:t>A strong preference for access to be available through local pharmacies was also expressed.</w:t>
      </w:r>
    </w:p>
    <w:p w14:paraId="5FD9E28B" w14:textId="77777777" w:rsidR="005C638D" w:rsidRPr="000B09B9" w:rsidRDefault="008676A6" w:rsidP="000D1C82">
      <w:pPr>
        <w:widowControl w:val="0"/>
        <w:numPr>
          <w:ilvl w:val="1"/>
          <w:numId w:val="1"/>
        </w:numPr>
        <w:spacing w:after="120"/>
        <w:rPr>
          <w:rFonts w:asciiTheme="minorHAnsi" w:hAnsiTheme="minorHAnsi"/>
          <w:bCs/>
          <w:snapToGrid w:val="0"/>
        </w:rPr>
      </w:pPr>
      <w:r w:rsidRPr="000B09B9">
        <w:rPr>
          <w:rFonts w:asciiTheme="minorHAnsi" w:hAnsiTheme="minorHAnsi"/>
          <w:bCs/>
          <w:snapToGrid w:val="0"/>
        </w:rPr>
        <w:t>In their testimonials, patients also described other medications they had received for LEMS treatment.</w:t>
      </w:r>
      <w:r w:rsidR="005913FA" w:rsidRPr="000B09B9">
        <w:rPr>
          <w:rFonts w:asciiTheme="minorHAnsi" w:hAnsiTheme="minorHAnsi"/>
          <w:bCs/>
          <w:snapToGrid w:val="0"/>
        </w:rPr>
        <w:t xml:space="preserve"> A common theme was prior </w:t>
      </w:r>
      <w:r w:rsidR="00762169" w:rsidRPr="000B09B9">
        <w:rPr>
          <w:rFonts w:asciiTheme="minorHAnsi" w:hAnsiTheme="minorHAnsi"/>
          <w:bCs/>
          <w:snapToGrid w:val="0"/>
        </w:rPr>
        <w:t>infusions</w:t>
      </w:r>
      <w:r w:rsidR="00643AB7" w:rsidRPr="000B09B9">
        <w:rPr>
          <w:rFonts w:asciiTheme="minorHAnsi" w:hAnsiTheme="minorHAnsi"/>
          <w:bCs/>
          <w:snapToGrid w:val="0"/>
        </w:rPr>
        <w:t xml:space="preserve"> with IVIg </w:t>
      </w:r>
      <w:r w:rsidR="005913FA" w:rsidRPr="000B09B9">
        <w:rPr>
          <w:rFonts w:asciiTheme="minorHAnsi" w:hAnsiTheme="minorHAnsi"/>
          <w:bCs/>
          <w:snapToGrid w:val="0"/>
        </w:rPr>
        <w:t>not</w:t>
      </w:r>
      <w:r w:rsidR="00643AB7" w:rsidRPr="000B09B9">
        <w:rPr>
          <w:rFonts w:asciiTheme="minorHAnsi" w:hAnsiTheme="minorHAnsi"/>
          <w:bCs/>
          <w:snapToGrid w:val="0"/>
        </w:rPr>
        <w:t xml:space="preserve"> being</w:t>
      </w:r>
      <w:r w:rsidR="005913FA" w:rsidRPr="000B09B9">
        <w:rPr>
          <w:rFonts w:asciiTheme="minorHAnsi" w:hAnsiTheme="minorHAnsi"/>
          <w:bCs/>
          <w:snapToGrid w:val="0"/>
        </w:rPr>
        <w:t xml:space="preserve"> effective and accompanied by sometimes severe side effects (headaches). Patients also described damaged/collapsed veins with</w:t>
      </w:r>
      <w:r w:rsidR="00762169" w:rsidRPr="000B09B9">
        <w:rPr>
          <w:rFonts w:asciiTheme="minorHAnsi" w:hAnsiTheme="minorHAnsi"/>
          <w:bCs/>
          <w:snapToGrid w:val="0"/>
        </w:rPr>
        <w:t xml:space="preserve"> prolonged</w:t>
      </w:r>
      <w:r w:rsidR="005913FA" w:rsidRPr="000B09B9">
        <w:rPr>
          <w:rFonts w:asciiTheme="minorHAnsi" w:hAnsiTheme="minorHAnsi"/>
          <w:bCs/>
          <w:snapToGrid w:val="0"/>
        </w:rPr>
        <w:t xml:space="preserve"> IVIg </w:t>
      </w:r>
      <w:r w:rsidR="00762169" w:rsidRPr="000B09B9">
        <w:rPr>
          <w:rFonts w:asciiTheme="minorHAnsi" w:hAnsiTheme="minorHAnsi"/>
          <w:bCs/>
          <w:snapToGrid w:val="0"/>
        </w:rPr>
        <w:t>treatment</w:t>
      </w:r>
      <w:r w:rsidR="005913FA" w:rsidRPr="000B09B9">
        <w:rPr>
          <w:rFonts w:asciiTheme="minorHAnsi" w:hAnsiTheme="minorHAnsi"/>
          <w:bCs/>
          <w:snapToGrid w:val="0"/>
        </w:rPr>
        <w:t xml:space="preserve">. Several patients mentioned that optimal treatment for them involved a combination of </w:t>
      </w:r>
      <w:r w:rsidR="00AF205D" w:rsidRPr="000B09B9">
        <w:rPr>
          <w:rFonts w:asciiTheme="minorHAnsi" w:hAnsiTheme="minorHAnsi"/>
          <w:bCs/>
          <w:snapToGrid w:val="0"/>
        </w:rPr>
        <w:t>amifampridine and pyridostigmine, although emphasised that pyridostigmine alone was insufficient as an effective treatment.</w:t>
      </w:r>
    </w:p>
    <w:p w14:paraId="44D4DAD8" w14:textId="77777777" w:rsidR="00FE1325" w:rsidRPr="000B09B9" w:rsidRDefault="00FE1325" w:rsidP="002B0564">
      <w:pPr>
        <w:pStyle w:val="4-SubsectionHeading"/>
      </w:pPr>
      <w:bookmarkStart w:id="25" w:name="_Toc82537448"/>
      <w:bookmarkEnd w:id="23"/>
      <w:bookmarkEnd w:id="24"/>
      <w:r w:rsidRPr="000B09B9">
        <w:t>Clinical trials</w:t>
      </w:r>
      <w:bookmarkEnd w:id="21"/>
      <w:bookmarkEnd w:id="22"/>
      <w:bookmarkEnd w:id="25"/>
    </w:p>
    <w:p w14:paraId="34DC5CF9" w14:textId="77777777" w:rsidR="00FE1325" w:rsidRPr="000B09B9" w:rsidRDefault="00FE1325" w:rsidP="002B0564">
      <w:pPr>
        <w:pStyle w:val="3-BodyText"/>
        <w:numPr>
          <w:ilvl w:val="1"/>
          <w:numId w:val="9"/>
        </w:numPr>
        <w:rPr>
          <w:rFonts w:ascii="Calibri" w:hAnsi="Calibri"/>
          <w:color w:val="000000" w:themeColor="text1"/>
        </w:rPr>
      </w:pPr>
      <w:r w:rsidRPr="000B09B9">
        <w:t xml:space="preserve">The submission was based on two </w:t>
      </w:r>
      <w:r w:rsidR="00803F46" w:rsidRPr="000B09B9">
        <w:t xml:space="preserve">small </w:t>
      </w:r>
      <w:r w:rsidRPr="000B09B9">
        <w:t>randomi</w:t>
      </w:r>
      <w:r w:rsidR="009A66AD" w:rsidRPr="000B09B9">
        <w:t>s</w:t>
      </w:r>
      <w:r w:rsidRPr="000B09B9">
        <w:t>ed, double-blind, placebo-controlled, trials: DAPPER</w:t>
      </w:r>
      <w:r w:rsidR="00E307B7" w:rsidRPr="000B09B9">
        <w:t xml:space="preserve"> (published in 2018)</w:t>
      </w:r>
      <w:r w:rsidRPr="000B09B9">
        <w:t xml:space="preserve"> and DUKE</w:t>
      </w:r>
      <w:r w:rsidR="00E307B7" w:rsidRPr="000B09B9">
        <w:t xml:space="preserve"> (published in 2000)</w:t>
      </w:r>
      <w:r w:rsidRPr="000B09B9">
        <w:t>.</w:t>
      </w:r>
      <w:r w:rsidR="009259DD" w:rsidRPr="000B09B9">
        <w:t xml:space="preserve"> </w:t>
      </w:r>
    </w:p>
    <w:p w14:paraId="04E78165" w14:textId="77777777" w:rsidR="009E4EBB" w:rsidRPr="000B09B9" w:rsidRDefault="009E4EBB" w:rsidP="002B0564">
      <w:pPr>
        <w:pStyle w:val="3-BodyText"/>
        <w:numPr>
          <w:ilvl w:val="1"/>
          <w:numId w:val="9"/>
        </w:numPr>
        <w:rPr>
          <w:rFonts w:ascii="Calibri" w:hAnsi="Calibri"/>
          <w:color w:val="000000" w:themeColor="text1"/>
        </w:rPr>
      </w:pPr>
      <w:r w:rsidRPr="000B09B9">
        <w:t>Details of the trials presented in the submission (DAPPER and DUKE) are provided in Table 2. Additional supportive evidence was provided by three randomised studies reporting improvements in clinical and electrophysiological endpoints to a maximum of 16 days follow up.</w:t>
      </w:r>
    </w:p>
    <w:p w14:paraId="405BB75D" w14:textId="77777777" w:rsidR="009E4EBB" w:rsidRPr="000B09B9" w:rsidRDefault="009E4EBB" w:rsidP="002B0564">
      <w:pPr>
        <w:keepNext/>
        <w:keepLines/>
        <w:rPr>
          <w:rStyle w:val="CommentReference"/>
        </w:rPr>
      </w:pPr>
      <w:r w:rsidRPr="000B09B9">
        <w:rPr>
          <w:rStyle w:val="CommentReference"/>
        </w:rPr>
        <w:t>Table 2: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46"/>
        <w:gridCol w:w="3969"/>
        <w:gridCol w:w="4202"/>
      </w:tblGrid>
      <w:tr w:rsidR="006C2DDF" w:rsidRPr="000B09B9" w14:paraId="0656FE79" w14:textId="77777777" w:rsidTr="006C2DDF">
        <w:trPr>
          <w:cantSplit/>
          <w:tblHeader/>
        </w:trPr>
        <w:tc>
          <w:tcPr>
            <w:tcW w:w="469" w:type="pct"/>
          </w:tcPr>
          <w:p w14:paraId="1996430E" w14:textId="77777777" w:rsidR="006C2DDF" w:rsidRPr="000B09B9" w:rsidRDefault="006C2DDF" w:rsidP="006C2DDF">
            <w:pPr>
              <w:pStyle w:val="TableText0"/>
              <w:keepNext/>
              <w:keepLines/>
              <w:widowControl/>
              <w:jc w:val="center"/>
              <w:rPr>
                <w:b/>
              </w:rPr>
            </w:pPr>
            <w:r w:rsidRPr="000B09B9">
              <w:rPr>
                <w:b/>
              </w:rPr>
              <w:t>Trial ID</w:t>
            </w:r>
          </w:p>
        </w:tc>
        <w:tc>
          <w:tcPr>
            <w:tcW w:w="2201" w:type="pct"/>
            <w:vAlign w:val="center"/>
          </w:tcPr>
          <w:p w14:paraId="34972284" w14:textId="77777777" w:rsidR="006C2DDF" w:rsidRPr="000B09B9" w:rsidRDefault="006C2DDF" w:rsidP="002B0564">
            <w:pPr>
              <w:pStyle w:val="TableText0"/>
              <w:keepNext/>
              <w:keepLines/>
              <w:widowControl/>
              <w:rPr>
                <w:b/>
              </w:rPr>
            </w:pPr>
            <w:r w:rsidRPr="000B09B9">
              <w:rPr>
                <w:b/>
              </w:rPr>
              <w:t>Protocol title/ Publication title</w:t>
            </w:r>
          </w:p>
        </w:tc>
        <w:tc>
          <w:tcPr>
            <w:tcW w:w="2330" w:type="pct"/>
            <w:vAlign w:val="center"/>
          </w:tcPr>
          <w:p w14:paraId="2513DECC" w14:textId="77777777" w:rsidR="006C2DDF" w:rsidRPr="000B09B9" w:rsidRDefault="006C2DDF" w:rsidP="002B0564">
            <w:pPr>
              <w:pStyle w:val="TableText0"/>
              <w:keepNext/>
              <w:keepLines/>
              <w:widowControl/>
              <w:rPr>
                <w:b/>
              </w:rPr>
            </w:pPr>
            <w:r w:rsidRPr="000B09B9">
              <w:rPr>
                <w:b/>
              </w:rPr>
              <w:t>Publication citation</w:t>
            </w:r>
          </w:p>
        </w:tc>
      </w:tr>
      <w:tr w:rsidR="006C2DDF" w:rsidRPr="000B09B9" w:rsidDel="00F55EDF" w14:paraId="7F1510D0" w14:textId="77777777" w:rsidTr="006C2DDF">
        <w:trPr>
          <w:cantSplit/>
        </w:trPr>
        <w:tc>
          <w:tcPr>
            <w:tcW w:w="469" w:type="pct"/>
            <w:vMerge w:val="restart"/>
            <w:vAlign w:val="center"/>
          </w:tcPr>
          <w:p w14:paraId="526D0A93" w14:textId="77777777" w:rsidR="006C2DDF" w:rsidRPr="000B09B9" w:rsidRDefault="006C2DDF" w:rsidP="006C2DDF">
            <w:pPr>
              <w:pStyle w:val="Tabletext"/>
              <w:keepNext/>
              <w:keepLines/>
              <w:jc w:val="center"/>
              <w:rPr>
                <w:b/>
              </w:rPr>
            </w:pPr>
            <w:r w:rsidRPr="000B09B9">
              <w:rPr>
                <w:rStyle w:val="SmallBold"/>
                <w:rFonts w:ascii="Arial Narrow" w:hAnsi="Arial Narrow" w:cs="Times New Roman"/>
                <w:b w:val="0"/>
                <w:bCs w:val="0"/>
                <w:szCs w:val="24"/>
              </w:rPr>
              <w:t>DAPPER Study</w:t>
            </w:r>
          </w:p>
        </w:tc>
        <w:tc>
          <w:tcPr>
            <w:tcW w:w="2201" w:type="pct"/>
          </w:tcPr>
          <w:p w14:paraId="3C3B8018" w14:textId="77777777" w:rsidR="006C2DDF" w:rsidRPr="000B09B9" w:rsidRDefault="006C2DDF" w:rsidP="002B0564">
            <w:pPr>
              <w:pStyle w:val="Tabletext"/>
              <w:keepNext/>
              <w:keepLines/>
              <w:rPr>
                <w:rStyle w:val="Small"/>
                <w:rFonts w:ascii="Arial Narrow" w:eastAsia="Times New Roman" w:hAnsi="Arial Narrow" w:cs="Times New Roman"/>
                <w:szCs w:val="24"/>
              </w:rPr>
            </w:pPr>
            <w:r w:rsidRPr="000B09B9">
              <w:t>NCT01511978</w:t>
            </w:r>
          </w:p>
          <w:p w14:paraId="51ADF8A0" w14:textId="77777777" w:rsidR="006C2DDF" w:rsidRPr="000B09B9" w:rsidRDefault="006C2DDF" w:rsidP="002B0564">
            <w:pPr>
              <w:pStyle w:val="Tabletext"/>
              <w:keepNext/>
              <w:keepLines/>
            </w:pPr>
            <w:r w:rsidRPr="000B09B9">
              <w:t>Inpatient Double-Blind Placebo-Controlled Withdrawal Study of 3,4-Diaminopyridine Base (3,4-DAP) in Subjects with Known Lambert-Eaton Myasthenic Syndrome (LEMS)</w:t>
            </w:r>
          </w:p>
        </w:tc>
        <w:tc>
          <w:tcPr>
            <w:tcW w:w="2330" w:type="pct"/>
          </w:tcPr>
          <w:p w14:paraId="1A27FF26" w14:textId="77777777" w:rsidR="006C2DDF" w:rsidRPr="000B09B9" w:rsidRDefault="006C2DDF" w:rsidP="002B0564">
            <w:pPr>
              <w:pStyle w:val="Tabletext"/>
              <w:keepNext/>
              <w:keepLines/>
              <w:rPr>
                <w:rFonts w:cs="Arial"/>
                <w:szCs w:val="20"/>
              </w:rPr>
            </w:pPr>
            <w:r w:rsidRPr="000B09B9">
              <w:rPr>
                <w:rFonts w:cs="Arial"/>
                <w:szCs w:val="20"/>
              </w:rPr>
              <w:t>Clinical Study Report</w:t>
            </w:r>
          </w:p>
          <w:p w14:paraId="0B74134C" w14:textId="77777777" w:rsidR="006C2DDF" w:rsidRPr="000B09B9" w:rsidRDefault="006C2DDF" w:rsidP="002B0564">
            <w:pPr>
              <w:pStyle w:val="Tabletext"/>
              <w:keepNext/>
              <w:keepLines/>
              <w:rPr>
                <w:rFonts w:cs="Arial"/>
                <w:szCs w:val="20"/>
              </w:rPr>
            </w:pPr>
            <w:r w:rsidRPr="000B09B9">
              <w:rPr>
                <w:rStyle w:val="Small"/>
                <w:rFonts w:ascii="Arial Narrow" w:hAnsi="Arial Narrow" w:cs="Times New Roman"/>
                <w:szCs w:val="24"/>
              </w:rPr>
              <w:t>Jacobus Pharmaceutical, 2012</w:t>
            </w:r>
          </w:p>
        </w:tc>
      </w:tr>
      <w:tr w:rsidR="006C2DDF" w:rsidRPr="000B09B9" w:rsidDel="00F55EDF" w14:paraId="5F035F02" w14:textId="77777777" w:rsidTr="006C2DDF">
        <w:trPr>
          <w:cantSplit/>
        </w:trPr>
        <w:tc>
          <w:tcPr>
            <w:tcW w:w="469" w:type="pct"/>
            <w:vMerge/>
            <w:vAlign w:val="center"/>
          </w:tcPr>
          <w:p w14:paraId="66330355" w14:textId="77777777" w:rsidR="006C2DDF" w:rsidRPr="000B09B9" w:rsidRDefault="006C2DDF" w:rsidP="006C2DDF">
            <w:pPr>
              <w:pStyle w:val="TableText0"/>
              <w:keepNext/>
              <w:keepLines/>
              <w:widowControl/>
              <w:jc w:val="center"/>
              <w:rPr>
                <w:u w:val="single"/>
              </w:rPr>
            </w:pPr>
          </w:p>
        </w:tc>
        <w:tc>
          <w:tcPr>
            <w:tcW w:w="2201" w:type="pct"/>
          </w:tcPr>
          <w:p w14:paraId="4E13B2D0" w14:textId="77777777" w:rsidR="006C2DDF" w:rsidRPr="000B09B9" w:rsidRDefault="006C2DDF" w:rsidP="002B0564">
            <w:pPr>
              <w:pStyle w:val="TableText0"/>
              <w:keepNext/>
              <w:keepLines/>
              <w:widowControl/>
              <w:rPr>
                <w:u w:val="single"/>
              </w:rPr>
            </w:pPr>
            <w:r w:rsidRPr="000B09B9">
              <w:rPr>
                <w:u w:val="single"/>
              </w:rPr>
              <w:t>Key Publication</w:t>
            </w:r>
          </w:p>
          <w:p w14:paraId="64BFB4B8" w14:textId="77777777" w:rsidR="006C2DDF" w:rsidRPr="000B09B9" w:rsidRDefault="006C2DDF" w:rsidP="002B0564">
            <w:pPr>
              <w:pStyle w:val="TableText0"/>
              <w:keepNext/>
              <w:keepLines/>
              <w:widowControl/>
            </w:pPr>
            <w:r w:rsidRPr="000B09B9">
              <w:t>Sanders et al., 2018</w:t>
            </w:r>
          </w:p>
          <w:p w14:paraId="2984EAE9" w14:textId="77777777" w:rsidR="006C2DDF" w:rsidRPr="000B09B9" w:rsidRDefault="006C2DDF" w:rsidP="002B0564">
            <w:pPr>
              <w:pStyle w:val="TableText0"/>
              <w:keepNext/>
              <w:keepLines/>
              <w:widowControl/>
            </w:pPr>
            <w:r w:rsidRPr="000B09B9">
              <w:rPr>
                <w:rStyle w:val="Small"/>
                <w:rFonts w:ascii="Arial Narrow" w:hAnsi="Arial Narrow"/>
                <w:szCs w:val="24"/>
              </w:rPr>
              <w:t>3,4-diaminopyridine base effectively treats the weakness of Lambert-Eaton myasthenia.</w:t>
            </w:r>
          </w:p>
        </w:tc>
        <w:tc>
          <w:tcPr>
            <w:tcW w:w="2330" w:type="pct"/>
          </w:tcPr>
          <w:p w14:paraId="6B34ADFB" w14:textId="77777777" w:rsidR="006C2DDF" w:rsidRPr="000B09B9" w:rsidRDefault="006C2DDF" w:rsidP="002B0564">
            <w:pPr>
              <w:pStyle w:val="TableText0"/>
              <w:keepNext/>
              <w:keepLines/>
              <w:widowControl/>
            </w:pPr>
            <w:r w:rsidRPr="000B09B9">
              <w:rPr>
                <w:rStyle w:val="Small"/>
                <w:rFonts w:ascii="Arial Narrow" w:hAnsi="Arial Narrow"/>
                <w:szCs w:val="24"/>
              </w:rPr>
              <w:t>Sanders DB, Juel VC, Harati Y, Smith AG, Peltier AC, Marburger T, Lou JS, Pascuzzi RM, Richman DP, Xie T, Demmel V, Jacobus LR, Aleš KL, Jacobus DP; Dapper Study Team. Muscle Nerve. 2018 Apr;57(4):561-568. doi: 10.1002/mus.26052. Epub 2018 Feb 2. PMID: 29280483; PMCID: PMC5900968.</w:t>
            </w:r>
          </w:p>
        </w:tc>
      </w:tr>
      <w:tr w:rsidR="006C2DDF" w:rsidRPr="000B09B9" w:rsidDel="00F55EDF" w14:paraId="6FE51AA0" w14:textId="77777777" w:rsidTr="006C2DDF">
        <w:trPr>
          <w:cantSplit/>
        </w:trPr>
        <w:tc>
          <w:tcPr>
            <w:tcW w:w="469" w:type="pct"/>
            <w:vMerge/>
            <w:vAlign w:val="center"/>
          </w:tcPr>
          <w:p w14:paraId="1F60AE10" w14:textId="77777777" w:rsidR="006C2DDF" w:rsidRPr="000B09B9" w:rsidRDefault="006C2DDF" w:rsidP="006C2DDF">
            <w:pPr>
              <w:pStyle w:val="TableText0"/>
              <w:keepNext/>
              <w:keepLines/>
              <w:widowControl/>
              <w:jc w:val="center"/>
              <w:rPr>
                <w:u w:val="single"/>
              </w:rPr>
            </w:pPr>
          </w:p>
        </w:tc>
        <w:tc>
          <w:tcPr>
            <w:tcW w:w="2201" w:type="pct"/>
          </w:tcPr>
          <w:p w14:paraId="5B026996" w14:textId="77777777" w:rsidR="006C2DDF" w:rsidRPr="000B09B9" w:rsidRDefault="006C2DDF" w:rsidP="002B0564">
            <w:pPr>
              <w:pStyle w:val="TableText0"/>
              <w:keepNext/>
              <w:keepLines/>
              <w:widowControl/>
              <w:rPr>
                <w:u w:val="single"/>
              </w:rPr>
            </w:pPr>
            <w:r w:rsidRPr="000B09B9">
              <w:rPr>
                <w:u w:val="single"/>
              </w:rPr>
              <w:t>Conference abstract</w:t>
            </w:r>
          </w:p>
          <w:p w14:paraId="06998E2A" w14:textId="77777777" w:rsidR="006C2DDF" w:rsidRPr="000B09B9" w:rsidRDefault="006C2DDF" w:rsidP="002B0564">
            <w:pPr>
              <w:pStyle w:val="TableText0"/>
              <w:keepNext/>
              <w:keepLines/>
              <w:widowControl/>
            </w:pPr>
            <w:r w:rsidRPr="000B09B9">
              <w:t>Sanders et al., 2015</w:t>
            </w:r>
          </w:p>
          <w:p w14:paraId="4BEF9F99" w14:textId="77777777" w:rsidR="006C2DDF" w:rsidRPr="000B09B9" w:rsidRDefault="006C2DDF" w:rsidP="002B0564">
            <w:pPr>
              <w:pStyle w:val="TableText0"/>
              <w:keepNext/>
              <w:keepLines/>
              <w:widowControl/>
            </w:pPr>
            <w:r w:rsidRPr="000B09B9">
              <w:rPr>
                <w:rStyle w:val="Small"/>
                <w:rFonts w:ascii="Arial Narrow" w:hAnsi="Arial Narrow"/>
                <w:szCs w:val="24"/>
              </w:rPr>
              <w:t>Results of a double-blind placebo-controlled study of 3,4-diaminopyridine (DAP) in lambert-eaton myasthenic syndrome (LEMS)</w:t>
            </w:r>
          </w:p>
        </w:tc>
        <w:tc>
          <w:tcPr>
            <w:tcW w:w="2330" w:type="pct"/>
          </w:tcPr>
          <w:p w14:paraId="42CA8F37" w14:textId="77777777" w:rsidR="006C2DDF" w:rsidRPr="000B09B9" w:rsidRDefault="006C2DDF" w:rsidP="002B0564">
            <w:pPr>
              <w:pStyle w:val="TableText0"/>
              <w:keepNext/>
              <w:keepLines/>
              <w:widowControl/>
            </w:pPr>
            <w:r w:rsidRPr="000B09B9">
              <w:rPr>
                <w:rStyle w:val="Small"/>
                <w:rFonts w:ascii="Arial Narrow" w:hAnsi="Arial Narrow"/>
                <w:szCs w:val="24"/>
              </w:rPr>
              <w:t>Sanders DB, Juel VC, Harati Y, Smith AG, Peltier A, Marburger T, Lou J-S, Pascuzzi RM, Richman DP, Xie T, Jacobus LR, Ales KL, Jacobus DP. Annals of neurology 2015; 78(null): S104.</w:t>
            </w:r>
          </w:p>
        </w:tc>
      </w:tr>
      <w:tr w:rsidR="006C2DDF" w:rsidRPr="000B09B9" w:rsidDel="00F55EDF" w14:paraId="21D3CEA9" w14:textId="77777777" w:rsidTr="006C2DDF">
        <w:trPr>
          <w:cantSplit/>
        </w:trPr>
        <w:tc>
          <w:tcPr>
            <w:tcW w:w="469" w:type="pct"/>
            <w:vMerge w:val="restart"/>
            <w:vAlign w:val="center"/>
          </w:tcPr>
          <w:p w14:paraId="433B70AC" w14:textId="77777777" w:rsidR="006C2DDF" w:rsidRPr="000B09B9" w:rsidRDefault="006C2DDF" w:rsidP="006C2DDF">
            <w:pPr>
              <w:pStyle w:val="TableText0"/>
              <w:keepNext/>
              <w:keepLines/>
              <w:widowControl/>
              <w:jc w:val="center"/>
              <w:rPr>
                <w:b/>
              </w:rPr>
            </w:pPr>
            <w:r w:rsidRPr="000B09B9">
              <w:rPr>
                <w:rStyle w:val="SmallBold"/>
                <w:rFonts w:ascii="Arial Narrow" w:hAnsi="Arial Narrow"/>
                <w:b w:val="0"/>
                <w:bCs/>
                <w:szCs w:val="24"/>
              </w:rPr>
              <w:t>Duke Study</w:t>
            </w:r>
          </w:p>
        </w:tc>
        <w:tc>
          <w:tcPr>
            <w:tcW w:w="2201" w:type="pct"/>
          </w:tcPr>
          <w:p w14:paraId="5A5E5CC3" w14:textId="77777777" w:rsidR="006C2DDF" w:rsidRPr="000B09B9" w:rsidRDefault="006C2DDF" w:rsidP="002B0564">
            <w:pPr>
              <w:pStyle w:val="TableText0"/>
              <w:keepNext/>
              <w:keepLines/>
              <w:widowControl/>
              <w:rPr>
                <w:rStyle w:val="Small"/>
                <w:rFonts w:ascii="Arial Narrow" w:hAnsi="Arial Narrow"/>
                <w:szCs w:val="24"/>
              </w:rPr>
            </w:pPr>
            <w:r w:rsidRPr="000B09B9">
              <w:t>NCT00004832</w:t>
            </w:r>
          </w:p>
          <w:p w14:paraId="71197C5A" w14:textId="77777777" w:rsidR="006C2DDF" w:rsidRPr="000B09B9" w:rsidRDefault="006C2DDF" w:rsidP="002B0564">
            <w:pPr>
              <w:pStyle w:val="TableText0"/>
              <w:keepNext/>
              <w:keepLines/>
              <w:widowControl/>
            </w:pPr>
            <w:r w:rsidRPr="000B09B9">
              <w:rPr>
                <w:rStyle w:val="Small"/>
                <w:rFonts w:ascii="Arial Narrow" w:hAnsi="Arial Narrow"/>
                <w:szCs w:val="24"/>
              </w:rPr>
              <w:t>Randomized Study of 3,4-Diaminopyridine for Lambert-Eaton Myasthenic Syndrome</w:t>
            </w:r>
          </w:p>
        </w:tc>
        <w:tc>
          <w:tcPr>
            <w:tcW w:w="2330" w:type="pct"/>
          </w:tcPr>
          <w:p w14:paraId="79C48EE4" w14:textId="77777777" w:rsidR="006C2DDF" w:rsidRPr="000B09B9" w:rsidRDefault="006C2DDF" w:rsidP="002B0564">
            <w:pPr>
              <w:pStyle w:val="TableText0"/>
              <w:keepNext/>
              <w:keepLines/>
              <w:widowControl/>
            </w:pPr>
            <w:r w:rsidRPr="000B09B9">
              <w:t>JPC 3,4-DAP DUKE RCT SUPPLEMENT</w:t>
            </w:r>
          </w:p>
          <w:p w14:paraId="04AAA6F6" w14:textId="77777777" w:rsidR="006C2DDF" w:rsidRPr="000B09B9" w:rsidRDefault="006C2DDF" w:rsidP="002B0564">
            <w:pPr>
              <w:pStyle w:val="TableText0"/>
              <w:keepNext/>
              <w:keepLines/>
              <w:widowControl/>
            </w:pPr>
            <w:r w:rsidRPr="000B09B9">
              <w:t>Jacobus Pharmaceutical Company, Inc</w:t>
            </w:r>
          </w:p>
        </w:tc>
      </w:tr>
      <w:tr w:rsidR="006C2DDF" w:rsidRPr="000B09B9" w:rsidDel="00F55EDF" w14:paraId="2B492A21" w14:textId="77777777" w:rsidTr="006C2DDF">
        <w:trPr>
          <w:cantSplit/>
        </w:trPr>
        <w:tc>
          <w:tcPr>
            <w:tcW w:w="469" w:type="pct"/>
            <w:vMerge/>
          </w:tcPr>
          <w:p w14:paraId="55ABF213" w14:textId="77777777" w:rsidR="006C2DDF" w:rsidRPr="000B09B9" w:rsidRDefault="006C2DDF" w:rsidP="002B0564">
            <w:pPr>
              <w:pStyle w:val="TableText0"/>
              <w:keepNext/>
              <w:keepLines/>
              <w:widowControl/>
              <w:rPr>
                <w:u w:val="single"/>
              </w:rPr>
            </w:pPr>
          </w:p>
        </w:tc>
        <w:tc>
          <w:tcPr>
            <w:tcW w:w="2201" w:type="pct"/>
          </w:tcPr>
          <w:p w14:paraId="4072A416" w14:textId="77777777" w:rsidR="006C2DDF" w:rsidRPr="000B09B9" w:rsidRDefault="006C2DDF" w:rsidP="002B0564">
            <w:pPr>
              <w:pStyle w:val="TableText0"/>
              <w:keepNext/>
              <w:keepLines/>
              <w:widowControl/>
              <w:rPr>
                <w:u w:val="single"/>
              </w:rPr>
            </w:pPr>
            <w:r w:rsidRPr="000B09B9">
              <w:rPr>
                <w:u w:val="single"/>
              </w:rPr>
              <w:t>Key Publication</w:t>
            </w:r>
          </w:p>
          <w:p w14:paraId="090DAA06" w14:textId="77777777" w:rsidR="006C2DDF" w:rsidRPr="000B09B9" w:rsidRDefault="006C2DDF" w:rsidP="002B0564">
            <w:pPr>
              <w:pStyle w:val="TableText0"/>
              <w:keepNext/>
              <w:keepLines/>
              <w:widowControl/>
            </w:pPr>
            <w:r w:rsidRPr="000B09B9">
              <w:t>Sanders et al., 2000</w:t>
            </w:r>
          </w:p>
          <w:p w14:paraId="6C406D56" w14:textId="77777777" w:rsidR="006C2DDF" w:rsidRPr="000B09B9" w:rsidRDefault="006C2DDF" w:rsidP="002B0564">
            <w:pPr>
              <w:pStyle w:val="TableText0"/>
              <w:keepNext/>
              <w:keepLines/>
              <w:widowControl/>
            </w:pPr>
            <w:r w:rsidRPr="000B09B9">
              <w:rPr>
                <w:rStyle w:val="Small"/>
                <w:rFonts w:ascii="Arial Narrow" w:hAnsi="Arial Narrow"/>
                <w:szCs w:val="24"/>
              </w:rPr>
              <w:t>A randomized trial of 3,4-diaminopyridine in Lambert-Eaton myasthenic syndrome</w:t>
            </w:r>
          </w:p>
        </w:tc>
        <w:tc>
          <w:tcPr>
            <w:tcW w:w="2330" w:type="pct"/>
          </w:tcPr>
          <w:p w14:paraId="7EAF6F2E" w14:textId="77777777" w:rsidR="006C2DDF" w:rsidRPr="000B09B9" w:rsidRDefault="006C2DDF" w:rsidP="002B0564">
            <w:pPr>
              <w:pStyle w:val="TableText0"/>
              <w:keepNext/>
              <w:keepLines/>
              <w:widowControl/>
              <w:rPr>
                <w:highlight w:val="yellow"/>
              </w:rPr>
            </w:pPr>
            <w:r w:rsidRPr="000B09B9">
              <w:rPr>
                <w:rStyle w:val="Small"/>
                <w:rFonts w:ascii="Arial Narrow" w:hAnsi="Arial Narrow"/>
                <w:szCs w:val="24"/>
              </w:rPr>
              <w:t>Sanders DB, Massey JM, Sanders LL, Edwards LJ. Neurology. 2000 Feb 8;54(3):603-7. doi: 10.1212/wnl.54.3.603. PMID: 10680790.</w:t>
            </w:r>
          </w:p>
        </w:tc>
      </w:tr>
    </w:tbl>
    <w:p w14:paraId="30E1F58D" w14:textId="77777777" w:rsidR="009E4EBB" w:rsidRPr="000B09B9" w:rsidRDefault="009E4EBB" w:rsidP="002B0564">
      <w:pPr>
        <w:pStyle w:val="TableFigureFooter"/>
        <w:rPr>
          <w:rFonts w:eastAsia="Arial Narrow"/>
        </w:rPr>
      </w:pPr>
      <w:r w:rsidRPr="000B09B9">
        <w:rPr>
          <w:rFonts w:eastAsia="Arial Narrow"/>
        </w:rPr>
        <w:t>Source: Table 2.4, pp46-47 of the submission.</w:t>
      </w:r>
    </w:p>
    <w:p w14:paraId="6795F996" w14:textId="77777777" w:rsidR="00AE4909" w:rsidRPr="000B09B9" w:rsidRDefault="00AE4909" w:rsidP="002B0564">
      <w:pPr>
        <w:pStyle w:val="3-BodyText"/>
        <w:numPr>
          <w:ilvl w:val="1"/>
          <w:numId w:val="9"/>
        </w:numPr>
        <w:rPr>
          <w:rFonts w:ascii="Calibri" w:hAnsi="Calibri"/>
          <w:color w:val="000000" w:themeColor="text1"/>
        </w:rPr>
      </w:pPr>
      <w:r w:rsidRPr="000B09B9">
        <w:rPr>
          <w:rFonts w:ascii="Calibri" w:hAnsi="Calibri"/>
          <w:color w:val="000000" w:themeColor="text1"/>
        </w:rPr>
        <w:t xml:space="preserve">The DAPPER trial included patients who were successfully taking amifampridine </w:t>
      </w:r>
      <w:r w:rsidR="00C86313" w:rsidRPr="000B09B9">
        <w:rPr>
          <w:rFonts w:ascii="Calibri" w:hAnsi="Calibri"/>
          <w:color w:val="000000" w:themeColor="text1"/>
        </w:rPr>
        <w:t xml:space="preserve">for at least three months, </w:t>
      </w:r>
      <w:r w:rsidRPr="000B09B9">
        <w:rPr>
          <w:rFonts w:ascii="Calibri" w:hAnsi="Calibri"/>
          <w:color w:val="000000" w:themeColor="text1"/>
        </w:rPr>
        <w:t xml:space="preserve">whilst the DUKE trial </w:t>
      </w:r>
      <w:r w:rsidR="00C86313" w:rsidRPr="000B09B9">
        <w:rPr>
          <w:rFonts w:ascii="Calibri" w:hAnsi="Calibri"/>
          <w:color w:val="000000" w:themeColor="text1"/>
        </w:rPr>
        <w:t>assessed</w:t>
      </w:r>
      <w:r w:rsidRPr="000B09B9">
        <w:rPr>
          <w:rFonts w:ascii="Calibri" w:hAnsi="Calibri"/>
          <w:color w:val="000000" w:themeColor="text1"/>
        </w:rPr>
        <w:t xml:space="preserve"> patients who were treatment naïve to amifampridine</w:t>
      </w:r>
      <w:r w:rsidR="00DB2C9E" w:rsidRPr="000B09B9">
        <w:rPr>
          <w:rFonts w:ascii="Calibri" w:hAnsi="Calibri"/>
          <w:color w:val="000000" w:themeColor="text1"/>
        </w:rPr>
        <w:t>.</w:t>
      </w:r>
    </w:p>
    <w:p w14:paraId="7F94E7C0" w14:textId="77777777" w:rsidR="00FE1325" w:rsidRPr="000B09B9" w:rsidRDefault="00FE1325" w:rsidP="002B0564">
      <w:pPr>
        <w:pStyle w:val="3-BodyText"/>
        <w:numPr>
          <w:ilvl w:val="1"/>
          <w:numId w:val="9"/>
        </w:numPr>
        <w:rPr>
          <w:rFonts w:ascii="Calibri" w:hAnsi="Calibri"/>
          <w:color w:val="000000" w:themeColor="text1"/>
        </w:rPr>
      </w:pPr>
      <w:r w:rsidRPr="000B09B9">
        <w:rPr>
          <w:rFonts w:ascii="Calibri" w:hAnsi="Calibri"/>
          <w:color w:val="000000" w:themeColor="text1"/>
        </w:rPr>
        <w:t>The DAPPER trial was a Phase 2, randomised, double-blind, placebo-controlled, withdrawal study to evaluate efficacy and safety</w:t>
      </w:r>
      <w:r w:rsidR="009A66AD" w:rsidRPr="000B09B9">
        <w:rPr>
          <w:rFonts w:ascii="Calibri" w:hAnsi="Calibri"/>
          <w:color w:val="000000" w:themeColor="text1"/>
        </w:rPr>
        <w:t xml:space="preserve"> of amifampridine</w:t>
      </w:r>
      <w:r w:rsidRPr="000B09B9">
        <w:rPr>
          <w:rFonts w:ascii="Calibri" w:hAnsi="Calibri"/>
          <w:color w:val="000000" w:themeColor="text1"/>
        </w:rPr>
        <w:t xml:space="preserve"> in subjects with LEMS (N=32</w:t>
      </w:r>
      <w:r w:rsidR="001949BD" w:rsidRPr="000B09B9">
        <w:rPr>
          <w:rFonts w:ascii="Calibri" w:hAnsi="Calibri"/>
          <w:color w:val="000000" w:themeColor="text1"/>
        </w:rPr>
        <w:t>;</w:t>
      </w:r>
      <w:r w:rsidRPr="000B09B9">
        <w:rPr>
          <w:rFonts w:ascii="Calibri" w:hAnsi="Calibri"/>
          <w:color w:val="000000" w:themeColor="text1"/>
        </w:rPr>
        <w:t xml:space="preserve"> 18 taper to placebo)</w:t>
      </w:r>
      <w:r w:rsidR="004D6BCE" w:rsidRPr="000B09B9">
        <w:rPr>
          <w:rFonts w:ascii="Calibri" w:hAnsi="Calibri"/>
          <w:color w:val="000000" w:themeColor="text1"/>
        </w:rPr>
        <w:t xml:space="preserve"> (Figure </w:t>
      </w:r>
      <w:r w:rsidR="00153ED2" w:rsidRPr="000B09B9">
        <w:rPr>
          <w:rFonts w:ascii="Calibri" w:hAnsi="Calibri"/>
          <w:color w:val="000000" w:themeColor="text1"/>
        </w:rPr>
        <w:t>2</w:t>
      </w:r>
      <w:r w:rsidR="004D6BCE" w:rsidRPr="000B09B9">
        <w:rPr>
          <w:rFonts w:ascii="Calibri" w:hAnsi="Calibri"/>
          <w:color w:val="000000" w:themeColor="text1"/>
        </w:rPr>
        <w:t>)</w:t>
      </w:r>
      <w:r w:rsidRPr="000B09B9">
        <w:rPr>
          <w:rFonts w:ascii="Calibri" w:hAnsi="Calibri"/>
          <w:color w:val="000000" w:themeColor="text1"/>
        </w:rPr>
        <w:t xml:space="preserve">. Patients (recruited </w:t>
      </w:r>
      <w:r w:rsidR="00185699" w:rsidRPr="000B09B9">
        <w:rPr>
          <w:rFonts w:ascii="Calibri" w:hAnsi="Calibri"/>
          <w:color w:val="000000" w:themeColor="text1"/>
        </w:rPr>
        <w:t xml:space="preserve">in </w:t>
      </w:r>
      <w:r w:rsidRPr="000B09B9">
        <w:rPr>
          <w:rFonts w:ascii="Calibri" w:hAnsi="Calibri"/>
          <w:color w:val="000000" w:themeColor="text1"/>
        </w:rPr>
        <w:t>the USA) on a steady dose of amifampridine for at least three continuous months were eligible</w:t>
      </w:r>
      <w:r w:rsidR="097C15B6" w:rsidRPr="000B09B9">
        <w:rPr>
          <w:rFonts w:ascii="Calibri" w:hAnsi="Calibri"/>
          <w:color w:val="000000" w:themeColor="text1"/>
        </w:rPr>
        <w:t>,</w:t>
      </w:r>
      <w:r w:rsidRPr="000B09B9">
        <w:rPr>
          <w:rFonts w:ascii="Calibri" w:hAnsi="Calibri"/>
          <w:color w:val="000000" w:themeColor="text1"/>
        </w:rPr>
        <w:t xml:space="preserve"> if they were responsive to amifampridine</w:t>
      </w:r>
      <w:r w:rsidR="149813AC" w:rsidRPr="000B09B9">
        <w:rPr>
          <w:rFonts w:ascii="Calibri" w:hAnsi="Calibri"/>
          <w:color w:val="000000" w:themeColor="text1"/>
        </w:rPr>
        <w:t>,</w:t>
      </w:r>
      <w:r w:rsidRPr="000B09B9">
        <w:rPr>
          <w:rFonts w:ascii="Calibri" w:hAnsi="Calibri"/>
          <w:color w:val="000000" w:themeColor="text1"/>
        </w:rPr>
        <w:t xml:space="preserve"> as defined by 3TUG testing before and after the first doses of the morning, afternoon, and evening. Patients were randomi</w:t>
      </w:r>
      <w:r w:rsidR="009A66AD" w:rsidRPr="000B09B9">
        <w:rPr>
          <w:rFonts w:ascii="Calibri" w:hAnsi="Calibri"/>
          <w:color w:val="000000" w:themeColor="text1"/>
        </w:rPr>
        <w:t>s</w:t>
      </w:r>
      <w:r w:rsidRPr="000B09B9">
        <w:rPr>
          <w:rFonts w:ascii="Calibri" w:hAnsi="Calibri"/>
          <w:color w:val="000000" w:themeColor="text1"/>
        </w:rPr>
        <w:t xml:space="preserve">ed to stay on their current dose or withdraw from amifampridine (tapering to placebo up to 3.5 days). </w:t>
      </w:r>
    </w:p>
    <w:p w14:paraId="0E8B9F0C" w14:textId="77777777" w:rsidR="000E28F2" w:rsidRPr="000B09B9" w:rsidRDefault="00B50F98" w:rsidP="002B0564">
      <w:pPr>
        <w:keepNext/>
        <w:keepLines/>
        <w:jc w:val="left"/>
        <w:rPr>
          <w:rStyle w:val="CommentReference"/>
        </w:rPr>
      </w:pPr>
      <w:r w:rsidRPr="000B09B9">
        <w:rPr>
          <w:rStyle w:val="CommentReference"/>
        </w:rPr>
        <w:t xml:space="preserve">Figure </w:t>
      </w:r>
      <w:r w:rsidR="00153ED2" w:rsidRPr="000B09B9">
        <w:rPr>
          <w:rStyle w:val="CommentReference"/>
        </w:rPr>
        <w:t>2:</w:t>
      </w:r>
      <w:r w:rsidRPr="000B09B9">
        <w:rPr>
          <w:rStyle w:val="CommentReference"/>
        </w:rPr>
        <w:t xml:space="preserve"> Study design schematic for DAPPER trial</w:t>
      </w:r>
    </w:p>
    <w:p w14:paraId="1D615139" w14:textId="77777777" w:rsidR="008926CC" w:rsidRPr="000B09B9" w:rsidRDefault="00053FE0" w:rsidP="002B0564">
      <w:pPr>
        <w:pStyle w:val="TableFigureFooter"/>
        <w:keepNext/>
        <w:keepLines/>
      </w:pPr>
      <w:r w:rsidRPr="000B09B9">
        <w:rPr>
          <w:noProof/>
          <w:snapToGrid/>
        </w:rPr>
        <w:drawing>
          <wp:inline distT="0" distB="0" distL="0" distR="0" wp14:anchorId="1F856AE7" wp14:editId="5C62E36D">
            <wp:extent cx="5732145" cy="2695575"/>
            <wp:effectExtent l="0" t="0" r="0" b="0"/>
            <wp:docPr id="7" name="Picture 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iagram&#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2145" cy="2695575"/>
                    </a:xfrm>
                    <a:prstGeom prst="rect">
                      <a:avLst/>
                    </a:prstGeom>
                    <a:noFill/>
                    <a:ln>
                      <a:noFill/>
                    </a:ln>
                  </pic:spPr>
                </pic:pic>
              </a:graphicData>
            </a:graphic>
          </wp:inline>
        </w:drawing>
      </w:r>
      <w:r w:rsidRPr="000B09B9">
        <w:t>Source: Figure 2.3, p50 of the submission</w:t>
      </w:r>
    </w:p>
    <w:p w14:paraId="3975C496" w14:textId="77777777" w:rsidR="00D873B8" w:rsidRPr="000B09B9" w:rsidRDefault="00D873B8" w:rsidP="002B0564">
      <w:pPr>
        <w:pStyle w:val="TableFigureFooter"/>
        <w:keepNext/>
        <w:keepLines/>
        <w:rPr>
          <w:rFonts w:eastAsia="Arial Narrow" w:cs="Arial Narrow"/>
          <w:color w:val="000000" w:themeColor="text1"/>
        </w:rPr>
      </w:pPr>
      <w:r w:rsidRPr="000B09B9">
        <w:rPr>
          <w:rFonts w:eastAsia="Arial Narrow"/>
        </w:rPr>
        <w:t xml:space="preserve">3,4 DAP = 3,4-diaminopyridine; </w:t>
      </w:r>
      <w:r w:rsidRPr="000B09B9">
        <w:rPr>
          <w:rFonts w:eastAsia="Arial Narrow" w:cs="Arial Narrow"/>
          <w:color w:val="000000" w:themeColor="text1"/>
        </w:rPr>
        <w:t>N = total participants in group</w:t>
      </w:r>
    </w:p>
    <w:p w14:paraId="76036FE7" w14:textId="77777777" w:rsidR="00FE1325" w:rsidRPr="000B09B9" w:rsidRDefault="00FE1325" w:rsidP="002B0564">
      <w:pPr>
        <w:pStyle w:val="3-BodyText"/>
        <w:numPr>
          <w:ilvl w:val="1"/>
          <w:numId w:val="9"/>
        </w:numPr>
        <w:rPr>
          <w:rFonts w:ascii="Calibri" w:hAnsi="Calibri"/>
          <w:color w:val="000000" w:themeColor="text1"/>
        </w:rPr>
      </w:pPr>
      <w:r w:rsidRPr="000B09B9">
        <w:rPr>
          <w:rFonts w:ascii="Calibri" w:hAnsi="Calibri"/>
          <w:color w:val="000000" w:themeColor="text1"/>
        </w:rPr>
        <w:t xml:space="preserve">The DUKE trial was a prospective, placebo-controlled, randomised study to evaluate the effectiveness of </w:t>
      </w:r>
      <w:r w:rsidR="009A66AD" w:rsidRPr="000B09B9">
        <w:rPr>
          <w:rFonts w:ascii="Calibri" w:hAnsi="Calibri"/>
          <w:color w:val="000000" w:themeColor="text1"/>
        </w:rPr>
        <w:t>amifampridine</w:t>
      </w:r>
      <w:r w:rsidRPr="000B09B9">
        <w:rPr>
          <w:rFonts w:ascii="Calibri" w:hAnsi="Calibri"/>
          <w:color w:val="000000" w:themeColor="text1"/>
        </w:rPr>
        <w:t xml:space="preserve"> in patients with LEMS and to determine the acute and long-term side effects of </w:t>
      </w:r>
      <w:r w:rsidR="009A66AD" w:rsidRPr="000B09B9">
        <w:rPr>
          <w:rFonts w:ascii="Calibri" w:hAnsi="Calibri"/>
          <w:color w:val="000000" w:themeColor="text1"/>
        </w:rPr>
        <w:t xml:space="preserve">amifampridine </w:t>
      </w:r>
      <w:r w:rsidRPr="000B09B9">
        <w:rPr>
          <w:rFonts w:ascii="Calibri" w:hAnsi="Calibri"/>
          <w:color w:val="000000" w:themeColor="text1"/>
        </w:rPr>
        <w:t xml:space="preserve">(N=26). Eligible subjects received 10 to 20 mg of </w:t>
      </w:r>
      <w:r w:rsidR="009A66AD" w:rsidRPr="000B09B9">
        <w:rPr>
          <w:rFonts w:ascii="Calibri" w:hAnsi="Calibri"/>
          <w:color w:val="000000" w:themeColor="text1"/>
        </w:rPr>
        <w:t>a</w:t>
      </w:r>
      <w:r w:rsidRPr="000B09B9">
        <w:rPr>
          <w:rFonts w:ascii="Calibri" w:hAnsi="Calibri"/>
          <w:color w:val="000000" w:themeColor="text1"/>
        </w:rPr>
        <w:t xml:space="preserve">mifampridine or placebo 3 or 4 times a day for 6 to 9 days during the blinded portion of the study, after which subjects received open-label amifampridine. </w:t>
      </w:r>
    </w:p>
    <w:p w14:paraId="7CE8E0B5" w14:textId="77777777" w:rsidR="001E514C" w:rsidRPr="000B09B9" w:rsidRDefault="00F24810" w:rsidP="002B0564">
      <w:pPr>
        <w:pStyle w:val="3-BodyText"/>
        <w:rPr>
          <w:rFonts w:eastAsia="Calibri"/>
          <w:b/>
          <w:bCs/>
          <w:sz w:val="20"/>
          <w:szCs w:val="16"/>
        </w:rPr>
      </w:pPr>
      <w:r w:rsidRPr="000B09B9">
        <w:rPr>
          <w:rFonts w:eastAsia="Calibri"/>
        </w:rPr>
        <w:t xml:space="preserve">Give the short duration of the trials (less than 1 week), there are limited data regarding the durability of amifampridine in a trial setting. The DUKE study had an open-label phase for 25 patients up to 6 months. </w:t>
      </w:r>
    </w:p>
    <w:p w14:paraId="0D018042" w14:textId="77777777" w:rsidR="00074C6F" w:rsidRPr="000B09B9" w:rsidRDefault="00074C6F" w:rsidP="002B0564">
      <w:pPr>
        <w:pStyle w:val="3-BodyText"/>
        <w:rPr>
          <w:rFonts w:eastAsia="Calibri"/>
          <w:b/>
          <w:bCs/>
          <w:sz w:val="20"/>
          <w:szCs w:val="16"/>
        </w:rPr>
      </w:pPr>
      <w:r w:rsidRPr="000B09B9">
        <w:rPr>
          <w:rFonts w:ascii="Calibri" w:eastAsia="Calibri" w:hAnsi="Calibri" w:cs="Calibri"/>
          <w:iCs/>
          <w:color w:val="000000" w:themeColor="text1"/>
        </w:rPr>
        <w:t>The trials allowed for co-administration with other medications. The ESC noted that the doses of other LEMS-related medications were stabilised 3 months prior to inclusion in the DAPPER trial and considered the impact on the relative effectiveness may not be substantial, albeit unquantifiable from the data provided.</w:t>
      </w:r>
    </w:p>
    <w:p w14:paraId="0DA22B3D" w14:textId="77777777" w:rsidR="00FE1325" w:rsidRPr="000B09B9" w:rsidRDefault="00FE1325" w:rsidP="002B0564">
      <w:pPr>
        <w:pStyle w:val="3-BodyText"/>
        <w:numPr>
          <w:ilvl w:val="1"/>
          <w:numId w:val="9"/>
        </w:numPr>
        <w:rPr>
          <w:b/>
          <w:bCs/>
        </w:rPr>
      </w:pPr>
      <w:r w:rsidRPr="000B09B9">
        <w:t xml:space="preserve">The key features of the </w:t>
      </w:r>
      <w:r w:rsidR="004029C1" w:rsidRPr="000B09B9">
        <w:t xml:space="preserve">DAPPER and DUKE </w:t>
      </w:r>
      <w:r w:rsidRPr="000B09B9">
        <w:t>trials are summarised in Table 3.</w:t>
      </w:r>
    </w:p>
    <w:p w14:paraId="21616CAC" w14:textId="77777777" w:rsidR="00FE1325" w:rsidRPr="000B09B9" w:rsidRDefault="00FE1325" w:rsidP="002B0564">
      <w:pPr>
        <w:keepNext/>
        <w:keepLines/>
        <w:rPr>
          <w:rStyle w:val="CommentReference"/>
        </w:rPr>
      </w:pPr>
      <w:r w:rsidRPr="000B09B9">
        <w:rPr>
          <w:rStyle w:val="CommentReference"/>
        </w:rPr>
        <w:t>Table 3: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1"/>
        <w:gridCol w:w="239"/>
        <w:gridCol w:w="2012"/>
        <w:gridCol w:w="747"/>
        <w:gridCol w:w="2209"/>
        <w:gridCol w:w="1775"/>
        <w:gridCol w:w="1304"/>
      </w:tblGrid>
      <w:tr w:rsidR="00FE1325" w:rsidRPr="000B09B9" w14:paraId="7BD785D2" w14:textId="77777777" w:rsidTr="00487317">
        <w:trPr>
          <w:cantSplit/>
          <w:tblHeader/>
        </w:trPr>
        <w:tc>
          <w:tcPr>
            <w:tcW w:w="405" w:type="pct"/>
            <w:shd w:val="clear" w:color="auto" w:fill="auto"/>
            <w:vAlign w:val="center"/>
          </w:tcPr>
          <w:p w14:paraId="3192CE17" w14:textId="77777777" w:rsidR="00FE1325" w:rsidRPr="000B09B9" w:rsidRDefault="00FE1325" w:rsidP="002B0564">
            <w:pPr>
              <w:pStyle w:val="In-tableHeading"/>
              <w:keepLines/>
              <w:rPr>
                <w:lang w:val="en-AU"/>
              </w:rPr>
            </w:pPr>
            <w:r w:rsidRPr="000B09B9">
              <w:rPr>
                <w:lang w:val="en-AU"/>
              </w:rPr>
              <w:t>Trial</w:t>
            </w:r>
          </w:p>
        </w:tc>
        <w:tc>
          <w:tcPr>
            <w:tcW w:w="133" w:type="pct"/>
            <w:shd w:val="clear" w:color="auto" w:fill="auto"/>
            <w:vAlign w:val="center"/>
          </w:tcPr>
          <w:p w14:paraId="67F90665" w14:textId="77777777" w:rsidR="00FE1325" w:rsidRPr="000B09B9" w:rsidRDefault="00FE1325" w:rsidP="002B0564">
            <w:pPr>
              <w:pStyle w:val="In-tableHeading"/>
              <w:keepLines/>
              <w:jc w:val="center"/>
              <w:rPr>
                <w:lang w:val="en-AU"/>
              </w:rPr>
            </w:pPr>
            <w:r w:rsidRPr="000B09B9">
              <w:rPr>
                <w:lang w:val="en-AU"/>
              </w:rPr>
              <w:t>N</w:t>
            </w:r>
          </w:p>
        </w:tc>
        <w:tc>
          <w:tcPr>
            <w:tcW w:w="1116" w:type="pct"/>
            <w:shd w:val="clear" w:color="auto" w:fill="auto"/>
            <w:vAlign w:val="center"/>
          </w:tcPr>
          <w:p w14:paraId="577739D1" w14:textId="77777777" w:rsidR="00FE1325" w:rsidRPr="000B09B9" w:rsidRDefault="00FE1325" w:rsidP="002B0564">
            <w:pPr>
              <w:pStyle w:val="In-tableHeading"/>
              <w:keepLines/>
              <w:jc w:val="center"/>
              <w:rPr>
                <w:lang w:val="en-AU"/>
              </w:rPr>
            </w:pPr>
            <w:r w:rsidRPr="000B09B9">
              <w:rPr>
                <w:lang w:val="en-AU"/>
              </w:rPr>
              <w:t>Design/ duration</w:t>
            </w:r>
          </w:p>
        </w:tc>
        <w:tc>
          <w:tcPr>
            <w:tcW w:w="414" w:type="pct"/>
            <w:shd w:val="clear" w:color="auto" w:fill="auto"/>
            <w:vAlign w:val="center"/>
          </w:tcPr>
          <w:p w14:paraId="13F1DAB3" w14:textId="77777777" w:rsidR="00FE1325" w:rsidRPr="000B09B9" w:rsidRDefault="00FE1325" w:rsidP="002B0564">
            <w:pPr>
              <w:pStyle w:val="In-tableHeading"/>
              <w:keepLines/>
              <w:jc w:val="center"/>
              <w:rPr>
                <w:lang w:val="en-AU"/>
              </w:rPr>
            </w:pPr>
            <w:r w:rsidRPr="000B09B9">
              <w:rPr>
                <w:lang w:val="en-AU"/>
              </w:rPr>
              <w:t>Risk of bias</w:t>
            </w:r>
          </w:p>
        </w:tc>
        <w:tc>
          <w:tcPr>
            <w:tcW w:w="1225" w:type="pct"/>
            <w:shd w:val="clear" w:color="auto" w:fill="auto"/>
            <w:vAlign w:val="center"/>
          </w:tcPr>
          <w:p w14:paraId="405FBB5A" w14:textId="77777777" w:rsidR="00FE1325" w:rsidRPr="000B09B9" w:rsidRDefault="00FE1325" w:rsidP="002B0564">
            <w:pPr>
              <w:pStyle w:val="In-tableHeading"/>
              <w:keepLines/>
              <w:jc w:val="center"/>
              <w:rPr>
                <w:lang w:val="en-AU"/>
              </w:rPr>
            </w:pPr>
            <w:r w:rsidRPr="000B09B9">
              <w:rPr>
                <w:lang w:val="en-AU"/>
              </w:rPr>
              <w:t>Patient population</w:t>
            </w:r>
          </w:p>
        </w:tc>
        <w:tc>
          <w:tcPr>
            <w:tcW w:w="984" w:type="pct"/>
            <w:shd w:val="clear" w:color="auto" w:fill="auto"/>
            <w:vAlign w:val="center"/>
          </w:tcPr>
          <w:p w14:paraId="33A3399F" w14:textId="77777777" w:rsidR="00FE1325" w:rsidRPr="000B09B9" w:rsidRDefault="00FE1325" w:rsidP="002B0564">
            <w:pPr>
              <w:pStyle w:val="In-tableHeading"/>
              <w:keepLines/>
              <w:jc w:val="center"/>
              <w:rPr>
                <w:lang w:val="en-AU"/>
              </w:rPr>
            </w:pPr>
            <w:r w:rsidRPr="000B09B9">
              <w:rPr>
                <w:lang w:val="en-AU"/>
              </w:rPr>
              <w:t>Outcome(s)</w:t>
            </w:r>
          </w:p>
        </w:tc>
        <w:tc>
          <w:tcPr>
            <w:tcW w:w="724" w:type="pct"/>
            <w:shd w:val="clear" w:color="auto" w:fill="auto"/>
            <w:vAlign w:val="center"/>
          </w:tcPr>
          <w:p w14:paraId="17E65F02" w14:textId="77777777" w:rsidR="00FE1325" w:rsidRPr="000B09B9" w:rsidRDefault="00FE1325" w:rsidP="002B0564">
            <w:pPr>
              <w:pStyle w:val="In-tableHeading"/>
              <w:keepLines/>
              <w:jc w:val="center"/>
              <w:rPr>
                <w:lang w:val="en-AU"/>
              </w:rPr>
            </w:pPr>
            <w:r w:rsidRPr="000B09B9">
              <w:rPr>
                <w:lang w:val="en-AU"/>
              </w:rPr>
              <w:t>Use in modelled evaluation</w:t>
            </w:r>
          </w:p>
        </w:tc>
      </w:tr>
      <w:tr w:rsidR="00FE1325" w:rsidRPr="000B09B9" w14:paraId="29546EF4" w14:textId="77777777" w:rsidTr="00487317">
        <w:trPr>
          <w:cantSplit/>
        </w:trPr>
        <w:tc>
          <w:tcPr>
            <w:tcW w:w="5000" w:type="pct"/>
            <w:gridSpan w:val="7"/>
            <w:shd w:val="clear" w:color="auto" w:fill="auto"/>
            <w:vAlign w:val="center"/>
          </w:tcPr>
          <w:p w14:paraId="1635CF0A" w14:textId="77777777" w:rsidR="00FE1325" w:rsidRPr="000B09B9" w:rsidRDefault="00FE1325" w:rsidP="002B0564">
            <w:pPr>
              <w:pStyle w:val="In-tableHeading"/>
              <w:keepLines/>
              <w:rPr>
                <w:lang w:val="en-AU"/>
              </w:rPr>
            </w:pPr>
            <w:r w:rsidRPr="000B09B9">
              <w:rPr>
                <w:lang w:val="en-AU"/>
              </w:rPr>
              <w:t>Amifampridine vs. Placebo</w:t>
            </w:r>
          </w:p>
        </w:tc>
      </w:tr>
      <w:tr w:rsidR="00FE1325" w:rsidRPr="000B09B9" w14:paraId="26CAD6FE" w14:textId="77777777" w:rsidTr="00487317">
        <w:trPr>
          <w:cantSplit/>
        </w:trPr>
        <w:tc>
          <w:tcPr>
            <w:tcW w:w="405" w:type="pct"/>
            <w:shd w:val="clear" w:color="auto" w:fill="auto"/>
            <w:vAlign w:val="center"/>
          </w:tcPr>
          <w:p w14:paraId="27314296" w14:textId="77777777" w:rsidR="00FE1325" w:rsidRPr="000B09B9" w:rsidRDefault="00FE1325" w:rsidP="002B0564">
            <w:pPr>
              <w:pStyle w:val="TableText0"/>
              <w:keepNext/>
              <w:keepLines/>
              <w:widowControl/>
              <w:spacing w:line="259" w:lineRule="auto"/>
              <w:rPr>
                <w:rFonts w:eastAsia="MS Gothic"/>
              </w:rPr>
            </w:pPr>
            <w:r w:rsidRPr="000B09B9">
              <w:t>DAPPER</w:t>
            </w:r>
          </w:p>
        </w:tc>
        <w:tc>
          <w:tcPr>
            <w:tcW w:w="133" w:type="pct"/>
            <w:shd w:val="clear" w:color="auto" w:fill="auto"/>
            <w:vAlign w:val="center"/>
          </w:tcPr>
          <w:p w14:paraId="27D433F5" w14:textId="77777777" w:rsidR="00FE1325" w:rsidRPr="000B09B9" w:rsidRDefault="00FE1325" w:rsidP="002B0564">
            <w:pPr>
              <w:pStyle w:val="TableText0"/>
              <w:keepNext/>
              <w:keepLines/>
              <w:widowControl/>
              <w:jc w:val="center"/>
            </w:pPr>
            <w:r w:rsidRPr="000B09B9">
              <w:t>32</w:t>
            </w:r>
          </w:p>
        </w:tc>
        <w:tc>
          <w:tcPr>
            <w:tcW w:w="1116" w:type="pct"/>
            <w:shd w:val="clear" w:color="auto" w:fill="auto"/>
            <w:vAlign w:val="center"/>
          </w:tcPr>
          <w:p w14:paraId="12DA1214" w14:textId="77777777" w:rsidR="00FE1325" w:rsidRPr="000B09B9" w:rsidRDefault="00FE1325" w:rsidP="002B0564">
            <w:pPr>
              <w:pStyle w:val="TableText0"/>
              <w:keepNext/>
              <w:keepLines/>
              <w:widowControl/>
              <w:jc w:val="center"/>
            </w:pPr>
            <w:r w:rsidRPr="000B09B9">
              <w:t xml:space="preserve">R, DB / </w:t>
            </w:r>
          </w:p>
          <w:p w14:paraId="52F43519" w14:textId="77777777" w:rsidR="00FE1325" w:rsidRPr="000B09B9" w:rsidRDefault="00FE1325" w:rsidP="002B0564">
            <w:pPr>
              <w:pStyle w:val="TableText0"/>
              <w:keepNext/>
              <w:keepLines/>
              <w:widowControl/>
              <w:jc w:val="center"/>
              <w:rPr>
                <w:rFonts w:eastAsia="MS Gothic"/>
              </w:rPr>
            </w:pPr>
            <w:r w:rsidRPr="000B09B9">
              <w:rPr>
                <w:rFonts w:eastAsia="MS Gothic"/>
              </w:rPr>
              <w:t>up to 3.5 days</w:t>
            </w:r>
          </w:p>
          <w:p w14:paraId="7DA5E3E2" w14:textId="77777777" w:rsidR="00FE1325" w:rsidRPr="000B09B9" w:rsidRDefault="00FE1325" w:rsidP="002B0564">
            <w:pPr>
              <w:pStyle w:val="TableText0"/>
              <w:keepNext/>
              <w:keepLines/>
              <w:widowControl/>
              <w:jc w:val="center"/>
            </w:pPr>
          </w:p>
        </w:tc>
        <w:tc>
          <w:tcPr>
            <w:tcW w:w="414" w:type="pct"/>
            <w:shd w:val="clear" w:color="auto" w:fill="auto"/>
            <w:vAlign w:val="center"/>
          </w:tcPr>
          <w:p w14:paraId="60245334" w14:textId="77777777" w:rsidR="00FE1325" w:rsidRPr="000B09B9" w:rsidRDefault="00FE1325" w:rsidP="002B0564">
            <w:pPr>
              <w:pStyle w:val="TableText0"/>
              <w:keepNext/>
              <w:keepLines/>
              <w:widowControl/>
              <w:spacing w:line="259" w:lineRule="auto"/>
              <w:jc w:val="center"/>
              <w:rPr>
                <w:rFonts w:eastAsia="MS Gothic"/>
                <w:iCs/>
              </w:rPr>
            </w:pPr>
            <w:r w:rsidRPr="000B09B9">
              <w:rPr>
                <w:iCs/>
              </w:rPr>
              <w:t>High</w:t>
            </w:r>
          </w:p>
        </w:tc>
        <w:tc>
          <w:tcPr>
            <w:tcW w:w="1225" w:type="pct"/>
            <w:shd w:val="clear" w:color="auto" w:fill="auto"/>
            <w:vAlign w:val="center"/>
          </w:tcPr>
          <w:p w14:paraId="6C98E6B4" w14:textId="77777777" w:rsidR="00FE1325" w:rsidRPr="000B09B9" w:rsidRDefault="00FE1325" w:rsidP="002B0564">
            <w:pPr>
              <w:pStyle w:val="TableText0"/>
              <w:keepNext/>
              <w:keepLines/>
              <w:widowControl/>
              <w:spacing w:line="259" w:lineRule="auto"/>
              <w:jc w:val="center"/>
              <w:rPr>
                <w:rFonts w:eastAsia="MS Gothic"/>
              </w:rPr>
            </w:pPr>
            <w:r w:rsidRPr="000B09B9">
              <w:t>Stable on amifampridine for at least 3 months before enrolment</w:t>
            </w:r>
          </w:p>
        </w:tc>
        <w:tc>
          <w:tcPr>
            <w:tcW w:w="984" w:type="pct"/>
            <w:shd w:val="clear" w:color="auto" w:fill="auto"/>
            <w:vAlign w:val="center"/>
          </w:tcPr>
          <w:p w14:paraId="40D7680C" w14:textId="77777777" w:rsidR="00FE1325" w:rsidRPr="000B09B9" w:rsidRDefault="00FE1325" w:rsidP="002B0564">
            <w:pPr>
              <w:pStyle w:val="TableText0"/>
              <w:keepNext/>
              <w:keepLines/>
              <w:widowControl/>
              <w:spacing w:line="259" w:lineRule="auto"/>
              <w:jc w:val="center"/>
              <w:rPr>
                <w:rFonts w:eastAsia="MS Gothic"/>
              </w:rPr>
            </w:pPr>
            <w:r w:rsidRPr="000B09B9">
              <w:t>Response rate</w:t>
            </w:r>
            <w:r w:rsidR="00D873B8" w:rsidRPr="000B09B9">
              <w:t xml:space="preserve"> (degree of change in 3TUG test</w:t>
            </w:r>
            <w:r w:rsidR="00B96769" w:rsidRPr="000B09B9">
              <w:rPr>
                <w:vertAlign w:val="superscript"/>
              </w:rPr>
              <w:t>a</w:t>
            </w:r>
            <w:r w:rsidR="00D873B8" w:rsidRPr="000B09B9">
              <w:t>)</w:t>
            </w:r>
          </w:p>
        </w:tc>
        <w:tc>
          <w:tcPr>
            <w:tcW w:w="724" w:type="pct"/>
            <w:shd w:val="clear" w:color="auto" w:fill="auto"/>
            <w:vAlign w:val="center"/>
          </w:tcPr>
          <w:p w14:paraId="22BF7A7D" w14:textId="77777777" w:rsidR="00FE1325" w:rsidRPr="000B09B9" w:rsidRDefault="00FE1325" w:rsidP="002B0564">
            <w:pPr>
              <w:pStyle w:val="TableText0"/>
              <w:keepNext/>
              <w:keepLines/>
              <w:widowControl/>
              <w:spacing w:line="259" w:lineRule="auto"/>
              <w:jc w:val="center"/>
              <w:rPr>
                <w:rFonts w:eastAsia="MS Gothic"/>
              </w:rPr>
            </w:pPr>
            <w:r w:rsidRPr="000B09B9">
              <w:t>Assumed 100% response rate</w:t>
            </w:r>
          </w:p>
        </w:tc>
      </w:tr>
      <w:tr w:rsidR="00FE1325" w:rsidRPr="000B09B9" w14:paraId="60309A80" w14:textId="77777777" w:rsidTr="00487317">
        <w:trPr>
          <w:cantSplit/>
        </w:trPr>
        <w:tc>
          <w:tcPr>
            <w:tcW w:w="405" w:type="pct"/>
            <w:shd w:val="clear" w:color="auto" w:fill="auto"/>
            <w:vAlign w:val="center"/>
          </w:tcPr>
          <w:p w14:paraId="4EA68FFC" w14:textId="77777777" w:rsidR="00FE1325" w:rsidRPr="000B09B9" w:rsidRDefault="00FE1325" w:rsidP="002B0564">
            <w:pPr>
              <w:pStyle w:val="TableText0"/>
              <w:keepNext/>
              <w:keepLines/>
              <w:widowControl/>
              <w:spacing w:line="259" w:lineRule="auto"/>
              <w:rPr>
                <w:rFonts w:eastAsia="MS Gothic"/>
              </w:rPr>
            </w:pPr>
            <w:r w:rsidRPr="000B09B9">
              <w:t>DUKE</w:t>
            </w:r>
          </w:p>
        </w:tc>
        <w:tc>
          <w:tcPr>
            <w:tcW w:w="133" w:type="pct"/>
            <w:shd w:val="clear" w:color="auto" w:fill="auto"/>
            <w:vAlign w:val="center"/>
          </w:tcPr>
          <w:p w14:paraId="66EE9BD9" w14:textId="77777777" w:rsidR="00FE1325" w:rsidRPr="000B09B9" w:rsidRDefault="00FE1325" w:rsidP="002B0564">
            <w:pPr>
              <w:pStyle w:val="TableText0"/>
              <w:keepNext/>
              <w:keepLines/>
              <w:widowControl/>
              <w:jc w:val="center"/>
            </w:pPr>
            <w:r w:rsidRPr="000B09B9">
              <w:t>26</w:t>
            </w:r>
          </w:p>
        </w:tc>
        <w:tc>
          <w:tcPr>
            <w:tcW w:w="1116" w:type="pct"/>
            <w:shd w:val="clear" w:color="auto" w:fill="auto"/>
            <w:vAlign w:val="center"/>
          </w:tcPr>
          <w:p w14:paraId="6ADDC3D9" w14:textId="77777777" w:rsidR="00FE1325" w:rsidRPr="000B09B9" w:rsidRDefault="00FE1325" w:rsidP="002B0564">
            <w:pPr>
              <w:pStyle w:val="TableText0"/>
              <w:keepNext/>
              <w:keepLines/>
              <w:widowControl/>
              <w:jc w:val="center"/>
            </w:pPr>
            <w:r w:rsidRPr="000B09B9">
              <w:t>R, DB /</w:t>
            </w:r>
          </w:p>
          <w:p w14:paraId="58AF4AE0" w14:textId="77777777" w:rsidR="00FE1325" w:rsidRPr="000B09B9" w:rsidRDefault="00FE1325" w:rsidP="002B0564">
            <w:pPr>
              <w:pStyle w:val="TableText0"/>
              <w:keepNext/>
              <w:keepLines/>
              <w:widowControl/>
              <w:jc w:val="center"/>
              <w:rPr>
                <w:rFonts w:eastAsia="MS Gothic"/>
              </w:rPr>
            </w:pPr>
            <w:r w:rsidRPr="000B09B9">
              <w:rPr>
                <w:rFonts w:eastAsia="MS Gothic"/>
              </w:rPr>
              <w:t xml:space="preserve">6-9 days / 24-hour washout followed by 24-hour observation </w:t>
            </w:r>
          </w:p>
        </w:tc>
        <w:tc>
          <w:tcPr>
            <w:tcW w:w="414" w:type="pct"/>
            <w:shd w:val="clear" w:color="auto" w:fill="auto"/>
            <w:vAlign w:val="center"/>
          </w:tcPr>
          <w:p w14:paraId="57D854B5" w14:textId="77777777" w:rsidR="00FE1325" w:rsidRPr="000B09B9" w:rsidRDefault="00FE1325" w:rsidP="002B0564">
            <w:pPr>
              <w:pStyle w:val="TableText0"/>
              <w:keepNext/>
              <w:keepLines/>
              <w:widowControl/>
              <w:spacing w:line="259" w:lineRule="auto"/>
              <w:jc w:val="center"/>
              <w:rPr>
                <w:rFonts w:eastAsia="MS Gothic"/>
                <w:iCs/>
              </w:rPr>
            </w:pPr>
            <w:r w:rsidRPr="000B09B9">
              <w:rPr>
                <w:iCs/>
              </w:rPr>
              <w:t>Medium</w:t>
            </w:r>
          </w:p>
        </w:tc>
        <w:tc>
          <w:tcPr>
            <w:tcW w:w="1225" w:type="pct"/>
            <w:shd w:val="clear" w:color="auto" w:fill="auto"/>
            <w:vAlign w:val="center"/>
          </w:tcPr>
          <w:p w14:paraId="21367BB9" w14:textId="77777777" w:rsidR="00FE1325" w:rsidRPr="000B09B9" w:rsidRDefault="00FE1325" w:rsidP="002B0564">
            <w:pPr>
              <w:pStyle w:val="TableText0"/>
              <w:keepNext/>
              <w:keepLines/>
              <w:widowControl/>
              <w:jc w:val="center"/>
            </w:pPr>
            <w:r w:rsidRPr="000B09B9">
              <w:t>Treatment naïve</w:t>
            </w:r>
          </w:p>
        </w:tc>
        <w:tc>
          <w:tcPr>
            <w:tcW w:w="984" w:type="pct"/>
            <w:shd w:val="clear" w:color="auto" w:fill="auto"/>
            <w:vAlign w:val="center"/>
          </w:tcPr>
          <w:p w14:paraId="42352520" w14:textId="77777777" w:rsidR="00FE1325" w:rsidRPr="000B09B9" w:rsidRDefault="00FE1325" w:rsidP="002B0564">
            <w:pPr>
              <w:pStyle w:val="TableText0"/>
              <w:keepNext/>
              <w:keepLines/>
              <w:widowControl/>
              <w:jc w:val="center"/>
            </w:pPr>
            <w:r w:rsidRPr="000B09B9">
              <w:t>Response rate</w:t>
            </w:r>
            <w:r w:rsidR="00D873B8" w:rsidRPr="000B09B9">
              <w:t xml:space="preserve"> (change from baseline QMG)</w:t>
            </w:r>
          </w:p>
        </w:tc>
        <w:tc>
          <w:tcPr>
            <w:tcW w:w="724" w:type="pct"/>
            <w:shd w:val="clear" w:color="auto" w:fill="auto"/>
            <w:vAlign w:val="center"/>
          </w:tcPr>
          <w:p w14:paraId="0BDE09F4" w14:textId="77777777" w:rsidR="00FE1325" w:rsidRPr="000B09B9" w:rsidRDefault="00FE1325" w:rsidP="002B0564">
            <w:pPr>
              <w:pStyle w:val="TableText0"/>
              <w:keepNext/>
              <w:keepLines/>
              <w:widowControl/>
              <w:spacing w:line="259" w:lineRule="auto"/>
              <w:jc w:val="center"/>
              <w:rPr>
                <w:rFonts w:eastAsia="MS Gothic"/>
              </w:rPr>
            </w:pPr>
            <w:r w:rsidRPr="000B09B9">
              <w:t>Assumed 100% response rate</w:t>
            </w:r>
          </w:p>
        </w:tc>
      </w:tr>
    </w:tbl>
    <w:p w14:paraId="43A3F791" w14:textId="77777777" w:rsidR="00B96769" w:rsidRPr="000B09B9" w:rsidRDefault="00B96769" w:rsidP="002B0564">
      <w:pPr>
        <w:pStyle w:val="TableFigureFooter"/>
        <w:keepNext/>
        <w:keepLines/>
      </w:pPr>
      <w:r w:rsidRPr="000B09B9">
        <w:rPr>
          <w:vertAlign w:val="superscript"/>
        </w:rPr>
        <w:t>a</w:t>
      </w:r>
      <w:r w:rsidRPr="000B09B9">
        <w:t xml:space="preserve"> The 3TUG test was performed 6 times per day (15 minutes prior to and about 2 hours after the first dose after 12 am, the first dose after 12 pm, and the first dose after 5 pm).</w:t>
      </w:r>
    </w:p>
    <w:p w14:paraId="045D5211" w14:textId="77777777" w:rsidR="00FE1325" w:rsidRPr="000B09B9" w:rsidRDefault="00FE1325" w:rsidP="002B0564">
      <w:pPr>
        <w:pStyle w:val="TableFigureFooter"/>
        <w:keepNext/>
        <w:keepLines/>
      </w:pPr>
      <w:r w:rsidRPr="000B09B9">
        <w:t>Source: Table 2.5, p48 of the submission.</w:t>
      </w:r>
    </w:p>
    <w:p w14:paraId="0B22083B" w14:textId="77777777" w:rsidR="00FE1325" w:rsidRPr="000B09B9" w:rsidRDefault="00D873B8" w:rsidP="002B0564">
      <w:pPr>
        <w:pStyle w:val="TableFigureFooter"/>
        <w:keepNext/>
        <w:keepLines/>
      </w:pPr>
      <w:bookmarkStart w:id="26" w:name="_Hlk81486410"/>
      <w:r w:rsidRPr="000B09B9">
        <w:t xml:space="preserve">3TUG = Triple Timed-Up-and-Go; </w:t>
      </w:r>
      <w:r w:rsidR="00FE1325" w:rsidRPr="000B09B9">
        <w:t xml:space="preserve">DB = double blind; </w:t>
      </w:r>
      <w:r w:rsidR="00763E50" w:rsidRPr="000B09B9">
        <w:rPr>
          <w:rFonts w:eastAsia="Arial Narrow" w:cs="Arial Narrow"/>
          <w:color w:val="000000" w:themeColor="text1"/>
          <w:szCs w:val="18"/>
        </w:rPr>
        <w:t>QMG= Quantitative Myasthenia Gravis</w:t>
      </w:r>
      <w:r w:rsidR="00763E50" w:rsidRPr="000B09B9">
        <w:t xml:space="preserve">; </w:t>
      </w:r>
      <w:r w:rsidR="00FE1325" w:rsidRPr="000B09B9">
        <w:t>R = randomised.</w:t>
      </w:r>
    </w:p>
    <w:bookmarkEnd w:id="26"/>
    <w:p w14:paraId="33A27FCC" w14:textId="77777777" w:rsidR="00B57302" w:rsidRPr="000B09B9" w:rsidRDefault="00FE25B7" w:rsidP="002B0564">
      <w:pPr>
        <w:pStyle w:val="3-BodyText"/>
        <w:numPr>
          <w:ilvl w:val="1"/>
          <w:numId w:val="9"/>
        </w:numPr>
        <w:rPr>
          <w:rFonts w:eastAsia="Calibri"/>
          <w:iCs/>
        </w:rPr>
      </w:pPr>
      <w:r w:rsidRPr="000B09B9">
        <w:rPr>
          <w:rFonts w:eastAsia="Calibri"/>
        </w:rPr>
        <w:t xml:space="preserve">In the </w:t>
      </w:r>
      <w:r w:rsidR="00DD7332" w:rsidRPr="000B09B9">
        <w:rPr>
          <w:rFonts w:eastAsia="Calibri"/>
        </w:rPr>
        <w:t>DAPPER</w:t>
      </w:r>
      <w:r w:rsidRPr="000B09B9">
        <w:rPr>
          <w:rFonts w:eastAsia="Calibri"/>
        </w:rPr>
        <w:t xml:space="preserve"> trial, 52 patients were screened and </w:t>
      </w:r>
      <w:r w:rsidR="00281FC4" w:rsidRPr="000B09B9">
        <w:rPr>
          <w:rFonts w:eastAsia="Calibri"/>
        </w:rPr>
        <w:t>32 were eligible and randomi</w:t>
      </w:r>
      <w:r w:rsidR="00804B38" w:rsidRPr="000B09B9">
        <w:rPr>
          <w:rFonts w:eastAsia="Calibri"/>
        </w:rPr>
        <w:t>s</w:t>
      </w:r>
      <w:r w:rsidR="00281FC4" w:rsidRPr="000B09B9">
        <w:rPr>
          <w:rFonts w:eastAsia="Calibri"/>
        </w:rPr>
        <w:t>ed into the trial</w:t>
      </w:r>
      <w:r w:rsidR="00FB4E81" w:rsidRPr="000B09B9">
        <w:rPr>
          <w:rFonts w:eastAsia="Calibri"/>
        </w:rPr>
        <w:t>.</w:t>
      </w:r>
      <w:r w:rsidR="008A0350" w:rsidRPr="000B09B9">
        <w:rPr>
          <w:rFonts w:eastAsia="Calibri"/>
        </w:rPr>
        <w:t xml:space="preserve"> </w:t>
      </w:r>
      <w:r w:rsidR="00FB4E81" w:rsidRPr="000B09B9">
        <w:rPr>
          <w:rFonts w:eastAsia="Calibri"/>
        </w:rPr>
        <w:t xml:space="preserve">Twenty patients </w:t>
      </w:r>
      <w:r w:rsidR="00B57302" w:rsidRPr="000B09B9">
        <w:rPr>
          <w:rFonts w:eastAsia="Calibri"/>
        </w:rPr>
        <w:t xml:space="preserve">were found to be ineligible </w:t>
      </w:r>
      <w:r w:rsidR="00FB4E81" w:rsidRPr="000B09B9">
        <w:rPr>
          <w:rFonts w:eastAsia="Calibri"/>
        </w:rPr>
        <w:t xml:space="preserve">due to </w:t>
      </w:r>
      <w:r w:rsidR="00B57302" w:rsidRPr="000B09B9">
        <w:rPr>
          <w:rFonts w:eastAsia="Calibri"/>
        </w:rPr>
        <w:t xml:space="preserve">insufficient response to 3TUG during </w:t>
      </w:r>
      <w:r w:rsidR="00FB4E81" w:rsidRPr="000B09B9">
        <w:rPr>
          <w:rFonts w:eastAsia="Calibri"/>
        </w:rPr>
        <w:t>screening assessments (n=18); or f</w:t>
      </w:r>
      <w:r w:rsidR="00B57302" w:rsidRPr="000B09B9">
        <w:rPr>
          <w:rFonts w:eastAsia="Calibri"/>
        </w:rPr>
        <w:t>ailed drug screen</w:t>
      </w:r>
      <w:r w:rsidR="00FB4E81" w:rsidRPr="000B09B9">
        <w:rPr>
          <w:rFonts w:eastAsia="Calibri"/>
        </w:rPr>
        <w:t xml:space="preserve"> (n=2)</w:t>
      </w:r>
      <w:r w:rsidR="00B57302" w:rsidRPr="000B09B9">
        <w:rPr>
          <w:rFonts w:eastAsia="Calibri"/>
        </w:rPr>
        <w:t>.</w:t>
      </w:r>
    </w:p>
    <w:p w14:paraId="7C0D9012" w14:textId="77777777" w:rsidR="002D6233" w:rsidRPr="000B09B9" w:rsidRDefault="00BA5F3A" w:rsidP="002B0564">
      <w:pPr>
        <w:pStyle w:val="3-BodyText"/>
        <w:numPr>
          <w:ilvl w:val="1"/>
          <w:numId w:val="9"/>
        </w:numPr>
        <w:rPr>
          <w:rFonts w:eastAsia="Calibri"/>
          <w:iCs/>
        </w:rPr>
      </w:pPr>
      <w:r w:rsidRPr="000B09B9">
        <w:rPr>
          <w:rFonts w:eastAsia="Calibri"/>
        </w:rPr>
        <w:t xml:space="preserve">In the DUKE trial, </w:t>
      </w:r>
      <w:r w:rsidR="004C5535" w:rsidRPr="000B09B9">
        <w:rPr>
          <w:rFonts w:eastAsia="Calibri"/>
        </w:rPr>
        <w:t xml:space="preserve">37 patients were eligible, </w:t>
      </w:r>
      <w:r w:rsidR="008E4BCC" w:rsidRPr="000B09B9">
        <w:rPr>
          <w:rFonts w:eastAsia="Calibri"/>
        </w:rPr>
        <w:t>bu</w:t>
      </w:r>
      <w:r w:rsidR="00801CA5" w:rsidRPr="000B09B9">
        <w:rPr>
          <w:rFonts w:eastAsia="Calibri"/>
        </w:rPr>
        <w:t>t</w:t>
      </w:r>
      <w:r w:rsidR="008E4BCC" w:rsidRPr="000B09B9">
        <w:rPr>
          <w:rFonts w:eastAsia="Calibri"/>
        </w:rPr>
        <w:t xml:space="preserve"> 11 were not randomi</w:t>
      </w:r>
      <w:r w:rsidR="00804B38" w:rsidRPr="000B09B9">
        <w:rPr>
          <w:rFonts w:eastAsia="Calibri"/>
        </w:rPr>
        <w:t>s</w:t>
      </w:r>
      <w:r w:rsidR="008E4BCC" w:rsidRPr="000B09B9">
        <w:rPr>
          <w:rFonts w:eastAsia="Calibri"/>
        </w:rPr>
        <w:t>ed (</w:t>
      </w:r>
      <w:r w:rsidR="00C26C23" w:rsidRPr="000B09B9">
        <w:rPr>
          <w:rFonts w:eastAsia="Calibri"/>
        </w:rPr>
        <w:t>7</w:t>
      </w:r>
      <w:r w:rsidR="003211E4" w:rsidRPr="000B09B9">
        <w:rPr>
          <w:rFonts w:eastAsia="Calibri"/>
        </w:rPr>
        <w:t>: QMG</w:t>
      </w:r>
      <w:r w:rsidR="000C79BD" w:rsidRPr="000B09B9">
        <w:rPr>
          <w:rFonts w:eastAsia="Calibri"/>
        </w:rPr>
        <w:t xml:space="preserve"> </w:t>
      </w:r>
      <w:r w:rsidR="00557102" w:rsidRPr="000B09B9">
        <w:rPr>
          <w:rFonts w:eastAsia="Calibri"/>
        </w:rPr>
        <w:t>Score </w:t>
      </w:r>
      <w:r w:rsidR="000C79BD" w:rsidRPr="000B09B9">
        <w:rPr>
          <w:rFonts w:eastAsia="Calibri"/>
        </w:rPr>
        <w:t xml:space="preserve">&gt; </w:t>
      </w:r>
      <w:r w:rsidR="00C26C23" w:rsidRPr="000B09B9">
        <w:rPr>
          <w:rFonts w:eastAsia="Calibri"/>
        </w:rPr>
        <w:t>5</w:t>
      </w:r>
      <w:r w:rsidR="0073001E" w:rsidRPr="000B09B9">
        <w:rPr>
          <w:rFonts w:eastAsia="Calibri"/>
        </w:rPr>
        <w:t>;</w:t>
      </w:r>
      <w:r w:rsidR="00C26C23" w:rsidRPr="000B09B9">
        <w:rPr>
          <w:rFonts w:eastAsia="Calibri"/>
        </w:rPr>
        <w:t xml:space="preserve"> </w:t>
      </w:r>
      <w:r w:rsidR="0073001E" w:rsidRPr="000B09B9">
        <w:rPr>
          <w:rFonts w:eastAsia="Calibri"/>
        </w:rPr>
        <w:t xml:space="preserve">1: atrial fibrillation; </w:t>
      </w:r>
      <w:r w:rsidR="004A4D88" w:rsidRPr="000B09B9">
        <w:rPr>
          <w:rFonts w:eastAsia="Calibri"/>
        </w:rPr>
        <w:t>1: compressive fracture</w:t>
      </w:r>
      <w:r w:rsidR="004231E7" w:rsidRPr="000B09B9">
        <w:rPr>
          <w:rFonts w:eastAsia="Calibri"/>
        </w:rPr>
        <w:t xml:space="preserve">; 1: non-compliant; </w:t>
      </w:r>
      <w:r w:rsidR="00D72B32" w:rsidRPr="000B09B9">
        <w:rPr>
          <w:rFonts w:eastAsia="Calibri"/>
        </w:rPr>
        <w:t>1:</w:t>
      </w:r>
      <w:r w:rsidR="00B57302" w:rsidRPr="000B09B9">
        <w:rPr>
          <w:rFonts w:eastAsia="Calibri"/>
        </w:rPr>
        <w:t> </w:t>
      </w:r>
      <w:r w:rsidR="00D72B32" w:rsidRPr="000B09B9">
        <w:rPr>
          <w:rFonts w:eastAsia="Calibri"/>
        </w:rPr>
        <w:t>receiving chemotherapy).</w:t>
      </w:r>
    </w:p>
    <w:p w14:paraId="2F5CF003" w14:textId="77777777" w:rsidR="00FE1325" w:rsidRPr="000B09B9" w:rsidRDefault="00FE1325" w:rsidP="002B0564">
      <w:pPr>
        <w:pStyle w:val="3-BodyText"/>
        <w:numPr>
          <w:ilvl w:val="1"/>
          <w:numId w:val="9"/>
        </w:numPr>
        <w:rPr>
          <w:rFonts w:eastAsia="Calibri"/>
          <w:iCs/>
        </w:rPr>
      </w:pPr>
      <w:r w:rsidRPr="000B09B9">
        <w:rPr>
          <w:rFonts w:eastAsia="Calibri"/>
          <w:iCs/>
        </w:rPr>
        <w:t>For the DAPPER trial, while there is low risk of selection bias (due to randomisation)</w:t>
      </w:r>
      <w:r w:rsidR="00B96769" w:rsidRPr="000B09B9">
        <w:rPr>
          <w:rFonts w:eastAsia="Calibri"/>
          <w:iCs/>
        </w:rPr>
        <w:t>,</w:t>
      </w:r>
      <w:r w:rsidRPr="000B09B9">
        <w:rPr>
          <w:rFonts w:eastAsia="Calibri"/>
          <w:iCs/>
        </w:rPr>
        <w:t xml:space="preserve"> there is high risk of sampling bias given that eligible patients were those who successfully responded to amifampridine for at least three months before randomi</w:t>
      </w:r>
      <w:r w:rsidR="0024637E" w:rsidRPr="000B09B9">
        <w:rPr>
          <w:rFonts w:eastAsia="Calibri"/>
          <w:iCs/>
        </w:rPr>
        <w:t>s</w:t>
      </w:r>
      <w:r w:rsidRPr="000B09B9">
        <w:rPr>
          <w:rFonts w:eastAsia="Calibri"/>
          <w:iCs/>
        </w:rPr>
        <w:t xml:space="preserve">ation. This may overestimate the effect of amifampridine </w:t>
      </w:r>
      <w:r w:rsidR="001000EE" w:rsidRPr="000B09B9">
        <w:rPr>
          <w:rFonts w:eastAsia="Calibri"/>
          <w:iCs/>
        </w:rPr>
        <w:t>since</w:t>
      </w:r>
      <w:r w:rsidRPr="000B09B9">
        <w:rPr>
          <w:rFonts w:eastAsia="Calibri"/>
          <w:iCs/>
        </w:rPr>
        <w:t xml:space="preserve"> patients who did not respond or had less response to amifampridine were excluded from the trial. There was also a risk of performance bias where it may not be possible to fully blind the patients and research personnel to placebo. This was evidenced by the higher side-effect profiles reported during the taper-to-placebo phase which may be due to the withdrawal of amifampridine from patients who were successfully using the medication already. Again, this may overestimate the effect of amifampridine if blinding was unmasked. There was low risk for detection, attrition and reporting bias.</w:t>
      </w:r>
    </w:p>
    <w:p w14:paraId="1B70651B" w14:textId="77777777" w:rsidR="00FE1325" w:rsidRPr="000B09B9" w:rsidRDefault="00FE1325" w:rsidP="002B0564">
      <w:pPr>
        <w:pStyle w:val="3-BodyText"/>
        <w:numPr>
          <w:ilvl w:val="1"/>
          <w:numId w:val="9"/>
        </w:numPr>
        <w:rPr>
          <w:rFonts w:eastAsia="Calibri"/>
          <w:iCs/>
        </w:rPr>
      </w:pPr>
      <w:r w:rsidRPr="000B09B9">
        <w:rPr>
          <w:rFonts w:eastAsia="Calibri"/>
          <w:iCs/>
        </w:rPr>
        <w:t>For the DUKE trial, there was uncertainty in risk of bias for selection, detection and reporting due to the lack of information provided in the submission or the publication referenced (Sanders et al., 2000). There was a low risk of bias for performance and attrition bias. To be eligible for the trial, the QMG score had to be 5 or more.</w:t>
      </w:r>
    </w:p>
    <w:p w14:paraId="41E37142" w14:textId="77777777" w:rsidR="00FE1325" w:rsidRPr="000B09B9" w:rsidRDefault="00FE1325" w:rsidP="002B0564">
      <w:pPr>
        <w:pStyle w:val="4-SubsectionHeading"/>
      </w:pPr>
      <w:bookmarkStart w:id="27" w:name="_Toc22897641"/>
      <w:bookmarkStart w:id="28" w:name="_Toc22898853"/>
      <w:bookmarkStart w:id="29" w:name="_Toc82537449"/>
      <w:r w:rsidRPr="000B09B9">
        <w:t>Comparative effectiveness</w:t>
      </w:r>
      <w:bookmarkEnd w:id="27"/>
      <w:bookmarkEnd w:id="28"/>
      <w:bookmarkEnd w:id="29"/>
    </w:p>
    <w:p w14:paraId="4D7CD082" w14:textId="67BB9ED7" w:rsidR="00C628CE" w:rsidRPr="000B09B9" w:rsidRDefault="00FE1325" w:rsidP="002B0564">
      <w:pPr>
        <w:pStyle w:val="3-BodyText"/>
        <w:numPr>
          <w:ilvl w:val="1"/>
          <w:numId w:val="9"/>
        </w:numPr>
        <w:rPr>
          <w:rFonts w:eastAsia="Calibri"/>
        </w:rPr>
      </w:pPr>
      <w:r w:rsidRPr="000B09B9">
        <w:rPr>
          <w:rFonts w:eastAsia="Calibri"/>
        </w:rPr>
        <w:t xml:space="preserve">The DAPPER trial </w:t>
      </w:r>
      <w:r w:rsidR="00635034" w:rsidRPr="000B09B9">
        <w:rPr>
          <w:rFonts w:eastAsia="Calibri"/>
        </w:rPr>
        <w:t xml:space="preserve">reported that </w:t>
      </w:r>
      <w:r w:rsidR="00635034" w:rsidRPr="000B09B9">
        <w:t>n</w:t>
      </w:r>
      <w:r w:rsidR="00C628CE" w:rsidRPr="000B09B9">
        <w:t xml:space="preserve">one of the patients randomised to continue </w:t>
      </w:r>
      <w:r w:rsidR="00C2358B" w:rsidRPr="000B09B9">
        <w:t>amifampridine</w:t>
      </w:r>
      <w:r w:rsidR="00C628CE" w:rsidRPr="000B09B9">
        <w:t xml:space="preserve"> experienced a greater than 30% deterioration in the final post-dose 3TUG test. In contrast, 72% of patients (13/18) randomised to</w:t>
      </w:r>
      <w:r w:rsidR="00775674" w:rsidRPr="000B09B9">
        <w:t xml:space="preserve"> the taper-to-</w:t>
      </w:r>
      <w:r w:rsidR="00C628CE" w:rsidRPr="000B09B9">
        <w:t>placebo</w:t>
      </w:r>
      <w:r w:rsidR="00775674" w:rsidRPr="000B09B9">
        <w:t xml:space="preserve"> arm</w:t>
      </w:r>
      <w:r w:rsidR="00C628CE" w:rsidRPr="000B09B9">
        <w:t xml:space="preserve"> experienced a greater than 30% deterioration in the final 3TUG test</w:t>
      </w:r>
      <w:r w:rsidR="00501B02" w:rsidRPr="000B09B9">
        <w:t xml:space="preserve"> (Table 4)</w:t>
      </w:r>
      <w:r w:rsidR="00C628CE" w:rsidRPr="000B09B9">
        <w:t>.</w:t>
      </w:r>
      <w:r w:rsidR="006F701E" w:rsidRPr="000B09B9">
        <w:t xml:space="preserve"> </w:t>
      </w:r>
      <w:r w:rsidR="006F701E" w:rsidRPr="000B09B9">
        <w:rPr>
          <w:iCs/>
        </w:rPr>
        <w:t xml:space="preserve">There was no justification </w:t>
      </w:r>
      <w:r w:rsidR="001000EE" w:rsidRPr="000B09B9">
        <w:rPr>
          <w:iCs/>
        </w:rPr>
        <w:t xml:space="preserve">provided in the submission </w:t>
      </w:r>
      <w:r w:rsidR="006F701E" w:rsidRPr="000B09B9">
        <w:rPr>
          <w:iCs/>
        </w:rPr>
        <w:t>regarding whether the 30%</w:t>
      </w:r>
      <w:r w:rsidR="00961166">
        <w:rPr>
          <w:iCs/>
        </w:rPr>
        <w:t> </w:t>
      </w:r>
      <w:r w:rsidR="00A144CB" w:rsidRPr="000B09B9">
        <w:rPr>
          <w:iCs/>
        </w:rPr>
        <w:t xml:space="preserve">deterioration </w:t>
      </w:r>
      <w:r w:rsidR="006F701E" w:rsidRPr="000B09B9">
        <w:rPr>
          <w:iCs/>
        </w:rPr>
        <w:t>threshold was clinically meaningful</w:t>
      </w:r>
      <w:r w:rsidR="002C7647" w:rsidRPr="000B09B9">
        <w:rPr>
          <w:iCs/>
        </w:rPr>
        <w:t xml:space="preserve">, although </w:t>
      </w:r>
      <w:r w:rsidR="006D5A51" w:rsidRPr="000B09B9">
        <w:rPr>
          <w:iCs/>
        </w:rPr>
        <w:t>Huang et al (2011</w:t>
      </w:r>
      <w:r w:rsidR="006D5A51" w:rsidRPr="000B09B9">
        <w:rPr>
          <w:rStyle w:val="FootnoteReference"/>
          <w:iCs/>
        </w:rPr>
        <w:footnoteReference w:id="4"/>
      </w:r>
      <w:r w:rsidR="001000EE" w:rsidRPr="000B09B9">
        <w:rPr>
          <w:iCs/>
        </w:rPr>
        <w:t>;</w:t>
      </w:r>
      <w:r w:rsidR="00245287" w:rsidRPr="000B09B9">
        <w:rPr>
          <w:iCs/>
        </w:rPr>
        <w:t xml:space="preserve"> identified during the evaluation</w:t>
      </w:r>
      <w:r w:rsidR="001000EE" w:rsidRPr="000B09B9">
        <w:rPr>
          <w:iCs/>
        </w:rPr>
        <w:t>)</w:t>
      </w:r>
      <w:r w:rsidR="00245287" w:rsidRPr="000B09B9">
        <w:rPr>
          <w:iCs/>
        </w:rPr>
        <w:t xml:space="preserve"> reports</w:t>
      </w:r>
      <w:r w:rsidR="001000EE" w:rsidRPr="000B09B9">
        <w:rPr>
          <w:iCs/>
        </w:rPr>
        <w:t xml:space="preserve"> that</w:t>
      </w:r>
      <w:r w:rsidR="00245287" w:rsidRPr="000B09B9">
        <w:rPr>
          <w:iCs/>
        </w:rPr>
        <w:t xml:space="preserve"> a 30% deterioration </w:t>
      </w:r>
      <w:r w:rsidR="00574DC6" w:rsidRPr="000B09B9">
        <w:rPr>
          <w:iCs/>
        </w:rPr>
        <w:t xml:space="preserve">in 3TUG test </w:t>
      </w:r>
      <w:r w:rsidR="001000EE" w:rsidRPr="000B09B9">
        <w:rPr>
          <w:iCs/>
        </w:rPr>
        <w:t>i</w:t>
      </w:r>
      <w:r w:rsidR="00245287" w:rsidRPr="000B09B9">
        <w:rPr>
          <w:iCs/>
        </w:rPr>
        <w:t>s a clinically</w:t>
      </w:r>
      <w:r w:rsidR="002C7647" w:rsidRPr="000B09B9">
        <w:rPr>
          <w:iCs/>
        </w:rPr>
        <w:t xml:space="preserve"> meaningful threshold in patients with </w:t>
      </w:r>
      <w:r w:rsidR="003E6E1B" w:rsidRPr="000B09B9">
        <w:rPr>
          <w:iCs/>
        </w:rPr>
        <w:t>Alzheimer’s</w:t>
      </w:r>
      <w:r w:rsidR="002C7647" w:rsidRPr="000B09B9">
        <w:rPr>
          <w:iCs/>
        </w:rPr>
        <w:t xml:space="preserve"> di</w:t>
      </w:r>
      <w:r w:rsidR="009E4EBB" w:rsidRPr="000B09B9">
        <w:rPr>
          <w:iCs/>
        </w:rPr>
        <w:t>s</w:t>
      </w:r>
      <w:r w:rsidR="002C7647" w:rsidRPr="000B09B9">
        <w:rPr>
          <w:iCs/>
        </w:rPr>
        <w:t>ease</w:t>
      </w:r>
      <w:r w:rsidR="006F701E" w:rsidRPr="000B09B9">
        <w:rPr>
          <w:iCs/>
        </w:rPr>
        <w:t xml:space="preserve">. </w:t>
      </w:r>
    </w:p>
    <w:p w14:paraId="4857FBC5" w14:textId="77777777" w:rsidR="00AF5A87" w:rsidRPr="000B09B9" w:rsidRDefault="00AF5A87" w:rsidP="002B0564">
      <w:pPr>
        <w:rPr>
          <w:rStyle w:val="CommentReference"/>
        </w:rPr>
      </w:pPr>
      <w:r w:rsidRPr="000B09B9">
        <w:rPr>
          <w:rStyle w:val="CommentReference"/>
        </w:rPr>
        <w:t>Table 4: Results of &gt;30% deterioration in the Final Timed up and Go (3TUG) Test for DAPPER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1610"/>
        <w:gridCol w:w="1610"/>
        <w:gridCol w:w="2101"/>
        <w:gridCol w:w="2101"/>
      </w:tblGrid>
      <w:tr w:rsidR="00E95AEE" w:rsidRPr="000B09B9" w14:paraId="16CA407C" w14:textId="77777777" w:rsidTr="00BE28C7">
        <w:trPr>
          <w:cantSplit/>
          <w:tblHeader/>
        </w:trPr>
        <w:tc>
          <w:tcPr>
            <w:tcW w:w="884" w:type="pct"/>
            <w:vAlign w:val="center"/>
          </w:tcPr>
          <w:p w14:paraId="726287A9" w14:textId="77777777" w:rsidR="00AF5A87" w:rsidRPr="000B09B9" w:rsidRDefault="00AF5A87" w:rsidP="002B0564">
            <w:pPr>
              <w:pStyle w:val="In-tableHeading"/>
              <w:rPr>
                <w:lang w:val="en-AU"/>
              </w:rPr>
            </w:pPr>
            <w:r w:rsidRPr="000B09B9">
              <w:rPr>
                <w:rFonts w:eastAsia="Arial Narrow" w:cs="Arial Narrow"/>
                <w:bCs/>
                <w:color w:val="000000" w:themeColor="text1"/>
                <w:szCs w:val="20"/>
                <w:lang w:val="en-AU"/>
              </w:rPr>
              <w:t>Trial ID</w:t>
            </w:r>
          </w:p>
        </w:tc>
        <w:tc>
          <w:tcPr>
            <w:tcW w:w="893" w:type="pct"/>
            <w:vAlign w:val="center"/>
          </w:tcPr>
          <w:p w14:paraId="48FB4918" w14:textId="77777777" w:rsidR="00AF5A87" w:rsidRPr="000B09B9" w:rsidRDefault="00AF5A87" w:rsidP="002B0564">
            <w:pPr>
              <w:pStyle w:val="In-tableHeading"/>
              <w:jc w:val="center"/>
              <w:rPr>
                <w:rFonts w:eastAsia="Arial Narrow" w:cs="Arial Narrow"/>
                <w:bCs/>
                <w:color w:val="000000" w:themeColor="text1"/>
                <w:szCs w:val="20"/>
                <w:lang w:val="en-AU"/>
              </w:rPr>
            </w:pPr>
            <w:r w:rsidRPr="000B09B9">
              <w:rPr>
                <w:rFonts w:eastAsia="Arial Narrow" w:cs="Arial Narrow"/>
                <w:bCs/>
                <w:color w:val="000000" w:themeColor="text1"/>
                <w:szCs w:val="20"/>
                <w:lang w:val="en-AU"/>
              </w:rPr>
              <w:t>Amifampridine</w:t>
            </w:r>
          </w:p>
          <w:p w14:paraId="6B2FEA5E" w14:textId="77777777" w:rsidR="00AF5A87" w:rsidRPr="000B09B9" w:rsidRDefault="00AF5A87" w:rsidP="002B0564">
            <w:pPr>
              <w:pStyle w:val="In-tableHeading"/>
              <w:jc w:val="center"/>
              <w:rPr>
                <w:lang w:val="en-AU"/>
              </w:rPr>
            </w:pPr>
            <w:r w:rsidRPr="000B09B9">
              <w:rPr>
                <w:rFonts w:eastAsia="Arial Narrow" w:cs="Arial Narrow"/>
                <w:bCs/>
                <w:color w:val="000000" w:themeColor="text1"/>
                <w:szCs w:val="20"/>
                <w:lang w:val="en-AU"/>
              </w:rPr>
              <w:t>n/N (%)</w:t>
            </w:r>
          </w:p>
        </w:tc>
        <w:tc>
          <w:tcPr>
            <w:tcW w:w="893" w:type="pct"/>
            <w:vAlign w:val="center"/>
          </w:tcPr>
          <w:p w14:paraId="283F1162" w14:textId="77777777" w:rsidR="00AF5A87" w:rsidRPr="000B09B9" w:rsidRDefault="00AF5A87" w:rsidP="002B0564">
            <w:pPr>
              <w:pStyle w:val="In-tableHeading"/>
              <w:jc w:val="center"/>
              <w:rPr>
                <w:rFonts w:eastAsia="Arial Narrow" w:cs="Arial Narrow"/>
                <w:bCs/>
                <w:color w:val="000000" w:themeColor="text1"/>
                <w:szCs w:val="20"/>
                <w:lang w:val="en-AU"/>
              </w:rPr>
            </w:pPr>
            <w:r w:rsidRPr="000B09B9">
              <w:rPr>
                <w:rFonts w:eastAsia="Arial Narrow" w:cs="Arial Narrow"/>
                <w:bCs/>
                <w:color w:val="000000" w:themeColor="text1"/>
                <w:szCs w:val="20"/>
                <w:lang w:val="en-AU"/>
              </w:rPr>
              <w:t>Taper-to-placebo</w:t>
            </w:r>
          </w:p>
          <w:p w14:paraId="168AB28C" w14:textId="77777777" w:rsidR="00AF5A87" w:rsidRPr="000B09B9" w:rsidRDefault="00AF5A87" w:rsidP="002B0564">
            <w:pPr>
              <w:pStyle w:val="In-tableHeading"/>
              <w:jc w:val="center"/>
              <w:rPr>
                <w:lang w:val="en-AU"/>
              </w:rPr>
            </w:pPr>
            <w:r w:rsidRPr="000B09B9">
              <w:rPr>
                <w:rFonts w:eastAsia="Arial Narrow" w:cs="Arial Narrow"/>
                <w:bCs/>
                <w:color w:val="000000" w:themeColor="text1"/>
                <w:szCs w:val="20"/>
                <w:lang w:val="en-AU"/>
              </w:rPr>
              <w:t>n/N (%)</w:t>
            </w:r>
          </w:p>
        </w:tc>
        <w:tc>
          <w:tcPr>
            <w:tcW w:w="1165" w:type="pct"/>
            <w:vAlign w:val="center"/>
          </w:tcPr>
          <w:p w14:paraId="61F06572" w14:textId="77777777" w:rsidR="009E4EBB" w:rsidRPr="000B09B9" w:rsidRDefault="00AF5A87" w:rsidP="002B0564">
            <w:pPr>
              <w:pStyle w:val="In-tableHeading"/>
              <w:jc w:val="center"/>
              <w:rPr>
                <w:rFonts w:eastAsia="Arial Narrow" w:cs="Arial Narrow"/>
                <w:bCs/>
                <w:color w:val="000000" w:themeColor="text1"/>
                <w:szCs w:val="20"/>
                <w:lang w:val="en-AU"/>
              </w:rPr>
            </w:pPr>
            <w:r w:rsidRPr="000B09B9">
              <w:rPr>
                <w:rFonts w:eastAsia="Arial Narrow" w:cs="Arial Narrow"/>
                <w:bCs/>
                <w:color w:val="000000" w:themeColor="text1"/>
                <w:szCs w:val="20"/>
                <w:lang w:val="en-AU"/>
              </w:rPr>
              <w:t xml:space="preserve">Relative risk </w:t>
            </w:r>
          </w:p>
          <w:p w14:paraId="5E70B648" w14:textId="77777777" w:rsidR="00AF5A87" w:rsidRPr="000B09B9" w:rsidRDefault="00AF5A87" w:rsidP="002B0564">
            <w:pPr>
              <w:pStyle w:val="In-tableHeading"/>
              <w:jc w:val="center"/>
              <w:rPr>
                <w:lang w:val="en-AU"/>
              </w:rPr>
            </w:pPr>
            <w:r w:rsidRPr="000B09B9">
              <w:rPr>
                <w:rFonts w:eastAsia="Arial Narrow" w:cs="Arial Narrow"/>
                <w:bCs/>
                <w:color w:val="000000" w:themeColor="text1"/>
                <w:szCs w:val="20"/>
                <w:lang w:val="en-AU"/>
              </w:rPr>
              <w:t>(95% CI)</w:t>
            </w:r>
          </w:p>
        </w:tc>
        <w:tc>
          <w:tcPr>
            <w:tcW w:w="1165" w:type="pct"/>
            <w:vAlign w:val="center"/>
          </w:tcPr>
          <w:p w14:paraId="250DC944" w14:textId="77777777" w:rsidR="00BE28C7" w:rsidRPr="000B09B9" w:rsidRDefault="00AF5A87" w:rsidP="002B0564">
            <w:pPr>
              <w:pStyle w:val="In-tableHeading"/>
              <w:jc w:val="center"/>
              <w:rPr>
                <w:rFonts w:eastAsia="Arial Narrow" w:cs="Arial Narrow"/>
                <w:bCs/>
                <w:color w:val="000000" w:themeColor="text1"/>
                <w:szCs w:val="20"/>
                <w:lang w:val="en-AU"/>
              </w:rPr>
            </w:pPr>
            <w:r w:rsidRPr="000B09B9">
              <w:rPr>
                <w:rFonts w:eastAsia="Arial Narrow" w:cs="Arial Narrow"/>
                <w:bCs/>
                <w:color w:val="000000" w:themeColor="text1"/>
                <w:szCs w:val="20"/>
                <w:lang w:val="en-AU"/>
              </w:rPr>
              <w:t xml:space="preserve">Risk difference </w:t>
            </w:r>
          </w:p>
          <w:p w14:paraId="1CEEF8C4" w14:textId="77777777" w:rsidR="00AF5A87" w:rsidRPr="000B09B9" w:rsidRDefault="00AF5A87" w:rsidP="002B0564">
            <w:pPr>
              <w:pStyle w:val="In-tableHeading"/>
              <w:jc w:val="center"/>
              <w:rPr>
                <w:lang w:val="en-AU"/>
              </w:rPr>
            </w:pPr>
            <w:r w:rsidRPr="000B09B9">
              <w:rPr>
                <w:rFonts w:eastAsia="Arial Narrow" w:cs="Arial Narrow"/>
                <w:bCs/>
                <w:color w:val="000000" w:themeColor="text1"/>
                <w:szCs w:val="20"/>
                <w:lang w:val="en-AU"/>
              </w:rPr>
              <w:t>(95% CI)</w:t>
            </w:r>
          </w:p>
        </w:tc>
      </w:tr>
      <w:tr w:rsidR="00E95AEE" w:rsidRPr="000B09B9" w14:paraId="2382F04E" w14:textId="77777777" w:rsidTr="00BE28C7">
        <w:trPr>
          <w:cantSplit/>
        </w:trPr>
        <w:tc>
          <w:tcPr>
            <w:tcW w:w="884" w:type="pct"/>
            <w:vAlign w:val="center"/>
          </w:tcPr>
          <w:p w14:paraId="6818A13F" w14:textId="77777777" w:rsidR="00AF5A87" w:rsidRPr="000B09B9" w:rsidRDefault="00AF5A87" w:rsidP="002B0564">
            <w:pPr>
              <w:pStyle w:val="TableText0"/>
              <w:widowControl/>
              <w:rPr>
                <w:rFonts w:eastAsia="Arial Narrow" w:cs="Arial Narrow"/>
                <w:bCs w:val="0"/>
                <w:color w:val="000000" w:themeColor="text1"/>
                <w:szCs w:val="20"/>
              </w:rPr>
            </w:pPr>
            <w:r w:rsidRPr="000B09B9">
              <w:rPr>
                <w:rFonts w:eastAsia="Arial Narrow" w:cs="Arial Narrow"/>
                <w:bCs w:val="0"/>
                <w:color w:val="000000" w:themeColor="text1"/>
                <w:szCs w:val="20"/>
              </w:rPr>
              <w:t xml:space="preserve">DAPPER </w:t>
            </w:r>
          </w:p>
          <w:p w14:paraId="13EEE3AD" w14:textId="77777777" w:rsidR="00AF5A87" w:rsidRPr="000B09B9" w:rsidRDefault="00AF5A87" w:rsidP="002B0564">
            <w:pPr>
              <w:pStyle w:val="TableText0"/>
              <w:widowControl/>
            </w:pPr>
            <w:r w:rsidRPr="000B09B9">
              <w:rPr>
                <w:rFonts w:eastAsia="Arial Narrow" w:cs="Arial Narrow"/>
                <w:bCs w:val="0"/>
                <w:color w:val="000000" w:themeColor="text1"/>
                <w:szCs w:val="20"/>
              </w:rPr>
              <w:t>(Intention to Treat)</w:t>
            </w:r>
          </w:p>
        </w:tc>
        <w:tc>
          <w:tcPr>
            <w:tcW w:w="893" w:type="pct"/>
            <w:vAlign w:val="center"/>
          </w:tcPr>
          <w:p w14:paraId="4EA12C01" w14:textId="77777777" w:rsidR="00AF5A87" w:rsidRPr="000B09B9" w:rsidRDefault="00AF5A87" w:rsidP="002B0564">
            <w:pPr>
              <w:pStyle w:val="TableText0"/>
              <w:widowControl/>
              <w:jc w:val="center"/>
            </w:pPr>
            <w:r w:rsidRPr="000B09B9">
              <w:rPr>
                <w:rFonts w:eastAsia="Arial Narrow" w:cs="Arial Narrow"/>
                <w:bCs w:val="0"/>
                <w:color w:val="000000" w:themeColor="text1"/>
                <w:szCs w:val="20"/>
              </w:rPr>
              <w:t>0/14 (0)</w:t>
            </w:r>
          </w:p>
        </w:tc>
        <w:tc>
          <w:tcPr>
            <w:tcW w:w="893" w:type="pct"/>
            <w:vAlign w:val="center"/>
          </w:tcPr>
          <w:p w14:paraId="1821F922" w14:textId="77777777" w:rsidR="00AF5A87" w:rsidRPr="000B09B9" w:rsidRDefault="00487317" w:rsidP="002B0564">
            <w:pPr>
              <w:pStyle w:val="TableText0"/>
              <w:widowControl/>
              <w:jc w:val="center"/>
              <w:rPr>
                <w:rFonts w:eastAsia="Arial Narrow" w:cs="Arial Narrow"/>
                <w:bCs w:val="0"/>
                <w:color w:val="000000" w:themeColor="text1"/>
                <w:szCs w:val="20"/>
              </w:rPr>
            </w:pPr>
            <w:r w:rsidRPr="000B09B9">
              <w:rPr>
                <w:rFonts w:eastAsia="Arial Narrow" w:cs="Arial Narrow"/>
                <w:bCs w:val="0"/>
                <w:color w:val="000000" w:themeColor="text1"/>
                <w:szCs w:val="20"/>
              </w:rPr>
              <w:t>13/18 (72.2)</w:t>
            </w:r>
          </w:p>
        </w:tc>
        <w:tc>
          <w:tcPr>
            <w:tcW w:w="1165" w:type="pct"/>
            <w:vAlign w:val="center"/>
          </w:tcPr>
          <w:p w14:paraId="6A5F4DDD" w14:textId="77777777" w:rsidR="00AF5A87" w:rsidRPr="000B09B9" w:rsidRDefault="00AF5A87" w:rsidP="002B0564">
            <w:pPr>
              <w:pStyle w:val="TableText0"/>
              <w:widowControl/>
              <w:jc w:val="center"/>
            </w:pPr>
            <w:r w:rsidRPr="000B09B9">
              <w:rPr>
                <w:rFonts w:eastAsia="Arial Narrow" w:cs="Arial Narrow"/>
                <w:b/>
                <w:color w:val="000000" w:themeColor="text1"/>
                <w:szCs w:val="20"/>
              </w:rPr>
              <w:t>0.047 (0.003</w:t>
            </w:r>
            <w:r w:rsidR="00BE28C7" w:rsidRPr="000B09B9">
              <w:rPr>
                <w:rFonts w:eastAsia="Arial Narrow" w:cs="Arial Narrow"/>
                <w:b/>
                <w:color w:val="000000" w:themeColor="text1"/>
                <w:szCs w:val="20"/>
              </w:rPr>
              <w:t xml:space="preserve"> to </w:t>
            </w:r>
            <w:r w:rsidRPr="000B09B9">
              <w:rPr>
                <w:rFonts w:eastAsia="Arial Narrow" w:cs="Arial Narrow"/>
                <w:b/>
                <w:color w:val="000000" w:themeColor="text1"/>
                <w:szCs w:val="20"/>
              </w:rPr>
              <w:t>0.727)</w:t>
            </w:r>
          </w:p>
        </w:tc>
        <w:tc>
          <w:tcPr>
            <w:tcW w:w="1165" w:type="pct"/>
            <w:vAlign w:val="center"/>
          </w:tcPr>
          <w:p w14:paraId="653B002F" w14:textId="77777777" w:rsidR="00AF5A87" w:rsidRPr="000B09B9" w:rsidRDefault="00AF5A87" w:rsidP="00BE28C7">
            <w:pPr>
              <w:pStyle w:val="TableText0"/>
              <w:widowControl/>
              <w:jc w:val="center"/>
            </w:pPr>
            <w:r w:rsidRPr="000B09B9">
              <w:rPr>
                <w:rFonts w:eastAsia="Arial Narrow" w:cs="Arial Narrow"/>
                <w:bCs w:val="0"/>
                <w:color w:val="000000" w:themeColor="text1"/>
                <w:szCs w:val="20"/>
              </w:rPr>
              <w:t xml:space="preserve">-0.722 </w:t>
            </w:r>
            <w:r w:rsidR="00BE28C7" w:rsidRPr="000B09B9">
              <w:rPr>
                <w:rFonts w:eastAsia="Arial Narrow" w:cs="Arial Narrow"/>
                <w:bCs w:val="0"/>
                <w:color w:val="000000" w:themeColor="text1"/>
                <w:szCs w:val="20"/>
              </w:rPr>
              <w:t>(-0.929 to -</w:t>
            </w:r>
            <w:r w:rsidRPr="000B09B9">
              <w:rPr>
                <w:rFonts w:eastAsia="Arial Narrow" w:cs="Arial Narrow"/>
                <w:bCs w:val="0"/>
                <w:color w:val="000000" w:themeColor="text1"/>
                <w:szCs w:val="20"/>
              </w:rPr>
              <w:t>0.515)</w:t>
            </w:r>
          </w:p>
        </w:tc>
      </w:tr>
    </w:tbl>
    <w:p w14:paraId="7149A305" w14:textId="77777777" w:rsidR="00AF5A87" w:rsidRPr="000B09B9" w:rsidRDefault="00AF5A87" w:rsidP="002B0564">
      <w:pPr>
        <w:pStyle w:val="TableFigureFooter"/>
        <w:rPr>
          <w:rFonts w:eastAsia="Arial Narrow"/>
        </w:rPr>
      </w:pPr>
      <w:r w:rsidRPr="000B09B9">
        <w:rPr>
          <w:rFonts w:eastAsia="Arial Narrow"/>
        </w:rPr>
        <w:t>Source: Table 2.19, p78 of the submission.</w:t>
      </w:r>
      <w:r w:rsidR="00FA17D9" w:rsidRPr="000B09B9">
        <w:rPr>
          <w:rFonts w:eastAsia="Arial Narrow"/>
        </w:rPr>
        <w:t xml:space="preserve"> Risk difference calculated as part of evaluation</w:t>
      </w:r>
      <w:r w:rsidR="00FA17D9" w:rsidRPr="000B09B9">
        <w:rPr>
          <w:rFonts w:eastAsia="Arial Narrow"/>
          <w:i/>
        </w:rPr>
        <w:t>.</w:t>
      </w:r>
    </w:p>
    <w:p w14:paraId="30FFE9FC" w14:textId="77777777" w:rsidR="00AF5A87" w:rsidRPr="000B09B9" w:rsidRDefault="00AF5A87" w:rsidP="002B0564">
      <w:pPr>
        <w:pStyle w:val="TableFigureFooter"/>
        <w:rPr>
          <w:rFonts w:eastAsia="Arial Narrow"/>
        </w:rPr>
      </w:pPr>
      <w:r w:rsidRPr="000B09B9">
        <w:rPr>
          <w:rFonts w:eastAsia="Arial Narrow"/>
        </w:rPr>
        <w:t>CI = confidence interval; n = number of participants with event; N = total participants in group</w:t>
      </w:r>
      <w:r w:rsidR="00BE28C7" w:rsidRPr="000B09B9">
        <w:rPr>
          <w:rFonts w:eastAsia="Arial Narrow"/>
        </w:rPr>
        <w:t>.</w:t>
      </w:r>
    </w:p>
    <w:p w14:paraId="64C02310" w14:textId="77777777" w:rsidR="00AF5A87" w:rsidRPr="000B09B9" w:rsidRDefault="00AF5A87" w:rsidP="002B0564">
      <w:pPr>
        <w:pStyle w:val="TableFigureFooter"/>
        <w:rPr>
          <w:rFonts w:eastAsia="Arial Narrow"/>
        </w:rPr>
      </w:pPr>
      <w:r w:rsidRPr="000B09B9">
        <w:rPr>
          <w:rFonts w:eastAsia="Arial Narrow"/>
        </w:rPr>
        <w:t>Text in bold indicate statistical significance at p-value &lt;0.05</w:t>
      </w:r>
      <w:r w:rsidR="00BE28C7" w:rsidRPr="000B09B9">
        <w:rPr>
          <w:rFonts w:eastAsia="Arial Narrow"/>
        </w:rPr>
        <w:t>.</w:t>
      </w:r>
    </w:p>
    <w:p w14:paraId="3A0E17B2" w14:textId="77777777" w:rsidR="00C51D6D" w:rsidRPr="000B09B9" w:rsidRDefault="00FE1325" w:rsidP="002B0564">
      <w:pPr>
        <w:pStyle w:val="3-BodyText"/>
        <w:numPr>
          <w:ilvl w:val="1"/>
          <w:numId w:val="9"/>
        </w:numPr>
        <w:rPr>
          <w:rFonts w:eastAsia="Calibri"/>
        </w:rPr>
      </w:pPr>
      <w:r w:rsidRPr="000B09B9">
        <w:rPr>
          <w:rFonts w:eastAsia="Calibri"/>
          <w:iCs/>
        </w:rPr>
        <w:t>As the DAPPER trial only included patients who</w:t>
      </w:r>
      <w:r w:rsidR="008B0C7F" w:rsidRPr="000B09B9">
        <w:rPr>
          <w:rFonts w:eastAsia="Calibri"/>
          <w:iCs/>
        </w:rPr>
        <w:t xml:space="preserve"> had</w:t>
      </w:r>
      <w:r w:rsidRPr="000B09B9">
        <w:rPr>
          <w:rFonts w:eastAsia="Calibri"/>
          <w:iCs/>
        </w:rPr>
        <w:t xml:space="preserve"> already </w:t>
      </w:r>
      <w:r w:rsidR="008B0C7F" w:rsidRPr="000B09B9">
        <w:rPr>
          <w:rFonts w:eastAsia="Calibri"/>
          <w:iCs/>
        </w:rPr>
        <w:t xml:space="preserve">responded to </w:t>
      </w:r>
      <w:r w:rsidRPr="000B09B9">
        <w:rPr>
          <w:rFonts w:eastAsia="Calibri"/>
          <w:iCs/>
        </w:rPr>
        <w:t>amifampridine</w:t>
      </w:r>
      <w:r w:rsidR="008B0C7F" w:rsidRPr="000B09B9">
        <w:rPr>
          <w:rFonts w:eastAsia="Calibri"/>
          <w:iCs/>
        </w:rPr>
        <w:t>,</w:t>
      </w:r>
      <w:r w:rsidRPr="000B09B9">
        <w:rPr>
          <w:rFonts w:eastAsia="Calibri"/>
          <w:iCs/>
        </w:rPr>
        <w:t xml:space="preserve"> </w:t>
      </w:r>
      <w:r w:rsidRPr="000B09B9">
        <w:rPr>
          <w:rFonts w:eastAsia="Calibri"/>
        </w:rPr>
        <w:t xml:space="preserve">the effectiveness of amifampridine </w:t>
      </w:r>
      <w:r w:rsidR="00832534" w:rsidRPr="000B09B9">
        <w:rPr>
          <w:iCs/>
        </w:rPr>
        <w:t xml:space="preserve">is uncertain </w:t>
      </w:r>
      <w:r w:rsidRPr="000B09B9">
        <w:rPr>
          <w:rFonts w:eastAsia="Calibri"/>
        </w:rPr>
        <w:t>for those who are naïve to amifampridine</w:t>
      </w:r>
      <w:r w:rsidR="00430298" w:rsidRPr="000B09B9">
        <w:rPr>
          <w:rFonts w:eastAsia="Calibri"/>
        </w:rPr>
        <w:t>.</w:t>
      </w:r>
    </w:p>
    <w:p w14:paraId="49AFDD4F" w14:textId="77777777" w:rsidR="00FE1325" w:rsidRPr="000B09B9" w:rsidRDefault="00430298" w:rsidP="002B0564">
      <w:pPr>
        <w:pStyle w:val="3-BodyText"/>
        <w:numPr>
          <w:ilvl w:val="1"/>
          <w:numId w:val="9"/>
        </w:numPr>
        <w:rPr>
          <w:rFonts w:eastAsia="Calibri"/>
        </w:rPr>
      </w:pPr>
      <w:r w:rsidRPr="000B09B9">
        <w:rPr>
          <w:rFonts w:eastAsia="Calibri"/>
        </w:rPr>
        <w:t xml:space="preserve">In addition, patients in the DAPPER trial were </w:t>
      </w:r>
      <w:r w:rsidR="00D16593" w:rsidRPr="000B09B9">
        <w:rPr>
          <w:iCs/>
        </w:rPr>
        <w:t>receiving</w:t>
      </w:r>
      <w:r w:rsidR="00FE1325" w:rsidRPr="000B09B9">
        <w:rPr>
          <w:rFonts w:eastAsia="Calibri"/>
        </w:rPr>
        <w:t xml:space="preserve"> a </w:t>
      </w:r>
      <w:r w:rsidR="00923728" w:rsidRPr="000B09B9">
        <w:rPr>
          <w:rFonts w:eastAsia="Calibri"/>
        </w:rPr>
        <w:t xml:space="preserve">variable </w:t>
      </w:r>
      <w:r w:rsidR="00FE1325" w:rsidRPr="000B09B9">
        <w:rPr>
          <w:rFonts w:eastAsia="Calibri"/>
        </w:rPr>
        <w:t>mix of other therapies</w:t>
      </w:r>
      <w:r w:rsidR="001F1B5C" w:rsidRPr="000B09B9">
        <w:rPr>
          <w:rFonts w:eastAsia="Calibri"/>
        </w:rPr>
        <w:t>.</w:t>
      </w:r>
      <w:r w:rsidRPr="000B09B9">
        <w:rPr>
          <w:rFonts w:eastAsia="Calibri"/>
        </w:rPr>
        <w:t xml:space="preserve"> </w:t>
      </w:r>
      <w:r w:rsidR="001F1B5C" w:rsidRPr="000B09B9">
        <w:t xml:space="preserve">One subject was on </w:t>
      </w:r>
      <w:r w:rsidR="00CD760B" w:rsidRPr="000B09B9">
        <w:t>amifampridine</w:t>
      </w:r>
      <w:r w:rsidR="001F1B5C" w:rsidRPr="000B09B9">
        <w:t xml:space="preserve"> alone, 20 subjects were on </w:t>
      </w:r>
      <w:r w:rsidR="00CD760B" w:rsidRPr="000B09B9">
        <w:t>amifampridine</w:t>
      </w:r>
      <w:r w:rsidR="001F1B5C" w:rsidRPr="000B09B9">
        <w:t xml:space="preserve"> + pyridostigmine, 6 subjects were on </w:t>
      </w:r>
      <w:r w:rsidR="00CD760B" w:rsidRPr="000B09B9">
        <w:t>amifampridine</w:t>
      </w:r>
      <w:r w:rsidR="001F1B5C" w:rsidRPr="000B09B9">
        <w:t xml:space="preserve"> + pyr</w:t>
      </w:r>
      <w:r w:rsidR="003E6E1B" w:rsidRPr="000B09B9">
        <w:t>idostigmine + immunomodulators/</w:t>
      </w:r>
      <w:r w:rsidR="001F1B5C" w:rsidRPr="000B09B9">
        <w:t xml:space="preserve">immunosuppressants, and 5 subjects were on </w:t>
      </w:r>
      <w:r w:rsidR="00CD760B" w:rsidRPr="000B09B9">
        <w:t>amifampridine</w:t>
      </w:r>
      <w:r w:rsidR="003E6E1B" w:rsidRPr="000B09B9">
        <w:t xml:space="preserve"> + immunomodulators/</w:t>
      </w:r>
      <w:r w:rsidR="001F1B5C" w:rsidRPr="000B09B9">
        <w:t>immunosuppressants</w:t>
      </w:r>
      <w:r w:rsidR="00DA0A21" w:rsidRPr="000B09B9">
        <w:rPr>
          <w:rFonts w:eastAsia="Calibri"/>
        </w:rPr>
        <w:t>.</w:t>
      </w:r>
      <w:r w:rsidR="00CD760B" w:rsidRPr="000B09B9">
        <w:rPr>
          <w:rFonts w:eastAsia="Calibri"/>
        </w:rPr>
        <w:t xml:space="preserve"> </w:t>
      </w:r>
      <w:r w:rsidR="00CD760B" w:rsidRPr="000B09B9">
        <w:rPr>
          <w:rFonts w:eastAsia="Calibri"/>
          <w:iCs/>
        </w:rPr>
        <w:t xml:space="preserve">There was no information provided on the efficacy or </w:t>
      </w:r>
      <w:r w:rsidR="00110413" w:rsidRPr="000B09B9">
        <w:rPr>
          <w:rFonts w:eastAsia="Calibri"/>
          <w:iCs/>
        </w:rPr>
        <w:t xml:space="preserve">safety according to these </w:t>
      </w:r>
      <w:r w:rsidR="00A12B1B" w:rsidRPr="000B09B9">
        <w:rPr>
          <w:rFonts w:eastAsia="Calibri"/>
          <w:iCs/>
        </w:rPr>
        <w:t>different groups.</w:t>
      </w:r>
    </w:p>
    <w:p w14:paraId="7AC9EAC6" w14:textId="77777777" w:rsidR="00600E25" w:rsidRPr="000B09B9" w:rsidRDefault="00FE1325" w:rsidP="002B0564">
      <w:pPr>
        <w:pStyle w:val="3-BodyText"/>
        <w:numPr>
          <w:ilvl w:val="1"/>
          <w:numId w:val="9"/>
        </w:numPr>
        <w:rPr>
          <w:rFonts w:eastAsia="Calibri"/>
        </w:rPr>
      </w:pPr>
      <w:r w:rsidRPr="000B09B9">
        <w:rPr>
          <w:rFonts w:eastAsia="Calibri"/>
        </w:rPr>
        <w:t xml:space="preserve">The DUKE trial demonstrated a change in baseline in QMG </w:t>
      </w:r>
      <w:r w:rsidR="00D671D3" w:rsidRPr="000B09B9">
        <w:rPr>
          <w:rFonts w:eastAsia="Calibri"/>
        </w:rPr>
        <w:t xml:space="preserve">score </w:t>
      </w:r>
      <w:r w:rsidRPr="000B09B9">
        <w:rPr>
          <w:rFonts w:eastAsia="Calibri"/>
        </w:rPr>
        <w:t>of –2.0 in patients who received amifampridine compared to placebo (Table 5).</w:t>
      </w:r>
      <w:r w:rsidRPr="000B09B9">
        <w:rPr>
          <w:rFonts w:eastAsia="Calibri"/>
          <w:iCs/>
        </w:rPr>
        <w:t xml:space="preserve"> </w:t>
      </w:r>
      <w:r w:rsidR="00D671D3" w:rsidRPr="000B09B9">
        <w:rPr>
          <w:rFonts w:eastAsia="Calibri"/>
          <w:iCs/>
        </w:rPr>
        <w:t xml:space="preserve">The QMG score improved at least two points in 7 of the 12 patients (58%) who were taking amifampridine, but </w:t>
      </w:r>
      <w:r w:rsidR="00784E08" w:rsidRPr="000B09B9">
        <w:rPr>
          <w:rFonts w:eastAsia="Calibri"/>
          <w:iCs/>
        </w:rPr>
        <w:t xml:space="preserve">in </w:t>
      </w:r>
      <w:r w:rsidR="00D671D3" w:rsidRPr="000B09B9">
        <w:rPr>
          <w:rFonts w:eastAsia="Calibri"/>
          <w:iCs/>
        </w:rPr>
        <w:t>none of the patients taking placebo.</w:t>
      </w:r>
      <w:r w:rsidR="008A0350" w:rsidRPr="000B09B9">
        <w:rPr>
          <w:rFonts w:eastAsia="Calibri"/>
          <w:iCs/>
        </w:rPr>
        <w:t xml:space="preserve"> </w:t>
      </w:r>
      <w:r w:rsidRPr="000B09B9">
        <w:rPr>
          <w:rFonts w:eastAsia="Calibri"/>
          <w:iCs/>
        </w:rPr>
        <w:t xml:space="preserve">The use of QMG </w:t>
      </w:r>
      <w:r w:rsidR="006977FA" w:rsidRPr="000B09B9">
        <w:rPr>
          <w:rFonts w:eastAsia="Calibri"/>
          <w:iCs/>
        </w:rPr>
        <w:t xml:space="preserve">was designed for patients with myasthenia gravis and </w:t>
      </w:r>
      <w:r w:rsidRPr="000B09B9">
        <w:rPr>
          <w:rFonts w:eastAsia="Calibri"/>
          <w:iCs/>
        </w:rPr>
        <w:t>may not be appropriate for measuring the impact of muscle weakness related to LEMS</w:t>
      </w:r>
      <w:r w:rsidR="00684B33" w:rsidRPr="000B09B9">
        <w:rPr>
          <w:rFonts w:eastAsia="Calibri"/>
          <w:iCs/>
        </w:rPr>
        <w:t>,</w:t>
      </w:r>
      <w:r w:rsidR="0069751D" w:rsidRPr="000B09B9">
        <w:rPr>
          <w:rFonts w:eastAsia="Calibri"/>
          <w:iCs/>
        </w:rPr>
        <w:t xml:space="preserve"> as </w:t>
      </w:r>
      <w:r w:rsidR="00F50086" w:rsidRPr="000B09B9">
        <w:rPr>
          <w:rFonts w:eastAsia="Calibri"/>
          <w:iCs/>
        </w:rPr>
        <w:t xml:space="preserve">the </w:t>
      </w:r>
      <w:r w:rsidR="00F50086" w:rsidRPr="000B09B9">
        <w:rPr>
          <w:iCs/>
        </w:rPr>
        <w:t>QMG score relies on ocular weakness, which is a comparatively minor component of LEMS</w:t>
      </w:r>
      <w:r w:rsidR="42167F26" w:rsidRPr="000B09B9">
        <w:rPr>
          <w:rFonts w:eastAsia="Calibri"/>
          <w:iCs/>
        </w:rPr>
        <w:t>.</w:t>
      </w:r>
      <w:r w:rsidR="00473E50" w:rsidRPr="000B09B9">
        <w:rPr>
          <w:rFonts w:eastAsia="Calibri"/>
          <w:iCs/>
        </w:rPr>
        <w:t xml:space="preserve"> It is also not justified whether a change of -2.0 in QMG score is clinically meaningful for patients with LEMS.</w:t>
      </w:r>
      <w:r w:rsidR="00083C23" w:rsidRPr="000B09B9">
        <w:rPr>
          <w:rFonts w:eastAsia="Calibri"/>
          <w:iCs/>
        </w:rPr>
        <w:t xml:space="preserve"> A study by</w:t>
      </w:r>
      <w:r w:rsidR="00040F8C" w:rsidRPr="000B09B9">
        <w:rPr>
          <w:rFonts w:eastAsia="Calibri"/>
          <w:iCs/>
        </w:rPr>
        <w:t xml:space="preserve"> Barnett et al</w:t>
      </w:r>
      <w:r w:rsidR="00083C23" w:rsidRPr="000B09B9">
        <w:rPr>
          <w:rFonts w:eastAsia="Calibri"/>
          <w:iCs/>
        </w:rPr>
        <w:t xml:space="preserve"> (201</w:t>
      </w:r>
      <w:r w:rsidR="00040F8C" w:rsidRPr="000B09B9">
        <w:rPr>
          <w:rFonts w:eastAsia="Calibri"/>
          <w:iCs/>
        </w:rPr>
        <w:t>2</w:t>
      </w:r>
      <w:r w:rsidR="00083C23" w:rsidRPr="000B09B9">
        <w:rPr>
          <w:rFonts w:eastAsia="Calibri"/>
          <w:iCs/>
        </w:rPr>
        <w:t>)</w:t>
      </w:r>
      <w:r w:rsidR="000610B6" w:rsidRPr="000B09B9">
        <w:rPr>
          <w:rStyle w:val="FootnoteReference"/>
          <w:rFonts w:eastAsia="Calibri"/>
          <w:iCs/>
        </w:rPr>
        <w:footnoteReference w:id="5"/>
      </w:r>
      <w:r w:rsidR="00083C23" w:rsidRPr="000B09B9">
        <w:rPr>
          <w:rFonts w:eastAsia="Calibri"/>
          <w:iCs/>
        </w:rPr>
        <w:t xml:space="preserve"> identified during the evaluation reports</w:t>
      </w:r>
      <w:r w:rsidR="00040F8C" w:rsidRPr="000B09B9">
        <w:rPr>
          <w:rFonts w:eastAsia="Calibri"/>
          <w:iCs/>
        </w:rPr>
        <w:t xml:space="preserve"> </w:t>
      </w:r>
      <w:r w:rsidR="00083C23" w:rsidRPr="000B09B9">
        <w:rPr>
          <w:rFonts w:eastAsia="Calibri"/>
          <w:iCs/>
        </w:rPr>
        <w:t>clinical</w:t>
      </w:r>
      <w:r w:rsidR="005C3A57" w:rsidRPr="000B09B9">
        <w:rPr>
          <w:rFonts w:eastAsia="Calibri"/>
          <w:iCs/>
        </w:rPr>
        <w:t xml:space="preserve">ly meaningful thresholds for QMG change of </w:t>
      </w:r>
      <w:r w:rsidR="000610B6" w:rsidRPr="000B09B9">
        <w:rPr>
          <w:rFonts w:eastAsia="Calibri"/>
          <w:iCs/>
        </w:rPr>
        <w:t>&gt;</w:t>
      </w:r>
      <w:r w:rsidR="005C3A57" w:rsidRPr="000B09B9">
        <w:rPr>
          <w:rFonts w:eastAsia="Calibri"/>
          <w:iCs/>
        </w:rPr>
        <w:t>2.6 and 3.5 from separate studies.</w:t>
      </w:r>
      <w:r w:rsidR="008A0350" w:rsidRPr="000B09B9">
        <w:rPr>
          <w:rFonts w:eastAsia="Calibri"/>
          <w:iCs/>
        </w:rPr>
        <w:t xml:space="preserve"> </w:t>
      </w:r>
      <w:r w:rsidR="00E93F99" w:rsidRPr="000B09B9">
        <w:rPr>
          <w:rFonts w:eastAsia="Calibri"/>
        </w:rPr>
        <w:t xml:space="preserve">In the DUKE trial the median QMG score increased by 0.25 points after 6 days in patients on placebo, compared with a reduction (improvement) by 2.0 points among those who received amifampridine. </w:t>
      </w:r>
      <w:r w:rsidR="00784E08" w:rsidRPr="000B09B9">
        <w:rPr>
          <w:rFonts w:eastAsia="Calibri"/>
        </w:rPr>
        <w:t>The PSCR stated that a</w:t>
      </w:r>
      <w:r w:rsidR="00E93F99" w:rsidRPr="000B09B9">
        <w:rPr>
          <w:rFonts w:eastAsia="Calibri"/>
        </w:rPr>
        <w:t xml:space="preserve"> 2-point change is considered clinically significant in mild to moderate</w:t>
      </w:r>
      <w:r w:rsidR="00775674" w:rsidRPr="000B09B9">
        <w:rPr>
          <w:rFonts w:eastAsia="Calibri"/>
        </w:rPr>
        <w:t xml:space="preserve"> myasthenia gravis</w:t>
      </w:r>
      <w:r w:rsidR="00E93F99" w:rsidRPr="000B09B9">
        <w:rPr>
          <w:rFonts w:eastAsia="Calibri"/>
        </w:rPr>
        <w:t xml:space="preserve"> and, in the absence of specific data in LEMS, is likely to be clinically relevant in </w:t>
      </w:r>
      <w:r w:rsidR="00C43BD2" w:rsidRPr="000B09B9">
        <w:rPr>
          <w:rFonts w:eastAsia="Calibri"/>
        </w:rPr>
        <w:t>the proposed PBS</w:t>
      </w:r>
      <w:r w:rsidR="00E93F99" w:rsidRPr="000B09B9">
        <w:rPr>
          <w:rFonts w:eastAsia="Calibri"/>
        </w:rPr>
        <w:t xml:space="preserve"> population.</w:t>
      </w:r>
      <w:r w:rsidR="008A0350" w:rsidRPr="000B09B9">
        <w:rPr>
          <w:rFonts w:eastAsia="Calibri"/>
        </w:rPr>
        <w:t xml:space="preserve"> </w:t>
      </w:r>
      <w:r w:rsidR="00C43BD2" w:rsidRPr="000B09B9">
        <w:rPr>
          <w:rFonts w:eastAsia="Calibri"/>
        </w:rPr>
        <w:t xml:space="preserve">This is aligned with the conclusion of the </w:t>
      </w:r>
      <w:r w:rsidR="00E93F99" w:rsidRPr="000B09B9">
        <w:rPr>
          <w:rFonts w:eastAsia="Calibri"/>
          <w:iCs/>
        </w:rPr>
        <w:t xml:space="preserve">TGA Clinical Evaluation Report </w:t>
      </w:r>
      <w:r w:rsidR="00C43BD2" w:rsidRPr="000B09B9">
        <w:rPr>
          <w:rFonts w:eastAsia="Calibri"/>
          <w:iCs/>
        </w:rPr>
        <w:t xml:space="preserve">which </w:t>
      </w:r>
      <w:r w:rsidR="00E93F99" w:rsidRPr="000B09B9">
        <w:rPr>
          <w:rFonts w:eastAsia="Calibri"/>
          <w:iCs/>
        </w:rPr>
        <w:t xml:space="preserve">stated that the </w:t>
      </w:r>
      <w:r w:rsidR="00C43BD2" w:rsidRPr="000B09B9">
        <w:rPr>
          <w:rFonts w:eastAsia="Calibri"/>
          <w:iCs/>
        </w:rPr>
        <w:t xml:space="preserve">QMG </w:t>
      </w:r>
      <w:r w:rsidR="00E93F99" w:rsidRPr="000B09B9">
        <w:rPr>
          <w:rFonts w:eastAsia="Calibri"/>
          <w:iCs/>
        </w:rPr>
        <w:t xml:space="preserve">results </w:t>
      </w:r>
      <w:r w:rsidR="00C43BD2" w:rsidRPr="000B09B9">
        <w:rPr>
          <w:rFonts w:eastAsia="Calibri"/>
          <w:iCs/>
        </w:rPr>
        <w:t xml:space="preserve">of the DUKE trial </w:t>
      </w:r>
      <w:r w:rsidR="00E93F99" w:rsidRPr="000B09B9">
        <w:rPr>
          <w:rFonts w:eastAsia="Calibri"/>
          <w:iCs/>
        </w:rPr>
        <w:t>were statistically significant and clinically relevant in patients treated with amifampridine.</w:t>
      </w:r>
    </w:p>
    <w:p w14:paraId="2F40AE48" w14:textId="77777777" w:rsidR="00FE1325" w:rsidRPr="000B09B9" w:rsidRDefault="00FE1325" w:rsidP="002B0564">
      <w:pPr>
        <w:keepNext/>
        <w:keepLines/>
        <w:rPr>
          <w:rStyle w:val="CommentReference"/>
        </w:rPr>
      </w:pPr>
      <w:r w:rsidRPr="000B09B9">
        <w:rPr>
          <w:rStyle w:val="CommentReference"/>
        </w:rPr>
        <w:t>Table 5</w:t>
      </w:r>
      <w:r w:rsidR="00332B4C" w:rsidRPr="000B09B9">
        <w:rPr>
          <w:rStyle w:val="CommentReference"/>
        </w:rPr>
        <w:t>:</w:t>
      </w:r>
      <w:r w:rsidRPr="000B09B9">
        <w:rPr>
          <w:rStyle w:val="CommentReference"/>
        </w:rPr>
        <w:t xml:space="preserve"> Change from baseline in</w:t>
      </w:r>
      <w:r w:rsidR="00EC74B1" w:rsidRPr="000B09B9">
        <w:rPr>
          <w:rStyle w:val="CommentReference"/>
        </w:rPr>
        <w:t xml:space="preserve"> the Quantitative Myasthenia Gravis</w:t>
      </w:r>
      <w:r w:rsidRPr="000B09B9">
        <w:rPr>
          <w:rStyle w:val="CommentReference"/>
        </w:rPr>
        <w:t xml:space="preserve"> </w:t>
      </w:r>
      <w:r w:rsidR="00EC74B1" w:rsidRPr="000B09B9">
        <w:rPr>
          <w:rStyle w:val="CommentReference"/>
        </w:rPr>
        <w:t>(</w:t>
      </w:r>
      <w:r w:rsidRPr="000B09B9">
        <w:rPr>
          <w:rStyle w:val="CommentReference"/>
        </w:rPr>
        <w:t>QM</w:t>
      </w:r>
      <w:r w:rsidR="00EC74B1" w:rsidRPr="000B09B9">
        <w:rPr>
          <w:rStyle w:val="CommentReference"/>
        </w:rPr>
        <w:t>G)</w:t>
      </w:r>
      <w:r w:rsidRPr="000B09B9">
        <w:rPr>
          <w:rStyle w:val="CommentReference"/>
        </w:rPr>
        <w:t xml:space="preserve"> for DUKE trial</w:t>
      </w:r>
    </w:p>
    <w:tbl>
      <w:tblPr>
        <w:tblStyle w:val="TableGrid"/>
        <w:tblW w:w="0" w:type="auto"/>
        <w:tblLayout w:type="fixed"/>
        <w:tblLook w:val="0000" w:firstRow="0" w:lastRow="0" w:firstColumn="0" w:lastColumn="0" w:noHBand="0" w:noVBand="0"/>
        <w:tblCaption w:val="Table 5: Change from baseline in the Quantitative Myasthenia Gravis (QMG) for DUKE trial"/>
      </w:tblPr>
      <w:tblGrid>
        <w:gridCol w:w="3111"/>
        <w:gridCol w:w="1953"/>
        <w:gridCol w:w="1953"/>
        <w:gridCol w:w="1953"/>
      </w:tblGrid>
      <w:tr w:rsidR="00FE1325" w:rsidRPr="000B09B9" w14:paraId="30A77FAA" w14:textId="77777777" w:rsidTr="00476940">
        <w:trPr>
          <w:trHeight w:val="282"/>
          <w:tblHeader/>
        </w:trPr>
        <w:tc>
          <w:tcPr>
            <w:tcW w:w="3111" w:type="dxa"/>
            <w:tcBorders>
              <w:top w:val="single" w:sz="6" w:space="0" w:color="auto"/>
              <w:left w:val="single" w:sz="6" w:space="0" w:color="auto"/>
              <w:bottom w:val="single" w:sz="6" w:space="0" w:color="auto"/>
              <w:right w:val="single" w:sz="6" w:space="0" w:color="auto"/>
            </w:tcBorders>
            <w:shd w:val="clear" w:color="auto" w:fill="auto"/>
          </w:tcPr>
          <w:p w14:paraId="5F6ADFD7" w14:textId="77777777" w:rsidR="00FE1325" w:rsidRPr="000B09B9" w:rsidRDefault="00923728" w:rsidP="002B0564">
            <w:pPr>
              <w:pStyle w:val="TableFigureHeading"/>
              <w:keepLines/>
            </w:pPr>
            <w:r w:rsidRPr="000B09B9">
              <w:t>QMG (intention-to-treat)</w:t>
            </w:r>
          </w:p>
        </w:tc>
        <w:tc>
          <w:tcPr>
            <w:tcW w:w="1953" w:type="dxa"/>
            <w:tcBorders>
              <w:top w:val="single" w:sz="6" w:space="0" w:color="auto"/>
              <w:left w:val="single" w:sz="6" w:space="0" w:color="auto"/>
              <w:bottom w:val="single" w:sz="6" w:space="0" w:color="auto"/>
              <w:right w:val="single" w:sz="6" w:space="0" w:color="auto"/>
            </w:tcBorders>
            <w:shd w:val="clear" w:color="auto" w:fill="auto"/>
          </w:tcPr>
          <w:p w14:paraId="221A1339" w14:textId="77777777" w:rsidR="00FE1325" w:rsidRPr="000B09B9" w:rsidRDefault="00FE1325" w:rsidP="002B0564">
            <w:pPr>
              <w:pStyle w:val="TableFigureHeading"/>
              <w:keepLines/>
              <w:jc w:val="center"/>
            </w:pPr>
            <w:r w:rsidRPr="000B09B9">
              <w:t>Amifampridine (N=12)</w:t>
            </w:r>
          </w:p>
        </w:tc>
        <w:tc>
          <w:tcPr>
            <w:tcW w:w="1953" w:type="dxa"/>
            <w:tcBorders>
              <w:top w:val="single" w:sz="6" w:space="0" w:color="auto"/>
              <w:left w:val="single" w:sz="6" w:space="0" w:color="auto"/>
              <w:bottom w:val="single" w:sz="6" w:space="0" w:color="auto"/>
              <w:right w:val="single" w:sz="6" w:space="0" w:color="auto"/>
            </w:tcBorders>
            <w:shd w:val="clear" w:color="auto" w:fill="auto"/>
          </w:tcPr>
          <w:p w14:paraId="5D603C8F" w14:textId="77777777" w:rsidR="00FE1325" w:rsidRPr="000B09B9" w:rsidRDefault="00FE1325" w:rsidP="002B0564">
            <w:pPr>
              <w:pStyle w:val="TableFigureHeading"/>
              <w:keepLines/>
              <w:jc w:val="center"/>
            </w:pPr>
            <w:r w:rsidRPr="000B09B9">
              <w:t>Placebo (N=13)</w:t>
            </w:r>
          </w:p>
        </w:tc>
        <w:tc>
          <w:tcPr>
            <w:tcW w:w="1953" w:type="dxa"/>
            <w:tcBorders>
              <w:top w:val="single" w:sz="6" w:space="0" w:color="auto"/>
              <w:left w:val="single" w:sz="6" w:space="0" w:color="auto"/>
              <w:bottom w:val="single" w:sz="6" w:space="0" w:color="auto"/>
              <w:right w:val="single" w:sz="6" w:space="0" w:color="auto"/>
            </w:tcBorders>
            <w:shd w:val="clear" w:color="auto" w:fill="auto"/>
          </w:tcPr>
          <w:p w14:paraId="50002565" w14:textId="77777777" w:rsidR="00FE1325" w:rsidRPr="000B09B9" w:rsidRDefault="00FE1325" w:rsidP="002B0564">
            <w:pPr>
              <w:pStyle w:val="TableFigureHeading"/>
              <w:keepLines/>
              <w:jc w:val="center"/>
            </w:pPr>
            <w:r w:rsidRPr="000B09B9">
              <w:t>p-Value</w:t>
            </w:r>
          </w:p>
        </w:tc>
      </w:tr>
      <w:tr w:rsidR="00FE1325" w:rsidRPr="000B09B9" w14:paraId="47E77B45" w14:textId="77777777" w:rsidTr="00923728">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FFFFFF" w:themeFill="background1"/>
          </w:tcPr>
          <w:p w14:paraId="24D96CC9" w14:textId="77777777" w:rsidR="00FE1325" w:rsidRPr="000B09B9" w:rsidRDefault="00FE1325" w:rsidP="002B0564">
            <w:pPr>
              <w:pStyle w:val="TableText0"/>
              <w:keepNext/>
              <w:keepLines/>
              <w:widowControl/>
            </w:pPr>
            <w:r w:rsidRPr="000B09B9">
              <w:t>Baseline</w:t>
            </w:r>
          </w:p>
        </w:tc>
        <w:tc>
          <w:tcPr>
            <w:tcW w:w="1953" w:type="dxa"/>
            <w:tcBorders>
              <w:top w:val="single" w:sz="6" w:space="0" w:color="auto"/>
              <w:left w:val="single" w:sz="6" w:space="0" w:color="auto"/>
              <w:bottom w:val="single" w:sz="6" w:space="0" w:color="auto"/>
              <w:right w:val="single" w:sz="6" w:space="0" w:color="auto"/>
            </w:tcBorders>
            <w:shd w:val="clear" w:color="auto" w:fill="FFFFFF" w:themeFill="background1"/>
          </w:tcPr>
          <w:p w14:paraId="442F0E32" w14:textId="77777777" w:rsidR="00FE1325" w:rsidRPr="000B09B9" w:rsidRDefault="00FE1325" w:rsidP="002B0564">
            <w:pPr>
              <w:pStyle w:val="TableText0"/>
              <w:keepNext/>
              <w:keepLines/>
              <w:widowControl/>
              <w:jc w:val="center"/>
            </w:pPr>
            <w:r w:rsidRPr="000B09B9">
              <w:t>8.5 (7.3 to 17.0)</w:t>
            </w:r>
          </w:p>
        </w:tc>
        <w:tc>
          <w:tcPr>
            <w:tcW w:w="1953" w:type="dxa"/>
            <w:tcBorders>
              <w:top w:val="single" w:sz="6" w:space="0" w:color="auto"/>
              <w:left w:val="single" w:sz="6" w:space="0" w:color="auto"/>
              <w:bottom w:val="single" w:sz="6" w:space="0" w:color="auto"/>
              <w:right w:val="single" w:sz="6" w:space="0" w:color="auto"/>
            </w:tcBorders>
            <w:shd w:val="clear" w:color="auto" w:fill="FFFFFF" w:themeFill="background1"/>
          </w:tcPr>
          <w:p w14:paraId="5C407053" w14:textId="77777777" w:rsidR="00FE1325" w:rsidRPr="000B09B9" w:rsidRDefault="00FE1325" w:rsidP="002B0564">
            <w:pPr>
              <w:pStyle w:val="TableText0"/>
              <w:keepNext/>
              <w:keepLines/>
              <w:widowControl/>
              <w:jc w:val="center"/>
            </w:pPr>
            <w:r w:rsidRPr="000B09B9">
              <w:t>12.3 (9.0 to 13.5)</w:t>
            </w:r>
          </w:p>
        </w:tc>
        <w:tc>
          <w:tcPr>
            <w:tcW w:w="1953" w:type="dxa"/>
            <w:tcBorders>
              <w:top w:val="single" w:sz="6" w:space="0" w:color="auto"/>
              <w:left w:val="single" w:sz="6" w:space="0" w:color="auto"/>
              <w:bottom w:val="single" w:sz="6" w:space="0" w:color="auto"/>
              <w:right w:val="single" w:sz="6" w:space="0" w:color="auto"/>
            </w:tcBorders>
            <w:shd w:val="clear" w:color="auto" w:fill="FFFFFF" w:themeFill="background1"/>
          </w:tcPr>
          <w:p w14:paraId="2F220A07" w14:textId="77777777" w:rsidR="00FE1325" w:rsidRPr="000B09B9" w:rsidRDefault="00FE1325" w:rsidP="002B0564">
            <w:pPr>
              <w:pStyle w:val="TableText0"/>
              <w:keepNext/>
              <w:keepLines/>
              <w:widowControl/>
              <w:jc w:val="center"/>
            </w:pPr>
            <w:r w:rsidRPr="000B09B9">
              <w:t>0.625</w:t>
            </w:r>
          </w:p>
        </w:tc>
      </w:tr>
      <w:tr w:rsidR="00FE1325" w:rsidRPr="000B09B9" w14:paraId="0D918A1C" w14:textId="77777777" w:rsidTr="00923728">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FFFFFF" w:themeFill="background1"/>
          </w:tcPr>
          <w:p w14:paraId="1670DFE9" w14:textId="77777777" w:rsidR="00FE1325" w:rsidRPr="000B09B9" w:rsidRDefault="00FE1325" w:rsidP="002B0564">
            <w:pPr>
              <w:pStyle w:val="TableText0"/>
              <w:keepNext/>
              <w:keepLines/>
              <w:widowControl/>
            </w:pPr>
            <w:r w:rsidRPr="000B09B9">
              <w:t>Post-baseline</w:t>
            </w:r>
          </w:p>
        </w:tc>
        <w:tc>
          <w:tcPr>
            <w:tcW w:w="1953" w:type="dxa"/>
            <w:tcBorders>
              <w:top w:val="single" w:sz="6" w:space="0" w:color="auto"/>
              <w:left w:val="single" w:sz="6" w:space="0" w:color="auto"/>
              <w:bottom w:val="single" w:sz="6" w:space="0" w:color="auto"/>
              <w:right w:val="single" w:sz="6" w:space="0" w:color="auto"/>
            </w:tcBorders>
            <w:shd w:val="clear" w:color="auto" w:fill="FFFFFF" w:themeFill="background1"/>
          </w:tcPr>
          <w:p w14:paraId="034A98F5" w14:textId="77777777" w:rsidR="00FE1325" w:rsidRPr="000B09B9" w:rsidRDefault="00FE1325" w:rsidP="002B0564">
            <w:pPr>
              <w:pStyle w:val="TableText0"/>
              <w:keepNext/>
              <w:keepLines/>
              <w:widowControl/>
              <w:jc w:val="center"/>
            </w:pPr>
            <w:r w:rsidRPr="000B09B9">
              <w:t>6.5 (5.0 6</w:t>
            </w:r>
            <w:r w:rsidR="001851D5" w:rsidRPr="000B09B9">
              <w:t xml:space="preserve"> t</w:t>
            </w:r>
            <w:r w:rsidRPr="000B09B9">
              <w:t>o 14.3)</w:t>
            </w:r>
          </w:p>
        </w:tc>
        <w:tc>
          <w:tcPr>
            <w:tcW w:w="1953" w:type="dxa"/>
            <w:tcBorders>
              <w:top w:val="single" w:sz="6" w:space="0" w:color="auto"/>
              <w:left w:val="single" w:sz="6" w:space="0" w:color="auto"/>
              <w:bottom w:val="single" w:sz="6" w:space="0" w:color="auto"/>
              <w:right w:val="single" w:sz="6" w:space="0" w:color="auto"/>
            </w:tcBorders>
            <w:shd w:val="clear" w:color="auto" w:fill="FFFFFF" w:themeFill="background1"/>
          </w:tcPr>
          <w:p w14:paraId="5FDAA207" w14:textId="77777777" w:rsidR="00FE1325" w:rsidRPr="000B09B9" w:rsidRDefault="00FE1325" w:rsidP="002B0564">
            <w:pPr>
              <w:pStyle w:val="TableText0"/>
              <w:keepNext/>
              <w:keepLines/>
              <w:widowControl/>
              <w:jc w:val="center"/>
            </w:pPr>
            <w:r w:rsidRPr="000B09B9">
              <w:t>12.8 (9.0 to 13.5)</w:t>
            </w:r>
          </w:p>
        </w:tc>
        <w:tc>
          <w:tcPr>
            <w:tcW w:w="1953" w:type="dxa"/>
            <w:tcBorders>
              <w:top w:val="single" w:sz="6" w:space="0" w:color="auto"/>
              <w:left w:val="single" w:sz="6" w:space="0" w:color="auto"/>
              <w:bottom w:val="single" w:sz="6" w:space="0" w:color="auto"/>
              <w:right w:val="single" w:sz="6" w:space="0" w:color="auto"/>
            </w:tcBorders>
            <w:shd w:val="clear" w:color="auto" w:fill="FFFFFF" w:themeFill="background1"/>
          </w:tcPr>
          <w:p w14:paraId="6186DB22" w14:textId="77777777" w:rsidR="00FE1325" w:rsidRPr="000B09B9" w:rsidRDefault="00FE1325" w:rsidP="002B0564">
            <w:pPr>
              <w:pStyle w:val="TableText0"/>
              <w:keepNext/>
              <w:keepLines/>
              <w:widowControl/>
              <w:jc w:val="center"/>
            </w:pPr>
            <w:r w:rsidRPr="000B09B9">
              <w:t>0.156</w:t>
            </w:r>
          </w:p>
        </w:tc>
      </w:tr>
      <w:tr w:rsidR="00FE1325" w:rsidRPr="000B09B9" w14:paraId="2FC7A53C" w14:textId="77777777" w:rsidTr="00923728">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FFFFFF" w:themeFill="background1"/>
          </w:tcPr>
          <w:p w14:paraId="236C1716" w14:textId="77777777" w:rsidR="00FE1325" w:rsidRPr="000B09B9" w:rsidRDefault="00FE1325" w:rsidP="002B0564">
            <w:pPr>
              <w:pStyle w:val="TableText0"/>
              <w:keepNext/>
              <w:keepLines/>
              <w:widowControl/>
            </w:pPr>
            <w:r w:rsidRPr="000B09B9">
              <w:t>Change from baseline</w:t>
            </w:r>
          </w:p>
        </w:tc>
        <w:tc>
          <w:tcPr>
            <w:tcW w:w="1953" w:type="dxa"/>
            <w:tcBorders>
              <w:top w:val="single" w:sz="6" w:space="0" w:color="auto"/>
              <w:left w:val="single" w:sz="6" w:space="0" w:color="auto"/>
              <w:bottom w:val="single" w:sz="6" w:space="0" w:color="auto"/>
              <w:right w:val="single" w:sz="6" w:space="0" w:color="auto"/>
            </w:tcBorders>
            <w:shd w:val="clear" w:color="auto" w:fill="FFFFFF" w:themeFill="background1"/>
          </w:tcPr>
          <w:p w14:paraId="04BE6257" w14:textId="77777777" w:rsidR="00FE1325" w:rsidRPr="000B09B9" w:rsidRDefault="00FE1325" w:rsidP="002B0564">
            <w:pPr>
              <w:pStyle w:val="TableText0"/>
              <w:keepNext/>
              <w:keepLines/>
              <w:widowControl/>
              <w:jc w:val="center"/>
              <w:rPr>
                <w:b/>
              </w:rPr>
            </w:pPr>
            <w:r w:rsidRPr="000B09B9">
              <w:rPr>
                <w:b/>
              </w:rPr>
              <w:t>-2.0 (-3.0 to 0.0)</w:t>
            </w:r>
          </w:p>
        </w:tc>
        <w:tc>
          <w:tcPr>
            <w:tcW w:w="1953" w:type="dxa"/>
            <w:tcBorders>
              <w:top w:val="single" w:sz="6" w:space="0" w:color="auto"/>
              <w:left w:val="single" w:sz="6" w:space="0" w:color="auto"/>
              <w:bottom w:val="single" w:sz="6" w:space="0" w:color="auto"/>
              <w:right w:val="single" w:sz="6" w:space="0" w:color="auto"/>
            </w:tcBorders>
            <w:shd w:val="clear" w:color="auto" w:fill="FFFFFF" w:themeFill="background1"/>
          </w:tcPr>
          <w:p w14:paraId="16CF51B0" w14:textId="77777777" w:rsidR="00FE1325" w:rsidRPr="000B09B9" w:rsidRDefault="00FE1325" w:rsidP="002B0564">
            <w:pPr>
              <w:pStyle w:val="TableText0"/>
              <w:keepNext/>
              <w:keepLines/>
              <w:widowControl/>
              <w:jc w:val="center"/>
              <w:rPr>
                <w:b/>
              </w:rPr>
            </w:pPr>
            <w:r w:rsidRPr="000B09B9">
              <w:rPr>
                <w:b/>
              </w:rPr>
              <w:t>0.00 (-1.0 to 1.5)</w:t>
            </w:r>
          </w:p>
        </w:tc>
        <w:tc>
          <w:tcPr>
            <w:tcW w:w="1953" w:type="dxa"/>
            <w:tcBorders>
              <w:top w:val="single" w:sz="6" w:space="0" w:color="auto"/>
              <w:left w:val="single" w:sz="6" w:space="0" w:color="auto"/>
              <w:bottom w:val="single" w:sz="6" w:space="0" w:color="auto"/>
              <w:right w:val="single" w:sz="6" w:space="0" w:color="auto"/>
            </w:tcBorders>
            <w:shd w:val="clear" w:color="auto" w:fill="FFFFFF" w:themeFill="background1"/>
          </w:tcPr>
          <w:p w14:paraId="2A7D9B9D" w14:textId="77777777" w:rsidR="00FE1325" w:rsidRPr="000B09B9" w:rsidRDefault="00FE1325" w:rsidP="002B0564">
            <w:pPr>
              <w:pStyle w:val="TableText0"/>
              <w:keepNext/>
              <w:keepLines/>
              <w:widowControl/>
              <w:jc w:val="center"/>
              <w:rPr>
                <w:b/>
              </w:rPr>
            </w:pPr>
            <w:r w:rsidRPr="000B09B9">
              <w:rPr>
                <w:b/>
              </w:rPr>
              <w:t>0.009</w:t>
            </w:r>
          </w:p>
        </w:tc>
      </w:tr>
    </w:tbl>
    <w:p w14:paraId="191AC86A" w14:textId="77777777" w:rsidR="00FE1325" w:rsidRPr="000B09B9" w:rsidRDefault="00FE1325" w:rsidP="002B0564">
      <w:pPr>
        <w:pStyle w:val="TableFigureFooter"/>
        <w:keepNext/>
        <w:keepLines/>
        <w:rPr>
          <w:rFonts w:eastAsia="Arial Narrow" w:cs="Arial Narrow"/>
          <w:color w:val="000000" w:themeColor="text1"/>
        </w:rPr>
      </w:pPr>
      <w:r w:rsidRPr="000B09B9">
        <w:rPr>
          <w:rFonts w:eastAsia="Arial Narrow" w:cs="Arial Narrow"/>
          <w:color w:val="000000" w:themeColor="text1"/>
        </w:rPr>
        <w:t>Source: Table 2.31 and 2.32, pp9</w:t>
      </w:r>
      <w:r w:rsidR="003D2271" w:rsidRPr="000B09B9">
        <w:rPr>
          <w:rFonts w:eastAsia="Arial Narrow" w:cs="Arial Narrow"/>
          <w:color w:val="000000" w:themeColor="text1"/>
        </w:rPr>
        <w:t>2-93</w:t>
      </w:r>
      <w:r w:rsidRPr="000B09B9">
        <w:rPr>
          <w:rFonts w:eastAsia="Arial Narrow" w:cs="Arial Narrow"/>
          <w:color w:val="000000" w:themeColor="text1"/>
        </w:rPr>
        <w:t xml:space="preserve"> of the submission</w:t>
      </w:r>
      <w:r w:rsidR="00923728" w:rsidRPr="000B09B9">
        <w:rPr>
          <w:rFonts w:eastAsia="Arial Narrow" w:cs="Arial Narrow"/>
          <w:color w:val="000000" w:themeColor="text1"/>
        </w:rPr>
        <w:t>.</w:t>
      </w:r>
    </w:p>
    <w:p w14:paraId="33874747" w14:textId="77777777" w:rsidR="2EC468CE" w:rsidRPr="000B09B9" w:rsidRDefault="04F5B4F3" w:rsidP="002B0564">
      <w:pPr>
        <w:pStyle w:val="TableFigureFooter"/>
        <w:keepNext/>
        <w:keepLines/>
        <w:rPr>
          <w:rFonts w:eastAsia="Arial Narrow" w:cs="Arial Narrow"/>
          <w:color w:val="000000" w:themeColor="text1"/>
        </w:rPr>
      </w:pPr>
      <w:bookmarkStart w:id="30" w:name="_Hlk81486419"/>
      <w:r w:rsidRPr="000B09B9">
        <w:rPr>
          <w:rFonts w:eastAsia="Arial Narrow" w:cs="Arial Narrow"/>
          <w:color w:val="000000" w:themeColor="text1"/>
        </w:rPr>
        <w:t>N = total participants in group</w:t>
      </w:r>
      <w:r w:rsidR="55207129" w:rsidRPr="000B09B9">
        <w:rPr>
          <w:rFonts w:eastAsia="Arial Narrow" w:cs="Arial Narrow"/>
          <w:color w:val="000000" w:themeColor="text1"/>
        </w:rPr>
        <w:t>; QMG</w:t>
      </w:r>
      <w:r w:rsidR="0311F363" w:rsidRPr="000B09B9">
        <w:rPr>
          <w:rFonts w:eastAsia="Arial Narrow" w:cs="Arial Narrow"/>
          <w:color w:val="000000" w:themeColor="text1"/>
        </w:rPr>
        <w:t>=</w:t>
      </w:r>
      <w:r w:rsidRPr="000B09B9">
        <w:rPr>
          <w:rFonts w:eastAsia="Arial Narrow" w:cs="Arial Narrow"/>
          <w:color w:val="000000" w:themeColor="text1"/>
        </w:rPr>
        <w:t xml:space="preserve"> Quantitative Myasthenia Gravis</w:t>
      </w:r>
      <w:r w:rsidR="00923728" w:rsidRPr="000B09B9">
        <w:rPr>
          <w:rFonts w:eastAsia="Arial Narrow" w:cs="Arial Narrow"/>
          <w:color w:val="000000" w:themeColor="text1"/>
        </w:rPr>
        <w:t>.</w:t>
      </w:r>
    </w:p>
    <w:bookmarkEnd w:id="30"/>
    <w:p w14:paraId="67C62E2E" w14:textId="77777777" w:rsidR="00FE1325" w:rsidRPr="000B09B9" w:rsidRDefault="00FE1325" w:rsidP="002B0564">
      <w:pPr>
        <w:pStyle w:val="TableFigureFooter"/>
        <w:keepNext/>
        <w:keepLines/>
        <w:rPr>
          <w:rFonts w:eastAsia="Arial Narrow" w:cs="Arial Narrow"/>
          <w:color w:val="000000" w:themeColor="text1"/>
        </w:rPr>
      </w:pPr>
      <w:r w:rsidRPr="000B09B9">
        <w:rPr>
          <w:rFonts w:eastAsia="Arial Narrow" w:cs="Arial Narrow"/>
          <w:color w:val="000000" w:themeColor="text1"/>
        </w:rPr>
        <w:t xml:space="preserve">Text in </w:t>
      </w:r>
      <w:r w:rsidRPr="000B09B9">
        <w:rPr>
          <w:rFonts w:eastAsia="Arial Narrow" w:cs="Arial Narrow"/>
          <w:b/>
          <w:color w:val="000000" w:themeColor="text1"/>
        </w:rPr>
        <w:t xml:space="preserve">bold </w:t>
      </w:r>
      <w:r w:rsidRPr="000B09B9">
        <w:rPr>
          <w:rFonts w:eastAsia="Arial Narrow" w:cs="Arial Narrow"/>
          <w:color w:val="000000" w:themeColor="text1"/>
        </w:rPr>
        <w:t>indicate statistical significance at p-value &lt;0.05</w:t>
      </w:r>
      <w:r w:rsidR="00923728" w:rsidRPr="000B09B9">
        <w:rPr>
          <w:rFonts w:eastAsia="Arial Narrow" w:cs="Arial Narrow"/>
          <w:color w:val="000000" w:themeColor="text1"/>
        </w:rPr>
        <w:t>.</w:t>
      </w:r>
    </w:p>
    <w:p w14:paraId="38E68E2D" w14:textId="77777777" w:rsidR="00FE1325" w:rsidRPr="000B09B9" w:rsidRDefault="00FE1325" w:rsidP="002B0564">
      <w:pPr>
        <w:pStyle w:val="4-SubsectionHeading"/>
      </w:pPr>
      <w:bookmarkStart w:id="31" w:name="_Toc22897642"/>
      <w:bookmarkStart w:id="32" w:name="_Toc22898854"/>
      <w:bookmarkStart w:id="33" w:name="_Toc82537450"/>
      <w:r w:rsidRPr="000B09B9">
        <w:t>Comparative harms</w:t>
      </w:r>
      <w:bookmarkEnd w:id="31"/>
      <w:bookmarkEnd w:id="32"/>
      <w:bookmarkEnd w:id="33"/>
    </w:p>
    <w:p w14:paraId="7FE92AA9" w14:textId="77777777" w:rsidR="00FE1325" w:rsidRPr="000B09B9" w:rsidRDefault="00FE1325" w:rsidP="002B0564">
      <w:pPr>
        <w:pStyle w:val="3-BodyText"/>
        <w:numPr>
          <w:ilvl w:val="1"/>
          <w:numId w:val="9"/>
        </w:numPr>
        <w:rPr>
          <w:rStyle w:val="3-BodyTextChar"/>
          <w:rFonts w:eastAsia="Calibri"/>
          <w:snapToGrid w:val="0"/>
        </w:rPr>
      </w:pPr>
      <w:r w:rsidRPr="000B09B9">
        <w:rPr>
          <w:rStyle w:val="3-BodyTextChar"/>
          <w:rFonts w:ascii="Calibri" w:eastAsia="Calibri" w:hAnsi="Calibri" w:cs="Calibri"/>
          <w:color w:val="000000" w:themeColor="text1"/>
        </w:rPr>
        <w:t>In the DAPPER trial, there were reports of treatment-emergent adverse events</w:t>
      </w:r>
      <w:r w:rsidR="00163241" w:rsidRPr="000B09B9">
        <w:rPr>
          <w:rStyle w:val="3-BodyTextChar"/>
          <w:rFonts w:ascii="Calibri" w:eastAsia="Calibri" w:hAnsi="Calibri" w:cs="Calibri"/>
          <w:color w:val="000000" w:themeColor="text1"/>
        </w:rPr>
        <w:t xml:space="preserve"> (TEAEs)</w:t>
      </w:r>
      <w:r w:rsidR="003D2271" w:rsidRPr="000B09B9">
        <w:rPr>
          <w:rStyle w:val="3-BodyTextChar"/>
          <w:rFonts w:ascii="Calibri" w:eastAsia="Calibri" w:hAnsi="Calibri" w:cs="Calibri"/>
          <w:color w:val="000000" w:themeColor="text1"/>
        </w:rPr>
        <w:t xml:space="preserve"> (excluding LEMS signs and symptoms)</w:t>
      </w:r>
      <w:r w:rsidRPr="000B09B9">
        <w:rPr>
          <w:rStyle w:val="3-BodyTextChar"/>
          <w:rFonts w:ascii="Calibri" w:eastAsia="Calibri" w:hAnsi="Calibri" w:cs="Calibri"/>
          <w:color w:val="000000" w:themeColor="text1"/>
        </w:rPr>
        <w:t xml:space="preserve"> in the amifampridine arm in 5/14</w:t>
      </w:r>
      <w:r w:rsidR="00801217" w:rsidRPr="000B09B9">
        <w:rPr>
          <w:rStyle w:val="3-BodyTextChar"/>
          <w:rFonts w:ascii="Calibri" w:eastAsia="Calibri" w:hAnsi="Calibri" w:cs="Calibri"/>
          <w:color w:val="000000" w:themeColor="text1"/>
        </w:rPr>
        <w:t xml:space="preserve"> (36%)</w:t>
      </w:r>
      <w:r w:rsidRPr="000B09B9">
        <w:rPr>
          <w:rStyle w:val="3-BodyTextChar"/>
          <w:rFonts w:ascii="Calibri" w:eastAsia="Calibri" w:hAnsi="Calibri" w:cs="Calibri"/>
          <w:color w:val="000000" w:themeColor="text1"/>
        </w:rPr>
        <w:t xml:space="preserve"> patients</w:t>
      </w:r>
      <w:r w:rsidR="0050044A" w:rsidRPr="000B09B9">
        <w:rPr>
          <w:rStyle w:val="3-BodyTextChar"/>
          <w:rFonts w:ascii="Calibri" w:eastAsia="Calibri" w:hAnsi="Calibri" w:cs="Calibri"/>
          <w:color w:val="000000" w:themeColor="text1"/>
        </w:rPr>
        <w:t>, compared with</w:t>
      </w:r>
      <w:r w:rsidR="00801217" w:rsidRPr="000B09B9">
        <w:rPr>
          <w:rStyle w:val="3-BodyTextChar"/>
          <w:rFonts w:ascii="Calibri" w:eastAsia="Calibri" w:hAnsi="Calibri" w:cs="Calibri"/>
          <w:color w:val="000000" w:themeColor="text1"/>
        </w:rPr>
        <w:t xml:space="preserve"> 12/18</w:t>
      </w:r>
      <w:r w:rsidR="0050044A" w:rsidRPr="000B09B9">
        <w:rPr>
          <w:rStyle w:val="3-BodyTextChar"/>
          <w:rFonts w:ascii="Calibri" w:eastAsia="Calibri" w:hAnsi="Calibri" w:cs="Calibri"/>
          <w:color w:val="000000" w:themeColor="text1"/>
        </w:rPr>
        <w:t xml:space="preserve"> </w:t>
      </w:r>
      <w:r w:rsidR="00801217" w:rsidRPr="000B09B9">
        <w:rPr>
          <w:rStyle w:val="3-BodyTextChar"/>
          <w:rFonts w:ascii="Calibri" w:eastAsia="Calibri" w:hAnsi="Calibri" w:cs="Calibri"/>
          <w:color w:val="000000" w:themeColor="text1"/>
        </w:rPr>
        <w:t>(67%) in the taper-to-placebo arm</w:t>
      </w:r>
      <w:r w:rsidR="004A4737" w:rsidRPr="000B09B9">
        <w:rPr>
          <w:rStyle w:val="3-BodyTextChar"/>
          <w:rFonts w:ascii="Calibri" w:eastAsia="Calibri" w:hAnsi="Calibri" w:cs="Calibri"/>
          <w:color w:val="000000" w:themeColor="text1"/>
        </w:rPr>
        <w:t xml:space="preserve"> (Table </w:t>
      </w:r>
      <w:r w:rsidR="00A95A61" w:rsidRPr="000B09B9">
        <w:rPr>
          <w:rStyle w:val="3-BodyTextChar"/>
          <w:rFonts w:ascii="Calibri" w:eastAsia="Calibri" w:hAnsi="Calibri" w:cs="Calibri"/>
          <w:color w:val="000000" w:themeColor="text1"/>
        </w:rPr>
        <w:t>6</w:t>
      </w:r>
      <w:r w:rsidR="004A4737" w:rsidRPr="000B09B9">
        <w:rPr>
          <w:rStyle w:val="3-BodyTextChar"/>
          <w:rFonts w:ascii="Calibri" w:eastAsia="Calibri" w:hAnsi="Calibri" w:cs="Calibri"/>
          <w:color w:val="000000" w:themeColor="text1"/>
        </w:rPr>
        <w:t>)</w:t>
      </w:r>
      <w:r w:rsidRPr="000B09B9">
        <w:rPr>
          <w:rStyle w:val="3-BodyTextChar"/>
          <w:rFonts w:ascii="Calibri" w:eastAsia="Calibri" w:hAnsi="Calibri" w:cs="Calibri"/>
          <w:color w:val="000000" w:themeColor="text1"/>
        </w:rPr>
        <w:t>. None of these were severe adverse events</w:t>
      </w:r>
      <w:r w:rsidR="00163241" w:rsidRPr="000B09B9">
        <w:rPr>
          <w:rStyle w:val="3-BodyTextChar"/>
          <w:rFonts w:ascii="Calibri" w:eastAsia="Calibri" w:hAnsi="Calibri" w:cs="Calibri"/>
          <w:color w:val="000000" w:themeColor="text1"/>
        </w:rPr>
        <w:t xml:space="preserve"> (AEs)</w:t>
      </w:r>
      <w:r w:rsidRPr="000B09B9">
        <w:rPr>
          <w:rStyle w:val="3-BodyTextChar"/>
          <w:rFonts w:ascii="Calibri" w:eastAsia="Calibri" w:hAnsi="Calibri" w:cs="Calibri"/>
          <w:color w:val="000000" w:themeColor="text1"/>
        </w:rPr>
        <w:t xml:space="preserve">. There were no deaths reported in the study. There were no adverse changes in the clinical laboratory, blood pressure, pulse rate, or ECG parameters attributable to amifampridine or the withdrawal of study drug. </w:t>
      </w:r>
      <w:r w:rsidRPr="000B09B9">
        <w:rPr>
          <w:rStyle w:val="3-BodyTextChar"/>
          <w:rFonts w:ascii="Calibri" w:eastAsia="Calibri" w:hAnsi="Calibri" w:cs="Calibri"/>
          <w:iCs/>
          <w:color w:val="000000" w:themeColor="text1"/>
        </w:rPr>
        <w:t xml:space="preserve">The DAPPER trial included patients who were successfully taking amifampridine already, so there was no information on </w:t>
      </w:r>
      <w:r w:rsidR="00163241" w:rsidRPr="000B09B9">
        <w:rPr>
          <w:rStyle w:val="3-BodyTextChar"/>
          <w:rFonts w:ascii="Calibri" w:eastAsia="Calibri" w:hAnsi="Calibri" w:cs="Calibri"/>
          <w:iCs/>
          <w:color w:val="000000" w:themeColor="text1"/>
        </w:rPr>
        <w:t>AEs</w:t>
      </w:r>
      <w:r w:rsidRPr="000B09B9">
        <w:rPr>
          <w:rStyle w:val="3-BodyTextChar"/>
          <w:rFonts w:ascii="Calibri" w:eastAsia="Calibri" w:hAnsi="Calibri" w:cs="Calibri"/>
          <w:iCs/>
          <w:color w:val="000000" w:themeColor="text1"/>
        </w:rPr>
        <w:t xml:space="preserve"> for patients who are naïve to amifampridine.</w:t>
      </w:r>
      <w:r w:rsidR="000E6FF2" w:rsidRPr="000B09B9">
        <w:rPr>
          <w:rStyle w:val="3-BodyTextChar"/>
          <w:rFonts w:ascii="Calibri" w:eastAsia="Calibri" w:hAnsi="Calibri" w:cs="Calibri"/>
          <w:iCs/>
          <w:color w:val="000000" w:themeColor="text1"/>
        </w:rPr>
        <w:t xml:space="preserve"> Further, the </w:t>
      </w:r>
      <w:r w:rsidR="000B6DA9" w:rsidRPr="000B09B9">
        <w:rPr>
          <w:rStyle w:val="3-BodyTextChar"/>
          <w:rFonts w:ascii="Calibri" w:eastAsia="Calibri" w:hAnsi="Calibri" w:cs="Calibri"/>
          <w:iCs/>
          <w:color w:val="000000" w:themeColor="text1"/>
        </w:rPr>
        <w:t xml:space="preserve">common </w:t>
      </w:r>
      <w:r w:rsidR="000E6FF2" w:rsidRPr="000B09B9">
        <w:rPr>
          <w:rStyle w:val="3-BodyTextChar"/>
          <w:rFonts w:ascii="Calibri" w:eastAsia="Calibri" w:hAnsi="Calibri" w:cs="Calibri"/>
          <w:iCs/>
          <w:color w:val="000000" w:themeColor="text1"/>
        </w:rPr>
        <w:t xml:space="preserve">co-administration of other medications </w:t>
      </w:r>
      <w:r w:rsidR="000B6DA9" w:rsidRPr="000B09B9">
        <w:rPr>
          <w:rStyle w:val="3-BodyTextChar"/>
          <w:rFonts w:ascii="Calibri" w:eastAsia="Calibri" w:hAnsi="Calibri" w:cs="Calibri"/>
          <w:iCs/>
          <w:color w:val="000000" w:themeColor="text1"/>
        </w:rPr>
        <w:t xml:space="preserve">could affect the </w:t>
      </w:r>
      <w:r w:rsidR="00461409" w:rsidRPr="000B09B9">
        <w:rPr>
          <w:rStyle w:val="3-BodyTextChar"/>
          <w:rFonts w:ascii="Calibri" w:eastAsia="Calibri" w:hAnsi="Calibri" w:cs="Calibri"/>
          <w:iCs/>
          <w:color w:val="000000" w:themeColor="text1"/>
        </w:rPr>
        <w:t xml:space="preserve">evaluation of </w:t>
      </w:r>
      <w:r w:rsidR="00163241" w:rsidRPr="000B09B9">
        <w:rPr>
          <w:rStyle w:val="3-BodyTextChar"/>
          <w:rFonts w:ascii="Calibri" w:eastAsia="Calibri" w:hAnsi="Calibri" w:cs="Calibri"/>
          <w:iCs/>
          <w:color w:val="000000" w:themeColor="text1"/>
        </w:rPr>
        <w:t>AEs</w:t>
      </w:r>
      <w:r w:rsidR="000B6DA9" w:rsidRPr="000B09B9">
        <w:rPr>
          <w:rStyle w:val="3-BodyTextChar"/>
          <w:rFonts w:ascii="Calibri" w:eastAsia="Calibri" w:hAnsi="Calibri" w:cs="Calibri"/>
          <w:iCs/>
          <w:color w:val="000000" w:themeColor="text1"/>
        </w:rPr>
        <w:t xml:space="preserve"> related to amifampridine.</w:t>
      </w:r>
    </w:p>
    <w:p w14:paraId="2F169F30" w14:textId="77777777" w:rsidR="00EE6356" w:rsidRPr="000B09B9" w:rsidRDefault="00FE1325" w:rsidP="002B0564">
      <w:pPr>
        <w:keepNext/>
        <w:keepLines/>
        <w:rPr>
          <w:rFonts w:ascii="Arial Narrow" w:eastAsia="Calibri" w:hAnsi="Arial Narrow"/>
          <w:b/>
          <w:bCs/>
          <w:sz w:val="20"/>
          <w:szCs w:val="16"/>
        </w:rPr>
      </w:pPr>
      <w:r w:rsidRPr="000B09B9">
        <w:rPr>
          <w:rStyle w:val="CommentReference"/>
        </w:rPr>
        <w:t xml:space="preserve">Table </w:t>
      </w:r>
      <w:r w:rsidR="00332B4C" w:rsidRPr="000B09B9">
        <w:rPr>
          <w:rStyle w:val="CommentReference"/>
        </w:rPr>
        <w:t>6</w:t>
      </w:r>
      <w:r w:rsidRPr="000B09B9">
        <w:rPr>
          <w:rStyle w:val="CommentReference"/>
        </w:rPr>
        <w:t>: Summary of key adverse e</w:t>
      </w:r>
      <w:r w:rsidR="00EE6356" w:rsidRPr="000B09B9">
        <w:rPr>
          <w:rStyle w:val="CommentReference"/>
        </w:rPr>
        <w:t>vents (AEs) in the DAPPER trial</w:t>
      </w:r>
    </w:p>
    <w:tbl>
      <w:tblPr>
        <w:tblW w:w="8923" w:type="dxa"/>
        <w:tblLayout w:type="fixed"/>
        <w:tblLook w:val="04A0" w:firstRow="1" w:lastRow="0" w:firstColumn="1" w:lastColumn="0" w:noHBand="0" w:noVBand="1"/>
      </w:tblPr>
      <w:tblGrid>
        <w:gridCol w:w="3514"/>
        <w:gridCol w:w="2574"/>
        <w:gridCol w:w="2835"/>
      </w:tblGrid>
      <w:tr w:rsidR="002F40EF" w:rsidRPr="000B09B9" w14:paraId="15D74ADE" w14:textId="77777777" w:rsidTr="002F40EF">
        <w:tc>
          <w:tcPr>
            <w:tcW w:w="3514" w:type="dxa"/>
            <w:tcBorders>
              <w:top w:val="single" w:sz="6" w:space="0" w:color="auto"/>
              <w:left w:val="single" w:sz="6" w:space="0" w:color="auto"/>
              <w:bottom w:val="single" w:sz="6" w:space="0" w:color="auto"/>
              <w:right w:val="single" w:sz="6" w:space="0" w:color="auto"/>
            </w:tcBorders>
            <w:vAlign w:val="center"/>
          </w:tcPr>
          <w:p w14:paraId="11E5CFC7" w14:textId="77777777" w:rsidR="00DA6F99" w:rsidRPr="000B09B9" w:rsidRDefault="00DA6F99" w:rsidP="002B0564">
            <w:pPr>
              <w:pStyle w:val="In-tableHeading"/>
              <w:keepLines/>
              <w:rPr>
                <w:rFonts w:eastAsia="Arial Narrow" w:cs="Arial Narrow"/>
                <w:bCs/>
                <w:color w:val="000000" w:themeColor="text1"/>
                <w:szCs w:val="20"/>
                <w:lang w:val="en-AU"/>
              </w:rPr>
            </w:pPr>
            <w:r w:rsidRPr="000B09B9">
              <w:rPr>
                <w:rFonts w:eastAsia="Arial Narrow" w:cs="Arial Narrow"/>
                <w:bCs/>
                <w:color w:val="000000" w:themeColor="text1"/>
                <w:szCs w:val="20"/>
                <w:lang w:val="en-AU"/>
              </w:rPr>
              <w:t>Trial ID</w:t>
            </w:r>
          </w:p>
        </w:tc>
        <w:tc>
          <w:tcPr>
            <w:tcW w:w="2574" w:type="dxa"/>
            <w:tcBorders>
              <w:top w:val="single" w:sz="6" w:space="0" w:color="auto"/>
              <w:left w:val="single" w:sz="6" w:space="0" w:color="auto"/>
              <w:bottom w:val="single" w:sz="6" w:space="0" w:color="auto"/>
              <w:right w:val="single" w:sz="6" w:space="0" w:color="auto"/>
            </w:tcBorders>
            <w:vAlign w:val="center"/>
          </w:tcPr>
          <w:p w14:paraId="3860C8E1" w14:textId="77777777" w:rsidR="00DA6F99" w:rsidRPr="000B09B9" w:rsidRDefault="00DA6F99" w:rsidP="002B0564">
            <w:pPr>
              <w:pStyle w:val="In-tableHeading"/>
              <w:keepLines/>
              <w:jc w:val="center"/>
              <w:rPr>
                <w:rFonts w:eastAsia="Arial Narrow" w:cs="Arial Narrow"/>
                <w:bCs/>
                <w:color w:val="000000" w:themeColor="text1"/>
                <w:szCs w:val="20"/>
                <w:lang w:val="en-AU"/>
              </w:rPr>
            </w:pPr>
            <w:r w:rsidRPr="000B09B9">
              <w:rPr>
                <w:rFonts w:eastAsia="Arial Narrow" w:cs="Arial Narrow"/>
                <w:bCs/>
                <w:color w:val="000000" w:themeColor="text1"/>
                <w:szCs w:val="20"/>
                <w:lang w:val="en-AU"/>
              </w:rPr>
              <w:t>Amifampridine</w:t>
            </w:r>
          </w:p>
          <w:p w14:paraId="7407336E" w14:textId="77777777" w:rsidR="00DA6F99" w:rsidRPr="000B09B9" w:rsidRDefault="003E6E1B" w:rsidP="002B0564">
            <w:pPr>
              <w:pStyle w:val="In-tableHeading"/>
              <w:keepLines/>
              <w:jc w:val="center"/>
              <w:rPr>
                <w:rFonts w:eastAsia="Arial Narrow" w:cs="Arial Narrow"/>
                <w:bCs/>
                <w:color w:val="000000" w:themeColor="text1"/>
                <w:szCs w:val="20"/>
                <w:lang w:val="en-AU"/>
              </w:rPr>
            </w:pPr>
            <w:r w:rsidRPr="000B09B9">
              <w:rPr>
                <w:rFonts w:eastAsia="Arial Narrow" w:cs="Arial Narrow"/>
                <w:bCs/>
                <w:color w:val="000000" w:themeColor="text1"/>
                <w:szCs w:val="20"/>
                <w:lang w:val="en-AU"/>
              </w:rPr>
              <w:t>n</w:t>
            </w:r>
            <w:r w:rsidR="00DA6F99" w:rsidRPr="000B09B9">
              <w:rPr>
                <w:rFonts w:eastAsia="Arial Narrow" w:cs="Arial Narrow"/>
                <w:bCs/>
                <w:color w:val="000000" w:themeColor="text1"/>
                <w:szCs w:val="20"/>
                <w:lang w:val="en-AU"/>
              </w:rPr>
              <w:t>/N (%)</w:t>
            </w:r>
          </w:p>
        </w:tc>
        <w:tc>
          <w:tcPr>
            <w:tcW w:w="2835" w:type="dxa"/>
            <w:tcBorders>
              <w:top w:val="single" w:sz="6" w:space="0" w:color="auto"/>
              <w:left w:val="single" w:sz="6" w:space="0" w:color="auto"/>
              <w:bottom w:val="single" w:sz="6" w:space="0" w:color="auto"/>
              <w:right w:val="single" w:sz="6" w:space="0" w:color="auto"/>
            </w:tcBorders>
            <w:vAlign w:val="center"/>
          </w:tcPr>
          <w:p w14:paraId="534CFF0B" w14:textId="77777777" w:rsidR="00DA6F99" w:rsidRPr="000B09B9" w:rsidRDefault="00775674" w:rsidP="002B0564">
            <w:pPr>
              <w:pStyle w:val="In-tableHeading"/>
              <w:keepLines/>
              <w:jc w:val="center"/>
              <w:rPr>
                <w:rFonts w:eastAsia="Arial Narrow" w:cs="Arial Narrow"/>
                <w:bCs/>
                <w:color w:val="000000" w:themeColor="text1"/>
                <w:szCs w:val="20"/>
                <w:lang w:val="en-AU"/>
              </w:rPr>
            </w:pPr>
            <w:r w:rsidRPr="000B09B9">
              <w:rPr>
                <w:rFonts w:eastAsia="Arial Narrow" w:cs="Arial Narrow"/>
                <w:bCs/>
                <w:color w:val="000000" w:themeColor="text1"/>
                <w:szCs w:val="20"/>
                <w:lang w:val="en-AU"/>
              </w:rPr>
              <w:t>Taper-to-p</w:t>
            </w:r>
            <w:r w:rsidR="00DA6F99" w:rsidRPr="000B09B9">
              <w:rPr>
                <w:rFonts w:eastAsia="Arial Narrow" w:cs="Arial Narrow"/>
                <w:bCs/>
                <w:color w:val="000000" w:themeColor="text1"/>
                <w:szCs w:val="20"/>
                <w:lang w:val="en-AU"/>
              </w:rPr>
              <w:t>lacebo</w:t>
            </w:r>
          </w:p>
          <w:p w14:paraId="4BE11B0B" w14:textId="77777777" w:rsidR="00DA6F99" w:rsidRPr="000B09B9" w:rsidRDefault="003E6E1B" w:rsidP="002B0564">
            <w:pPr>
              <w:pStyle w:val="In-tableHeading"/>
              <w:keepLines/>
              <w:jc w:val="center"/>
              <w:rPr>
                <w:rFonts w:eastAsia="Arial Narrow" w:cs="Arial Narrow"/>
                <w:bCs/>
                <w:color w:val="000000" w:themeColor="text1"/>
                <w:szCs w:val="20"/>
                <w:lang w:val="en-AU"/>
              </w:rPr>
            </w:pPr>
            <w:r w:rsidRPr="000B09B9">
              <w:rPr>
                <w:rFonts w:eastAsia="Arial Narrow" w:cs="Arial Narrow"/>
                <w:bCs/>
                <w:color w:val="000000" w:themeColor="text1"/>
                <w:szCs w:val="20"/>
                <w:lang w:val="en-AU"/>
              </w:rPr>
              <w:t>n</w:t>
            </w:r>
            <w:r w:rsidR="00DA6F99" w:rsidRPr="000B09B9">
              <w:rPr>
                <w:rFonts w:eastAsia="Arial Narrow" w:cs="Arial Narrow"/>
                <w:bCs/>
                <w:color w:val="000000" w:themeColor="text1"/>
                <w:szCs w:val="20"/>
                <w:lang w:val="en-AU"/>
              </w:rPr>
              <w:t>/N (%)</w:t>
            </w:r>
          </w:p>
        </w:tc>
      </w:tr>
      <w:tr w:rsidR="00DA6F99" w:rsidRPr="000B09B9" w14:paraId="1C2B84B2" w14:textId="77777777" w:rsidTr="002F40EF">
        <w:tc>
          <w:tcPr>
            <w:tcW w:w="8923" w:type="dxa"/>
            <w:gridSpan w:val="3"/>
            <w:tcBorders>
              <w:top w:val="single" w:sz="6" w:space="0" w:color="auto"/>
              <w:left w:val="single" w:sz="6" w:space="0" w:color="auto"/>
              <w:bottom w:val="single" w:sz="6" w:space="0" w:color="auto"/>
              <w:right w:val="single" w:sz="6" w:space="0" w:color="auto"/>
            </w:tcBorders>
            <w:vAlign w:val="center"/>
          </w:tcPr>
          <w:p w14:paraId="7F5FE044" w14:textId="77777777" w:rsidR="00DA6F99" w:rsidRPr="000B09B9" w:rsidRDefault="00DA6F99" w:rsidP="002B0564">
            <w:pPr>
              <w:pStyle w:val="TableText0"/>
              <w:keepNext/>
              <w:keepLines/>
              <w:widowControl/>
              <w:rPr>
                <w:rFonts w:eastAsia="Arial Narrow" w:cs="Arial Narrow"/>
                <w:bCs w:val="0"/>
                <w:color w:val="000000" w:themeColor="text1"/>
                <w:szCs w:val="20"/>
              </w:rPr>
            </w:pPr>
            <w:r w:rsidRPr="000B09B9">
              <w:rPr>
                <w:rFonts w:eastAsia="Arial Narrow" w:cs="Arial Narrow"/>
                <w:b/>
                <w:bCs w:val="0"/>
                <w:color w:val="000000" w:themeColor="text1"/>
                <w:szCs w:val="20"/>
              </w:rPr>
              <w:t>Subjects with any AEs (including baseline AEs)</w:t>
            </w:r>
          </w:p>
        </w:tc>
      </w:tr>
      <w:tr w:rsidR="002F40EF" w:rsidRPr="000B09B9" w14:paraId="3FC9D2F5" w14:textId="77777777" w:rsidTr="002F40EF">
        <w:tc>
          <w:tcPr>
            <w:tcW w:w="3514" w:type="dxa"/>
            <w:tcBorders>
              <w:top w:val="single" w:sz="6" w:space="0" w:color="auto"/>
              <w:left w:val="single" w:sz="6" w:space="0" w:color="auto"/>
              <w:bottom w:val="single" w:sz="6" w:space="0" w:color="auto"/>
              <w:right w:val="single" w:sz="6" w:space="0" w:color="auto"/>
            </w:tcBorders>
            <w:vAlign w:val="center"/>
          </w:tcPr>
          <w:p w14:paraId="4C8E5B08" w14:textId="77777777" w:rsidR="00DA6F99" w:rsidRPr="000B09B9" w:rsidRDefault="00DA6F99" w:rsidP="002B0564">
            <w:pPr>
              <w:pStyle w:val="TableText0"/>
              <w:keepNext/>
              <w:keepLines/>
              <w:widowControl/>
              <w:rPr>
                <w:rFonts w:eastAsia="Arial Narrow" w:cs="Arial Narrow"/>
                <w:bCs w:val="0"/>
                <w:color w:val="000000" w:themeColor="text1"/>
                <w:szCs w:val="20"/>
              </w:rPr>
            </w:pPr>
            <w:r w:rsidRPr="000B09B9">
              <w:rPr>
                <w:rFonts w:eastAsia="Arial Narrow" w:cs="Arial Narrow"/>
                <w:bCs w:val="0"/>
                <w:color w:val="000000" w:themeColor="text1"/>
                <w:szCs w:val="20"/>
              </w:rPr>
              <w:t>All adverse</w:t>
            </w:r>
          </w:p>
        </w:tc>
        <w:tc>
          <w:tcPr>
            <w:tcW w:w="2574" w:type="dxa"/>
            <w:tcBorders>
              <w:top w:val="single" w:sz="6" w:space="0" w:color="auto"/>
              <w:left w:val="single" w:sz="6" w:space="0" w:color="auto"/>
              <w:bottom w:val="single" w:sz="6" w:space="0" w:color="auto"/>
              <w:right w:val="single" w:sz="6" w:space="0" w:color="auto"/>
            </w:tcBorders>
            <w:vAlign w:val="center"/>
          </w:tcPr>
          <w:p w14:paraId="0C472EDB" w14:textId="77777777" w:rsidR="00DA6F99" w:rsidRPr="000B09B9" w:rsidRDefault="00DA6F99" w:rsidP="002B0564">
            <w:pPr>
              <w:pStyle w:val="TableText0"/>
              <w:keepNext/>
              <w:keepLines/>
              <w:widowControl/>
              <w:jc w:val="center"/>
              <w:rPr>
                <w:rFonts w:eastAsia="Arial Narrow" w:cs="Arial Narrow"/>
                <w:bCs w:val="0"/>
                <w:color w:val="000000" w:themeColor="text1"/>
                <w:szCs w:val="20"/>
              </w:rPr>
            </w:pPr>
            <w:r w:rsidRPr="000B09B9">
              <w:rPr>
                <w:rFonts w:eastAsia="Arial Narrow" w:cs="Arial Narrow"/>
                <w:bCs w:val="0"/>
                <w:color w:val="000000" w:themeColor="text1"/>
                <w:szCs w:val="20"/>
              </w:rPr>
              <w:t>7/14 (50)</w:t>
            </w:r>
          </w:p>
        </w:tc>
        <w:tc>
          <w:tcPr>
            <w:tcW w:w="2835" w:type="dxa"/>
            <w:tcBorders>
              <w:top w:val="single" w:sz="6" w:space="0" w:color="auto"/>
              <w:left w:val="single" w:sz="6" w:space="0" w:color="auto"/>
              <w:bottom w:val="single" w:sz="6" w:space="0" w:color="auto"/>
              <w:right w:val="single" w:sz="6" w:space="0" w:color="auto"/>
            </w:tcBorders>
            <w:vAlign w:val="center"/>
          </w:tcPr>
          <w:p w14:paraId="21DD3F15" w14:textId="77777777" w:rsidR="00DA6F99" w:rsidRPr="000B09B9" w:rsidRDefault="00DA6F99" w:rsidP="002B0564">
            <w:pPr>
              <w:pStyle w:val="TableText0"/>
              <w:keepNext/>
              <w:keepLines/>
              <w:widowControl/>
              <w:jc w:val="center"/>
              <w:rPr>
                <w:rFonts w:eastAsia="Arial Narrow" w:cs="Arial Narrow"/>
                <w:bCs w:val="0"/>
                <w:color w:val="000000" w:themeColor="text1"/>
                <w:szCs w:val="20"/>
              </w:rPr>
            </w:pPr>
            <w:r w:rsidRPr="000B09B9">
              <w:rPr>
                <w:rFonts w:eastAsia="Arial Narrow" w:cs="Arial Narrow"/>
                <w:bCs w:val="0"/>
                <w:color w:val="000000" w:themeColor="text1"/>
                <w:szCs w:val="20"/>
              </w:rPr>
              <w:t>14/18 (78)</w:t>
            </w:r>
          </w:p>
        </w:tc>
      </w:tr>
      <w:tr w:rsidR="002F40EF" w:rsidRPr="000B09B9" w14:paraId="5D365548" w14:textId="77777777" w:rsidTr="002F40EF">
        <w:tc>
          <w:tcPr>
            <w:tcW w:w="3514" w:type="dxa"/>
            <w:tcBorders>
              <w:top w:val="single" w:sz="6" w:space="0" w:color="auto"/>
              <w:left w:val="single" w:sz="6" w:space="0" w:color="auto"/>
              <w:bottom w:val="single" w:sz="6" w:space="0" w:color="auto"/>
              <w:right w:val="single" w:sz="6" w:space="0" w:color="auto"/>
            </w:tcBorders>
            <w:vAlign w:val="center"/>
          </w:tcPr>
          <w:p w14:paraId="3CAEE209" w14:textId="77777777" w:rsidR="00DA6F99" w:rsidRPr="000B09B9" w:rsidRDefault="00DA6F99" w:rsidP="002B0564">
            <w:pPr>
              <w:pStyle w:val="TableText0"/>
              <w:keepNext/>
              <w:keepLines/>
              <w:widowControl/>
              <w:rPr>
                <w:rFonts w:eastAsia="Arial Narrow" w:cs="Arial Narrow"/>
                <w:bCs w:val="0"/>
                <w:color w:val="000000" w:themeColor="text1"/>
                <w:szCs w:val="20"/>
              </w:rPr>
            </w:pPr>
            <w:r w:rsidRPr="000B09B9">
              <w:rPr>
                <w:rFonts w:eastAsia="Arial Narrow" w:cs="Arial Narrow"/>
                <w:bCs w:val="0"/>
                <w:color w:val="000000" w:themeColor="text1"/>
                <w:szCs w:val="20"/>
              </w:rPr>
              <w:t>AEs excluding LEMS signs and symptoms</w:t>
            </w:r>
          </w:p>
        </w:tc>
        <w:tc>
          <w:tcPr>
            <w:tcW w:w="2574" w:type="dxa"/>
            <w:tcBorders>
              <w:top w:val="single" w:sz="6" w:space="0" w:color="auto"/>
              <w:left w:val="single" w:sz="6" w:space="0" w:color="auto"/>
              <w:bottom w:val="single" w:sz="6" w:space="0" w:color="auto"/>
              <w:right w:val="single" w:sz="6" w:space="0" w:color="auto"/>
            </w:tcBorders>
            <w:vAlign w:val="center"/>
          </w:tcPr>
          <w:p w14:paraId="1C2255BA" w14:textId="77777777" w:rsidR="00DA6F99" w:rsidRPr="000B09B9" w:rsidRDefault="00DA6F99" w:rsidP="002B0564">
            <w:pPr>
              <w:pStyle w:val="TableText0"/>
              <w:keepNext/>
              <w:keepLines/>
              <w:widowControl/>
              <w:jc w:val="center"/>
              <w:rPr>
                <w:rFonts w:eastAsia="Arial Narrow" w:cs="Arial Narrow"/>
                <w:bCs w:val="0"/>
                <w:color w:val="000000" w:themeColor="text1"/>
                <w:szCs w:val="20"/>
              </w:rPr>
            </w:pPr>
            <w:r w:rsidRPr="000B09B9">
              <w:rPr>
                <w:rFonts w:eastAsia="Arial Narrow" w:cs="Arial Narrow"/>
                <w:bCs w:val="0"/>
                <w:color w:val="000000" w:themeColor="text1"/>
                <w:szCs w:val="20"/>
              </w:rPr>
              <w:t>6/14 (43)</w:t>
            </w:r>
          </w:p>
        </w:tc>
        <w:tc>
          <w:tcPr>
            <w:tcW w:w="2835" w:type="dxa"/>
            <w:tcBorders>
              <w:top w:val="single" w:sz="6" w:space="0" w:color="auto"/>
              <w:left w:val="single" w:sz="6" w:space="0" w:color="auto"/>
              <w:bottom w:val="single" w:sz="6" w:space="0" w:color="auto"/>
              <w:right w:val="single" w:sz="6" w:space="0" w:color="auto"/>
            </w:tcBorders>
            <w:vAlign w:val="center"/>
          </w:tcPr>
          <w:p w14:paraId="6C3F8DF8" w14:textId="77777777" w:rsidR="00DA6F99" w:rsidRPr="000B09B9" w:rsidRDefault="00DA6F99" w:rsidP="002B0564">
            <w:pPr>
              <w:pStyle w:val="TableText0"/>
              <w:keepNext/>
              <w:keepLines/>
              <w:widowControl/>
              <w:jc w:val="center"/>
              <w:rPr>
                <w:rFonts w:eastAsia="Arial Narrow" w:cs="Arial Narrow"/>
                <w:bCs w:val="0"/>
                <w:color w:val="000000" w:themeColor="text1"/>
                <w:szCs w:val="20"/>
              </w:rPr>
            </w:pPr>
            <w:r w:rsidRPr="000B09B9">
              <w:rPr>
                <w:rFonts w:eastAsia="Arial Narrow" w:cs="Arial Narrow"/>
                <w:bCs w:val="0"/>
                <w:color w:val="000000" w:themeColor="text1"/>
                <w:szCs w:val="20"/>
              </w:rPr>
              <w:t>12/18 (67)</w:t>
            </w:r>
          </w:p>
        </w:tc>
      </w:tr>
      <w:tr w:rsidR="002F40EF" w:rsidRPr="000B09B9" w14:paraId="73B1A1BD" w14:textId="77777777" w:rsidTr="002F40EF">
        <w:tc>
          <w:tcPr>
            <w:tcW w:w="3514" w:type="dxa"/>
            <w:tcBorders>
              <w:top w:val="single" w:sz="6" w:space="0" w:color="auto"/>
              <w:left w:val="single" w:sz="6" w:space="0" w:color="auto"/>
              <w:bottom w:val="single" w:sz="6" w:space="0" w:color="auto"/>
              <w:right w:val="single" w:sz="6" w:space="0" w:color="auto"/>
            </w:tcBorders>
            <w:vAlign w:val="center"/>
          </w:tcPr>
          <w:p w14:paraId="0872A478" w14:textId="77777777" w:rsidR="00DA6F99" w:rsidRPr="000B09B9" w:rsidRDefault="00DA6F99" w:rsidP="002B0564">
            <w:pPr>
              <w:pStyle w:val="TableText0"/>
              <w:keepNext/>
              <w:keepLines/>
              <w:widowControl/>
              <w:rPr>
                <w:rFonts w:eastAsia="Arial Narrow" w:cs="Arial Narrow"/>
                <w:bCs w:val="0"/>
                <w:color w:val="000000" w:themeColor="text1"/>
                <w:szCs w:val="20"/>
              </w:rPr>
            </w:pPr>
            <w:r w:rsidRPr="000B09B9">
              <w:rPr>
                <w:rFonts w:eastAsia="Arial Narrow" w:cs="Arial Narrow"/>
                <w:bCs w:val="0"/>
                <w:color w:val="000000" w:themeColor="text1"/>
                <w:szCs w:val="20"/>
              </w:rPr>
              <w:t>LEMS signs and symptoms only</w:t>
            </w:r>
          </w:p>
        </w:tc>
        <w:tc>
          <w:tcPr>
            <w:tcW w:w="2574" w:type="dxa"/>
            <w:tcBorders>
              <w:top w:val="single" w:sz="6" w:space="0" w:color="auto"/>
              <w:left w:val="single" w:sz="6" w:space="0" w:color="auto"/>
              <w:bottom w:val="single" w:sz="6" w:space="0" w:color="auto"/>
              <w:right w:val="single" w:sz="6" w:space="0" w:color="auto"/>
            </w:tcBorders>
            <w:vAlign w:val="center"/>
          </w:tcPr>
          <w:p w14:paraId="311C45FE" w14:textId="77777777" w:rsidR="00DA6F99" w:rsidRPr="000B09B9" w:rsidRDefault="00DA6F99" w:rsidP="002B0564">
            <w:pPr>
              <w:pStyle w:val="TableText0"/>
              <w:keepNext/>
              <w:keepLines/>
              <w:widowControl/>
              <w:jc w:val="center"/>
              <w:rPr>
                <w:rFonts w:eastAsia="Arial Narrow" w:cs="Arial Narrow"/>
                <w:bCs w:val="0"/>
                <w:color w:val="000000" w:themeColor="text1"/>
                <w:szCs w:val="20"/>
              </w:rPr>
            </w:pPr>
            <w:r w:rsidRPr="000B09B9">
              <w:rPr>
                <w:rFonts w:eastAsia="Arial Narrow" w:cs="Arial Narrow"/>
                <w:bCs w:val="0"/>
                <w:color w:val="000000" w:themeColor="text1"/>
                <w:szCs w:val="20"/>
              </w:rPr>
              <w:t>2/14 (14)</w:t>
            </w:r>
          </w:p>
        </w:tc>
        <w:tc>
          <w:tcPr>
            <w:tcW w:w="2835" w:type="dxa"/>
            <w:tcBorders>
              <w:top w:val="single" w:sz="6" w:space="0" w:color="auto"/>
              <w:left w:val="single" w:sz="6" w:space="0" w:color="auto"/>
              <w:bottom w:val="single" w:sz="6" w:space="0" w:color="auto"/>
              <w:right w:val="single" w:sz="6" w:space="0" w:color="auto"/>
            </w:tcBorders>
            <w:vAlign w:val="center"/>
          </w:tcPr>
          <w:p w14:paraId="24B5F62B" w14:textId="77777777" w:rsidR="00DA6F99" w:rsidRPr="000B09B9" w:rsidRDefault="00DA6F99" w:rsidP="002B0564">
            <w:pPr>
              <w:pStyle w:val="TableText0"/>
              <w:keepNext/>
              <w:keepLines/>
              <w:widowControl/>
              <w:jc w:val="center"/>
              <w:rPr>
                <w:rFonts w:eastAsia="Arial Narrow" w:cs="Arial Narrow"/>
                <w:bCs w:val="0"/>
                <w:color w:val="000000" w:themeColor="text1"/>
                <w:szCs w:val="20"/>
              </w:rPr>
            </w:pPr>
            <w:r w:rsidRPr="000B09B9">
              <w:rPr>
                <w:rFonts w:eastAsia="Arial Narrow" w:cs="Arial Narrow"/>
                <w:bCs w:val="0"/>
                <w:color w:val="000000" w:themeColor="text1"/>
                <w:szCs w:val="20"/>
              </w:rPr>
              <w:t>7/18 (39)</w:t>
            </w:r>
          </w:p>
        </w:tc>
      </w:tr>
      <w:tr w:rsidR="00DA6F99" w:rsidRPr="000B09B9" w14:paraId="35241DDC" w14:textId="77777777" w:rsidTr="002F40EF">
        <w:tc>
          <w:tcPr>
            <w:tcW w:w="8923" w:type="dxa"/>
            <w:gridSpan w:val="3"/>
            <w:tcBorders>
              <w:top w:val="single" w:sz="6" w:space="0" w:color="auto"/>
              <w:left w:val="single" w:sz="6" w:space="0" w:color="auto"/>
              <w:bottom w:val="single" w:sz="6" w:space="0" w:color="auto"/>
              <w:right w:val="single" w:sz="6" w:space="0" w:color="auto"/>
            </w:tcBorders>
            <w:vAlign w:val="center"/>
          </w:tcPr>
          <w:p w14:paraId="0096D2DD" w14:textId="77777777" w:rsidR="00DA6F99" w:rsidRPr="000B09B9" w:rsidRDefault="00DA6F99" w:rsidP="002B0564">
            <w:pPr>
              <w:pStyle w:val="TableText0"/>
              <w:keepNext/>
              <w:keepLines/>
              <w:widowControl/>
              <w:rPr>
                <w:rFonts w:eastAsia="Arial Narrow" w:cs="Arial Narrow"/>
                <w:bCs w:val="0"/>
                <w:color w:val="000000" w:themeColor="text1"/>
                <w:szCs w:val="20"/>
              </w:rPr>
            </w:pPr>
            <w:r w:rsidRPr="000B09B9">
              <w:rPr>
                <w:rFonts w:eastAsia="Arial Narrow" w:cs="Arial Narrow"/>
                <w:b/>
                <w:bCs w:val="0"/>
                <w:color w:val="000000" w:themeColor="text1"/>
                <w:szCs w:val="20"/>
              </w:rPr>
              <w:t>Subjects with treatment-emergent AEs (TEAE)</w:t>
            </w:r>
          </w:p>
        </w:tc>
      </w:tr>
      <w:tr w:rsidR="002F40EF" w:rsidRPr="000B09B9" w14:paraId="04ABEA63" w14:textId="77777777" w:rsidTr="002F40EF">
        <w:tc>
          <w:tcPr>
            <w:tcW w:w="3514" w:type="dxa"/>
            <w:tcBorders>
              <w:top w:val="single" w:sz="6" w:space="0" w:color="auto"/>
              <w:left w:val="single" w:sz="6" w:space="0" w:color="auto"/>
              <w:bottom w:val="single" w:sz="6" w:space="0" w:color="auto"/>
              <w:right w:val="single" w:sz="6" w:space="0" w:color="auto"/>
            </w:tcBorders>
            <w:vAlign w:val="center"/>
          </w:tcPr>
          <w:p w14:paraId="459A55E4" w14:textId="77777777" w:rsidR="00DA6F99" w:rsidRPr="000B09B9" w:rsidRDefault="00DA6F99" w:rsidP="002B0564">
            <w:pPr>
              <w:pStyle w:val="TableText0"/>
              <w:keepNext/>
              <w:keepLines/>
              <w:widowControl/>
              <w:rPr>
                <w:rFonts w:eastAsia="Arial Narrow" w:cs="Arial Narrow"/>
                <w:bCs w:val="0"/>
                <w:color w:val="000000" w:themeColor="text1"/>
                <w:szCs w:val="20"/>
              </w:rPr>
            </w:pPr>
            <w:r w:rsidRPr="000B09B9">
              <w:rPr>
                <w:rFonts w:eastAsia="Arial Narrow" w:cs="Arial Narrow"/>
                <w:bCs w:val="0"/>
                <w:color w:val="000000" w:themeColor="text1"/>
                <w:szCs w:val="20"/>
              </w:rPr>
              <w:t>All adverse</w:t>
            </w:r>
          </w:p>
        </w:tc>
        <w:tc>
          <w:tcPr>
            <w:tcW w:w="2574" w:type="dxa"/>
            <w:tcBorders>
              <w:top w:val="single" w:sz="6" w:space="0" w:color="auto"/>
              <w:left w:val="single" w:sz="6" w:space="0" w:color="auto"/>
              <w:bottom w:val="single" w:sz="6" w:space="0" w:color="auto"/>
              <w:right w:val="single" w:sz="6" w:space="0" w:color="auto"/>
            </w:tcBorders>
            <w:vAlign w:val="center"/>
          </w:tcPr>
          <w:p w14:paraId="4CDDF06B" w14:textId="77777777" w:rsidR="00DA6F99" w:rsidRPr="000B09B9" w:rsidRDefault="00DA6F99" w:rsidP="002B0564">
            <w:pPr>
              <w:pStyle w:val="TableText0"/>
              <w:keepNext/>
              <w:keepLines/>
              <w:widowControl/>
              <w:jc w:val="center"/>
              <w:rPr>
                <w:rFonts w:eastAsia="Arial Narrow" w:cs="Arial Narrow"/>
                <w:bCs w:val="0"/>
                <w:color w:val="000000" w:themeColor="text1"/>
                <w:szCs w:val="20"/>
              </w:rPr>
            </w:pPr>
            <w:r w:rsidRPr="000B09B9">
              <w:rPr>
                <w:rFonts w:eastAsia="Arial Narrow" w:cs="Arial Narrow"/>
                <w:bCs w:val="0"/>
                <w:color w:val="000000" w:themeColor="text1"/>
                <w:szCs w:val="20"/>
              </w:rPr>
              <w:t>6/14 (43)</w:t>
            </w:r>
          </w:p>
        </w:tc>
        <w:tc>
          <w:tcPr>
            <w:tcW w:w="2835" w:type="dxa"/>
            <w:tcBorders>
              <w:top w:val="single" w:sz="6" w:space="0" w:color="auto"/>
              <w:left w:val="single" w:sz="6" w:space="0" w:color="auto"/>
              <w:bottom w:val="single" w:sz="6" w:space="0" w:color="auto"/>
              <w:right w:val="single" w:sz="6" w:space="0" w:color="auto"/>
            </w:tcBorders>
            <w:vAlign w:val="center"/>
          </w:tcPr>
          <w:p w14:paraId="795D2045" w14:textId="77777777" w:rsidR="00DA6F99" w:rsidRPr="000B09B9" w:rsidRDefault="00DA6F99" w:rsidP="002B0564">
            <w:pPr>
              <w:pStyle w:val="TableText0"/>
              <w:keepNext/>
              <w:keepLines/>
              <w:widowControl/>
              <w:jc w:val="center"/>
              <w:rPr>
                <w:rFonts w:eastAsia="Arial Narrow" w:cs="Arial Narrow"/>
                <w:bCs w:val="0"/>
                <w:color w:val="000000" w:themeColor="text1"/>
                <w:szCs w:val="20"/>
              </w:rPr>
            </w:pPr>
            <w:r w:rsidRPr="000B09B9">
              <w:rPr>
                <w:rFonts w:eastAsia="Arial Narrow" w:cs="Arial Narrow"/>
                <w:bCs w:val="0"/>
                <w:color w:val="000000" w:themeColor="text1"/>
                <w:szCs w:val="20"/>
              </w:rPr>
              <w:t>14/18 (78)</w:t>
            </w:r>
          </w:p>
        </w:tc>
      </w:tr>
      <w:tr w:rsidR="002F40EF" w:rsidRPr="000B09B9" w14:paraId="33918DC4" w14:textId="77777777" w:rsidTr="002F40EF">
        <w:tc>
          <w:tcPr>
            <w:tcW w:w="3514" w:type="dxa"/>
            <w:tcBorders>
              <w:top w:val="single" w:sz="6" w:space="0" w:color="auto"/>
              <w:left w:val="single" w:sz="6" w:space="0" w:color="auto"/>
              <w:bottom w:val="single" w:sz="6" w:space="0" w:color="auto"/>
              <w:right w:val="single" w:sz="6" w:space="0" w:color="auto"/>
            </w:tcBorders>
            <w:vAlign w:val="center"/>
          </w:tcPr>
          <w:p w14:paraId="524B7A0E" w14:textId="77777777" w:rsidR="00DA6F99" w:rsidRPr="000B09B9" w:rsidRDefault="00DA6F99" w:rsidP="002B0564">
            <w:pPr>
              <w:pStyle w:val="TableText0"/>
              <w:keepNext/>
              <w:keepLines/>
              <w:widowControl/>
              <w:rPr>
                <w:rFonts w:eastAsia="Arial Narrow" w:cs="Arial Narrow"/>
                <w:bCs w:val="0"/>
                <w:color w:val="000000" w:themeColor="text1"/>
                <w:szCs w:val="20"/>
              </w:rPr>
            </w:pPr>
            <w:r w:rsidRPr="000B09B9">
              <w:rPr>
                <w:rFonts w:eastAsia="Arial Narrow" w:cs="Arial Narrow"/>
                <w:bCs w:val="0"/>
                <w:color w:val="000000" w:themeColor="text1"/>
                <w:szCs w:val="20"/>
              </w:rPr>
              <w:t>AEs excluding LEMS signs and symptoms</w:t>
            </w:r>
          </w:p>
        </w:tc>
        <w:tc>
          <w:tcPr>
            <w:tcW w:w="2574" w:type="dxa"/>
            <w:tcBorders>
              <w:top w:val="single" w:sz="6" w:space="0" w:color="auto"/>
              <w:left w:val="single" w:sz="6" w:space="0" w:color="auto"/>
              <w:bottom w:val="single" w:sz="6" w:space="0" w:color="auto"/>
              <w:right w:val="single" w:sz="6" w:space="0" w:color="auto"/>
            </w:tcBorders>
            <w:vAlign w:val="center"/>
          </w:tcPr>
          <w:p w14:paraId="34965DBA" w14:textId="77777777" w:rsidR="00DA6F99" w:rsidRPr="000B09B9" w:rsidRDefault="00DA6F99" w:rsidP="002B0564">
            <w:pPr>
              <w:pStyle w:val="TableText0"/>
              <w:keepNext/>
              <w:keepLines/>
              <w:widowControl/>
              <w:jc w:val="center"/>
              <w:rPr>
                <w:rFonts w:eastAsia="Arial Narrow" w:cs="Arial Narrow"/>
                <w:bCs w:val="0"/>
                <w:color w:val="000000" w:themeColor="text1"/>
                <w:szCs w:val="20"/>
              </w:rPr>
            </w:pPr>
            <w:r w:rsidRPr="000B09B9">
              <w:rPr>
                <w:rFonts w:eastAsia="Arial Narrow" w:cs="Arial Narrow"/>
                <w:bCs w:val="0"/>
                <w:color w:val="000000" w:themeColor="text1"/>
                <w:szCs w:val="20"/>
              </w:rPr>
              <w:t>5/14 (36)</w:t>
            </w:r>
          </w:p>
        </w:tc>
        <w:tc>
          <w:tcPr>
            <w:tcW w:w="2835" w:type="dxa"/>
            <w:tcBorders>
              <w:top w:val="single" w:sz="6" w:space="0" w:color="auto"/>
              <w:left w:val="single" w:sz="6" w:space="0" w:color="auto"/>
              <w:bottom w:val="single" w:sz="6" w:space="0" w:color="auto"/>
              <w:right w:val="single" w:sz="6" w:space="0" w:color="auto"/>
            </w:tcBorders>
            <w:vAlign w:val="center"/>
          </w:tcPr>
          <w:p w14:paraId="07967EF7" w14:textId="77777777" w:rsidR="00DA6F99" w:rsidRPr="000B09B9" w:rsidRDefault="00DA6F99" w:rsidP="002B0564">
            <w:pPr>
              <w:pStyle w:val="TableText0"/>
              <w:keepNext/>
              <w:keepLines/>
              <w:widowControl/>
              <w:jc w:val="center"/>
              <w:rPr>
                <w:rFonts w:eastAsia="Arial Narrow" w:cs="Arial Narrow"/>
                <w:bCs w:val="0"/>
                <w:color w:val="000000" w:themeColor="text1"/>
                <w:szCs w:val="20"/>
              </w:rPr>
            </w:pPr>
            <w:r w:rsidRPr="000B09B9">
              <w:rPr>
                <w:rFonts w:eastAsia="Arial Narrow" w:cs="Arial Narrow"/>
                <w:bCs w:val="0"/>
                <w:color w:val="000000" w:themeColor="text1"/>
                <w:szCs w:val="20"/>
              </w:rPr>
              <w:t>12/18 (67)</w:t>
            </w:r>
          </w:p>
        </w:tc>
      </w:tr>
      <w:tr w:rsidR="002F40EF" w:rsidRPr="000B09B9" w14:paraId="357B8642" w14:textId="77777777" w:rsidTr="002F40EF">
        <w:tc>
          <w:tcPr>
            <w:tcW w:w="3514" w:type="dxa"/>
            <w:tcBorders>
              <w:top w:val="single" w:sz="6" w:space="0" w:color="auto"/>
              <w:left w:val="single" w:sz="6" w:space="0" w:color="auto"/>
              <w:bottom w:val="single" w:sz="6" w:space="0" w:color="auto"/>
              <w:right w:val="single" w:sz="6" w:space="0" w:color="auto"/>
            </w:tcBorders>
            <w:vAlign w:val="center"/>
          </w:tcPr>
          <w:p w14:paraId="71F86F58" w14:textId="77777777" w:rsidR="00DA6F99" w:rsidRPr="000B09B9" w:rsidRDefault="00DA6F99" w:rsidP="002B0564">
            <w:pPr>
              <w:pStyle w:val="TableText0"/>
              <w:keepNext/>
              <w:keepLines/>
              <w:widowControl/>
              <w:rPr>
                <w:rFonts w:eastAsia="Arial Narrow" w:cs="Arial Narrow"/>
                <w:bCs w:val="0"/>
                <w:color w:val="000000" w:themeColor="text1"/>
                <w:szCs w:val="20"/>
              </w:rPr>
            </w:pPr>
            <w:r w:rsidRPr="000B09B9">
              <w:rPr>
                <w:rFonts w:eastAsia="Arial Narrow" w:cs="Arial Narrow"/>
                <w:bCs w:val="0"/>
                <w:color w:val="000000" w:themeColor="text1"/>
                <w:szCs w:val="20"/>
              </w:rPr>
              <w:t>LEMS signs and symptoms only</w:t>
            </w:r>
          </w:p>
        </w:tc>
        <w:tc>
          <w:tcPr>
            <w:tcW w:w="2574" w:type="dxa"/>
            <w:tcBorders>
              <w:top w:val="single" w:sz="6" w:space="0" w:color="auto"/>
              <w:left w:val="single" w:sz="6" w:space="0" w:color="auto"/>
              <w:bottom w:val="single" w:sz="6" w:space="0" w:color="auto"/>
              <w:right w:val="single" w:sz="6" w:space="0" w:color="auto"/>
            </w:tcBorders>
            <w:vAlign w:val="center"/>
          </w:tcPr>
          <w:p w14:paraId="62D46652" w14:textId="77777777" w:rsidR="00DA6F99" w:rsidRPr="000B09B9" w:rsidRDefault="00DA6F99" w:rsidP="002B0564">
            <w:pPr>
              <w:pStyle w:val="TableText0"/>
              <w:keepNext/>
              <w:keepLines/>
              <w:widowControl/>
              <w:jc w:val="center"/>
              <w:rPr>
                <w:rFonts w:eastAsia="Arial Narrow" w:cs="Arial Narrow"/>
                <w:bCs w:val="0"/>
                <w:color w:val="000000" w:themeColor="text1"/>
                <w:szCs w:val="20"/>
              </w:rPr>
            </w:pPr>
            <w:r w:rsidRPr="000B09B9">
              <w:rPr>
                <w:rFonts w:eastAsia="Arial Narrow" w:cs="Arial Narrow"/>
                <w:bCs w:val="0"/>
                <w:color w:val="000000" w:themeColor="text1"/>
                <w:szCs w:val="20"/>
              </w:rPr>
              <w:t>2/14 (14)</w:t>
            </w:r>
          </w:p>
        </w:tc>
        <w:tc>
          <w:tcPr>
            <w:tcW w:w="2835" w:type="dxa"/>
            <w:tcBorders>
              <w:top w:val="single" w:sz="6" w:space="0" w:color="auto"/>
              <w:left w:val="single" w:sz="6" w:space="0" w:color="auto"/>
              <w:bottom w:val="single" w:sz="6" w:space="0" w:color="auto"/>
              <w:right w:val="single" w:sz="6" w:space="0" w:color="auto"/>
            </w:tcBorders>
            <w:vAlign w:val="center"/>
          </w:tcPr>
          <w:p w14:paraId="0966529A" w14:textId="77777777" w:rsidR="00DA6F99" w:rsidRPr="000B09B9" w:rsidRDefault="00DA6F99" w:rsidP="002B0564">
            <w:pPr>
              <w:pStyle w:val="TableText0"/>
              <w:keepNext/>
              <w:keepLines/>
              <w:widowControl/>
              <w:jc w:val="center"/>
              <w:rPr>
                <w:rFonts w:eastAsia="Arial Narrow" w:cs="Arial Narrow"/>
                <w:bCs w:val="0"/>
                <w:color w:val="000000" w:themeColor="text1"/>
                <w:szCs w:val="20"/>
              </w:rPr>
            </w:pPr>
            <w:r w:rsidRPr="000B09B9">
              <w:rPr>
                <w:rFonts w:eastAsia="Arial Narrow" w:cs="Arial Narrow"/>
                <w:bCs w:val="0"/>
                <w:color w:val="000000" w:themeColor="text1"/>
                <w:szCs w:val="20"/>
              </w:rPr>
              <w:t>6/18 (33)</w:t>
            </w:r>
          </w:p>
        </w:tc>
      </w:tr>
      <w:tr w:rsidR="00DA6F99" w:rsidRPr="000B09B9" w14:paraId="7ACED4F5" w14:textId="77777777" w:rsidTr="002F40EF">
        <w:tc>
          <w:tcPr>
            <w:tcW w:w="8923" w:type="dxa"/>
            <w:gridSpan w:val="3"/>
            <w:tcBorders>
              <w:top w:val="single" w:sz="6" w:space="0" w:color="auto"/>
              <w:left w:val="single" w:sz="6" w:space="0" w:color="auto"/>
              <w:bottom w:val="single" w:sz="6" w:space="0" w:color="auto"/>
              <w:right w:val="single" w:sz="6" w:space="0" w:color="auto"/>
            </w:tcBorders>
            <w:vAlign w:val="center"/>
          </w:tcPr>
          <w:p w14:paraId="5EDA612D" w14:textId="77777777" w:rsidR="00DA6F99" w:rsidRPr="000B09B9" w:rsidRDefault="00DA6F99" w:rsidP="002B0564">
            <w:pPr>
              <w:pStyle w:val="TableText0"/>
              <w:keepNext/>
              <w:keepLines/>
              <w:widowControl/>
              <w:rPr>
                <w:rFonts w:eastAsia="Arial Narrow" w:cs="Arial Narrow"/>
                <w:bCs w:val="0"/>
                <w:color w:val="000000" w:themeColor="text1"/>
                <w:szCs w:val="20"/>
              </w:rPr>
            </w:pPr>
            <w:r w:rsidRPr="000B09B9">
              <w:rPr>
                <w:rFonts w:eastAsia="Arial Narrow" w:cs="Arial Narrow"/>
                <w:b/>
                <w:bCs w:val="0"/>
                <w:color w:val="000000" w:themeColor="text1"/>
                <w:szCs w:val="20"/>
              </w:rPr>
              <w:t>Subjects with TEAEs related to taper of study drug</w:t>
            </w:r>
          </w:p>
        </w:tc>
      </w:tr>
      <w:tr w:rsidR="002F40EF" w:rsidRPr="000B09B9" w14:paraId="335D6E8A" w14:textId="77777777" w:rsidTr="002F40EF">
        <w:tc>
          <w:tcPr>
            <w:tcW w:w="3514" w:type="dxa"/>
            <w:tcBorders>
              <w:top w:val="single" w:sz="6" w:space="0" w:color="auto"/>
              <w:left w:val="single" w:sz="6" w:space="0" w:color="auto"/>
              <w:bottom w:val="single" w:sz="6" w:space="0" w:color="auto"/>
              <w:right w:val="single" w:sz="6" w:space="0" w:color="auto"/>
            </w:tcBorders>
            <w:vAlign w:val="center"/>
          </w:tcPr>
          <w:p w14:paraId="6BCCC47F" w14:textId="77777777" w:rsidR="00DA6F99" w:rsidRPr="000B09B9" w:rsidRDefault="00DA6F99" w:rsidP="002B0564">
            <w:pPr>
              <w:pStyle w:val="TableText0"/>
              <w:keepNext/>
              <w:keepLines/>
              <w:widowControl/>
              <w:rPr>
                <w:rFonts w:eastAsia="Arial Narrow" w:cs="Arial Narrow"/>
                <w:bCs w:val="0"/>
                <w:color w:val="000000" w:themeColor="text1"/>
                <w:szCs w:val="20"/>
              </w:rPr>
            </w:pPr>
            <w:r w:rsidRPr="000B09B9">
              <w:rPr>
                <w:rFonts w:eastAsia="Arial Narrow" w:cs="Arial Narrow"/>
                <w:bCs w:val="0"/>
                <w:color w:val="000000" w:themeColor="text1"/>
                <w:szCs w:val="20"/>
              </w:rPr>
              <w:t>All adverse</w:t>
            </w:r>
          </w:p>
        </w:tc>
        <w:tc>
          <w:tcPr>
            <w:tcW w:w="2574" w:type="dxa"/>
            <w:tcBorders>
              <w:top w:val="single" w:sz="6" w:space="0" w:color="auto"/>
              <w:left w:val="single" w:sz="6" w:space="0" w:color="auto"/>
              <w:bottom w:val="single" w:sz="6" w:space="0" w:color="auto"/>
              <w:right w:val="single" w:sz="6" w:space="0" w:color="auto"/>
            </w:tcBorders>
            <w:vAlign w:val="center"/>
          </w:tcPr>
          <w:p w14:paraId="299B21F7" w14:textId="77777777" w:rsidR="00DA6F99" w:rsidRPr="000B09B9" w:rsidRDefault="00DA6F99" w:rsidP="002B0564">
            <w:pPr>
              <w:pStyle w:val="TableText0"/>
              <w:keepNext/>
              <w:keepLines/>
              <w:widowControl/>
              <w:jc w:val="center"/>
              <w:rPr>
                <w:rFonts w:eastAsia="Arial Narrow" w:cs="Arial Narrow"/>
                <w:bCs w:val="0"/>
                <w:color w:val="000000" w:themeColor="text1"/>
                <w:szCs w:val="20"/>
              </w:rPr>
            </w:pPr>
            <w:r w:rsidRPr="000B09B9">
              <w:rPr>
                <w:rFonts w:eastAsia="Arial Narrow" w:cs="Arial Narrow"/>
                <w:bCs w:val="0"/>
                <w:color w:val="000000" w:themeColor="text1"/>
                <w:szCs w:val="20"/>
              </w:rPr>
              <w:t>0/14 (0)</w:t>
            </w:r>
          </w:p>
        </w:tc>
        <w:tc>
          <w:tcPr>
            <w:tcW w:w="2835" w:type="dxa"/>
            <w:tcBorders>
              <w:top w:val="single" w:sz="6" w:space="0" w:color="auto"/>
              <w:left w:val="single" w:sz="6" w:space="0" w:color="auto"/>
              <w:bottom w:val="single" w:sz="6" w:space="0" w:color="auto"/>
              <w:right w:val="single" w:sz="6" w:space="0" w:color="auto"/>
            </w:tcBorders>
            <w:vAlign w:val="center"/>
          </w:tcPr>
          <w:p w14:paraId="3F72D4E0" w14:textId="77777777" w:rsidR="00DA6F99" w:rsidRPr="000B09B9" w:rsidRDefault="00DA6F99" w:rsidP="002B0564">
            <w:pPr>
              <w:pStyle w:val="TableText0"/>
              <w:keepNext/>
              <w:keepLines/>
              <w:widowControl/>
              <w:jc w:val="center"/>
              <w:rPr>
                <w:rFonts w:eastAsia="Arial Narrow" w:cs="Arial Narrow"/>
                <w:bCs w:val="0"/>
                <w:color w:val="000000" w:themeColor="text1"/>
                <w:szCs w:val="20"/>
              </w:rPr>
            </w:pPr>
            <w:r w:rsidRPr="000B09B9">
              <w:rPr>
                <w:rFonts w:eastAsia="Arial Narrow" w:cs="Arial Narrow"/>
                <w:bCs w:val="0"/>
                <w:color w:val="000000" w:themeColor="text1"/>
                <w:szCs w:val="20"/>
              </w:rPr>
              <w:t>2/18 (11)</w:t>
            </w:r>
          </w:p>
        </w:tc>
      </w:tr>
      <w:tr w:rsidR="002F40EF" w:rsidRPr="000B09B9" w14:paraId="1613A948" w14:textId="77777777" w:rsidTr="002F40EF">
        <w:tc>
          <w:tcPr>
            <w:tcW w:w="3514" w:type="dxa"/>
            <w:tcBorders>
              <w:top w:val="single" w:sz="6" w:space="0" w:color="auto"/>
              <w:left w:val="single" w:sz="6" w:space="0" w:color="auto"/>
              <w:bottom w:val="single" w:sz="6" w:space="0" w:color="auto"/>
              <w:right w:val="single" w:sz="6" w:space="0" w:color="auto"/>
            </w:tcBorders>
            <w:vAlign w:val="center"/>
          </w:tcPr>
          <w:p w14:paraId="226683D2" w14:textId="77777777" w:rsidR="00DA6F99" w:rsidRPr="000B09B9" w:rsidRDefault="00DA6F99" w:rsidP="002B0564">
            <w:pPr>
              <w:pStyle w:val="TableText0"/>
              <w:keepNext/>
              <w:keepLines/>
              <w:widowControl/>
              <w:rPr>
                <w:rFonts w:eastAsia="Arial Narrow" w:cs="Arial Narrow"/>
                <w:bCs w:val="0"/>
                <w:color w:val="000000" w:themeColor="text1"/>
                <w:szCs w:val="20"/>
              </w:rPr>
            </w:pPr>
            <w:r w:rsidRPr="000B09B9">
              <w:rPr>
                <w:rFonts w:eastAsia="Arial Narrow" w:cs="Arial Narrow"/>
                <w:bCs w:val="0"/>
                <w:color w:val="000000" w:themeColor="text1"/>
                <w:szCs w:val="20"/>
              </w:rPr>
              <w:t>AEs excluding LEMS signs and symptoms</w:t>
            </w:r>
          </w:p>
        </w:tc>
        <w:tc>
          <w:tcPr>
            <w:tcW w:w="2574" w:type="dxa"/>
            <w:tcBorders>
              <w:top w:val="single" w:sz="6" w:space="0" w:color="auto"/>
              <w:left w:val="single" w:sz="6" w:space="0" w:color="auto"/>
              <w:bottom w:val="single" w:sz="6" w:space="0" w:color="auto"/>
              <w:right w:val="single" w:sz="6" w:space="0" w:color="auto"/>
            </w:tcBorders>
            <w:vAlign w:val="center"/>
          </w:tcPr>
          <w:p w14:paraId="51DBC10A" w14:textId="77777777" w:rsidR="00DA6F99" w:rsidRPr="000B09B9" w:rsidRDefault="00DA6F99" w:rsidP="002B0564">
            <w:pPr>
              <w:pStyle w:val="TableText0"/>
              <w:keepNext/>
              <w:keepLines/>
              <w:widowControl/>
              <w:jc w:val="center"/>
              <w:rPr>
                <w:rFonts w:eastAsia="Arial Narrow" w:cs="Arial Narrow"/>
                <w:bCs w:val="0"/>
                <w:color w:val="000000" w:themeColor="text1"/>
                <w:szCs w:val="20"/>
              </w:rPr>
            </w:pPr>
            <w:r w:rsidRPr="000B09B9">
              <w:rPr>
                <w:rFonts w:eastAsia="Arial Narrow" w:cs="Arial Narrow"/>
                <w:bCs w:val="0"/>
                <w:color w:val="000000" w:themeColor="text1"/>
                <w:szCs w:val="20"/>
              </w:rPr>
              <w:t>0/14 (0)</w:t>
            </w:r>
          </w:p>
        </w:tc>
        <w:tc>
          <w:tcPr>
            <w:tcW w:w="2835" w:type="dxa"/>
            <w:tcBorders>
              <w:top w:val="single" w:sz="6" w:space="0" w:color="auto"/>
              <w:left w:val="single" w:sz="6" w:space="0" w:color="auto"/>
              <w:bottom w:val="single" w:sz="6" w:space="0" w:color="auto"/>
              <w:right w:val="single" w:sz="6" w:space="0" w:color="auto"/>
            </w:tcBorders>
            <w:vAlign w:val="center"/>
          </w:tcPr>
          <w:p w14:paraId="76898DD9" w14:textId="77777777" w:rsidR="00DA6F99" w:rsidRPr="000B09B9" w:rsidRDefault="00DA6F99" w:rsidP="002B0564">
            <w:pPr>
              <w:pStyle w:val="TableText0"/>
              <w:keepNext/>
              <w:keepLines/>
              <w:widowControl/>
              <w:jc w:val="center"/>
              <w:rPr>
                <w:rFonts w:eastAsia="Arial Narrow" w:cs="Arial Narrow"/>
                <w:bCs w:val="0"/>
                <w:color w:val="000000" w:themeColor="text1"/>
                <w:szCs w:val="20"/>
              </w:rPr>
            </w:pPr>
            <w:r w:rsidRPr="000B09B9">
              <w:rPr>
                <w:rFonts w:eastAsia="Arial Narrow" w:cs="Arial Narrow"/>
                <w:bCs w:val="0"/>
                <w:color w:val="000000" w:themeColor="text1"/>
                <w:szCs w:val="20"/>
              </w:rPr>
              <w:t>0/18 (0)</w:t>
            </w:r>
          </w:p>
        </w:tc>
      </w:tr>
      <w:tr w:rsidR="002F40EF" w:rsidRPr="000B09B9" w14:paraId="1017AA3E" w14:textId="77777777" w:rsidTr="002F40EF">
        <w:tc>
          <w:tcPr>
            <w:tcW w:w="3514" w:type="dxa"/>
            <w:tcBorders>
              <w:top w:val="single" w:sz="6" w:space="0" w:color="auto"/>
              <w:left w:val="single" w:sz="6" w:space="0" w:color="auto"/>
              <w:bottom w:val="single" w:sz="6" w:space="0" w:color="auto"/>
              <w:right w:val="single" w:sz="6" w:space="0" w:color="auto"/>
            </w:tcBorders>
            <w:vAlign w:val="center"/>
          </w:tcPr>
          <w:p w14:paraId="0B51F4EB" w14:textId="77777777" w:rsidR="00DA6F99" w:rsidRPr="000B09B9" w:rsidRDefault="00DA6F99" w:rsidP="002B0564">
            <w:pPr>
              <w:pStyle w:val="TableText0"/>
              <w:keepNext/>
              <w:keepLines/>
              <w:widowControl/>
              <w:rPr>
                <w:rFonts w:eastAsia="Arial Narrow" w:cs="Arial Narrow"/>
                <w:bCs w:val="0"/>
                <w:color w:val="000000" w:themeColor="text1"/>
                <w:szCs w:val="20"/>
              </w:rPr>
            </w:pPr>
            <w:r w:rsidRPr="000B09B9">
              <w:rPr>
                <w:rFonts w:eastAsia="Arial Narrow" w:cs="Arial Narrow"/>
                <w:bCs w:val="0"/>
                <w:color w:val="000000" w:themeColor="text1"/>
                <w:szCs w:val="20"/>
              </w:rPr>
              <w:t>LEMS signs and symptoms only</w:t>
            </w:r>
          </w:p>
        </w:tc>
        <w:tc>
          <w:tcPr>
            <w:tcW w:w="2574" w:type="dxa"/>
            <w:tcBorders>
              <w:top w:val="single" w:sz="6" w:space="0" w:color="auto"/>
              <w:left w:val="single" w:sz="6" w:space="0" w:color="auto"/>
              <w:bottom w:val="single" w:sz="6" w:space="0" w:color="auto"/>
              <w:right w:val="single" w:sz="6" w:space="0" w:color="auto"/>
            </w:tcBorders>
            <w:vAlign w:val="center"/>
          </w:tcPr>
          <w:p w14:paraId="622D92F7" w14:textId="77777777" w:rsidR="00DA6F99" w:rsidRPr="000B09B9" w:rsidRDefault="00DA6F99" w:rsidP="002B0564">
            <w:pPr>
              <w:pStyle w:val="TableText0"/>
              <w:keepNext/>
              <w:keepLines/>
              <w:widowControl/>
              <w:jc w:val="center"/>
              <w:rPr>
                <w:rFonts w:eastAsia="Arial Narrow" w:cs="Arial Narrow"/>
                <w:bCs w:val="0"/>
                <w:color w:val="000000" w:themeColor="text1"/>
                <w:szCs w:val="20"/>
              </w:rPr>
            </w:pPr>
            <w:r w:rsidRPr="000B09B9">
              <w:rPr>
                <w:rFonts w:eastAsia="Arial Narrow" w:cs="Arial Narrow"/>
                <w:bCs w:val="0"/>
                <w:color w:val="000000" w:themeColor="text1"/>
                <w:szCs w:val="20"/>
              </w:rPr>
              <w:t>0/14 (0)</w:t>
            </w:r>
          </w:p>
        </w:tc>
        <w:tc>
          <w:tcPr>
            <w:tcW w:w="2835" w:type="dxa"/>
            <w:tcBorders>
              <w:top w:val="single" w:sz="6" w:space="0" w:color="auto"/>
              <w:left w:val="single" w:sz="6" w:space="0" w:color="auto"/>
              <w:bottom w:val="single" w:sz="6" w:space="0" w:color="auto"/>
              <w:right w:val="single" w:sz="6" w:space="0" w:color="auto"/>
            </w:tcBorders>
            <w:vAlign w:val="center"/>
          </w:tcPr>
          <w:p w14:paraId="096C0565" w14:textId="77777777" w:rsidR="00DA6F99" w:rsidRPr="000B09B9" w:rsidRDefault="00DA6F99" w:rsidP="002B0564">
            <w:pPr>
              <w:pStyle w:val="TableText0"/>
              <w:keepNext/>
              <w:keepLines/>
              <w:widowControl/>
              <w:jc w:val="center"/>
              <w:rPr>
                <w:rFonts w:eastAsia="Arial Narrow" w:cs="Arial Narrow"/>
                <w:bCs w:val="0"/>
                <w:color w:val="000000" w:themeColor="text1"/>
                <w:szCs w:val="20"/>
              </w:rPr>
            </w:pPr>
            <w:r w:rsidRPr="000B09B9">
              <w:rPr>
                <w:rFonts w:eastAsia="Arial Narrow" w:cs="Arial Narrow"/>
                <w:bCs w:val="0"/>
                <w:color w:val="000000" w:themeColor="text1"/>
                <w:szCs w:val="20"/>
              </w:rPr>
              <w:t>2/18 (11)</w:t>
            </w:r>
          </w:p>
        </w:tc>
      </w:tr>
      <w:tr w:rsidR="00DA6F99" w:rsidRPr="000B09B9" w14:paraId="282D8228" w14:textId="77777777" w:rsidTr="002F40EF">
        <w:tc>
          <w:tcPr>
            <w:tcW w:w="8923" w:type="dxa"/>
            <w:gridSpan w:val="3"/>
            <w:tcBorders>
              <w:top w:val="single" w:sz="6" w:space="0" w:color="auto"/>
              <w:left w:val="single" w:sz="6" w:space="0" w:color="auto"/>
              <w:bottom w:val="single" w:sz="6" w:space="0" w:color="auto"/>
              <w:right w:val="single" w:sz="6" w:space="0" w:color="auto"/>
            </w:tcBorders>
            <w:vAlign w:val="center"/>
          </w:tcPr>
          <w:p w14:paraId="76EAC8FD" w14:textId="77777777" w:rsidR="00DA6F99" w:rsidRPr="000B09B9" w:rsidRDefault="00DA6F99" w:rsidP="002B0564">
            <w:pPr>
              <w:pStyle w:val="TableText0"/>
              <w:keepNext/>
              <w:keepLines/>
              <w:widowControl/>
              <w:rPr>
                <w:rFonts w:eastAsia="Arial Narrow" w:cs="Arial Narrow"/>
                <w:bCs w:val="0"/>
                <w:color w:val="000000" w:themeColor="text1"/>
                <w:szCs w:val="20"/>
              </w:rPr>
            </w:pPr>
            <w:r w:rsidRPr="000B09B9">
              <w:rPr>
                <w:rFonts w:eastAsia="Arial Narrow" w:cs="Arial Narrow"/>
                <w:b/>
                <w:bCs w:val="0"/>
                <w:color w:val="000000" w:themeColor="text1"/>
                <w:szCs w:val="20"/>
              </w:rPr>
              <w:t>Subjects with serious TEAEs (SAEs)</w:t>
            </w:r>
          </w:p>
        </w:tc>
      </w:tr>
      <w:tr w:rsidR="002F40EF" w:rsidRPr="000B09B9" w14:paraId="503D71EC" w14:textId="77777777" w:rsidTr="002F40EF">
        <w:tc>
          <w:tcPr>
            <w:tcW w:w="3514" w:type="dxa"/>
            <w:tcBorders>
              <w:top w:val="single" w:sz="6" w:space="0" w:color="auto"/>
              <w:left w:val="single" w:sz="6" w:space="0" w:color="auto"/>
              <w:bottom w:val="single" w:sz="6" w:space="0" w:color="auto"/>
              <w:right w:val="single" w:sz="6" w:space="0" w:color="auto"/>
            </w:tcBorders>
            <w:vAlign w:val="center"/>
          </w:tcPr>
          <w:p w14:paraId="74E6EFE6" w14:textId="77777777" w:rsidR="00DA6F99" w:rsidRPr="000B09B9" w:rsidRDefault="00DA6F99" w:rsidP="002B0564">
            <w:pPr>
              <w:pStyle w:val="TableText0"/>
              <w:keepNext/>
              <w:keepLines/>
              <w:widowControl/>
              <w:rPr>
                <w:rFonts w:eastAsia="Arial Narrow" w:cs="Arial Narrow"/>
                <w:bCs w:val="0"/>
                <w:color w:val="000000" w:themeColor="text1"/>
                <w:szCs w:val="20"/>
              </w:rPr>
            </w:pPr>
            <w:r w:rsidRPr="000B09B9">
              <w:rPr>
                <w:rFonts w:eastAsia="Arial Narrow" w:cs="Arial Narrow"/>
                <w:bCs w:val="0"/>
                <w:color w:val="000000" w:themeColor="text1"/>
                <w:szCs w:val="20"/>
              </w:rPr>
              <w:t>All adverse</w:t>
            </w:r>
          </w:p>
        </w:tc>
        <w:tc>
          <w:tcPr>
            <w:tcW w:w="2574" w:type="dxa"/>
            <w:tcBorders>
              <w:top w:val="single" w:sz="6" w:space="0" w:color="auto"/>
              <w:left w:val="single" w:sz="6" w:space="0" w:color="auto"/>
              <w:bottom w:val="single" w:sz="6" w:space="0" w:color="auto"/>
              <w:right w:val="single" w:sz="6" w:space="0" w:color="auto"/>
            </w:tcBorders>
            <w:vAlign w:val="center"/>
          </w:tcPr>
          <w:p w14:paraId="5A8E53AC" w14:textId="77777777" w:rsidR="00DA6F99" w:rsidRPr="000B09B9" w:rsidRDefault="00DA6F99" w:rsidP="002B0564">
            <w:pPr>
              <w:pStyle w:val="TableText0"/>
              <w:keepNext/>
              <w:keepLines/>
              <w:widowControl/>
              <w:jc w:val="center"/>
              <w:rPr>
                <w:rFonts w:eastAsia="Arial Narrow" w:cs="Arial Narrow"/>
                <w:bCs w:val="0"/>
                <w:color w:val="000000" w:themeColor="text1"/>
                <w:szCs w:val="20"/>
              </w:rPr>
            </w:pPr>
            <w:r w:rsidRPr="000B09B9">
              <w:rPr>
                <w:rFonts w:eastAsia="Arial Narrow" w:cs="Arial Narrow"/>
                <w:bCs w:val="0"/>
                <w:color w:val="000000" w:themeColor="text1"/>
                <w:szCs w:val="20"/>
              </w:rPr>
              <w:t>0/14 (0)</w:t>
            </w:r>
          </w:p>
        </w:tc>
        <w:tc>
          <w:tcPr>
            <w:tcW w:w="2835" w:type="dxa"/>
            <w:tcBorders>
              <w:top w:val="single" w:sz="6" w:space="0" w:color="auto"/>
              <w:left w:val="single" w:sz="6" w:space="0" w:color="auto"/>
              <w:bottom w:val="single" w:sz="6" w:space="0" w:color="auto"/>
              <w:right w:val="single" w:sz="6" w:space="0" w:color="auto"/>
            </w:tcBorders>
            <w:vAlign w:val="center"/>
          </w:tcPr>
          <w:p w14:paraId="212CD6E9" w14:textId="77777777" w:rsidR="00DA6F99" w:rsidRPr="000B09B9" w:rsidRDefault="00DA6F99" w:rsidP="002B0564">
            <w:pPr>
              <w:pStyle w:val="TableText0"/>
              <w:keepNext/>
              <w:keepLines/>
              <w:widowControl/>
              <w:jc w:val="center"/>
              <w:rPr>
                <w:rFonts w:eastAsia="Arial Narrow" w:cs="Arial Narrow"/>
                <w:bCs w:val="0"/>
                <w:color w:val="000000" w:themeColor="text1"/>
                <w:szCs w:val="20"/>
              </w:rPr>
            </w:pPr>
            <w:r w:rsidRPr="000B09B9">
              <w:rPr>
                <w:rFonts w:eastAsia="Arial Narrow" w:cs="Arial Narrow"/>
                <w:bCs w:val="0"/>
                <w:color w:val="000000" w:themeColor="text1"/>
                <w:szCs w:val="20"/>
              </w:rPr>
              <w:t>1/18 (6)</w:t>
            </w:r>
          </w:p>
        </w:tc>
      </w:tr>
      <w:tr w:rsidR="002F40EF" w:rsidRPr="000B09B9" w14:paraId="56B1CD62" w14:textId="77777777" w:rsidTr="002F40EF">
        <w:tc>
          <w:tcPr>
            <w:tcW w:w="3514" w:type="dxa"/>
            <w:tcBorders>
              <w:top w:val="single" w:sz="6" w:space="0" w:color="auto"/>
              <w:left w:val="single" w:sz="6" w:space="0" w:color="auto"/>
              <w:bottom w:val="single" w:sz="6" w:space="0" w:color="auto"/>
              <w:right w:val="single" w:sz="6" w:space="0" w:color="auto"/>
            </w:tcBorders>
            <w:vAlign w:val="center"/>
          </w:tcPr>
          <w:p w14:paraId="60485D4C" w14:textId="77777777" w:rsidR="00DA6F99" w:rsidRPr="000B09B9" w:rsidRDefault="00DA6F99" w:rsidP="002B0564">
            <w:pPr>
              <w:pStyle w:val="TableText0"/>
              <w:keepNext/>
              <w:keepLines/>
              <w:widowControl/>
              <w:rPr>
                <w:rFonts w:eastAsia="Arial Narrow" w:cs="Arial Narrow"/>
                <w:bCs w:val="0"/>
                <w:color w:val="000000" w:themeColor="text1"/>
                <w:szCs w:val="20"/>
              </w:rPr>
            </w:pPr>
            <w:r w:rsidRPr="000B09B9">
              <w:rPr>
                <w:rFonts w:eastAsia="Arial Narrow" w:cs="Arial Narrow"/>
                <w:bCs w:val="0"/>
                <w:color w:val="000000" w:themeColor="text1"/>
                <w:szCs w:val="20"/>
              </w:rPr>
              <w:t>AEs excluding LEMS signs and symptoms</w:t>
            </w:r>
          </w:p>
        </w:tc>
        <w:tc>
          <w:tcPr>
            <w:tcW w:w="2574" w:type="dxa"/>
            <w:tcBorders>
              <w:top w:val="single" w:sz="6" w:space="0" w:color="auto"/>
              <w:left w:val="single" w:sz="6" w:space="0" w:color="auto"/>
              <w:bottom w:val="single" w:sz="6" w:space="0" w:color="auto"/>
              <w:right w:val="single" w:sz="6" w:space="0" w:color="auto"/>
            </w:tcBorders>
            <w:vAlign w:val="center"/>
          </w:tcPr>
          <w:p w14:paraId="53302265" w14:textId="77777777" w:rsidR="00DA6F99" w:rsidRPr="000B09B9" w:rsidRDefault="00DA6F99" w:rsidP="002B0564">
            <w:pPr>
              <w:pStyle w:val="TableText0"/>
              <w:keepNext/>
              <w:keepLines/>
              <w:widowControl/>
              <w:jc w:val="center"/>
              <w:rPr>
                <w:rFonts w:eastAsia="Arial Narrow" w:cs="Arial Narrow"/>
                <w:bCs w:val="0"/>
                <w:color w:val="000000" w:themeColor="text1"/>
                <w:szCs w:val="20"/>
              </w:rPr>
            </w:pPr>
            <w:r w:rsidRPr="000B09B9">
              <w:rPr>
                <w:rFonts w:eastAsia="Arial Narrow" w:cs="Arial Narrow"/>
                <w:bCs w:val="0"/>
                <w:color w:val="000000" w:themeColor="text1"/>
                <w:szCs w:val="20"/>
              </w:rPr>
              <w:t>0/14 (0)</w:t>
            </w:r>
          </w:p>
        </w:tc>
        <w:tc>
          <w:tcPr>
            <w:tcW w:w="2835" w:type="dxa"/>
            <w:tcBorders>
              <w:top w:val="single" w:sz="6" w:space="0" w:color="auto"/>
              <w:left w:val="single" w:sz="6" w:space="0" w:color="auto"/>
              <w:bottom w:val="single" w:sz="6" w:space="0" w:color="auto"/>
              <w:right w:val="single" w:sz="6" w:space="0" w:color="auto"/>
            </w:tcBorders>
            <w:vAlign w:val="center"/>
          </w:tcPr>
          <w:p w14:paraId="78A46B35" w14:textId="77777777" w:rsidR="00DA6F99" w:rsidRPr="000B09B9" w:rsidRDefault="00DA6F99" w:rsidP="002B0564">
            <w:pPr>
              <w:pStyle w:val="TableText0"/>
              <w:keepNext/>
              <w:keepLines/>
              <w:widowControl/>
              <w:jc w:val="center"/>
              <w:rPr>
                <w:rFonts w:eastAsia="Arial Narrow" w:cs="Arial Narrow"/>
                <w:bCs w:val="0"/>
                <w:color w:val="000000" w:themeColor="text1"/>
                <w:szCs w:val="20"/>
              </w:rPr>
            </w:pPr>
            <w:r w:rsidRPr="000B09B9">
              <w:rPr>
                <w:rFonts w:eastAsia="Arial Narrow" w:cs="Arial Narrow"/>
                <w:bCs w:val="0"/>
                <w:color w:val="000000" w:themeColor="text1"/>
                <w:szCs w:val="20"/>
              </w:rPr>
              <w:t>1/18 (6)</w:t>
            </w:r>
          </w:p>
        </w:tc>
      </w:tr>
      <w:tr w:rsidR="002F40EF" w:rsidRPr="000B09B9" w14:paraId="2A5A733D" w14:textId="77777777" w:rsidTr="002F40EF">
        <w:tc>
          <w:tcPr>
            <w:tcW w:w="3514" w:type="dxa"/>
            <w:tcBorders>
              <w:top w:val="single" w:sz="6" w:space="0" w:color="auto"/>
              <w:left w:val="single" w:sz="6" w:space="0" w:color="auto"/>
              <w:bottom w:val="single" w:sz="6" w:space="0" w:color="auto"/>
              <w:right w:val="single" w:sz="6" w:space="0" w:color="auto"/>
            </w:tcBorders>
            <w:vAlign w:val="center"/>
          </w:tcPr>
          <w:p w14:paraId="7E210FA0" w14:textId="77777777" w:rsidR="00DA6F99" w:rsidRPr="000B09B9" w:rsidRDefault="00DA6F99" w:rsidP="002B0564">
            <w:pPr>
              <w:pStyle w:val="TableText0"/>
              <w:keepNext/>
              <w:keepLines/>
              <w:widowControl/>
              <w:rPr>
                <w:rFonts w:eastAsia="Arial Narrow" w:cs="Arial Narrow"/>
                <w:bCs w:val="0"/>
                <w:color w:val="000000" w:themeColor="text1"/>
                <w:szCs w:val="20"/>
              </w:rPr>
            </w:pPr>
            <w:r w:rsidRPr="000B09B9">
              <w:rPr>
                <w:rFonts w:eastAsia="Arial Narrow" w:cs="Arial Narrow"/>
                <w:bCs w:val="0"/>
                <w:color w:val="000000" w:themeColor="text1"/>
                <w:szCs w:val="20"/>
              </w:rPr>
              <w:t>LEMS signs and symptoms only</w:t>
            </w:r>
          </w:p>
        </w:tc>
        <w:tc>
          <w:tcPr>
            <w:tcW w:w="2574" w:type="dxa"/>
            <w:tcBorders>
              <w:top w:val="single" w:sz="6" w:space="0" w:color="auto"/>
              <w:left w:val="single" w:sz="6" w:space="0" w:color="auto"/>
              <w:bottom w:val="single" w:sz="6" w:space="0" w:color="auto"/>
              <w:right w:val="single" w:sz="6" w:space="0" w:color="auto"/>
            </w:tcBorders>
            <w:vAlign w:val="center"/>
          </w:tcPr>
          <w:p w14:paraId="556163F6" w14:textId="77777777" w:rsidR="00DA6F99" w:rsidRPr="000B09B9" w:rsidRDefault="00DA6F99" w:rsidP="002B0564">
            <w:pPr>
              <w:pStyle w:val="TableText0"/>
              <w:keepNext/>
              <w:keepLines/>
              <w:widowControl/>
              <w:jc w:val="center"/>
              <w:rPr>
                <w:rFonts w:eastAsia="Arial Narrow" w:cs="Arial Narrow"/>
                <w:bCs w:val="0"/>
                <w:color w:val="000000" w:themeColor="text1"/>
                <w:szCs w:val="20"/>
              </w:rPr>
            </w:pPr>
            <w:r w:rsidRPr="000B09B9">
              <w:rPr>
                <w:rFonts w:eastAsia="Arial Narrow" w:cs="Arial Narrow"/>
                <w:bCs w:val="0"/>
                <w:color w:val="000000" w:themeColor="text1"/>
                <w:szCs w:val="20"/>
              </w:rPr>
              <w:t>0/14 (0)</w:t>
            </w:r>
          </w:p>
        </w:tc>
        <w:tc>
          <w:tcPr>
            <w:tcW w:w="2835" w:type="dxa"/>
            <w:tcBorders>
              <w:top w:val="single" w:sz="6" w:space="0" w:color="auto"/>
              <w:left w:val="single" w:sz="6" w:space="0" w:color="auto"/>
              <w:bottom w:val="single" w:sz="6" w:space="0" w:color="auto"/>
              <w:right w:val="single" w:sz="6" w:space="0" w:color="auto"/>
            </w:tcBorders>
            <w:vAlign w:val="center"/>
          </w:tcPr>
          <w:p w14:paraId="1444B182" w14:textId="77777777" w:rsidR="00DA6F99" w:rsidRPr="000B09B9" w:rsidRDefault="00DA6F99" w:rsidP="002B0564">
            <w:pPr>
              <w:pStyle w:val="TableText0"/>
              <w:keepNext/>
              <w:keepLines/>
              <w:widowControl/>
              <w:jc w:val="center"/>
              <w:rPr>
                <w:rFonts w:eastAsia="Arial Narrow" w:cs="Arial Narrow"/>
                <w:bCs w:val="0"/>
                <w:color w:val="000000" w:themeColor="text1"/>
                <w:szCs w:val="20"/>
              </w:rPr>
            </w:pPr>
            <w:r w:rsidRPr="000B09B9">
              <w:rPr>
                <w:rFonts w:eastAsia="Arial Narrow" w:cs="Arial Narrow"/>
                <w:bCs w:val="0"/>
                <w:color w:val="000000" w:themeColor="text1"/>
                <w:szCs w:val="20"/>
              </w:rPr>
              <w:t>0/18 (0)</w:t>
            </w:r>
          </w:p>
        </w:tc>
      </w:tr>
      <w:tr w:rsidR="00DA6F99" w:rsidRPr="000B09B9" w14:paraId="066AD390" w14:textId="77777777" w:rsidTr="002F40EF">
        <w:tc>
          <w:tcPr>
            <w:tcW w:w="8923" w:type="dxa"/>
            <w:gridSpan w:val="3"/>
            <w:tcBorders>
              <w:top w:val="single" w:sz="6" w:space="0" w:color="auto"/>
              <w:left w:val="single" w:sz="6" w:space="0" w:color="auto"/>
              <w:bottom w:val="single" w:sz="6" w:space="0" w:color="auto"/>
              <w:right w:val="single" w:sz="6" w:space="0" w:color="auto"/>
            </w:tcBorders>
            <w:vAlign w:val="center"/>
          </w:tcPr>
          <w:p w14:paraId="6B03A8AD" w14:textId="77777777" w:rsidR="00DA6F99" w:rsidRPr="000B09B9" w:rsidRDefault="00DA6F99" w:rsidP="002B0564">
            <w:pPr>
              <w:pStyle w:val="TableText0"/>
              <w:keepNext/>
              <w:keepLines/>
              <w:widowControl/>
              <w:rPr>
                <w:rFonts w:eastAsia="Arial Narrow" w:cs="Arial Narrow"/>
                <w:bCs w:val="0"/>
                <w:color w:val="000000" w:themeColor="text1"/>
                <w:szCs w:val="20"/>
              </w:rPr>
            </w:pPr>
            <w:r w:rsidRPr="000B09B9">
              <w:rPr>
                <w:rFonts w:eastAsia="Arial Narrow" w:cs="Arial Narrow"/>
                <w:b/>
                <w:bCs w:val="0"/>
                <w:color w:val="000000" w:themeColor="text1"/>
                <w:szCs w:val="20"/>
              </w:rPr>
              <w:t>Subjects with SAEs related to withdrawal of study drug</w:t>
            </w:r>
          </w:p>
        </w:tc>
      </w:tr>
      <w:tr w:rsidR="002F40EF" w:rsidRPr="000B09B9" w14:paraId="33868B5F" w14:textId="77777777" w:rsidTr="002F40EF">
        <w:tc>
          <w:tcPr>
            <w:tcW w:w="3514" w:type="dxa"/>
            <w:tcBorders>
              <w:top w:val="single" w:sz="6" w:space="0" w:color="auto"/>
              <w:left w:val="single" w:sz="6" w:space="0" w:color="auto"/>
              <w:bottom w:val="single" w:sz="6" w:space="0" w:color="auto"/>
              <w:right w:val="single" w:sz="6" w:space="0" w:color="auto"/>
            </w:tcBorders>
            <w:vAlign w:val="center"/>
          </w:tcPr>
          <w:p w14:paraId="4B42DF34" w14:textId="77777777" w:rsidR="00DA6F99" w:rsidRPr="000B09B9" w:rsidRDefault="00DA6F99" w:rsidP="002B0564">
            <w:pPr>
              <w:pStyle w:val="TableText0"/>
              <w:keepNext/>
              <w:keepLines/>
              <w:widowControl/>
              <w:rPr>
                <w:rFonts w:eastAsia="Arial Narrow" w:cs="Arial Narrow"/>
                <w:bCs w:val="0"/>
                <w:color w:val="000000" w:themeColor="text1"/>
                <w:szCs w:val="20"/>
              </w:rPr>
            </w:pPr>
            <w:r w:rsidRPr="000B09B9">
              <w:rPr>
                <w:rFonts w:eastAsia="Arial Narrow" w:cs="Arial Narrow"/>
                <w:bCs w:val="0"/>
                <w:color w:val="000000" w:themeColor="text1"/>
                <w:szCs w:val="20"/>
              </w:rPr>
              <w:t>All adverse</w:t>
            </w:r>
          </w:p>
        </w:tc>
        <w:tc>
          <w:tcPr>
            <w:tcW w:w="2574" w:type="dxa"/>
            <w:tcBorders>
              <w:top w:val="single" w:sz="6" w:space="0" w:color="auto"/>
              <w:left w:val="single" w:sz="6" w:space="0" w:color="auto"/>
              <w:bottom w:val="single" w:sz="6" w:space="0" w:color="auto"/>
              <w:right w:val="single" w:sz="6" w:space="0" w:color="auto"/>
            </w:tcBorders>
            <w:vAlign w:val="center"/>
          </w:tcPr>
          <w:p w14:paraId="5F79A7F4" w14:textId="77777777" w:rsidR="00DA6F99" w:rsidRPr="000B09B9" w:rsidRDefault="00DA6F99" w:rsidP="002B0564">
            <w:pPr>
              <w:pStyle w:val="TableText0"/>
              <w:keepNext/>
              <w:keepLines/>
              <w:widowControl/>
              <w:jc w:val="center"/>
              <w:rPr>
                <w:rFonts w:eastAsia="Arial Narrow" w:cs="Arial Narrow"/>
                <w:bCs w:val="0"/>
                <w:color w:val="000000" w:themeColor="text1"/>
                <w:szCs w:val="20"/>
              </w:rPr>
            </w:pPr>
            <w:r w:rsidRPr="000B09B9">
              <w:rPr>
                <w:rFonts w:eastAsia="Arial Narrow" w:cs="Arial Narrow"/>
                <w:bCs w:val="0"/>
                <w:color w:val="000000" w:themeColor="text1"/>
                <w:szCs w:val="20"/>
              </w:rPr>
              <w:t>0/14 (0)</w:t>
            </w:r>
          </w:p>
        </w:tc>
        <w:tc>
          <w:tcPr>
            <w:tcW w:w="2835" w:type="dxa"/>
            <w:tcBorders>
              <w:top w:val="single" w:sz="6" w:space="0" w:color="auto"/>
              <w:left w:val="single" w:sz="6" w:space="0" w:color="auto"/>
              <w:bottom w:val="single" w:sz="6" w:space="0" w:color="auto"/>
              <w:right w:val="single" w:sz="6" w:space="0" w:color="auto"/>
            </w:tcBorders>
            <w:vAlign w:val="center"/>
          </w:tcPr>
          <w:p w14:paraId="592D2237" w14:textId="77777777" w:rsidR="00DA6F99" w:rsidRPr="000B09B9" w:rsidRDefault="00DA6F99" w:rsidP="002B0564">
            <w:pPr>
              <w:pStyle w:val="TableText0"/>
              <w:keepNext/>
              <w:keepLines/>
              <w:widowControl/>
              <w:jc w:val="center"/>
              <w:rPr>
                <w:rFonts w:eastAsia="Arial Narrow" w:cs="Arial Narrow"/>
                <w:bCs w:val="0"/>
                <w:color w:val="000000" w:themeColor="text1"/>
                <w:szCs w:val="20"/>
              </w:rPr>
            </w:pPr>
            <w:r w:rsidRPr="000B09B9">
              <w:rPr>
                <w:rFonts w:eastAsia="Arial Narrow" w:cs="Arial Narrow"/>
                <w:bCs w:val="0"/>
                <w:color w:val="000000" w:themeColor="text1"/>
                <w:szCs w:val="20"/>
              </w:rPr>
              <w:t>0/18 (0)</w:t>
            </w:r>
          </w:p>
        </w:tc>
      </w:tr>
      <w:tr w:rsidR="002F40EF" w:rsidRPr="000B09B9" w14:paraId="70619A0B" w14:textId="77777777" w:rsidTr="002F40EF">
        <w:tc>
          <w:tcPr>
            <w:tcW w:w="3514" w:type="dxa"/>
            <w:tcBorders>
              <w:top w:val="single" w:sz="6" w:space="0" w:color="auto"/>
              <w:left w:val="single" w:sz="6" w:space="0" w:color="auto"/>
              <w:bottom w:val="single" w:sz="6" w:space="0" w:color="auto"/>
              <w:right w:val="single" w:sz="6" w:space="0" w:color="auto"/>
            </w:tcBorders>
            <w:vAlign w:val="center"/>
          </w:tcPr>
          <w:p w14:paraId="4B9D8ADC" w14:textId="77777777" w:rsidR="00DA6F99" w:rsidRPr="000B09B9" w:rsidRDefault="00DA6F99" w:rsidP="002B0564">
            <w:pPr>
              <w:pStyle w:val="TableText0"/>
              <w:keepNext/>
              <w:keepLines/>
              <w:widowControl/>
              <w:rPr>
                <w:rFonts w:eastAsia="Arial Narrow" w:cs="Arial Narrow"/>
                <w:bCs w:val="0"/>
                <w:color w:val="000000" w:themeColor="text1"/>
                <w:szCs w:val="20"/>
              </w:rPr>
            </w:pPr>
            <w:r w:rsidRPr="000B09B9">
              <w:rPr>
                <w:rFonts w:eastAsia="Arial Narrow" w:cs="Arial Narrow"/>
                <w:bCs w:val="0"/>
                <w:color w:val="000000" w:themeColor="text1"/>
                <w:szCs w:val="20"/>
              </w:rPr>
              <w:t>AEs excluding LEMS signs and symptoms</w:t>
            </w:r>
          </w:p>
        </w:tc>
        <w:tc>
          <w:tcPr>
            <w:tcW w:w="2574" w:type="dxa"/>
            <w:tcBorders>
              <w:top w:val="single" w:sz="6" w:space="0" w:color="auto"/>
              <w:left w:val="single" w:sz="6" w:space="0" w:color="auto"/>
              <w:bottom w:val="single" w:sz="6" w:space="0" w:color="auto"/>
              <w:right w:val="single" w:sz="6" w:space="0" w:color="auto"/>
            </w:tcBorders>
            <w:vAlign w:val="center"/>
          </w:tcPr>
          <w:p w14:paraId="75E50178" w14:textId="77777777" w:rsidR="00DA6F99" w:rsidRPr="000B09B9" w:rsidRDefault="00DA6F99" w:rsidP="002B0564">
            <w:pPr>
              <w:pStyle w:val="TableText0"/>
              <w:keepNext/>
              <w:keepLines/>
              <w:widowControl/>
              <w:jc w:val="center"/>
              <w:rPr>
                <w:rFonts w:eastAsia="Arial Narrow" w:cs="Arial Narrow"/>
                <w:bCs w:val="0"/>
                <w:color w:val="000000" w:themeColor="text1"/>
                <w:szCs w:val="20"/>
              </w:rPr>
            </w:pPr>
            <w:r w:rsidRPr="000B09B9">
              <w:rPr>
                <w:rFonts w:eastAsia="Arial Narrow" w:cs="Arial Narrow"/>
                <w:bCs w:val="0"/>
                <w:color w:val="000000" w:themeColor="text1"/>
                <w:szCs w:val="20"/>
              </w:rPr>
              <w:t>0/14 (0)</w:t>
            </w:r>
          </w:p>
        </w:tc>
        <w:tc>
          <w:tcPr>
            <w:tcW w:w="2835" w:type="dxa"/>
            <w:tcBorders>
              <w:top w:val="single" w:sz="6" w:space="0" w:color="auto"/>
              <w:left w:val="single" w:sz="6" w:space="0" w:color="auto"/>
              <w:bottom w:val="single" w:sz="6" w:space="0" w:color="auto"/>
              <w:right w:val="single" w:sz="6" w:space="0" w:color="auto"/>
            </w:tcBorders>
            <w:vAlign w:val="center"/>
          </w:tcPr>
          <w:p w14:paraId="6D7659D8" w14:textId="77777777" w:rsidR="00DA6F99" w:rsidRPr="000B09B9" w:rsidRDefault="00DA6F99" w:rsidP="002B0564">
            <w:pPr>
              <w:pStyle w:val="TableText0"/>
              <w:keepNext/>
              <w:keepLines/>
              <w:widowControl/>
              <w:jc w:val="center"/>
              <w:rPr>
                <w:rFonts w:eastAsia="Arial Narrow" w:cs="Arial Narrow"/>
                <w:bCs w:val="0"/>
                <w:color w:val="000000" w:themeColor="text1"/>
                <w:szCs w:val="20"/>
              </w:rPr>
            </w:pPr>
            <w:r w:rsidRPr="000B09B9">
              <w:rPr>
                <w:rFonts w:eastAsia="Arial Narrow" w:cs="Arial Narrow"/>
                <w:bCs w:val="0"/>
                <w:color w:val="000000" w:themeColor="text1"/>
                <w:szCs w:val="20"/>
              </w:rPr>
              <w:t>0/18 (0)</w:t>
            </w:r>
          </w:p>
        </w:tc>
      </w:tr>
      <w:tr w:rsidR="002F40EF" w:rsidRPr="000B09B9" w14:paraId="319813E3" w14:textId="77777777" w:rsidTr="002F40EF">
        <w:tc>
          <w:tcPr>
            <w:tcW w:w="3514" w:type="dxa"/>
            <w:tcBorders>
              <w:top w:val="single" w:sz="6" w:space="0" w:color="auto"/>
              <w:left w:val="single" w:sz="6" w:space="0" w:color="auto"/>
              <w:bottom w:val="single" w:sz="6" w:space="0" w:color="auto"/>
              <w:right w:val="single" w:sz="6" w:space="0" w:color="auto"/>
            </w:tcBorders>
            <w:vAlign w:val="center"/>
          </w:tcPr>
          <w:p w14:paraId="6B5F8B75" w14:textId="77777777" w:rsidR="00DA6F99" w:rsidRPr="000B09B9" w:rsidRDefault="00DA6F99" w:rsidP="002B0564">
            <w:pPr>
              <w:pStyle w:val="TableText0"/>
              <w:keepNext/>
              <w:keepLines/>
              <w:widowControl/>
              <w:rPr>
                <w:rFonts w:eastAsia="Arial Narrow" w:cs="Arial Narrow"/>
                <w:bCs w:val="0"/>
                <w:color w:val="000000" w:themeColor="text1"/>
                <w:szCs w:val="20"/>
              </w:rPr>
            </w:pPr>
            <w:r w:rsidRPr="000B09B9">
              <w:rPr>
                <w:rFonts w:eastAsia="Arial Narrow" w:cs="Arial Narrow"/>
                <w:bCs w:val="0"/>
                <w:color w:val="000000" w:themeColor="text1"/>
                <w:szCs w:val="20"/>
              </w:rPr>
              <w:t>LEMS signs and symptoms only</w:t>
            </w:r>
          </w:p>
        </w:tc>
        <w:tc>
          <w:tcPr>
            <w:tcW w:w="2574" w:type="dxa"/>
            <w:tcBorders>
              <w:top w:val="single" w:sz="6" w:space="0" w:color="auto"/>
              <w:left w:val="single" w:sz="6" w:space="0" w:color="auto"/>
              <w:bottom w:val="single" w:sz="6" w:space="0" w:color="auto"/>
              <w:right w:val="single" w:sz="6" w:space="0" w:color="auto"/>
            </w:tcBorders>
            <w:vAlign w:val="center"/>
          </w:tcPr>
          <w:p w14:paraId="4B760442" w14:textId="77777777" w:rsidR="00DA6F99" w:rsidRPr="000B09B9" w:rsidRDefault="00DA6F99" w:rsidP="002B0564">
            <w:pPr>
              <w:pStyle w:val="TableText0"/>
              <w:keepNext/>
              <w:keepLines/>
              <w:widowControl/>
              <w:jc w:val="center"/>
              <w:rPr>
                <w:rFonts w:eastAsia="Arial Narrow" w:cs="Arial Narrow"/>
                <w:bCs w:val="0"/>
                <w:color w:val="000000" w:themeColor="text1"/>
                <w:szCs w:val="20"/>
              </w:rPr>
            </w:pPr>
            <w:r w:rsidRPr="000B09B9">
              <w:rPr>
                <w:rFonts w:eastAsia="Arial Narrow" w:cs="Arial Narrow"/>
                <w:bCs w:val="0"/>
                <w:color w:val="000000" w:themeColor="text1"/>
                <w:szCs w:val="20"/>
              </w:rPr>
              <w:t>0/14 (0)</w:t>
            </w:r>
          </w:p>
        </w:tc>
        <w:tc>
          <w:tcPr>
            <w:tcW w:w="2835" w:type="dxa"/>
            <w:tcBorders>
              <w:top w:val="single" w:sz="6" w:space="0" w:color="auto"/>
              <w:left w:val="single" w:sz="6" w:space="0" w:color="auto"/>
              <w:bottom w:val="single" w:sz="6" w:space="0" w:color="auto"/>
              <w:right w:val="single" w:sz="6" w:space="0" w:color="auto"/>
            </w:tcBorders>
            <w:vAlign w:val="center"/>
          </w:tcPr>
          <w:p w14:paraId="098E4274" w14:textId="77777777" w:rsidR="00DA6F99" w:rsidRPr="000B09B9" w:rsidRDefault="00DA6F99" w:rsidP="002B0564">
            <w:pPr>
              <w:pStyle w:val="TableText0"/>
              <w:keepNext/>
              <w:keepLines/>
              <w:widowControl/>
              <w:jc w:val="center"/>
              <w:rPr>
                <w:rFonts w:eastAsia="Arial Narrow" w:cs="Arial Narrow"/>
                <w:bCs w:val="0"/>
                <w:color w:val="000000" w:themeColor="text1"/>
                <w:szCs w:val="20"/>
              </w:rPr>
            </w:pPr>
            <w:r w:rsidRPr="000B09B9">
              <w:rPr>
                <w:rFonts w:eastAsia="Arial Narrow" w:cs="Arial Narrow"/>
                <w:bCs w:val="0"/>
                <w:color w:val="000000" w:themeColor="text1"/>
                <w:szCs w:val="20"/>
              </w:rPr>
              <w:t>0/18 (0)</w:t>
            </w:r>
          </w:p>
        </w:tc>
      </w:tr>
      <w:tr w:rsidR="00DA6F99" w:rsidRPr="000B09B9" w14:paraId="545009B2" w14:textId="77777777" w:rsidTr="002F40EF">
        <w:tc>
          <w:tcPr>
            <w:tcW w:w="8923" w:type="dxa"/>
            <w:gridSpan w:val="3"/>
            <w:tcBorders>
              <w:top w:val="single" w:sz="6" w:space="0" w:color="auto"/>
              <w:left w:val="single" w:sz="6" w:space="0" w:color="auto"/>
              <w:bottom w:val="single" w:sz="6" w:space="0" w:color="auto"/>
              <w:right w:val="single" w:sz="6" w:space="0" w:color="auto"/>
            </w:tcBorders>
            <w:vAlign w:val="center"/>
          </w:tcPr>
          <w:p w14:paraId="323FCAB3" w14:textId="77777777" w:rsidR="00DA6F99" w:rsidRPr="000B09B9" w:rsidRDefault="00DA6F99" w:rsidP="002B0564">
            <w:pPr>
              <w:pStyle w:val="TableText0"/>
              <w:keepNext/>
              <w:keepLines/>
              <w:widowControl/>
              <w:rPr>
                <w:rFonts w:eastAsia="Arial Narrow" w:cs="Arial Narrow"/>
                <w:bCs w:val="0"/>
                <w:color w:val="000000" w:themeColor="text1"/>
                <w:szCs w:val="20"/>
              </w:rPr>
            </w:pPr>
            <w:r w:rsidRPr="000B09B9">
              <w:rPr>
                <w:rFonts w:eastAsia="Arial Narrow" w:cs="Arial Narrow"/>
                <w:b/>
                <w:bCs w:val="0"/>
                <w:color w:val="000000" w:themeColor="text1"/>
                <w:szCs w:val="20"/>
              </w:rPr>
              <w:t>Subjects who discontinued blinded study drug during Stage II due to a TEAE</w:t>
            </w:r>
          </w:p>
        </w:tc>
      </w:tr>
      <w:tr w:rsidR="002F40EF" w:rsidRPr="000B09B9" w14:paraId="7D11B77A" w14:textId="77777777" w:rsidTr="002F40EF">
        <w:tc>
          <w:tcPr>
            <w:tcW w:w="3514" w:type="dxa"/>
            <w:tcBorders>
              <w:top w:val="single" w:sz="6" w:space="0" w:color="auto"/>
              <w:left w:val="single" w:sz="6" w:space="0" w:color="auto"/>
              <w:bottom w:val="single" w:sz="6" w:space="0" w:color="auto"/>
              <w:right w:val="single" w:sz="6" w:space="0" w:color="auto"/>
            </w:tcBorders>
            <w:vAlign w:val="center"/>
          </w:tcPr>
          <w:p w14:paraId="1D90D53F" w14:textId="77777777" w:rsidR="00DA6F99" w:rsidRPr="000B09B9" w:rsidRDefault="00DA6F99" w:rsidP="002B0564">
            <w:pPr>
              <w:pStyle w:val="TableText0"/>
              <w:keepNext/>
              <w:keepLines/>
              <w:widowControl/>
              <w:rPr>
                <w:rFonts w:eastAsia="Arial Narrow" w:cs="Arial Narrow"/>
                <w:bCs w:val="0"/>
                <w:color w:val="000000" w:themeColor="text1"/>
                <w:szCs w:val="20"/>
              </w:rPr>
            </w:pPr>
            <w:r w:rsidRPr="000B09B9">
              <w:rPr>
                <w:rFonts w:eastAsia="Arial Narrow" w:cs="Arial Narrow"/>
                <w:bCs w:val="0"/>
                <w:color w:val="000000" w:themeColor="text1"/>
                <w:szCs w:val="20"/>
              </w:rPr>
              <w:t>All adverse</w:t>
            </w:r>
          </w:p>
        </w:tc>
        <w:tc>
          <w:tcPr>
            <w:tcW w:w="2574" w:type="dxa"/>
            <w:tcBorders>
              <w:top w:val="single" w:sz="6" w:space="0" w:color="auto"/>
              <w:left w:val="single" w:sz="6" w:space="0" w:color="auto"/>
              <w:bottom w:val="single" w:sz="6" w:space="0" w:color="auto"/>
              <w:right w:val="single" w:sz="6" w:space="0" w:color="auto"/>
            </w:tcBorders>
            <w:vAlign w:val="center"/>
          </w:tcPr>
          <w:p w14:paraId="585194B9" w14:textId="77777777" w:rsidR="00DA6F99" w:rsidRPr="000B09B9" w:rsidRDefault="00DA6F99" w:rsidP="002B0564">
            <w:pPr>
              <w:pStyle w:val="TableText0"/>
              <w:keepNext/>
              <w:keepLines/>
              <w:widowControl/>
              <w:jc w:val="center"/>
              <w:rPr>
                <w:rFonts w:eastAsia="Arial Narrow" w:cs="Arial Narrow"/>
                <w:bCs w:val="0"/>
                <w:color w:val="000000" w:themeColor="text1"/>
                <w:szCs w:val="20"/>
              </w:rPr>
            </w:pPr>
            <w:r w:rsidRPr="000B09B9">
              <w:rPr>
                <w:rFonts w:eastAsia="Arial Narrow" w:cs="Arial Narrow"/>
                <w:bCs w:val="0"/>
                <w:color w:val="000000" w:themeColor="text1"/>
                <w:szCs w:val="20"/>
              </w:rPr>
              <w:t>0/14 (0)</w:t>
            </w:r>
          </w:p>
        </w:tc>
        <w:tc>
          <w:tcPr>
            <w:tcW w:w="2835" w:type="dxa"/>
            <w:tcBorders>
              <w:top w:val="single" w:sz="6" w:space="0" w:color="auto"/>
              <w:left w:val="single" w:sz="6" w:space="0" w:color="auto"/>
              <w:bottom w:val="single" w:sz="6" w:space="0" w:color="auto"/>
              <w:right w:val="single" w:sz="6" w:space="0" w:color="auto"/>
            </w:tcBorders>
            <w:vAlign w:val="center"/>
          </w:tcPr>
          <w:p w14:paraId="4CC357F2" w14:textId="77777777" w:rsidR="00DA6F99" w:rsidRPr="000B09B9" w:rsidRDefault="00DA6F99" w:rsidP="002B0564">
            <w:pPr>
              <w:pStyle w:val="TableText0"/>
              <w:keepNext/>
              <w:keepLines/>
              <w:widowControl/>
              <w:jc w:val="center"/>
              <w:rPr>
                <w:rFonts w:eastAsia="Arial Narrow" w:cs="Arial Narrow"/>
                <w:bCs w:val="0"/>
                <w:color w:val="000000" w:themeColor="text1"/>
                <w:szCs w:val="20"/>
              </w:rPr>
            </w:pPr>
            <w:r w:rsidRPr="000B09B9">
              <w:rPr>
                <w:rFonts w:eastAsia="Arial Narrow" w:cs="Arial Narrow"/>
                <w:bCs w:val="0"/>
                <w:color w:val="000000" w:themeColor="text1"/>
                <w:szCs w:val="20"/>
              </w:rPr>
              <w:t>2/18 (11)</w:t>
            </w:r>
          </w:p>
        </w:tc>
      </w:tr>
      <w:tr w:rsidR="002F40EF" w:rsidRPr="000B09B9" w14:paraId="6B59E7E1" w14:textId="77777777" w:rsidTr="002F40EF">
        <w:tc>
          <w:tcPr>
            <w:tcW w:w="3514" w:type="dxa"/>
            <w:tcBorders>
              <w:top w:val="single" w:sz="6" w:space="0" w:color="auto"/>
              <w:left w:val="single" w:sz="6" w:space="0" w:color="auto"/>
              <w:bottom w:val="single" w:sz="6" w:space="0" w:color="auto"/>
              <w:right w:val="single" w:sz="6" w:space="0" w:color="auto"/>
            </w:tcBorders>
            <w:vAlign w:val="center"/>
          </w:tcPr>
          <w:p w14:paraId="2BB8B7FC" w14:textId="77777777" w:rsidR="00DA6F99" w:rsidRPr="000B09B9" w:rsidRDefault="00DA6F99" w:rsidP="002B0564">
            <w:pPr>
              <w:pStyle w:val="TableText0"/>
              <w:keepNext/>
              <w:keepLines/>
              <w:widowControl/>
              <w:rPr>
                <w:rFonts w:eastAsia="Arial Narrow" w:cs="Arial Narrow"/>
                <w:bCs w:val="0"/>
                <w:color w:val="000000" w:themeColor="text1"/>
                <w:szCs w:val="20"/>
              </w:rPr>
            </w:pPr>
            <w:r w:rsidRPr="000B09B9">
              <w:rPr>
                <w:rFonts w:eastAsia="Arial Narrow" w:cs="Arial Narrow"/>
                <w:bCs w:val="0"/>
                <w:color w:val="000000" w:themeColor="text1"/>
                <w:szCs w:val="20"/>
              </w:rPr>
              <w:t>AEs excluding LEMS signs and symptoms</w:t>
            </w:r>
          </w:p>
        </w:tc>
        <w:tc>
          <w:tcPr>
            <w:tcW w:w="2574" w:type="dxa"/>
            <w:tcBorders>
              <w:top w:val="single" w:sz="6" w:space="0" w:color="auto"/>
              <w:left w:val="single" w:sz="6" w:space="0" w:color="auto"/>
              <w:bottom w:val="single" w:sz="6" w:space="0" w:color="auto"/>
              <w:right w:val="single" w:sz="6" w:space="0" w:color="auto"/>
            </w:tcBorders>
            <w:vAlign w:val="center"/>
          </w:tcPr>
          <w:p w14:paraId="68771157" w14:textId="77777777" w:rsidR="00DA6F99" w:rsidRPr="000B09B9" w:rsidRDefault="00DA6F99" w:rsidP="002B0564">
            <w:pPr>
              <w:pStyle w:val="TableText0"/>
              <w:keepNext/>
              <w:keepLines/>
              <w:widowControl/>
              <w:jc w:val="center"/>
              <w:rPr>
                <w:rFonts w:eastAsia="Arial Narrow" w:cs="Arial Narrow"/>
                <w:bCs w:val="0"/>
                <w:color w:val="000000" w:themeColor="text1"/>
                <w:szCs w:val="20"/>
              </w:rPr>
            </w:pPr>
            <w:r w:rsidRPr="000B09B9">
              <w:rPr>
                <w:rFonts w:eastAsia="Arial Narrow" w:cs="Arial Narrow"/>
                <w:bCs w:val="0"/>
                <w:color w:val="000000" w:themeColor="text1"/>
                <w:szCs w:val="20"/>
              </w:rPr>
              <w:t>0/14 (0)</w:t>
            </w:r>
          </w:p>
        </w:tc>
        <w:tc>
          <w:tcPr>
            <w:tcW w:w="2835" w:type="dxa"/>
            <w:tcBorders>
              <w:top w:val="single" w:sz="6" w:space="0" w:color="auto"/>
              <w:left w:val="single" w:sz="6" w:space="0" w:color="auto"/>
              <w:bottom w:val="single" w:sz="6" w:space="0" w:color="auto"/>
              <w:right w:val="single" w:sz="6" w:space="0" w:color="auto"/>
            </w:tcBorders>
            <w:vAlign w:val="center"/>
          </w:tcPr>
          <w:p w14:paraId="3AE12BCB" w14:textId="77777777" w:rsidR="00DA6F99" w:rsidRPr="000B09B9" w:rsidRDefault="00DA6F99" w:rsidP="002B0564">
            <w:pPr>
              <w:pStyle w:val="TableText0"/>
              <w:keepNext/>
              <w:keepLines/>
              <w:widowControl/>
              <w:jc w:val="center"/>
              <w:rPr>
                <w:rFonts w:eastAsia="Arial Narrow" w:cs="Arial Narrow"/>
                <w:bCs w:val="0"/>
                <w:color w:val="000000" w:themeColor="text1"/>
                <w:szCs w:val="20"/>
              </w:rPr>
            </w:pPr>
            <w:r w:rsidRPr="000B09B9">
              <w:rPr>
                <w:rFonts w:eastAsia="Arial Narrow" w:cs="Arial Narrow"/>
                <w:bCs w:val="0"/>
                <w:color w:val="000000" w:themeColor="text1"/>
                <w:szCs w:val="20"/>
              </w:rPr>
              <w:t>0/18 (0)</w:t>
            </w:r>
          </w:p>
        </w:tc>
      </w:tr>
      <w:tr w:rsidR="002F40EF" w:rsidRPr="000B09B9" w14:paraId="5DA4FF1F" w14:textId="77777777" w:rsidTr="002F40EF">
        <w:tc>
          <w:tcPr>
            <w:tcW w:w="3514" w:type="dxa"/>
            <w:tcBorders>
              <w:top w:val="single" w:sz="6" w:space="0" w:color="auto"/>
              <w:left w:val="single" w:sz="6" w:space="0" w:color="auto"/>
              <w:bottom w:val="single" w:sz="6" w:space="0" w:color="auto"/>
              <w:right w:val="single" w:sz="6" w:space="0" w:color="auto"/>
            </w:tcBorders>
            <w:vAlign w:val="center"/>
          </w:tcPr>
          <w:p w14:paraId="73219A79" w14:textId="77777777" w:rsidR="00DA6F99" w:rsidRPr="000B09B9" w:rsidRDefault="00DA6F99" w:rsidP="002B0564">
            <w:pPr>
              <w:pStyle w:val="TableText0"/>
              <w:keepNext/>
              <w:keepLines/>
              <w:widowControl/>
              <w:rPr>
                <w:rFonts w:eastAsia="Arial Narrow" w:cs="Arial Narrow"/>
                <w:bCs w:val="0"/>
                <w:color w:val="000000" w:themeColor="text1"/>
                <w:szCs w:val="20"/>
              </w:rPr>
            </w:pPr>
            <w:r w:rsidRPr="000B09B9">
              <w:rPr>
                <w:rFonts w:eastAsia="Arial Narrow" w:cs="Arial Narrow"/>
                <w:bCs w:val="0"/>
                <w:color w:val="000000" w:themeColor="text1"/>
                <w:szCs w:val="20"/>
              </w:rPr>
              <w:t>LEMS signs and symptoms only</w:t>
            </w:r>
          </w:p>
        </w:tc>
        <w:tc>
          <w:tcPr>
            <w:tcW w:w="2574" w:type="dxa"/>
            <w:tcBorders>
              <w:top w:val="single" w:sz="6" w:space="0" w:color="auto"/>
              <w:left w:val="single" w:sz="6" w:space="0" w:color="auto"/>
              <w:bottom w:val="single" w:sz="6" w:space="0" w:color="auto"/>
              <w:right w:val="single" w:sz="6" w:space="0" w:color="auto"/>
            </w:tcBorders>
            <w:vAlign w:val="center"/>
          </w:tcPr>
          <w:p w14:paraId="6B2FF7FC" w14:textId="77777777" w:rsidR="00DA6F99" w:rsidRPr="000B09B9" w:rsidRDefault="00DA6F99" w:rsidP="002B0564">
            <w:pPr>
              <w:pStyle w:val="TableText0"/>
              <w:keepNext/>
              <w:keepLines/>
              <w:widowControl/>
              <w:jc w:val="center"/>
              <w:rPr>
                <w:rFonts w:eastAsia="Arial Narrow" w:cs="Arial Narrow"/>
                <w:bCs w:val="0"/>
                <w:color w:val="000000" w:themeColor="text1"/>
                <w:szCs w:val="20"/>
              </w:rPr>
            </w:pPr>
            <w:r w:rsidRPr="000B09B9">
              <w:rPr>
                <w:rFonts w:eastAsia="Arial Narrow" w:cs="Arial Narrow"/>
                <w:bCs w:val="0"/>
                <w:color w:val="000000" w:themeColor="text1"/>
                <w:szCs w:val="20"/>
              </w:rPr>
              <w:t>0/14 (0)</w:t>
            </w:r>
          </w:p>
        </w:tc>
        <w:tc>
          <w:tcPr>
            <w:tcW w:w="2835" w:type="dxa"/>
            <w:tcBorders>
              <w:top w:val="single" w:sz="6" w:space="0" w:color="auto"/>
              <w:left w:val="single" w:sz="6" w:space="0" w:color="auto"/>
              <w:bottom w:val="single" w:sz="6" w:space="0" w:color="auto"/>
              <w:right w:val="single" w:sz="6" w:space="0" w:color="auto"/>
            </w:tcBorders>
            <w:vAlign w:val="center"/>
          </w:tcPr>
          <w:p w14:paraId="2A496B45" w14:textId="77777777" w:rsidR="00DA6F99" w:rsidRPr="000B09B9" w:rsidRDefault="00DA6F99" w:rsidP="002B0564">
            <w:pPr>
              <w:pStyle w:val="TableText0"/>
              <w:keepNext/>
              <w:keepLines/>
              <w:widowControl/>
              <w:jc w:val="center"/>
              <w:rPr>
                <w:rFonts w:eastAsia="Arial Narrow" w:cs="Arial Narrow"/>
                <w:bCs w:val="0"/>
                <w:color w:val="000000" w:themeColor="text1"/>
                <w:szCs w:val="20"/>
              </w:rPr>
            </w:pPr>
            <w:r w:rsidRPr="000B09B9">
              <w:rPr>
                <w:rFonts w:eastAsia="Arial Narrow" w:cs="Arial Narrow"/>
                <w:bCs w:val="0"/>
                <w:color w:val="000000" w:themeColor="text1"/>
                <w:szCs w:val="20"/>
              </w:rPr>
              <w:t>2/18 (11)</w:t>
            </w:r>
          </w:p>
        </w:tc>
      </w:tr>
    </w:tbl>
    <w:p w14:paraId="1DDC25ED" w14:textId="77777777" w:rsidR="00FE1325" w:rsidRPr="000B09B9" w:rsidRDefault="00FE1325" w:rsidP="002B0564">
      <w:pPr>
        <w:pStyle w:val="TableFigureFooter"/>
        <w:keepNext/>
        <w:keepLines/>
        <w:rPr>
          <w:sz w:val="20"/>
          <w:szCs w:val="20"/>
        </w:rPr>
      </w:pPr>
      <w:r w:rsidRPr="000B09B9">
        <w:t>Source: Table 2.24, p85 of the submission.</w:t>
      </w:r>
    </w:p>
    <w:p w14:paraId="21A7AA86" w14:textId="77777777" w:rsidR="00FE1325" w:rsidRPr="000B09B9" w:rsidRDefault="00296DF5" w:rsidP="002B0564">
      <w:pPr>
        <w:pStyle w:val="TableFigureFooter"/>
        <w:keepNext/>
        <w:keepLines/>
        <w:rPr>
          <w:rFonts w:eastAsia="Calibri"/>
        </w:rPr>
      </w:pPr>
      <w:r w:rsidRPr="000B09B9">
        <w:rPr>
          <w:rFonts w:eastAsia="Calibri"/>
        </w:rPr>
        <w:t>AE = adverse event;</w:t>
      </w:r>
      <w:r w:rsidR="37D2FBB5" w:rsidRPr="000B09B9">
        <w:rPr>
          <w:rFonts w:eastAsia="Calibri"/>
        </w:rPr>
        <w:t xml:space="preserve"> </w:t>
      </w:r>
      <w:r w:rsidR="00FE1325" w:rsidRPr="000B09B9">
        <w:rPr>
          <w:rFonts w:eastAsia="Calibri"/>
        </w:rPr>
        <w:t xml:space="preserve">CI = confidence interval; </w:t>
      </w:r>
      <w:r w:rsidR="00CC1DC1" w:rsidRPr="000B09B9">
        <w:rPr>
          <w:rFonts w:eastAsia="Arial Narrow"/>
        </w:rPr>
        <w:t xml:space="preserve">LEMS = Lambert-Eaton myasthenic syndrome; </w:t>
      </w:r>
      <w:r w:rsidR="00FE1325" w:rsidRPr="000B09B9">
        <w:rPr>
          <w:rFonts w:eastAsia="Calibri"/>
        </w:rPr>
        <w:t>n = number of participants reporting data; N = total participants in group; RD = risk difference; RR = relative risk</w:t>
      </w:r>
      <w:r w:rsidRPr="000B09B9">
        <w:rPr>
          <w:rFonts w:eastAsia="Calibri"/>
        </w:rPr>
        <w:t>; SAE = serious treatment-emergent adverse event; TEAE = treatment-emergent adverse event</w:t>
      </w:r>
    </w:p>
    <w:p w14:paraId="38459DB6" w14:textId="77777777" w:rsidR="00AA2AA3" w:rsidRPr="000B09B9" w:rsidRDefault="00801217" w:rsidP="00775674">
      <w:pPr>
        <w:pStyle w:val="3-BodyText"/>
        <w:numPr>
          <w:ilvl w:val="1"/>
          <w:numId w:val="9"/>
        </w:numPr>
        <w:rPr>
          <w:rFonts w:eastAsia="Calibri"/>
        </w:rPr>
      </w:pPr>
      <w:r w:rsidRPr="000B09B9">
        <w:rPr>
          <w:rFonts w:eastAsia="Calibri"/>
        </w:rPr>
        <w:t>While t</w:t>
      </w:r>
      <w:r w:rsidR="00FE1325" w:rsidRPr="000B09B9">
        <w:rPr>
          <w:rFonts w:eastAsia="Calibri"/>
        </w:rPr>
        <w:t>he DUKE trial provided some information on patients who were naïve to amifampridine</w:t>
      </w:r>
      <w:r w:rsidRPr="000B09B9">
        <w:rPr>
          <w:rFonts w:eastAsia="Calibri"/>
        </w:rPr>
        <w:t xml:space="preserve">, the submission did not tabulate the key </w:t>
      </w:r>
      <w:r w:rsidR="00163241" w:rsidRPr="000B09B9">
        <w:rPr>
          <w:rFonts w:eastAsia="Calibri"/>
        </w:rPr>
        <w:t>AEs</w:t>
      </w:r>
      <w:r w:rsidRPr="000B09B9">
        <w:rPr>
          <w:rFonts w:eastAsia="Calibri"/>
        </w:rPr>
        <w:t xml:space="preserve"> related to the DUKE trial</w:t>
      </w:r>
      <w:r w:rsidR="00FE1325" w:rsidRPr="000B09B9">
        <w:rPr>
          <w:rFonts w:eastAsia="Calibri"/>
        </w:rPr>
        <w:t xml:space="preserve">. </w:t>
      </w:r>
      <w:r w:rsidR="009A43AA" w:rsidRPr="000B09B9">
        <w:rPr>
          <w:rFonts w:eastAsia="Calibri"/>
        </w:rPr>
        <w:t>Data from Sanders</w:t>
      </w:r>
      <w:r w:rsidR="003D2B26" w:rsidRPr="000B09B9">
        <w:rPr>
          <w:rFonts w:eastAsia="Calibri"/>
        </w:rPr>
        <w:t xml:space="preserve"> (2000) reported that </w:t>
      </w:r>
      <w:r w:rsidR="00641A69" w:rsidRPr="000B09B9">
        <w:rPr>
          <w:rFonts w:eastAsia="Calibri"/>
        </w:rPr>
        <w:t>four (of 14) pat</w:t>
      </w:r>
      <w:r w:rsidR="007E1617" w:rsidRPr="000B09B9">
        <w:rPr>
          <w:rFonts w:eastAsia="Calibri"/>
        </w:rPr>
        <w:t xml:space="preserve">ients taking blinded amifampridine and </w:t>
      </w:r>
      <w:r w:rsidR="009D3A4C" w:rsidRPr="000B09B9">
        <w:rPr>
          <w:rFonts w:eastAsia="Calibri"/>
        </w:rPr>
        <w:t>8 (of 22) pat</w:t>
      </w:r>
      <w:r w:rsidR="023C7058" w:rsidRPr="000B09B9">
        <w:rPr>
          <w:rFonts w:eastAsia="Calibri"/>
        </w:rPr>
        <w:t>ien</w:t>
      </w:r>
      <w:r w:rsidR="009D3A4C" w:rsidRPr="000B09B9">
        <w:rPr>
          <w:rFonts w:eastAsia="Calibri"/>
        </w:rPr>
        <w:t xml:space="preserve">ts </w:t>
      </w:r>
      <w:r w:rsidR="009B4178" w:rsidRPr="000B09B9">
        <w:rPr>
          <w:rFonts w:eastAsia="Calibri"/>
        </w:rPr>
        <w:t>taking open-label amifampridine reported tingling perioral and digital paraesthesia</w:t>
      </w:r>
      <w:r w:rsidR="004F7F53" w:rsidRPr="000B09B9">
        <w:rPr>
          <w:rFonts w:eastAsia="Calibri"/>
        </w:rPr>
        <w:t xml:space="preserve">. There were no changes attributable to amifampridine on </w:t>
      </w:r>
      <w:r w:rsidR="00775674" w:rsidRPr="000B09B9">
        <w:rPr>
          <w:rFonts w:eastAsia="Calibri"/>
        </w:rPr>
        <w:t>electroencephalogram</w:t>
      </w:r>
      <w:r w:rsidR="00FA55D0" w:rsidRPr="000B09B9">
        <w:rPr>
          <w:rFonts w:eastAsia="Calibri"/>
        </w:rPr>
        <w:t xml:space="preserve"> or</w:t>
      </w:r>
      <w:r w:rsidR="004F7F53" w:rsidRPr="000B09B9">
        <w:rPr>
          <w:rFonts w:eastAsia="Calibri"/>
        </w:rPr>
        <w:t xml:space="preserve"> </w:t>
      </w:r>
      <w:r w:rsidR="00775674" w:rsidRPr="000B09B9">
        <w:rPr>
          <w:rFonts w:eastAsia="Calibri"/>
        </w:rPr>
        <w:t>electrocardiogram,</w:t>
      </w:r>
      <w:r w:rsidR="004F7F53" w:rsidRPr="000B09B9">
        <w:rPr>
          <w:rFonts w:eastAsia="Calibri"/>
        </w:rPr>
        <w:t xml:space="preserve"> or results of blood tests of liver, kidney, hematologic, or endocrine function during the trial or </w:t>
      </w:r>
      <w:r w:rsidR="000552AF" w:rsidRPr="000B09B9">
        <w:rPr>
          <w:rFonts w:eastAsia="Calibri"/>
        </w:rPr>
        <w:t>after</w:t>
      </w:r>
      <w:r w:rsidR="004F7F53" w:rsidRPr="000B09B9">
        <w:rPr>
          <w:rFonts w:eastAsia="Calibri"/>
        </w:rPr>
        <w:t xml:space="preserve"> six months of the open-label phase</w:t>
      </w:r>
      <w:r w:rsidR="00497278" w:rsidRPr="000B09B9">
        <w:rPr>
          <w:rFonts w:eastAsia="Calibri"/>
        </w:rPr>
        <w:t>.</w:t>
      </w:r>
    </w:p>
    <w:p w14:paraId="61C03073" w14:textId="77777777" w:rsidR="0005279F" w:rsidRPr="000B09B9" w:rsidRDefault="00AA2AA3" w:rsidP="002B0564">
      <w:pPr>
        <w:pStyle w:val="3-BodyText"/>
        <w:numPr>
          <w:ilvl w:val="1"/>
          <w:numId w:val="9"/>
        </w:numPr>
        <w:rPr>
          <w:rFonts w:eastAsia="Calibri"/>
        </w:rPr>
      </w:pPr>
      <w:r w:rsidRPr="000B09B9">
        <w:rPr>
          <w:rFonts w:eastAsia="Calibri"/>
        </w:rPr>
        <w:t xml:space="preserve">The investigators reported one patient in the DUKE study discontinued amifampridine after 1 week due to lack of apparent benefit. </w:t>
      </w:r>
      <w:r w:rsidR="0005279F" w:rsidRPr="000B09B9">
        <w:rPr>
          <w:rFonts w:eastAsia="Calibri"/>
        </w:rPr>
        <w:t>The submission also reported treatment discontinuations for patients treated in the USA between July 2019 and August 2020 based on the Periodic Adverse Drug Experience Report (PADER).</w:t>
      </w:r>
      <w:r w:rsidR="008A0350" w:rsidRPr="000B09B9">
        <w:rPr>
          <w:rFonts w:eastAsia="Calibri"/>
        </w:rPr>
        <w:t xml:space="preserve"> </w:t>
      </w:r>
      <w:r w:rsidR="0005279F" w:rsidRPr="000B09B9">
        <w:rPr>
          <w:rFonts w:eastAsia="Calibri"/>
        </w:rPr>
        <w:t xml:space="preserve">The submission reported that of 117 patients (108 adults and 9 paediatrics) receiving amifampridine, two (of 9 paediatric patients, 22%) and 12 (of 108 adult patients, 11%) discontinued amifampridine within the period of the report (approximately one year). </w:t>
      </w:r>
      <w:r w:rsidRPr="000B09B9">
        <w:rPr>
          <w:rFonts w:eastAsia="Calibri"/>
          <w:iCs/>
        </w:rPr>
        <w:t>This is inconsistent with the assumption in the economic model that the effectiveness of amifampridine is unchanged throughout the lifetime of an individual usi</w:t>
      </w:r>
      <w:r w:rsidR="003F4D97" w:rsidRPr="000B09B9">
        <w:rPr>
          <w:rFonts w:eastAsia="Calibri"/>
          <w:iCs/>
        </w:rPr>
        <w:t>ng amifampridine (</w:t>
      </w:r>
      <w:r w:rsidR="003F4D97" w:rsidRPr="00F613DB">
        <w:rPr>
          <w:rFonts w:eastAsia="Calibri"/>
          <w:iCs/>
        </w:rPr>
        <w:t>paragraph 6.</w:t>
      </w:r>
      <w:r w:rsidR="00F613DB" w:rsidRPr="00F613DB">
        <w:rPr>
          <w:rFonts w:eastAsia="Calibri"/>
          <w:iCs/>
        </w:rPr>
        <w:t>51</w:t>
      </w:r>
      <w:r w:rsidRPr="000B09B9">
        <w:rPr>
          <w:rFonts w:eastAsia="Calibri"/>
          <w:iCs/>
        </w:rPr>
        <w:t>).</w:t>
      </w:r>
      <w:r w:rsidR="00AC2768" w:rsidRPr="000B09B9">
        <w:rPr>
          <w:rFonts w:eastAsia="Calibri"/>
          <w:iCs/>
        </w:rPr>
        <w:t xml:space="preserve"> </w:t>
      </w:r>
    </w:p>
    <w:p w14:paraId="250F83BF" w14:textId="24759FEC" w:rsidR="00FE1325" w:rsidRPr="000B09B9" w:rsidRDefault="00FE1325" w:rsidP="002B0564">
      <w:pPr>
        <w:pStyle w:val="3-BodyText"/>
        <w:numPr>
          <w:ilvl w:val="1"/>
          <w:numId w:val="9"/>
        </w:numPr>
        <w:rPr>
          <w:rFonts w:eastAsiaTheme="minorEastAsia" w:cstheme="minorBidi"/>
          <w:iCs/>
        </w:rPr>
      </w:pPr>
      <w:r w:rsidRPr="000B09B9">
        <w:rPr>
          <w:rFonts w:eastAsia="Calibri"/>
        </w:rPr>
        <w:t>The submission present</w:t>
      </w:r>
      <w:r w:rsidR="001048B1" w:rsidRPr="000B09B9">
        <w:rPr>
          <w:rFonts w:eastAsia="Calibri"/>
        </w:rPr>
        <w:t>ed</w:t>
      </w:r>
      <w:r w:rsidRPr="000B09B9">
        <w:rPr>
          <w:rFonts w:eastAsia="Calibri"/>
        </w:rPr>
        <w:t xml:space="preserve"> an integrated safety analysis, combining data from the DAPPER and DUKE trials with a retrospective pharmacovigilance review</w:t>
      </w:r>
      <w:r w:rsidR="00813E6A" w:rsidRPr="000B09B9">
        <w:rPr>
          <w:rFonts w:eastAsia="Calibri"/>
        </w:rPr>
        <w:t xml:space="preserve"> (RPV)</w:t>
      </w:r>
      <w:r w:rsidRPr="000B09B9">
        <w:rPr>
          <w:rFonts w:eastAsia="Calibri"/>
        </w:rPr>
        <w:t xml:space="preserve"> of 162</w:t>
      </w:r>
      <w:r w:rsidR="00961166">
        <w:rPr>
          <w:rFonts w:eastAsia="Calibri"/>
        </w:rPr>
        <w:t> </w:t>
      </w:r>
      <w:r w:rsidRPr="000B09B9">
        <w:rPr>
          <w:rFonts w:eastAsia="Calibri"/>
        </w:rPr>
        <w:t>patients in the compassionate use program</w:t>
      </w:r>
      <w:r w:rsidR="00813E6A" w:rsidRPr="000B09B9">
        <w:rPr>
          <w:rFonts w:eastAsia="Calibri"/>
        </w:rPr>
        <w:t xml:space="preserve"> (referred to as RPV162)</w:t>
      </w:r>
      <w:r w:rsidRPr="000B09B9">
        <w:rPr>
          <w:rFonts w:eastAsia="Calibri"/>
        </w:rPr>
        <w:t>. The data ha</w:t>
      </w:r>
      <w:r w:rsidR="00C72608" w:rsidRPr="000B09B9">
        <w:rPr>
          <w:rFonts w:eastAsia="Calibri"/>
        </w:rPr>
        <w:t>ve</w:t>
      </w:r>
      <w:r w:rsidRPr="000B09B9">
        <w:rPr>
          <w:rFonts w:eastAsia="Calibri"/>
        </w:rPr>
        <w:t xml:space="preserve"> a cut-off date of 15th January 2016. The majority (78.4%) of patients</w:t>
      </w:r>
      <w:r w:rsidR="00C72608" w:rsidRPr="000B09B9">
        <w:rPr>
          <w:rFonts w:eastAsia="Calibri"/>
        </w:rPr>
        <w:t xml:space="preserve"> receiving amifampridine</w:t>
      </w:r>
      <w:r w:rsidRPr="000B09B9">
        <w:rPr>
          <w:rFonts w:eastAsia="Calibri"/>
        </w:rPr>
        <w:t xml:space="preserve"> experienced at least one </w:t>
      </w:r>
      <w:r w:rsidR="00524801" w:rsidRPr="000B09B9">
        <w:rPr>
          <w:rFonts w:eastAsia="Calibri"/>
        </w:rPr>
        <w:t>AE</w:t>
      </w:r>
      <w:r w:rsidRPr="000B09B9">
        <w:rPr>
          <w:rFonts w:eastAsia="Calibri"/>
        </w:rPr>
        <w:t>; most were mild (64.6%) or moderate (11.2%) in severity. Treatment</w:t>
      </w:r>
      <w:r w:rsidR="6FDA42D8" w:rsidRPr="000B09B9">
        <w:rPr>
          <w:rFonts w:eastAsia="Calibri"/>
        </w:rPr>
        <w:t>-</w:t>
      </w:r>
      <w:r w:rsidRPr="000B09B9">
        <w:rPr>
          <w:rFonts w:eastAsia="Calibri"/>
        </w:rPr>
        <w:t>related adverse events were reported in 68</w:t>
      </w:r>
      <w:r w:rsidR="00961166">
        <w:rPr>
          <w:rFonts w:eastAsia="Calibri"/>
        </w:rPr>
        <w:t> </w:t>
      </w:r>
      <w:r w:rsidRPr="000B09B9">
        <w:rPr>
          <w:rFonts w:eastAsia="Calibri"/>
        </w:rPr>
        <w:t>(42%)</w:t>
      </w:r>
      <w:r w:rsidR="00961166">
        <w:rPr>
          <w:rFonts w:eastAsia="Calibri"/>
        </w:rPr>
        <w:t> </w:t>
      </w:r>
      <w:r w:rsidRPr="000B09B9">
        <w:rPr>
          <w:rFonts w:eastAsia="Calibri"/>
        </w:rPr>
        <w:t xml:space="preserve">patients. Most were mild (93%) or moderate (4.5%). </w:t>
      </w:r>
      <w:r w:rsidR="006364C8" w:rsidRPr="000B09B9">
        <w:rPr>
          <w:rFonts w:eastAsia="Calibri"/>
        </w:rPr>
        <w:t xml:space="preserve">One patient experienced a severe AE related to amifampridine (TGA Clinical Evaluation Report, p89). </w:t>
      </w:r>
      <w:r w:rsidRPr="000B09B9">
        <w:rPr>
          <w:rFonts w:eastAsia="Calibri"/>
        </w:rPr>
        <w:t xml:space="preserve">No deaths were reported to be related to amifampridine. </w:t>
      </w:r>
      <w:r w:rsidRPr="000B09B9">
        <w:rPr>
          <w:rFonts w:eastAsia="Calibri"/>
          <w:iCs/>
        </w:rPr>
        <w:t xml:space="preserve">The </w:t>
      </w:r>
      <w:r w:rsidR="00163241" w:rsidRPr="000B09B9">
        <w:rPr>
          <w:rFonts w:eastAsia="Calibri"/>
          <w:iCs/>
        </w:rPr>
        <w:t xml:space="preserve">occurrence </w:t>
      </w:r>
      <w:r w:rsidRPr="000B09B9">
        <w:rPr>
          <w:rFonts w:eastAsia="Calibri"/>
          <w:iCs/>
        </w:rPr>
        <w:t xml:space="preserve">of </w:t>
      </w:r>
      <w:r w:rsidR="00163241" w:rsidRPr="000B09B9">
        <w:rPr>
          <w:rFonts w:eastAsia="Calibri"/>
          <w:iCs/>
        </w:rPr>
        <w:t>AEs</w:t>
      </w:r>
      <w:r w:rsidRPr="000B09B9">
        <w:rPr>
          <w:rFonts w:eastAsia="Calibri"/>
          <w:iCs/>
        </w:rPr>
        <w:t xml:space="preserve"> is not consistent with</w:t>
      </w:r>
      <w:r w:rsidR="00C72608" w:rsidRPr="000B09B9">
        <w:rPr>
          <w:rFonts w:eastAsia="Calibri"/>
          <w:iCs/>
        </w:rPr>
        <w:t xml:space="preserve"> the cost-utility analysis</w:t>
      </w:r>
      <w:r w:rsidR="00163241" w:rsidRPr="000B09B9">
        <w:rPr>
          <w:rFonts w:eastAsia="Calibri"/>
          <w:iCs/>
        </w:rPr>
        <w:t>,</w:t>
      </w:r>
      <w:r w:rsidRPr="000B09B9">
        <w:rPr>
          <w:rFonts w:eastAsia="Calibri"/>
          <w:iCs/>
        </w:rPr>
        <w:t xml:space="preserve"> which assumes no </w:t>
      </w:r>
      <w:r w:rsidR="00163241" w:rsidRPr="000B09B9">
        <w:rPr>
          <w:rFonts w:eastAsia="Calibri"/>
          <w:iCs/>
        </w:rPr>
        <w:t>AEs</w:t>
      </w:r>
      <w:r w:rsidRPr="000B09B9">
        <w:rPr>
          <w:rFonts w:eastAsia="Calibri"/>
          <w:iCs/>
        </w:rPr>
        <w:t xml:space="preserve"> in the modelling</w:t>
      </w:r>
      <w:r w:rsidR="00163241" w:rsidRPr="000B09B9">
        <w:rPr>
          <w:rFonts w:eastAsia="Calibri"/>
          <w:iCs/>
        </w:rPr>
        <w:t>; however,</w:t>
      </w:r>
      <w:r w:rsidRPr="000B09B9">
        <w:rPr>
          <w:rFonts w:eastAsia="Calibri"/>
          <w:iCs/>
        </w:rPr>
        <w:t xml:space="preserve"> </w:t>
      </w:r>
      <w:r w:rsidR="00163241" w:rsidRPr="000B09B9">
        <w:rPr>
          <w:rFonts w:eastAsia="Calibri"/>
          <w:iCs/>
        </w:rPr>
        <w:t>t</w:t>
      </w:r>
      <w:r w:rsidRPr="000B09B9">
        <w:rPr>
          <w:rFonts w:eastAsia="Calibri"/>
          <w:iCs/>
        </w:rPr>
        <w:t xml:space="preserve">his may be reasonable given they are largely mild with only </w:t>
      </w:r>
      <w:r w:rsidRPr="000B09B9" w:rsidDel="00FE1325">
        <w:rPr>
          <w:rFonts w:eastAsia="Calibri"/>
          <w:iCs/>
        </w:rPr>
        <w:t xml:space="preserve">4.5% </w:t>
      </w:r>
      <w:r w:rsidRPr="000B09B9">
        <w:rPr>
          <w:rFonts w:eastAsia="Calibri"/>
          <w:iCs/>
        </w:rPr>
        <w:t>moderate</w:t>
      </w:r>
      <w:r w:rsidRPr="000B09B9" w:rsidDel="00FE1325">
        <w:rPr>
          <w:rFonts w:eastAsia="Calibri"/>
          <w:iCs/>
        </w:rPr>
        <w:t xml:space="preserve"> </w:t>
      </w:r>
      <w:r w:rsidR="00163241" w:rsidRPr="000B09B9">
        <w:rPr>
          <w:rFonts w:eastAsia="Calibri"/>
          <w:iCs/>
        </w:rPr>
        <w:t>TEAEs</w:t>
      </w:r>
      <w:r w:rsidRPr="000B09B9">
        <w:rPr>
          <w:rFonts w:eastAsia="Calibri"/>
          <w:iCs/>
        </w:rPr>
        <w:t>.</w:t>
      </w:r>
    </w:p>
    <w:p w14:paraId="5F3DF34D" w14:textId="76DF5593" w:rsidR="00FE1325" w:rsidRPr="000B09B9" w:rsidRDefault="00FE1325" w:rsidP="002B0564">
      <w:pPr>
        <w:pStyle w:val="3-BodyText"/>
        <w:numPr>
          <w:ilvl w:val="1"/>
          <w:numId w:val="9"/>
        </w:numPr>
        <w:rPr>
          <w:rFonts w:eastAsia="Calibri"/>
        </w:rPr>
      </w:pPr>
      <w:r w:rsidRPr="000B09B9">
        <w:rPr>
          <w:rFonts w:eastAsia="Calibri"/>
        </w:rPr>
        <w:t xml:space="preserve">The submission also provided information about safety in among </w:t>
      </w:r>
      <w:r w:rsidR="00EF1B9D" w:rsidRPr="000B09B9">
        <w:rPr>
          <w:rFonts w:eastAsia="Calibri"/>
        </w:rPr>
        <w:t xml:space="preserve">an additional </w:t>
      </w:r>
      <w:r w:rsidRPr="000B09B9">
        <w:rPr>
          <w:rFonts w:eastAsia="Calibri"/>
        </w:rPr>
        <w:t>72</w:t>
      </w:r>
      <w:r w:rsidR="00961166">
        <w:rPr>
          <w:rFonts w:eastAsia="Calibri"/>
        </w:rPr>
        <w:t> </w:t>
      </w:r>
      <w:r w:rsidR="1651A9EB" w:rsidRPr="000B09B9">
        <w:rPr>
          <w:rFonts w:eastAsia="Calibri"/>
        </w:rPr>
        <w:t>patients in the</w:t>
      </w:r>
      <w:r w:rsidRPr="000B09B9">
        <w:rPr>
          <w:rFonts w:eastAsia="Calibri"/>
        </w:rPr>
        <w:t xml:space="preserve"> “Special Populations” group</w:t>
      </w:r>
      <w:r w:rsidR="0051384D" w:rsidRPr="000B09B9">
        <w:rPr>
          <w:rFonts w:eastAsia="Calibri"/>
        </w:rPr>
        <w:t xml:space="preserve"> (different from the 162</w:t>
      </w:r>
      <w:r w:rsidR="0075237D" w:rsidRPr="000B09B9">
        <w:rPr>
          <w:rFonts w:eastAsia="Calibri"/>
        </w:rPr>
        <w:t xml:space="preserve"> mentioned above). Th</w:t>
      </w:r>
      <w:r w:rsidR="001A7221" w:rsidRPr="000B09B9">
        <w:rPr>
          <w:rFonts w:eastAsia="Calibri"/>
        </w:rPr>
        <w:t>is “Special Populations” group</w:t>
      </w:r>
      <w:r w:rsidRPr="000B09B9">
        <w:rPr>
          <w:rFonts w:eastAsia="Calibri"/>
        </w:rPr>
        <w:t xml:space="preserve"> did not exclude patients with seizures, pregnancies, cardiac/renal/hepatic history, suicidal ideation</w:t>
      </w:r>
      <w:r w:rsidR="00613B2D" w:rsidRPr="000B09B9">
        <w:rPr>
          <w:rFonts w:eastAsia="Calibri"/>
        </w:rPr>
        <w:t>, and also</w:t>
      </w:r>
      <w:r w:rsidRPr="000B09B9">
        <w:rPr>
          <w:rFonts w:eastAsia="Calibri"/>
        </w:rPr>
        <w:t xml:space="preserve"> includ</w:t>
      </w:r>
      <w:r w:rsidR="00613B2D" w:rsidRPr="000B09B9">
        <w:rPr>
          <w:rFonts w:eastAsia="Calibri"/>
        </w:rPr>
        <w:t>ed</w:t>
      </w:r>
      <w:r w:rsidRPr="000B09B9">
        <w:rPr>
          <w:rFonts w:eastAsia="Calibri"/>
        </w:rPr>
        <w:t xml:space="preserve"> </w:t>
      </w:r>
      <w:r w:rsidR="00613B2D" w:rsidRPr="000B09B9">
        <w:rPr>
          <w:rFonts w:eastAsia="Calibri"/>
        </w:rPr>
        <w:t>five</w:t>
      </w:r>
      <w:r w:rsidRPr="000B09B9">
        <w:rPr>
          <w:rFonts w:eastAsia="Calibri"/>
        </w:rPr>
        <w:t xml:space="preserve"> paediatric patients. The majority (97.1%) experienced at least one </w:t>
      </w:r>
      <w:r w:rsidR="00163241" w:rsidRPr="000B09B9">
        <w:rPr>
          <w:rFonts w:eastAsia="Calibri"/>
        </w:rPr>
        <w:t>AE</w:t>
      </w:r>
      <w:r w:rsidRPr="000B09B9">
        <w:rPr>
          <w:rFonts w:eastAsia="Calibri"/>
        </w:rPr>
        <w:t xml:space="preserve">: 55.1% were severe and 9% were fatal but none of the deaths were attributed to amifampridine. More than half (57%) had amifampridine adjusted or discontinued due to an </w:t>
      </w:r>
      <w:r w:rsidR="00524801" w:rsidRPr="000B09B9">
        <w:rPr>
          <w:rFonts w:eastAsia="Calibri"/>
        </w:rPr>
        <w:t>AE</w:t>
      </w:r>
      <w:r w:rsidRPr="000B09B9">
        <w:rPr>
          <w:rFonts w:eastAsia="Calibri"/>
        </w:rPr>
        <w:t xml:space="preserve">. </w:t>
      </w:r>
      <w:r w:rsidR="00B25B1E" w:rsidRPr="000B09B9">
        <w:rPr>
          <w:rFonts w:eastAsia="Calibri"/>
        </w:rPr>
        <w:t xml:space="preserve">Nineteen SAEs </w:t>
      </w:r>
      <w:r w:rsidR="008D1729" w:rsidRPr="000B09B9">
        <w:rPr>
          <w:rFonts w:eastAsia="Calibri"/>
        </w:rPr>
        <w:t xml:space="preserve">(14 patients) </w:t>
      </w:r>
      <w:r w:rsidR="00B25B1E" w:rsidRPr="000B09B9">
        <w:rPr>
          <w:rFonts w:eastAsia="Calibri"/>
        </w:rPr>
        <w:t>were assessed as related to amifampridine, including 8</w:t>
      </w:r>
      <w:r w:rsidR="00961166">
        <w:rPr>
          <w:rFonts w:eastAsia="Calibri"/>
        </w:rPr>
        <w:t> </w:t>
      </w:r>
      <w:r w:rsidR="00B25B1E" w:rsidRPr="000B09B9">
        <w:rPr>
          <w:rFonts w:eastAsia="Calibri"/>
        </w:rPr>
        <w:t xml:space="preserve">patients with convulsion and 1 patient each with grand mal convulsion, loss of consciousness, tremor, atrial fibrillation, anxiety, chest pain, fall, and accidental overdose (submission p113). </w:t>
      </w:r>
      <w:r w:rsidRPr="000B09B9">
        <w:rPr>
          <w:rFonts w:eastAsia="Calibri"/>
          <w:iCs/>
        </w:rPr>
        <w:t xml:space="preserve">There </w:t>
      </w:r>
      <w:r w:rsidR="002350CA" w:rsidRPr="000B09B9">
        <w:rPr>
          <w:rFonts w:eastAsia="Calibri"/>
          <w:iCs/>
        </w:rPr>
        <w:t>may be</w:t>
      </w:r>
      <w:r w:rsidRPr="000B09B9">
        <w:rPr>
          <w:rFonts w:eastAsia="Calibri"/>
          <w:iCs/>
        </w:rPr>
        <w:t xml:space="preserve"> a high</w:t>
      </w:r>
      <w:r w:rsidR="001A20C6" w:rsidRPr="000B09B9">
        <w:rPr>
          <w:rFonts w:eastAsia="Calibri"/>
          <w:iCs/>
        </w:rPr>
        <w:t>er</w:t>
      </w:r>
      <w:r w:rsidRPr="000B09B9">
        <w:rPr>
          <w:rFonts w:eastAsia="Calibri"/>
          <w:iCs/>
        </w:rPr>
        <w:t xml:space="preserve"> likelihood of </w:t>
      </w:r>
      <w:r w:rsidR="002350CA" w:rsidRPr="000B09B9">
        <w:rPr>
          <w:rFonts w:eastAsia="Calibri"/>
          <w:iCs/>
        </w:rPr>
        <w:t>AEs</w:t>
      </w:r>
      <w:r w:rsidRPr="000B09B9">
        <w:rPr>
          <w:rFonts w:eastAsia="Calibri"/>
          <w:iCs/>
        </w:rPr>
        <w:t xml:space="preserve"> and discontinuation when considering a </w:t>
      </w:r>
      <w:r w:rsidR="00AF4C71" w:rsidRPr="000B09B9">
        <w:rPr>
          <w:rFonts w:eastAsia="Calibri"/>
          <w:iCs/>
        </w:rPr>
        <w:t>non-trial</w:t>
      </w:r>
      <w:r w:rsidRPr="000B09B9" w:rsidDel="002350CA">
        <w:rPr>
          <w:rFonts w:eastAsia="Calibri"/>
          <w:iCs/>
        </w:rPr>
        <w:t xml:space="preserve"> </w:t>
      </w:r>
      <w:r w:rsidRPr="000B09B9">
        <w:rPr>
          <w:rFonts w:eastAsia="Calibri"/>
          <w:iCs/>
        </w:rPr>
        <w:t>population of people taking amifampridine</w:t>
      </w:r>
      <w:r w:rsidR="002350CA" w:rsidRPr="000B09B9">
        <w:rPr>
          <w:rFonts w:eastAsia="Calibri"/>
          <w:iCs/>
        </w:rPr>
        <w:t>, as reflected by the Special Populations group</w:t>
      </w:r>
      <w:r w:rsidRPr="000B09B9">
        <w:rPr>
          <w:rFonts w:eastAsia="Calibri"/>
          <w:iCs/>
        </w:rPr>
        <w:t xml:space="preserve">. </w:t>
      </w:r>
    </w:p>
    <w:p w14:paraId="66ABC4A9" w14:textId="77777777" w:rsidR="003229E1" w:rsidRPr="000B09B9" w:rsidRDefault="003229E1" w:rsidP="002B0564">
      <w:pPr>
        <w:pStyle w:val="3-BodyText"/>
        <w:numPr>
          <w:ilvl w:val="1"/>
          <w:numId w:val="9"/>
        </w:numPr>
        <w:rPr>
          <w:rFonts w:eastAsia="Calibri"/>
        </w:rPr>
      </w:pPr>
      <w:r w:rsidRPr="000B09B9">
        <w:t xml:space="preserve">In the </w:t>
      </w:r>
      <w:r w:rsidR="008D1729" w:rsidRPr="000B09B9">
        <w:t>“</w:t>
      </w:r>
      <w:r w:rsidRPr="000B09B9">
        <w:t>Special Populations</w:t>
      </w:r>
      <w:r w:rsidR="008D1729" w:rsidRPr="000B09B9">
        <w:t>”</w:t>
      </w:r>
      <w:r w:rsidRPr="000B09B9">
        <w:t xml:space="preserve"> group, 27 patients had died by 16 April 2016.</w:t>
      </w:r>
      <w:r w:rsidR="00811D1B" w:rsidRPr="000B09B9">
        <w:t xml:space="preserve"> The cause of death was unknown/</w:t>
      </w:r>
      <w:r w:rsidRPr="000B09B9">
        <w:t xml:space="preserve">not reported in 12 patients; five patients died of respiratory failure/arrest (one was associated with the progression of lung cancer), and an additional three patients died of metastatic SCLC or its complications. Of the remaining patients who died, 1 subject each died due to complete heart block refusing pacemaker, “long illness,” cardiopulmonary arrest with metastatic lung cancer, myasthenic syndrome, ALS, multi-organ and renal failure, CHF, suicide, marasmus, and kidney failure. None of the deaths was attributed to </w:t>
      </w:r>
      <w:r w:rsidR="13DCAEE0" w:rsidRPr="000B09B9">
        <w:t>amifampridine</w:t>
      </w:r>
      <w:r w:rsidRPr="000B09B9">
        <w:t>.</w:t>
      </w:r>
    </w:p>
    <w:p w14:paraId="66A4729D" w14:textId="4A224994" w:rsidR="00FE1325" w:rsidRPr="000B09B9" w:rsidRDefault="00FE1325" w:rsidP="002B0564">
      <w:pPr>
        <w:pStyle w:val="3-BodyText"/>
        <w:numPr>
          <w:ilvl w:val="1"/>
          <w:numId w:val="9"/>
        </w:numPr>
        <w:rPr>
          <w:rFonts w:eastAsia="Calibri"/>
        </w:rPr>
      </w:pPr>
      <w:r w:rsidRPr="000B09B9">
        <w:rPr>
          <w:rFonts w:eastAsia="Calibri"/>
        </w:rPr>
        <w:t>The submission state</w:t>
      </w:r>
      <w:r w:rsidR="004C6435" w:rsidRPr="000B09B9">
        <w:rPr>
          <w:rFonts w:eastAsia="Calibri"/>
        </w:rPr>
        <w:t>d</w:t>
      </w:r>
      <w:r w:rsidRPr="000B09B9">
        <w:rPr>
          <w:rFonts w:eastAsia="Calibri"/>
        </w:rPr>
        <w:t xml:space="preserve"> that amifampridine can cause serious </w:t>
      </w:r>
      <w:r w:rsidR="00163241" w:rsidRPr="000B09B9">
        <w:rPr>
          <w:rFonts w:eastAsia="Calibri"/>
        </w:rPr>
        <w:t>AEs</w:t>
      </w:r>
      <w:r w:rsidRPr="000B09B9">
        <w:rPr>
          <w:rFonts w:eastAsia="Calibri"/>
        </w:rPr>
        <w:t xml:space="preserve"> such as seizures and cardiac-related events (e.g. arrhythmias).</w:t>
      </w:r>
      <w:r w:rsidR="009D70F0" w:rsidRPr="000B09B9">
        <w:rPr>
          <w:rFonts w:eastAsia="Calibri"/>
        </w:rPr>
        <w:t xml:space="preserve"> </w:t>
      </w:r>
      <w:r w:rsidR="009D70F0" w:rsidRPr="000B09B9">
        <w:t>In the compassionate use program (with a total of 162 patients), 27 patients were identified as having one or more seizure events: 5 patients in RPV162 and 22 from the Special Populations group. In the RPV162</w:t>
      </w:r>
      <w:r w:rsidR="00961166">
        <w:t> </w:t>
      </w:r>
      <w:r w:rsidR="009D70F0" w:rsidRPr="000B09B9">
        <w:t>population, the rate of convulsion was 0.7 events per 100 patient-years.</w:t>
      </w:r>
      <w:r w:rsidR="009D70F0" w:rsidRPr="000B09B9" w:rsidDel="00FE1325">
        <w:t xml:space="preserve"> </w:t>
      </w:r>
      <w:r w:rsidR="009D70F0" w:rsidRPr="000B09B9">
        <w:rPr>
          <w:iCs/>
        </w:rPr>
        <w:t>The reliability of this estimate is limited by the retrospective nature of the data collection.</w:t>
      </w:r>
      <w:r w:rsidR="009D70F0" w:rsidRPr="000B09B9">
        <w:t xml:space="preserve"> Most of the seizure events occurred in patients with underlying malignancy and/or CNS pathology (e.g., CVA, brain or head injury) and/or overdose (either intentional or inadvertent) </w:t>
      </w:r>
      <w:r w:rsidR="009D70F0" w:rsidRPr="000B09B9">
        <w:rPr>
          <w:rFonts w:eastAsia="Calibri"/>
        </w:rPr>
        <w:t>and/or in the presence of other potentially contributing medications</w:t>
      </w:r>
      <w:r w:rsidR="009D70F0" w:rsidRPr="000B09B9">
        <w:t>.</w:t>
      </w:r>
      <w:r w:rsidRPr="000B09B9">
        <w:rPr>
          <w:rFonts w:eastAsia="Calibri"/>
        </w:rPr>
        <w:t xml:space="preserve"> Evidence from both trials did not identify issues with QTc prolongation.</w:t>
      </w:r>
      <w:r w:rsidR="00B6790D" w:rsidRPr="000B09B9">
        <w:rPr>
          <w:rFonts w:eastAsia="Calibri"/>
        </w:rPr>
        <w:t xml:space="preserve"> </w:t>
      </w:r>
      <w:r w:rsidR="00B6790D" w:rsidRPr="000B09B9">
        <w:rPr>
          <w:iCs/>
        </w:rPr>
        <w:t>This matches with the warnings on the Product Information.</w:t>
      </w:r>
    </w:p>
    <w:p w14:paraId="4DCDEE77" w14:textId="77777777" w:rsidR="00FE1325" w:rsidRPr="000B09B9" w:rsidRDefault="00FE1325" w:rsidP="002B0564">
      <w:pPr>
        <w:pStyle w:val="4-SubsectionHeading"/>
      </w:pPr>
      <w:bookmarkStart w:id="34" w:name="_Toc22897643"/>
      <w:bookmarkStart w:id="35" w:name="_Toc22898855"/>
      <w:bookmarkStart w:id="36" w:name="_Toc82537451"/>
      <w:r w:rsidRPr="000B09B9">
        <w:t>Benefits/harms</w:t>
      </w:r>
      <w:bookmarkEnd w:id="34"/>
      <w:bookmarkEnd w:id="35"/>
      <w:bookmarkEnd w:id="36"/>
    </w:p>
    <w:p w14:paraId="7042279D" w14:textId="77777777" w:rsidR="00FE1325" w:rsidRPr="000B09B9" w:rsidRDefault="00FE1325" w:rsidP="002B0564">
      <w:pPr>
        <w:pStyle w:val="3-BodyText"/>
        <w:numPr>
          <w:ilvl w:val="1"/>
          <w:numId w:val="9"/>
        </w:numPr>
      </w:pPr>
      <w:r w:rsidRPr="000B09B9">
        <w:t xml:space="preserve">The benefit of amifampridine is to improve muscle weakness in patients with LEMS. The evidence was demonstrated in two trials (DAPPER, DUKE). The DAPPER study demonstrated that withdrawal of amifampridine led to greater muscle weakness (using the 3TUG outcome) (Table </w:t>
      </w:r>
      <w:r w:rsidR="00921BB9" w:rsidRPr="000B09B9">
        <w:t>4</w:t>
      </w:r>
      <w:r w:rsidRPr="000B09B9">
        <w:t xml:space="preserve">). The DUKE study demonstrated that amifampridine improved muscle weakness as measured by the QMG score (Table </w:t>
      </w:r>
      <w:r w:rsidR="00921BB9" w:rsidRPr="000B09B9">
        <w:t>5</w:t>
      </w:r>
      <w:r w:rsidRPr="000B09B9">
        <w:t>)</w:t>
      </w:r>
      <w:r w:rsidR="00950527" w:rsidRPr="000B09B9">
        <w:t>.</w:t>
      </w:r>
      <w:r w:rsidRPr="000B09B9">
        <w:t xml:space="preserve"> The submission </w:t>
      </w:r>
      <w:r w:rsidR="001048B1" w:rsidRPr="000B09B9">
        <w:t>claimed</w:t>
      </w:r>
      <w:r w:rsidRPr="000B09B9">
        <w:t xml:space="preserve"> that amifampridine improves quality of life</w:t>
      </w:r>
      <w:r w:rsidR="51CA6077" w:rsidRPr="000B09B9">
        <w:t xml:space="preserve"> </w:t>
      </w:r>
      <w:r w:rsidRPr="000B09B9">
        <w:t>but is not expected to prolong life.</w:t>
      </w:r>
    </w:p>
    <w:p w14:paraId="34F6B0D1" w14:textId="77777777" w:rsidR="00FE1325" w:rsidRPr="000B09B9" w:rsidRDefault="00FE1325" w:rsidP="002B0564">
      <w:pPr>
        <w:pStyle w:val="3-BodyText"/>
        <w:numPr>
          <w:ilvl w:val="1"/>
          <w:numId w:val="9"/>
        </w:numPr>
        <w:rPr>
          <w:rFonts w:ascii="Calibri" w:hAnsi="Calibri"/>
        </w:rPr>
      </w:pPr>
      <w:r w:rsidRPr="000B09B9">
        <w:t xml:space="preserve">The potential harm of amifampridine </w:t>
      </w:r>
      <w:r w:rsidR="004C6435" w:rsidRPr="000B09B9">
        <w:t xml:space="preserve">is due to </w:t>
      </w:r>
      <w:r w:rsidRPr="000B09B9">
        <w:t>its side effect profile</w:t>
      </w:r>
      <w:r w:rsidR="009D70F0" w:rsidRPr="000B09B9">
        <w:t xml:space="preserve">, in particular </w:t>
      </w:r>
      <w:r w:rsidR="00A96C31" w:rsidRPr="000B09B9">
        <w:t>with respect</w:t>
      </w:r>
      <w:r w:rsidR="009D70F0" w:rsidRPr="000B09B9">
        <w:t xml:space="preserve"> to seizures and cardiac-related events (</w:t>
      </w:r>
      <w:r w:rsidR="009D70F0" w:rsidRPr="00F613DB">
        <w:t>paragraph 6.2</w:t>
      </w:r>
      <w:r w:rsidR="00AA65BA" w:rsidRPr="00F613DB">
        <w:t>9</w:t>
      </w:r>
      <w:r w:rsidR="009D70F0" w:rsidRPr="000B09B9">
        <w:t>)</w:t>
      </w:r>
      <w:r w:rsidRPr="000B09B9">
        <w:t>. Amifampridine is reported to have a narrow therapeutic index and supratherapeutic exposure has been associated with an increase in the risk for seizures (Haroldsen, Musson, Hanson, Quartel, &amp; O’Neill, 2015).</w:t>
      </w:r>
    </w:p>
    <w:p w14:paraId="76EA0249" w14:textId="77777777" w:rsidR="00FE1325" w:rsidRPr="000B09B9" w:rsidRDefault="00FE1325" w:rsidP="002B0564">
      <w:pPr>
        <w:pStyle w:val="3-BodyText"/>
        <w:numPr>
          <w:ilvl w:val="1"/>
          <w:numId w:val="9"/>
        </w:numPr>
      </w:pPr>
      <w:r w:rsidRPr="000B09B9">
        <w:t xml:space="preserve">On the basis of direct comparison evidence presented by the submission (DAPPER trial), for every 100 patients treated with amifampridine in comparison with </w:t>
      </w:r>
      <w:r w:rsidR="00775674" w:rsidRPr="000B09B9">
        <w:t>the taper-to-</w:t>
      </w:r>
      <w:r w:rsidRPr="000B09B9">
        <w:t>placebo</w:t>
      </w:r>
      <w:r w:rsidR="00775674" w:rsidRPr="000B09B9">
        <w:t xml:space="preserve"> arm</w:t>
      </w:r>
      <w:r w:rsidR="005F0D7C" w:rsidRPr="000B09B9">
        <w:t xml:space="preserve"> over 3.5 days</w:t>
      </w:r>
      <w:r w:rsidRPr="000B09B9">
        <w:t>:</w:t>
      </w:r>
    </w:p>
    <w:p w14:paraId="0A66ABD9" w14:textId="6A5A4CFF" w:rsidR="00FE1325" w:rsidRPr="000B09B9" w:rsidRDefault="00FE1325" w:rsidP="002B0564">
      <w:pPr>
        <w:pStyle w:val="ListParagraph"/>
        <w:numPr>
          <w:ilvl w:val="1"/>
          <w:numId w:val="16"/>
        </w:numPr>
        <w:ind w:left="1134" w:hanging="425"/>
        <w:rPr>
          <w:rFonts w:eastAsia="Calibri"/>
        </w:rPr>
      </w:pPr>
      <w:r w:rsidRPr="000B09B9">
        <w:rPr>
          <w:rFonts w:eastAsia="Calibri"/>
        </w:rPr>
        <w:t>Approximately 72 fewer patients would have muscle weakness (as determined by &gt;30% deterioration in 3TUG – DAPPER trial</w:t>
      </w:r>
      <w:r w:rsidR="005F0D7C" w:rsidRPr="000B09B9">
        <w:rPr>
          <w:rFonts w:eastAsia="Calibri"/>
        </w:rPr>
        <w:t>; Table 4</w:t>
      </w:r>
      <w:r w:rsidRPr="000B09B9">
        <w:rPr>
          <w:rFonts w:eastAsia="Calibri"/>
        </w:rPr>
        <w:t>)</w:t>
      </w:r>
      <w:r w:rsidR="0045080A">
        <w:rPr>
          <w:rFonts w:eastAsia="Calibri"/>
        </w:rPr>
        <w:t xml:space="preserve">. </w:t>
      </w:r>
    </w:p>
    <w:p w14:paraId="1FDB6B17" w14:textId="75D033A5" w:rsidR="00D671D3" w:rsidRPr="000B09B9" w:rsidRDefault="00D671D3" w:rsidP="002B0564">
      <w:pPr>
        <w:pStyle w:val="3-BodyText"/>
        <w:numPr>
          <w:ilvl w:val="1"/>
          <w:numId w:val="9"/>
        </w:numPr>
      </w:pPr>
      <w:r w:rsidRPr="000B09B9">
        <w:t>On the basis of direct comparison evidence presented by the submission (DUKE trial), for every 100 patients treated with amifampridine in comparison with placebo over 6</w:t>
      </w:r>
      <w:r w:rsidR="0045080A">
        <w:t> </w:t>
      </w:r>
      <w:r w:rsidRPr="000B09B9">
        <w:t>days:</w:t>
      </w:r>
    </w:p>
    <w:p w14:paraId="3FA8213B" w14:textId="77777777" w:rsidR="00FE1325" w:rsidRPr="000B09B9" w:rsidRDefault="00D671D3" w:rsidP="002B0564">
      <w:pPr>
        <w:pStyle w:val="ListParagraph"/>
        <w:numPr>
          <w:ilvl w:val="1"/>
          <w:numId w:val="16"/>
        </w:numPr>
        <w:ind w:left="1134" w:hanging="425"/>
      </w:pPr>
      <w:r w:rsidRPr="000B09B9">
        <w:rPr>
          <w:rFonts w:eastAsia="Calibri"/>
        </w:rPr>
        <w:t>A</w:t>
      </w:r>
      <w:r w:rsidR="00FE1325" w:rsidRPr="000B09B9">
        <w:rPr>
          <w:rFonts w:eastAsia="Calibri"/>
        </w:rPr>
        <w:t xml:space="preserve">pproximately </w:t>
      </w:r>
      <w:r w:rsidRPr="000B09B9">
        <w:rPr>
          <w:rFonts w:eastAsia="Calibri"/>
        </w:rPr>
        <w:t>5</w:t>
      </w:r>
      <w:r w:rsidR="00FE1325" w:rsidRPr="000B09B9">
        <w:rPr>
          <w:rFonts w:eastAsia="Calibri"/>
        </w:rPr>
        <w:t>8 additional patients would improve muscle weakness (as determined by at least 2 QMG points</w:t>
      </w:r>
      <w:r w:rsidR="007C3CB0" w:rsidRPr="000B09B9">
        <w:rPr>
          <w:rFonts w:eastAsia="Calibri"/>
        </w:rPr>
        <w:t xml:space="preserve">; </w:t>
      </w:r>
      <w:r w:rsidR="007C3CB0" w:rsidRPr="00F613DB">
        <w:rPr>
          <w:rFonts w:eastAsia="Calibri"/>
        </w:rPr>
        <w:t>paragraph 6.</w:t>
      </w:r>
      <w:r w:rsidR="002010B5" w:rsidRPr="00F613DB">
        <w:rPr>
          <w:rFonts w:eastAsia="Calibri"/>
        </w:rPr>
        <w:t>22</w:t>
      </w:r>
      <w:r w:rsidR="007C3CB0" w:rsidRPr="000B09B9">
        <w:rPr>
          <w:rFonts w:eastAsia="Calibri"/>
        </w:rPr>
        <w:t>)</w:t>
      </w:r>
      <w:r w:rsidR="003516EA" w:rsidRPr="000B09B9">
        <w:rPr>
          <w:rFonts w:eastAsia="Calibri"/>
        </w:rPr>
        <w:t>.</w:t>
      </w:r>
    </w:p>
    <w:p w14:paraId="300FA00A" w14:textId="77777777" w:rsidR="00FE1325" w:rsidRPr="000B09B9" w:rsidRDefault="00FE1325" w:rsidP="002B0564">
      <w:pPr>
        <w:pStyle w:val="3-BodyText"/>
      </w:pPr>
      <w:r w:rsidRPr="000B09B9">
        <w:rPr>
          <w:rFonts w:eastAsia="Calibri"/>
        </w:rPr>
        <w:t>On the basis of single arm observational evidence (RPV162) presented by the submission, for every 100 patients treated with amifampridine</w:t>
      </w:r>
      <w:r w:rsidR="008C01CB" w:rsidRPr="000B09B9">
        <w:rPr>
          <w:rFonts w:eastAsia="Calibri"/>
        </w:rPr>
        <w:t xml:space="preserve"> (time period not reported</w:t>
      </w:r>
      <w:r w:rsidRPr="000B09B9">
        <w:rPr>
          <w:rFonts w:eastAsia="Calibri"/>
        </w:rPr>
        <w:t>:</w:t>
      </w:r>
    </w:p>
    <w:p w14:paraId="627B5DAC" w14:textId="77777777" w:rsidR="00FE1325" w:rsidRPr="000B09B9" w:rsidRDefault="00FE1325" w:rsidP="002B0564">
      <w:pPr>
        <w:pStyle w:val="ListParagraph"/>
        <w:ind w:left="1134" w:hanging="425"/>
      </w:pPr>
      <w:r w:rsidRPr="000B09B9">
        <w:t xml:space="preserve">Approximately 1 patient would have a severe </w:t>
      </w:r>
      <w:r w:rsidR="003516EA" w:rsidRPr="000B09B9">
        <w:t>AE</w:t>
      </w:r>
      <w:r w:rsidR="007B2B4A" w:rsidRPr="000B09B9">
        <w:t xml:space="preserve"> related to amifampridine</w:t>
      </w:r>
      <w:r w:rsidR="006364C8" w:rsidRPr="000B09B9">
        <w:t xml:space="preserve"> (</w:t>
      </w:r>
      <w:r w:rsidR="006364C8" w:rsidRPr="00F613DB">
        <w:t>paragraph 6.</w:t>
      </w:r>
      <w:r w:rsidR="002010B5" w:rsidRPr="00F613DB">
        <w:t>26</w:t>
      </w:r>
      <w:r w:rsidR="006364C8" w:rsidRPr="000B09B9">
        <w:t>)</w:t>
      </w:r>
      <w:r w:rsidR="003516EA" w:rsidRPr="000B09B9">
        <w:t>.</w:t>
      </w:r>
    </w:p>
    <w:p w14:paraId="31C5789C" w14:textId="77777777" w:rsidR="00FE1325" w:rsidRPr="000B09B9" w:rsidRDefault="00811D1B" w:rsidP="002B0564">
      <w:pPr>
        <w:pStyle w:val="3-BodyText"/>
        <w:rPr>
          <w:rFonts w:eastAsia="Calibri"/>
        </w:rPr>
      </w:pPr>
      <w:r w:rsidRPr="000B09B9">
        <w:rPr>
          <w:rFonts w:eastAsia="Calibri"/>
        </w:rPr>
        <w:t xml:space="preserve">On the basis of </w:t>
      </w:r>
      <w:r w:rsidR="00FE1325" w:rsidRPr="000B09B9">
        <w:rPr>
          <w:rFonts w:eastAsia="Calibri"/>
        </w:rPr>
        <w:t>single arm observational evidence (Special Populations group) presented by the submission, for every 100 patients treated with amifampridine</w:t>
      </w:r>
      <w:r w:rsidR="006364C8" w:rsidRPr="000B09B9">
        <w:rPr>
          <w:rFonts w:eastAsia="Calibri"/>
        </w:rPr>
        <w:t xml:space="preserve"> </w:t>
      </w:r>
      <w:r w:rsidR="008D1729" w:rsidRPr="000B09B9">
        <w:rPr>
          <w:rFonts w:eastAsia="Calibri"/>
        </w:rPr>
        <w:t>(time period not reported)</w:t>
      </w:r>
      <w:r w:rsidR="00FA55D0" w:rsidRPr="000B09B9">
        <w:rPr>
          <w:rFonts w:eastAsia="Calibri"/>
        </w:rPr>
        <w:t>,</w:t>
      </w:r>
      <w:r w:rsidR="008D1729" w:rsidRPr="000B09B9">
        <w:rPr>
          <w:rFonts w:eastAsia="Calibri"/>
        </w:rPr>
        <w:t xml:space="preserve"> the following</w:t>
      </w:r>
      <w:r w:rsidR="00FA55D0" w:rsidRPr="000B09B9">
        <w:rPr>
          <w:rFonts w:eastAsia="Calibri"/>
        </w:rPr>
        <w:t xml:space="preserve"> patients</w:t>
      </w:r>
      <w:r w:rsidR="008D1729" w:rsidRPr="000B09B9">
        <w:rPr>
          <w:rFonts w:eastAsia="Calibri"/>
        </w:rPr>
        <w:t xml:space="preserve"> would have a </w:t>
      </w:r>
      <w:r w:rsidR="00FE1325" w:rsidRPr="000B09B9">
        <w:rPr>
          <w:rFonts w:eastAsia="Calibri"/>
        </w:rPr>
        <w:t xml:space="preserve">severe </w:t>
      </w:r>
      <w:r w:rsidR="003516EA" w:rsidRPr="000B09B9">
        <w:rPr>
          <w:rFonts w:eastAsia="Calibri"/>
        </w:rPr>
        <w:t>AE</w:t>
      </w:r>
      <w:r w:rsidR="00FE1325" w:rsidRPr="000B09B9">
        <w:rPr>
          <w:rFonts w:eastAsia="Calibri"/>
        </w:rPr>
        <w:t xml:space="preserve"> related to amifampridine</w:t>
      </w:r>
      <w:r w:rsidR="00B25B1E" w:rsidRPr="000B09B9">
        <w:rPr>
          <w:rFonts w:eastAsia="Calibri"/>
        </w:rPr>
        <w:t xml:space="preserve"> (</w:t>
      </w:r>
      <w:r w:rsidR="00B25B1E" w:rsidRPr="00F613DB">
        <w:rPr>
          <w:rFonts w:eastAsia="Calibri"/>
        </w:rPr>
        <w:t>paragraph 6.2</w:t>
      </w:r>
      <w:r w:rsidR="00082295" w:rsidRPr="00F613DB">
        <w:rPr>
          <w:rFonts w:eastAsia="Calibri"/>
        </w:rPr>
        <w:t>7</w:t>
      </w:r>
      <w:r w:rsidR="00B25B1E" w:rsidRPr="000B09B9">
        <w:rPr>
          <w:rFonts w:eastAsia="Calibri"/>
        </w:rPr>
        <w:t>)</w:t>
      </w:r>
      <w:r w:rsidR="004F40B1" w:rsidRPr="000B09B9">
        <w:rPr>
          <w:rFonts w:eastAsia="Calibri"/>
        </w:rPr>
        <w:t>.</w:t>
      </w:r>
    </w:p>
    <w:p w14:paraId="7FB0CC70" w14:textId="52A38856" w:rsidR="008D1729" w:rsidRPr="000B09B9" w:rsidRDefault="008D1729" w:rsidP="002B0564">
      <w:pPr>
        <w:pStyle w:val="ListParagraph"/>
        <w:numPr>
          <w:ilvl w:val="0"/>
          <w:numId w:val="15"/>
        </w:numPr>
      </w:pPr>
      <w:r w:rsidRPr="000B09B9">
        <w:t>Approximately 8 patients with convulsion</w:t>
      </w:r>
      <w:r w:rsidR="0045080A">
        <w:t xml:space="preserve">. </w:t>
      </w:r>
    </w:p>
    <w:p w14:paraId="3C9FE7BD" w14:textId="77777777" w:rsidR="008D1729" w:rsidRPr="000B09B9" w:rsidRDefault="008D1729" w:rsidP="002B0564">
      <w:pPr>
        <w:pStyle w:val="ListBullet"/>
        <w:tabs>
          <w:tab w:val="clear" w:pos="360"/>
          <w:tab w:val="num" w:pos="1080"/>
        </w:tabs>
        <w:ind w:left="1080"/>
      </w:pPr>
      <w:r w:rsidRPr="000B09B9">
        <w:t>Approximately 1 patient each with grand mal convulsion, loss of consciousness, tremor, atrial fibrillation, anxiety, chest pain, fall, accidental overdose (8 patients in total).</w:t>
      </w:r>
    </w:p>
    <w:p w14:paraId="5D8A0BA9" w14:textId="77777777" w:rsidR="00FE1325" w:rsidRPr="000B09B9" w:rsidRDefault="00FE1325" w:rsidP="002B0564">
      <w:pPr>
        <w:pStyle w:val="4-SubsectionHeading"/>
      </w:pPr>
      <w:bookmarkStart w:id="37" w:name="_Toc22897644"/>
      <w:bookmarkStart w:id="38" w:name="_Toc22898856"/>
      <w:bookmarkStart w:id="39" w:name="_Toc82537452"/>
      <w:r w:rsidRPr="000B09B9">
        <w:t>Clinical claim</w:t>
      </w:r>
      <w:bookmarkEnd w:id="37"/>
      <w:bookmarkEnd w:id="38"/>
      <w:bookmarkEnd w:id="39"/>
    </w:p>
    <w:p w14:paraId="13EE2F9C" w14:textId="77777777" w:rsidR="00FE1325" w:rsidRPr="000B09B9" w:rsidRDefault="00FE1325" w:rsidP="00656DC1">
      <w:pPr>
        <w:pStyle w:val="3-BodyText"/>
        <w:numPr>
          <w:ilvl w:val="1"/>
          <w:numId w:val="9"/>
        </w:numPr>
        <w:rPr>
          <w:rFonts w:eastAsia="Calibri"/>
          <w:iCs/>
        </w:rPr>
      </w:pPr>
      <w:r w:rsidRPr="000B09B9">
        <w:rPr>
          <w:rFonts w:eastAsia="Calibri"/>
        </w:rPr>
        <w:t xml:space="preserve">The submission described amifampridine as superior in terms of effectiveness compared with placebo. </w:t>
      </w:r>
      <w:r w:rsidRPr="000B09B9">
        <w:rPr>
          <w:rFonts w:eastAsia="Calibri"/>
          <w:iCs/>
        </w:rPr>
        <w:t>Th</w:t>
      </w:r>
      <w:r w:rsidR="00D9654E" w:rsidRPr="000B09B9">
        <w:rPr>
          <w:rFonts w:eastAsia="Calibri"/>
          <w:iCs/>
        </w:rPr>
        <w:t>e evaluation</w:t>
      </w:r>
      <w:r w:rsidR="00BE28C7" w:rsidRPr="000B09B9">
        <w:rPr>
          <w:rFonts w:eastAsia="Calibri"/>
          <w:iCs/>
        </w:rPr>
        <w:t xml:space="preserve"> and ESC</w:t>
      </w:r>
      <w:r w:rsidR="00D9654E" w:rsidRPr="000B09B9">
        <w:rPr>
          <w:rFonts w:eastAsia="Calibri"/>
          <w:iCs/>
        </w:rPr>
        <w:t xml:space="preserve"> consider</w:t>
      </w:r>
      <w:r w:rsidR="00775674" w:rsidRPr="000B09B9">
        <w:rPr>
          <w:rFonts w:eastAsia="Calibri"/>
          <w:iCs/>
        </w:rPr>
        <w:t>e</w:t>
      </w:r>
      <w:r w:rsidR="00D9654E" w:rsidRPr="000B09B9">
        <w:rPr>
          <w:rFonts w:eastAsia="Calibri"/>
          <w:iCs/>
        </w:rPr>
        <w:t>d th</w:t>
      </w:r>
      <w:r w:rsidRPr="000B09B9">
        <w:rPr>
          <w:rFonts w:eastAsia="Calibri"/>
          <w:iCs/>
        </w:rPr>
        <w:t>is claim was partially supported</w:t>
      </w:r>
      <w:r w:rsidR="003F66C8" w:rsidRPr="000B09B9">
        <w:rPr>
          <w:rFonts w:eastAsia="Calibri"/>
          <w:iCs/>
        </w:rPr>
        <w:t>,</w:t>
      </w:r>
      <w:r w:rsidRPr="000B09B9">
        <w:rPr>
          <w:rFonts w:eastAsia="Calibri"/>
          <w:iCs/>
        </w:rPr>
        <w:t xml:space="preserve"> but the magnitude of the effect was likely overestimated and uncertain. The key issues were: </w:t>
      </w:r>
    </w:p>
    <w:p w14:paraId="33A525A6" w14:textId="77777777" w:rsidR="00FE1325" w:rsidRPr="000B09B9" w:rsidRDefault="4235187A" w:rsidP="002B0564">
      <w:pPr>
        <w:pStyle w:val="3-BodyText"/>
        <w:numPr>
          <w:ilvl w:val="0"/>
          <w:numId w:val="8"/>
        </w:numPr>
        <w:rPr>
          <w:rFonts w:eastAsiaTheme="minorEastAsia" w:cstheme="minorBidi"/>
          <w:iCs/>
        </w:rPr>
      </w:pPr>
      <w:r w:rsidRPr="000B09B9">
        <w:rPr>
          <w:rFonts w:ascii="Calibri" w:eastAsia="Calibri" w:hAnsi="Calibri" w:cs="Calibri"/>
          <w:iCs/>
          <w:color w:val="000000" w:themeColor="text1"/>
        </w:rPr>
        <w:t>S</w:t>
      </w:r>
      <w:r w:rsidR="00FE1325" w:rsidRPr="000B09B9">
        <w:rPr>
          <w:rFonts w:ascii="Calibri" w:eastAsia="Calibri" w:hAnsi="Calibri" w:cs="Calibri"/>
          <w:iCs/>
          <w:color w:val="000000" w:themeColor="text1"/>
        </w:rPr>
        <w:t>mall patient numbers</w:t>
      </w:r>
      <w:r w:rsidR="492595E1" w:rsidRPr="000B09B9">
        <w:rPr>
          <w:rFonts w:ascii="Calibri" w:eastAsia="Calibri" w:hAnsi="Calibri" w:cs="Calibri"/>
          <w:iCs/>
          <w:color w:val="000000" w:themeColor="text1"/>
        </w:rPr>
        <w:t xml:space="preserve"> (N=</w:t>
      </w:r>
      <w:r w:rsidR="004C63E0" w:rsidRPr="000B09B9">
        <w:rPr>
          <w:rFonts w:ascii="Calibri" w:eastAsia="Calibri" w:hAnsi="Calibri" w:cs="Calibri"/>
          <w:iCs/>
          <w:color w:val="000000" w:themeColor="text1"/>
        </w:rPr>
        <w:t>32</w:t>
      </w:r>
      <w:r w:rsidR="004C6435" w:rsidRPr="000B09B9">
        <w:rPr>
          <w:rFonts w:ascii="Calibri" w:eastAsia="Calibri" w:hAnsi="Calibri" w:cs="Calibri"/>
          <w:iCs/>
          <w:color w:val="000000" w:themeColor="text1"/>
        </w:rPr>
        <w:t xml:space="preserve"> for </w:t>
      </w:r>
      <w:r w:rsidR="006908CD" w:rsidRPr="000B09B9">
        <w:rPr>
          <w:rFonts w:ascii="Calibri" w:eastAsia="Calibri" w:hAnsi="Calibri" w:cs="Calibri"/>
          <w:iCs/>
          <w:color w:val="000000" w:themeColor="text1"/>
        </w:rPr>
        <w:t>DAPPER</w:t>
      </w:r>
      <w:r w:rsidR="004C6435" w:rsidRPr="000B09B9">
        <w:rPr>
          <w:rFonts w:ascii="Calibri" w:eastAsia="Calibri" w:hAnsi="Calibri" w:cs="Calibri"/>
          <w:iCs/>
          <w:color w:val="000000" w:themeColor="text1"/>
        </w:rPr>
        <w:t xml:space="preserve">; </w:t>
      </w:r>
      <w:r w:rsidR="006908CD" w:rsidRPr="000B09B9">
        <w:rPr>
          <w:rFonts w:ascii="Calibri" w:eastAsia="Calibri" w:hAnsi="Calibri" w:cs="Calibri"/>
          <w:iCs/>
          <w:color w:val="000000" w:themeColor="text1"/>
        </w:rPr>
        <w:t>N=26 for DUKE</w:t>
      </w:r>
      <w:r w:rsidR="492595E1" w:rsidRPr="000B09B9">
        <w:rPr>
          <w:rFonts w:ascii="Calibri" w:eastAsia="Calibri" w:hAnsi="Calibri" w:cs="Calibri"/>
          <w:iCs/>
          <w:color w:val="000000" w:themeColor="text1"/>
        </w:rPr>
        <w:t>)</w:t>
      </w:r>
      <w:r w:rsidR="00FE1325" w:rsidRPr="000B09B9">
        <w:rPr>
          <w:rFonts w:ascii="Calibri" w:eastAsia="Calibri" w:hAnsi="Calibri" w:cs="Calibri"/>
          <w:iCs/>
          <w:color w:val="000000" w:themeColor="text1"/>
        </w:rPr>
        <w:t xml:space="preserve"> and short duration of evaluation</w:t>
      </w:r>
      <w:r w:rsidR="00FE1325" w:rsidRPr="000B09B9">
        <w:rPr>
          <w:rFonts w:eastAsia="Calibri"/>
          <w:iCs/>
        </w:rPr>
        <w:t xml:space="preserve"> </w:t>
      </w:r>
      <w:r w:rsidR="2E437A68" w:rsidRPr="000B09B9">
        <w:rPr>
          <w:rFonts w:eastAsia="Calibri"/>
          <w:iCs/>
        </w:rPr>
        <w:t>(</w:t>
      </w:r>
      <w:r w:rsidR="00676800" w:rsidRPr="000B09B9">
        <w:rPr>
          <w:rFonts w:eastAsia="Calibri"/>
          <w:iCs/>
        </w:rPr>
        <w:t>up to 3.5 days</w:t>
      </w:r>
      <w:r w:rsidR="006908CD" w:rsidRPr="000B09B9">
        <w:rPr>
          <w:rFonts w:eastAsia="Calibri"/>
          <w:iCs/>
        </w:rPr>
        <w:t xml:space="preserve"> for </w:t>
      </w:r>
      <w:r w:rsidR="006908CD" w:rsidRPr="000B09B9">
        <w:rPr>
          <w:rFonts w:ascii="Calibri" w:eastAsia="Calibri" w:hAnsi="Calibri" w:cs="Calibri"/>
          <w:iCs/>
          <w:color w:val="000000" w:themeColor="text1"/>
        </w:rPr>
        <w:t>DAPPER</w:t>
      </w:r>
      <w:r w:rsidR="004C6435" w:rsidRPr="000B09B9">
        <w:rPr>
          <w:rFonts w:ascii="Calibri" w:eastAsia="Calibri" w:hAnsi="Calibri" w:cs="Calibri"/>
          <w:iCs/>
          <w:color w:val="000000" w:themeColor="text1"/>
        </w:rPr>
        <w:t xml:space="preserve">; </w:t>
      </w:r>
      <w:r w:rsidR="00AE14D2" w:rsidRPr="000B09B9">
        <w:rPr>
          <w:rFonts w:ascii="Calibri" w:eastAsia="Calibri" w:hAnsi="Calibri" w:cs="Calibri"/>
          <w:iCs/>
          <w:color w:val="000000" w:themeColor="text1"/>
        </w:rPr>
        <w:t>6 days</w:t>
      </w:r>
      <w:r w:rsidR="004C6435" w:rsidRPr="000B09B9">
        <w:rPr>
          <w:rFonts w:ascii="Calibri" w:eastAsia="Calibri" w:hAnsi="Calibri" w:cs="Calibri"/>
          <w:iCs/>
          <w:color w:val="000000" w:themeColor="text1"/>
        </w:rPr>
        <w:t xml:space="preserve"> for DUKE</w:t>
      </w:r>
      <w:r w:rsidR="2E437A68" w:rsidRPr="000B09B9">
        <w:rPr>
          <w:rFonts w:eastAsia="Calibri"/>
          <w:iCs/>
        </w:rPr>
        <w:t>)</w:t>
      </w:r>
      <w:r w:rsidR="00443A6F" w:rsidRPr="000B09B9">
        <w:rPr>
          <w:rFonts w:eastAsia="Calibri"/>
          <w:iCs/>
        </w:rPr>
        <w:t xml:space="preserve">. </w:t>
      </w:r>
      <w:r w:rsidR="00443A6F" w:rsidRPr="000B09B9">
        <w:rPr>
          <w:iCs/>
        </w:rPr>
        <w:t>The evaluation noted it is challenging to conduct larger trials due to LEMS being a rare condition, and the ethical concerns associated with placebo trials when there is a known treatment.</w:t>
      </w:r>
      <w:r w:rsidR="00656DC1" w:rsidRPr="000B09B9">
        <w:rPr>
          <w:iCs/>
        </w:rPr>
        <w:t xml:space="preserve">  </w:t>
      </w:r>
    </w:p>
    <w:p w14:paraId="61A23110" w14:textId="77777777" w:rsidR="00D65752" w:rsidRPr="000B09B9" w:rsidRDefault="00D65752" w:rsidP="002B0564">
      <w:pPr>
        <w:pStyle w:val="3-BodyText"/>
        <w:numPr>
          <w:ilvl w:val="0"/>
          <w:numId w:val="8"/>
        </w:numPr>
        <w:rPr>
          <w:iCs/>
        </w:rPr>
      </w:pPr>
      <w:r w:rsidRPr="000B09B9">
        <w:rPr>
          <w:iCs/>
        </w:rPr>
        <w:t>Inadequate justification for the clinica</w:t>
      </w:r>
      <w:r w:rsidR="00BB3896" w:rsidRPr="000B09B9">
        <w:rPr>
          <w:iCs/>
        </w:rPr>
        <w:t xml:space="preserve">l </w:t>
      </w:r>
      <w:r w:rsidR="00A018A8" w:rsidRPr="000B09B9">
        <w:rPr>
          <w:iCs/>
        </w:rPr>
        <w:t>significance of thresholds related to 3TUG and QMG</w:t>
      </w:r>
      <w:r w:rsidR="005F0FB1" w:rsidRPr="000B09B9">
        <w:rPr>
          <w:iCs/>
        </w:rPr>
        <w:t>.</w:t>
      </w:r>
    </w:p>
    <w:p w14:paraId="264111E6" w14:textId="77777777" w:rsidR="00A018A8" w:rsidRPr="000B09B9" w:rsidRDefault="00C47A13" w:rsidP="002B0564">
      <w:pPr>
        <w:pStyle w:val="3-BodyText"/>
        <w:numPr>
          <w:ilvl w:val="0"/>
          <w:numId w:val="8"/>
        </w:numPr>
        <w:rPr>
          <w:iCs/>
        </w:rPr>
      </w:pPr>
      <w:r w:rsidRPr="000B09B9">
        <w:rPr>
          <w:iCs/>
        </w:rPr>
        <w:t>Potential applicability issues of trial data to the PBS population</w:t>
      </w:r>
      <w:r w:rsidR="00563C81" w:rsidRPr="000B09B9">
        <w:rPr>
          <w:iCs/>
        </w:rPr>
        <w:t>:</w:t>
      </w:r>
    </w:p>
    <w:p w14:paraId="29586B4A" w14:textId="77777777" w:rsidR="00C47A13" w:rsidRPr="000B09B9" w:rsidRDefault="00C47A13" w:rsidP="002B0564">
      <w:pPr>
        <w:pStyle w:val="3-BodyText"/>
        <w:numPr>
          <w:ilvl w:val="1"/>
          <w:numId w:val="8"/>
        </w:numPr>
        <w:rPr>
          <w:iCs/>
        </w:rPr>
      </w:pPr>
      <w:r w:rsidRPr="000B09B9">
        <w:rPr>
          <w:iCs/>
        </w:rPr>
        <w:t>Differences in proportions of patients with</w:t>
      </w:r>
      <w:r w:rsidR="005A197D" w:rsidRPr="000B09B9">
        <w:rPr>
          <w:iCs/>
        </w:rPr>
        <w:t xml:space="preserve"> pLEMS</w:t>
      </w:r>
      <w:r w:rsidRPr="000B09B9">
        <w:rPr>
          <w:iCs/>
        </w:rPr>
        <w:t xml:space="preserve"> </w:t>
      </w:r>
      <w:r w:rsidR="006D7A4C" w:rsidRPr="000B09B9">
        <w:rPr>
          <w:iCs/>
        </w:rPr>
        <w:t>(3% DAPPER trial, 35% DUKE trial)</w:t>
      </w:r>
      <w:r w:rsidRPr="000B09B9">
        <w:rPr>
          <w:iCs/>
        </w:rPr>
        <w:t xml:space="preserve"> and </w:t>
      </w:r>
      <w:r w:rsidR="00813F8E" w:rsidRPr="000B09B9">
        <w:rPr>
          <w:iCs/>
        </w:rPr>
        <w:t>a</w:t>
      </w:r>
      <w:r w:rsidRPr="000B09B9">
        <w:rPr>
          <w:iCs/>
        </w:rPr>
        <w:t>LEMS</w:t>
      </w:r>
      <w:r w:rsidR="005A197D" w:rsidRPr="000B09B9">
        <w:rPr>
          <w:iCs/>
        </w:rPr>
        <w:t>, compared with a typical LEMS population of pLEMS and aLEMS</w:t>
      </w:r>
      <w:r w:rsidR="00C62809" w:rsidRPr="000B09B9">
        <w:rPr>
          <w:iCs/>
        </w:rPr>
        <w:t xml:space="preserve"> occurring</w:t>
      </w:r>
      <w:r w:rsidR="005A197D" w:rsidRPr="000B09B9">
        <w:rPr>
          <w:iCs/>
        </w:rPr>
        <w:t xml:space="preserve"> in</w:t>
      </w:r>
      <w:r w:rsidR="00C62809" w:rsidRPr="000B09B9">
        <w:rPr>
          <w:iCs/>
        </w:rPr>
        <w:t xml:space="preserve"> approximately</w:t>
      </w:r>
      <w:r w:rsidR="005A197D" w:rsidRPr="000B09B9">
        <w:rPr>
          <w:iCs/>
        </w:rPr>
        <w:t xml:space="preserve"> equal proportions.</w:t>
      </w:r>
      <w:r w:rsidR="00813F8E" w:rsidRPr="000B09B9">
        <w:rPr>
          <w:iCs/>
        </w:rPr>
        <w:t xml:space="preserve"> </w:t>
      </w:r>
    </w:p>
    <w:p w14:paraId="4018BB57" w14:textId="77777777" w:rsidR="00C47A13" w:rsidRPr="000B09B9" w:rsidRDefault="00C47A13" w:rsidP="002B0564">
      <w:pPr>
        <w:pStyle w:val="3-BodyText"/>
        <w:numPr>
          <w:ilvl w:val="1"/>
          <w:numId w:val="8"/>
        </w:numPr>
        <w:rPr>
          <w:iCs/>
        </w:rPr>
      </w:pPr>
      <w:r w:rsidRPr="000B09B9">
        <w:rPr>
          <w:iCs/>
        </w:rPr>
        <w:t xml:space="preserve">Uncertainty of the impact of concurrent management </w:t>
      </w:r>
      <w:r w:rsidR="00697123" w:rsidRPr="000B09B9">
        <w:rPr>
          <w:iCs/>
        </w:rPr>
        <w:t xml:space="preserve">and effects of cancer in patients with </w:t>
      </w:r>
      <w:r w:rsidR="005F0FB1" w:rsidRPr="000B09B9">
        <w:rPr>
          <w:iCs/>
        </w:rPr>
        <w:t>p</w:t>
      </w:r>
      <w:r w:rsidR="00697123" w:rsidRPr="000B09B9">
        <w:rPr>
          <w:iCs/>
        </w:rPr>
        <w:t>LEMS</w:t>
      </w:r>
      <w:r w:rsidR="005F0FB1" w:rsidRPr="000B09B9">
        <w:rPr>
          <w:iCs/>
        </w:rPr>
        <w:t>.</w:t>
      </w:r>
    </w:p>
    <w:p w14:paraId="0FD7E10F" w14:textId="77777777" w:rsidR="003D6775" w:rsidRPr="000B09B9" w:rsidRDefault="003D6775" w:rsidP="002B0564">
      <w:pPr>
        <w:pStyle w:val="3-BodyText"/>
        <w:numPr>
          <w:ilvl w:val="1"/>
          <w:numId w:val="8"/>
        </w:numPr>
        <w:rPr>
          <w:iCs/>
        </w:rPr>
      </w:pPr>
      <w:r w:rsidRPr="000B09B9">
        <w:rPr>
          <w:rFonts w:eastAsia="Calibri" w:cs="Calibri"/>
          <w:iCs/>
          <w:color w:val="000000" w:themeColor="text1"/>
        </w:rPr>
        <w:t>Limited evidence for effectiveness or safety in paediatric populations, although it is unlikely the evidence base will substantially improve as LEMS is a rare condition for paediatric patients.</w:t>
      </w:r>
      <w:r w:rsidR="005A197D" w:rsidRPr="000B09B9">
        <w:rPr>
          <w:rFonts w:eastAsia="Calibri" w:cs="Calibri"/>
          <w:iCs/>
          <w:color w:val="000000" w:themeColor="text1"/>
        </w:rPr>
        <w:t xml:space="preserve"> The PSCR acknowledged the limitations of the evidence based on six paediatric LEMS cases reported in published literature, but considered that </w:t>
      </w:r>
      <w:r w:rsidR="005A197D" w:rsidRPr="000B09B9">
        <w:rPr>
          <w:rFonts w:cstheme="minorHAnsi"/>
        </w:rPr>
        <w:t>safety and efficacy in paediatric patients appeared to be consistent with</w:t>
      </w:r>
      <w:r w:rsidR="00C62809" w:rsidRPr="000B09B9">
        <w:rPr>
          <w:rFonts w:cstheme="minorHAnsi"/>
        </w:rPr>
        <w:t xml:space="preserve"> that observed in adults</w:t>
      </w:r>
      <w:r w:rsidR="005A197D" w:rsidRPr="000B09B9">
        <w:rPr>
          <w:rFonts w:cstheme="minorHAnsi"/>
        </w:rPr>
        <w:t>.</w:t>
      </w:r>
    </w:p>
    <w:p w14:paraId="67E1B7DE" w14:textId="77777777" w:rsidR="00FE1325" w:rsidRPr="000B09B9" w:rsidRDefault="00FE1325" w:rsidP="000C5020">
      <w:pPr>
        <w:pStyle w:val="3-BodyText"/>
        <w:numPr>
          <w:ilvl w:val="0"/>
          <w:numId w:val="8"/>
        </w:numPr>
        <w:rPr>
          <w:iCs/>
        </w:rPr>
      </w:pPr>
      <w:r w:rsidRPr="000B09B9">
        <w:rPr>
          <w:rFonts w:eastAsia="Calibri"/>
          <w:iCs/>
        </w:rPr>
        <w:t>High risk of bias in the DAPPER trial</w:t>
      </w:r>
      <w:r w:rsidR="00656DC1" w:rsidRPr="000B09B9">
        <w:rPr>
          <w:rFonts w:eastAsia="Calibri"/>
          <w:iCs/>
        </w:rPr>
        <w:t>, and medium risk of bias in the DUKE trial</w:t>
      </w:r>
      <w:r w:rsidR="000C5020" w:rsidRPr="000B09B9">
        <w:rPr>
          <w:rFonts w:eastAsia="Calibri"/>
          <w:iCs/>
        </w:rPr>
        <w:t xml:space="preserve"> (</w:t>
      </w:r>
      <w:r w:rsidR="00F613DB" w:rsidRPr="00F613DB">
        <w:rPr>
          <w:rFonts w:eastAsia="Calibri"/>
          <w:iCs/>
        </w:rPr>
        <w:t>paragraph</w:t>
      </w:r>
      <w:r w:rsidR="000C5020" w:rsidRPr="00F613DB">
        <w:rPr>
          <w:rFonts w:eastAsia="Calibri"/>
          <w:iCs/>
        </w:rPr>
        <w:t xml:space="preserve"> 6.1</w:t>
      </w:r>
      <w:r w:rsidR="00F613DB" w:rsidRPr="00F613DB">
        <w:rPr>
          <w:rFonts w:eastAsia="Calibri"/>
          <w:iCs/>
        </w:rPr>
        <w:t>4</w:t>
      </w:r>
      <w:r w:rsidR="000C5020" w:rsidRPr="000B09B9">
        <w:rPr>
          <w:rFonts w:eastAsia="Calibri"/>
          <w:iCs/>
        </w:rPr>
        <w:t>)</w:t>
      </w:r>
      <w:r w:rsidR="00656DC1" w:rsidRPr="000B09B9">
        <w:rPr>
          <w:rFonts w:eastAsia="Calibri"/>
          <w:iCs/>
        </w:rPr>
        <w:t>.</w:t>
      </w:r>
    </w:p>
    <w:p w14:paraId="59579B0F" w14:textId="5A9EAFCD" w:rsidR="00FE1325" w:rsidRPr="000B09B9" w:rsidRDefault="00FE1325" w:rsidP="002B0564">
      <w:pPr>
        <w:pStyle w:val="3-BodyText"/>
        <w:numPr>
          <w:ilvl w:val="1"/>
          <w:numId w:val="9"/>
        </w:numPr>
        <w:rPr>
          <w:rFonts w:eastAsia="Calibri"/>
          <w:iCs/>
        </w:rPr>
      </w:pPr>
      <w:r w:rsidRPr="000B09B9">
        <w:rPr>
          <w:rFonts w:eastAsia="Calibri"/>
        </w:rPr>
        <w:t>The submission described amifampridine as superior in terms of safety compared to placebo</w:t>
      </w:r>
      <w:r w:rsidR="00225932" w:rsidRPr="000B09B9">
        <w:rPr>
          <w:rFonts w:eastAsia="Calibri"/>
        </w:rPr>
        <w:t xml:space="preserve"> despite</w:t>
      </w:r>
      <w:r w:rsidR="00225932" w:rsidRPr="000B09B9">
        <w:rPr>
          <w:rFonts w:eastAsia="Calibri"/>
          <w:iCs/>
        </w:rPr>
        <w:t xml:space="preserve"> evidence of AEs related to amifampridine from the trials and post-marketing surveillance. The PSCR acknowledged that while amifampridine has been used for 15 years on the</w:t>
      </w:r>
      <w:r w:rsidR="00A546E2" w:rsidRPr="000B09B9">
        <w:rPr>
          <w:rFonts w:eastAsia="Calibri"/>
          <w:iCs/>
        </w:rPr>
        <w:t xml:space="preserve"> SAS</w:t>
      </w:r>
      <w:r w:rsidR="00225932" w:rsidRPr="000B09B9">
        <w:rPr>
          <w:rFonts w:eastAsia="Calibri"/>
          <w:iCs/>
        </w:rPr>
        <w:t xml:space="preserve"> and therefore has a </w:t>
      </w:r>
      <w:r w:rsidR="0045080A" w:rsidRPr="000B09B9">
        <w:rPr>
          <w:rFonts w:eastAsia="Calibri"/>
          <w:iCs/>
        </w:rPr>
        <w:t>well-established</w:t>
      </w:r>
      <w:r w:rsidR="00225932" w:rsidRPr="000B09B9">
        <w:rPr>
          <w:rFonts w:eastAsia="Calibri"/>
          <w:iCs/>
        </w:rPr>
        <w:t xml:space="preserve"> safety profile, a claim of inferior safety is appropriate. </w:t>
      </w:r>
      <w:r w:rsidRPr="000B09B9">
        <w:rPr>
          <w:rFonts w:eastAsia="Calibri"/>
          <w:iCs/>
        </w:rPr>
        <w:t xml:space="preserve">The </w:t>
      </w:r>
      <w:r w:rsidR="00225932" w:rsidRPr="000B09B9">
        <w:rPr>
          <w:rFonts w:eastAsia="Calibri"/>
          <w:iCs/>
        </w:rPr>
        <w:t xml:space="preserve">ESC agreed with the evaluation that the </w:t>
      </w:r>
      <w:r w:rsidRPr="000B09B9">
        <w:rPr>
          <w:rFonts w:eastAsia="Calibri"/>
          <w:iCs/>
        </w:rPr>
        <w:t xml:space="preserve">claim of superior safety compared to placebo is not supported. </w:t>
      </w:r>
    </w:p>
    <w:p w14:paraId="10E47F5F" w14:textId="77777777" w:rsidR="00EB7B86" w:rsidRPr="000B09B9" w:rsidRDefault="00EB7B86" w:rsidP="00EB7B86">
      <w:pPr>
        <w:pStyle w:val="3-BodyText"/>
        <w:widowControl w:val="0"/>
        <w:numPr>
          <w:ilvl w:val="1"/>
          <w:numId w:val="9"/>
        </w:numPr>
        <w:rPr>
          <w:szCs w:val="20"/>
        </w:rPr>
      </w:pPr>
      <w:bookmarkStart w:id="40" w:name="_Toc22897645"/>
      <w:bookmarkStart w:id="41" w:name="_Toc22898857"/>
      <w:bookmarkStart w:id="42" w:name="_Toc82537453"/>
      <w:r w:rsidRPr="000B09B9">
        <w:rPr>
          <w:iCs/>
        </w:rPr>
        <w:t>The</w:t>
      </w:r>
      <w:r w:rsidRPr="000B09B9">
        <w:rPr>
          <w:szCs w:val="20"/>
        </w:rPr>
        <w:t xml:space="preserve"> PBAC considered that the submission’s claim of superior comparative effectiveness was reasonable, however the magnitude of the effect was uncertain and difficult to determine due to the limitations of the available clinical evidence.</w:t>
      </w:r>
    </w:p>
    <w:p w14:paraId="28F708B9" w14:textId="77777777" w:rsidR="00EB7B86" w:rsidRPr="000B09B9" w:rsidRDefault="00EB7B86" w:rsidP="00EB7B86">
      <w:pPr>
        <w:pStyle w:val="3-BodyText"/>
        <w:numPr>
          <w:ilvl w:val="1"/>
          <w:numId w:val="9"/>
        </w:numPr>
        <w:rPr>
          <w:rFonts w:eastAsia="Calibri"/>
          <w:iCs/>
        </w:rPr>
      </w:pPr>
      <w:r w:rsidRPr="000B09B9">
        <w:rPr>
          <w:szCs w:val="20"/>
        </w:rPr>
        <w:t xml:space="preserve">The PBAC considered that the submission’s claim of superior comparative safety was not supported, and that </w:t>
      </w:r>
      <w:r w:rsidRPr="000B09B9">
        <w:rPr>
          <w:rFonts w:eastAsia="Calibri"/>
          <w:iCs/>
        </w:rPr>
        <w:t>a claim of inferior safety was appropriate.</w:t>
      </w:r>
    </w:p>
    <w:p w14:paraId="2816774D" w14:textId="77777777" w:rsidR="00FE1325" w:rsidRPr="000B09B9" w:rsidRDefault="00FE1325" w:rsidP="002B0564">
      <w:pPr>
        <w:pStyle w:val="4-SubsectionHeading"/>
      </w:pPr>
      <w:r w:rsidRPr="000B09B9">
        <w:t>Economic analysis</w:t>
      </w:r>
      <w:bookmarkEnd w:id="40"/>
      <w:bookmarkEnd w:id="41"/>
      <w:bookmarkEnd w:id="42"/>
      <w:r w:rsidRPr="000B09B9">
        <w:t xml:space="preserve"> </w:t>
      </w:r>
    </w:p>
    <w:p w14:paraId="00EB9380" w14:textId="77777777" w:rsidR="00FE1325" w:rsidRPr="000B09B9" w:rsidRDefault="00FE1325" w:rsidP="002B0564">
      <w:pPr>
        <w:pStyle w:val="3-BodyText"/>
        <w:numPr>
          <w:ilvl w:val="1"/>
          <w:numId w:val="9"/>
        </w:numPr>
        <w:rPr>
          <w:b/>
          <w:bCs/>
          <w:color w:val="0066FF"/>
        </w:rPr>
      </w:pPr>
      <w:r w:rsidRPr="000B09B9">
        <w:t xml:space="preserve">The submission presented a modelled cost-utility analysis based on a randomised trial (DAPPER trial) and data from a sponsor-initiated survey. </w:t>
      </w:r>
    </w:p>
    <w:p w14:paraId="688656C3" w14:textId="77777777" w:rsidR="00FE1325" w:rsidRPr="000B09B9" w:rsidRDefault="00FE1325" w:rsidP="002B0564">
      <w:pPr>
        <w:pStyle w:val="3-BodyText"/>
        <w:numPr>
          <w:ilvl w:val="1"/>
          <w:numId w:val="9"/>
        </w:numPr>
        <w:rPr>
          <w:color w:val="0066FF"/>
        </w:rPr>
      </w:pPr>
      <w:r w:rsidRPr="000B09B9">
        <w:t xml:space="preserve">Table </w:t>
      </w:r>
      <w:r w:rsidR="00332B4C" w:rsidRPr="000B09B9">
        <w:t>7</w:t>
      </w:r>
      <w:r w:rsidRPr="000B09B9">
        <w:t xml:space="preserve"> presents the key components of the economic model.</w:t>
      </w:r>
      <w:r w:rsidRPr="000B09B9">
        <w:rPr>
          <w:color w:val="0066FF"/>
        </w:rPr>
        <w:t xml:space="preserve"> </w:t>
      </w:r>
    </w:p>
    <w:p w14:paraId="04BB58B4" w14:textId="77777777" w:rsidR="00FE1325" w:rsidRPr="000B09B9" w:rsidRDefault="00FE1325" w:rsidP="002B0564">
      <w:pPr>
        <w:pStyle w:val="TableFigureHeading"/>
        <w:keepLines/>
        <w:rPr>
          <w:rStyle w:val="CommentReference"/>
          <w:b/>
          <w:szCs w:val="24"/>
        </w:rPr>
      </w:pPr>
      <w:r w:rsidRPr="000B09B9">
        <w:rPr>
          <w:rStyle w:val="CommentReference"/>
          <w:b/>
          <w:szCs w:val="24"/>
        </w:rPr>
        <w:t xml:space="preserve">Table </w:t>
      </w:r>
      <w:r w:rsidR="00332B4C" w:rsidRPr="000B09B9">
        <w:rPr>
          <w:rStyle w:val="CommentReference"/>
          <w:b/>
          <w:szCs w:val="24"/>
        </w:rPr>
        <w:t>7</w:t>
      </w:r>
      <w:r w:rsidRPr="000B09B9">
        <w:rPr>
          <w:rStyle w:val="CommentReference"/>
          <w:b/>
          <w:szCs w:val="24"/>
        </w:rPr>
        <w:t>: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6499"/>
      </w:tblGrid>
      <w:tr w:rsidR="00FE1325" w:rsidRPr="000B09B9" w14:paraId="35428DF8" w14:textId="77777777" w:rsidTr="009F56FD">
        <w:trPr>
          <w:tblHeader/>
        </w:trPr>
        <w:tc>
          <w:tcPr>
            <w:tcW w:w="1396" w:type="pct"/>
            <w:shd w:val="clear" w:color="auto" w:fill="auto"/>
            <w:vAlign w:val="center"/>
          </w:tcPr>
          <w:p w14:paraId="22469283" w14:textId="77777777" w:rsidR="00FE1325" w:rsidRPr="000B09B9" w:rsidRDefault="00FE1325" w:rsidP="002B0564">
            <w:pPr>
              <w:pStyle w:val="In-tableHeading"/>
              <w:keepLines/>
              <w:rPr>
                <w:lang w:val="en-AU"/>
              </w:rPr>
            </w:pPr>
            <w:r w:rsidRPr="000B09B9">
              <w:rPr>
                <w:lang w:val="en-AU"/>
              </w:rPr>
              <w:t>Component</w:t>
            </w:r>
          </w:p>
        </w:tc>
        <w:tc>
          <w:tcPr>
            <w:tcW w:w="3604" w:type="pct"/>
            <w:shd w:val="clear" w:color="auto" w:fill="auto"/>
            <w:vAlign w:val="center"/>
          </w:tcPr>
          <w:p w14:paraId="086F6A02" w14:textId="77777777" w:rsidR="00FE1325" w:rsidRPr="000B09B9" w:rsidRDefault="00FE1325" w:rsidP="002B0564">
            <w:pPr>
              <w:pStyle w:val="In-tableHeading"/>
              <w:keepLines/>
              <w:rPr>
                <w:lang w:val="en-AU"/>
              </w:rPr>
            </w:pPr>
            <w:r w:rsidRPr="000B09B9">
              <w:rPr>
                <w:lang w:val="en-AU"/>
              </w:rPr>
              <w:t>Summary</w:t>
            </w:r>
          </w:p>
        </w:tc>
      </w:tr>
      <w:tr w:rsidR="00FE1325" w:rsidRPr="000B09B9" w14:paraId="1CDB9674" w14:textId="77777777" w:rsidTr="009F56FD">
        <w:tc>
          <w:tcPr>
            <w:tcW w:w="1396" w:type="pct"/>
            <w:shd w:val="clear" w:color="auto" w:fill="auto"/>
            <w:vAlign w:val="center"/>
          </w:tcPr>
          <w:p w14:paraId="554D2242" w14:textId="77777777" w:rsidR="00FE1325" w:rsidRPr="000B09B9" w:rsidRDefault="00FE1325" w:rsidP="002B0564">
            <w:pPr>
              <w:pStyle w:val="TableText0"/>
              <w:keepNext/>
              <w:keepLines/>
              <w:widowControl/>
            </w:pPr>
            <w:r w:rsidRPr="000B09B9">
              <w:t>Treatments</w:t>
            </w:r>
          </w:p>
        </w:tc>
        <w:tc>
          <w:tcPr>
            <w:tcW w:w="3604" w:type="pct"/>
            <w:shd w:val="clear" w:color="auto" w:fill="auto"/>
            <w:vAlign w:val="center"/>
          </w:tcPr>
          <w:p w14:paraId="0B281C8A" w14:textId="77777777" w:rsidR="00FE1325" w:rsidRPr="000B09B9" w:rsidRDefault="00FE1325" w:rsidP="002B0564">
            <w:pPr>
              <w:pStyle w:val="TableText0"/>
              <w:keepNext/>
              <w:keepLines/>
              <w:widowControl/>
            </w:pPr>
            <w:r w:rsidRPr="000B09B9">
              <w:t xml:space="preserve">Amifampridine vs. </w:t>
            </w:r>
            <w:r w:rsidR="0084482B" w:rsidRPr="000B09B9">
              <w:t>p</w:t>
            </w:r>
            <w:r w:rsidRPr="000B09B9">
              <w:t>lacebo</w:t>
            </w:r>
          </w:p>
        </w:tc>
      </w:tr>
      <w:tr w:rsidR="00FE1325" w:rsidRPr="000B09B9" w14:paraId="79D9D792" w14:textId="77777777" w:rsidTr="009F56FD">
        <w:tc>
          <w:tcPr>
            <w:tcW w:w="1396" w:type="pct"/>
            <w:shd w:val="clear" w:color="auto" w:fill="auto"/>
            <w:vAlign w:val="center"/>
          </w:tcPr>
          <w:p w14:paraId="2F279C16" w14:textId="77777777" w:rsidR="00FE1325" w:rsidRPr="000B09B9" w:rsidRDefault="00FE1325" w:rsidP="002B0564">
            <w:pPr>
              <w:pStyle w:val="TableText0"/>
              <w:keepNext/>
              <w:keepLines/>
              <w:widowControl/>
            </w:pPr>
            <w:r w:rsidRPr="000B09B9">
              <w:t>Time horizon</w:t>
            </w:r>
          </w:p>
        </w:tc>
        <w:tc>
          <w:tcPr>
            <w:tcW w:w="3604" w:type="pct"/>
            <w:shd w:val="clear" w:color="auto" w:fill="auto"/>
            <w:vAlign w:val="center"/>
          </w:tcPr>
          <w:p w14:paraId="1D9BB775" w14:textId="77777777" w:rsidR="00FE1325" w:rsidRPr="000B09B9" w:rsidRDefault="00FE1325" w:rsidP="002B0564">
            <w:pPr>
              <w:pStyle w:val="TableText0"/>
              <w:keepNext/>
              <w:keepLines/>
              <w:widowControl/>
            </w:pPr>
            <w:r w:rsidRPr="000B09B9">
              <w:t>8 years in the model base case vs. 3.5 days in the key trial (DAPPER)</w:t>
            </w:r>
          </w:p>
        </w:tc>
      </w:tr>
      <w:tr w:rsidR="00FE1325" w:rsidRPr="000B09B9" w14:paraId="7DF20E93" w14:textId="77777777" w:rsidTr="009F56FD">
        <w:tc>
          <w:tcPr>
            <w:tcW w:w="1396" w:type="pct"/>
            <w:shd w:val="clear" w:color="auto" w:fill="auto"/>
            <w:vAlign w:val="center"/>
          </w:tcPr>
          <w:p w14:paraId="352FF49A" w14:textId="77777777" w:rsidR="00FE1325" w:rsidRPr="000B09B9" w:rsidRDefault="00FE1325" w:rsidP="002B0564">
            <w:pPr>
              <w:pStyle w:val="TableText0"/>
              <w:keepNext/>
              <w:keepLines/>
              <w:widowControl/>
            </w:pPr>
            <w:r w:rsidRPr="000B09B9">
              <w:t>Outcomes</w:t>
            </w:r>
          </w:p>
        </w:tc>
        <w:tc>
          <w:tcPr>
            <w:tcW w:w="3604" w:type="pct"/>
            <w:shd w:val="clear" w:color="auto" w:fill="auto"/>
            <w:vAlign w:val="center"/>
          </w:tcPr>
          <w:p w14:paraId="0BC77577" w14:textId="77777777" w:rsidR="00FE1325" w:rsidRPr="000B09B9" w:rsidRDefault="00FE1325" w:rsidP="002B0564">
            <w:pPr>
              <w:pStyle w:val="TableText0"/>
              <w:keepNext/>
              <w:keepLines/>
              <w:widowControl/>
            </w:pPr>
            <w:r w:rsidRPr="000B09B9">
              <w:t>Quality-adjusted life years</w:t>
            </w:r>
          </w:p>
        </w:tc>
      </w:tr>
      <w:tr w:rsidR="00FE1325" w:rsidRPr="000B09B9" w14:paraId="360F1130" w14:textId="77777777" w:rsidTr="009F56FD">
        <w:tc>
          <w:tcPr>
            <w:tcW w:w="1396" w:type="pct"/>
            <w:shd w:val="clear" w:color="auto" w:fill="auto"/>
            <w:vAlign w:val="center"/>
          </w:tcPr>
          <w:p w14:paraId="4A260E05" w14:textId="77777777" w:rsidR="00FE1325" w:rsidRPr="000B09B9" w:rsidRDefault="00FE1325" w:rsidP="002B0564">
            <w:pPr>
              <w:pStyle w:val="TableText0"/>
              <w:keepNext/>
              <w:keepLines/>
              <w:widowControl/>
            </w:pPr>
            <w:r w:rsidRPr="000B09B9">
              <w:t>Methods used to generate results</w:t>
            </w:r>
          </w:p>
        </w:tc>
        <w:tc>
          <w:tcPr>
            <w:tcW w:w="3604" w:type="pct"/>
            <w:shd w:val="clear" w:color="auto" w:fill="auto"/>
            <w:vAlign w:val="center"/>
          </w:tcPr>
          <w:p w14:paraId="30F4AFF5" w14:textId="77777777" w:rsidR="00FE1325" w:rsidRPr="000B09B9" w:rsidRDefault="00FE1325" w:rsidP="002B0564">
            <w:pPr>
              <w:pStyle w:val="TableText0"/>
              <w:keepNext/>
              <w:keepLines/>
              <w:widowControl/>
              <w:rPr>
                <w:i/>
                <w:iCs/>
              </w:rPr>
            </w:pPr>
            <w:r w:rsidRPr="000B09B9">
              <w:t>Cohort expected value</w:t>
            </w:r>
          </w:p>
        </w:tc>
      </w:tr>
      <w:tr w:rsidR="00FE1325" w:rsidRPr="000B09B9" w14:paraId="510BB045" w14:textId="77777777" w:rsidTr="009F56FD">
        <w:tc>
          <w:tcPr>
            <w:tcW w:w="1396" w:type="pct"/>
            <w:shd w:val="clear" w:color="auto" w:fill="auto"/>
            <w:vAlign w:val="center"/>
          </w:tcPr>
          <w:p w14:paraId="7B132757" w14:textId="77777777" w:rsidR="00FE1325" w:rsidRPr="000B09B9" w:rsidRDefault="00FE1325" w:rsidP="002B0564">
            <w:pPr>
              <w:pStyle w:val="TableText0"/>
              <w:keepNext/>
              <w:keepLines/>
              <w:widowControl/>
            </w:pPr>
            <w:r w:rsidRPr="000B09B9">
              <w:t>Health states</w:t>
            </w:r>
          </w:p>
        </w:tc>
        <w:tc>
          <w:tcPr>
            <w:tcW w:w="3604" w:type="pct"/>
            <w:shd w:val="clear" w:color="auto" w:fill="auto"/>
            <w:vAlign w:val="center"/>
          </w:tcPr>
          <w:p w14:paraId="28D92AB2" w14:textId="77777777" w:rsidR="00FE1325" w:rsidRPr="000B09B9" w:rsidRDefault="00FE1325" w:rsidP="002B0564">
            <w:pPr>
              <w:pStyle w:val="TableText0"/>
              <w:keepNext/>
              <w:keepLines/>
              <w:widowControl/>
            </w:pPr>
            <w:r w:rsidRPr="000B09B9">
              <w:t>Responders</w:t>
            </w:r>
          </w:p>
          <w:p w14:paraId="2E47AC55" w14:textId="77777777" w:rsidR="00FE1325" w:rsidRPr="000B09B9" w:rsidRDefault="00FE1325" w:rsidP="002B0564">
            <w:pPr>
              <w:pStyle w:val="TableText0"/>
              <w:keepNext/>
              <w:keepLines/>
              <w:widowControl/>
            </w:pPr>
            <w:r w:rsidRPr="000B09B9">
              <w:t>Non-responders</w:t>
            </w:r>
          </w:p>
          <w:p w14:paraId="0EAAFF2A" w14:textId="77777777" w:rsidR="009E4AA0" w:rsidRPr="000B09B9" w:rsidRDefault="009E4AA0" w:rsidP="002B0564">
            <w:pPr>
              <w:pStyle w:val="TableText0"/>
              <w:keepNext/>
              <w:keepLines/>
              <w:widowControl/>
            </w:pPr>
            <w:r w:rsidRPr="000B09B9">
              <w:t>Dead</w:t>
            </w:r>
          </w:p>
        </w:tc>
      </w:tr>
      <w:tr w:rsidR="00FE1325" w:rsidRPr="000B09B9" w14:paraId="1F8B0B9C" w14:textId="77777777" w:rsidTr="009F56FD">
        <w:tc>
          <w:tcPr>
            <w:tcW w:w="1396" w:type="pct"/>
            <w:shd w:val="clear" w:color="auto" w:fill="auto"/>
            <w:vAlign w:val="center"/>
          </w:tcPr>
          <w:p w14:paraId="487621E1" w14:textId="77777777" w:rsidR="00FE1325" w:rsidRPr="000B09B9" w:rsidRDefault="00FE1325" w:rsidP="002B0564">
            <w:pPr>
              <w:pStyle w:val="TableText0"/>
              <w:keepNext/>
              <w:keepLines/>
              <w:widowControl/>
            </w:pPr>
            <w:r w:rsidRPr="000B09B9">
              <w:t>Cycle length</w:t>
            </w:r>
          </w:p>
        </w:tc>
        <w:tc>
          <w:tcPr>
            <w:tcW w:w="3604" w:type="pct"/>
            <w:shd w:val="clear" w:color="auto" w:fill="auto"/>
            <w:vAlign w:val="center"/>
          </w:tcPr>
          <w:p w14:paraId="76FE9445" w14:textId="77777777" w:rsidR="00FE1325" w:rsidRPr="000B09B9" w:rsidRDefault="00FE1325" w:rsidP="002B0564">
            <w:pPr>
              <w:pStyle w:val="TableText0"/>
              <w:keepNext/>
              <w:keepLines/>
              <w:widowControl/>
            </w:pPr>
            <w:r w:rsidRPr="000B09B9">
              <w:t>4 weeks</w:t>
            </w:r>
          </w:p>
        </w:tc>
      </w:tr>
      <w:tr w:rsidR="00FE1325" w:rsidRPr="000B09B9" w14:paraId="5F261EC3" w14:textId="77777777" w:rsidTr="009F56FD">
        <w:tc>
          <w:tcPr>
            <w:tcW w:w="1396" w:type="pct"/>
            <w:shd w:val="clear" w:color="auto" w:fill="auto"/>
            <w:vAlign w:val="center"/>
          </w:tcPr>
          <w:p w14:paraId="344932EB" w14:textId="77777777" w:rsidR="00FE1325" w:rsidRPr="000B09B9" w:rsidRDefault="00FE1325" w:rsidP="002B0564">
            <w:pPr>
              <w:pStyle w:val="TableText0"/>
              <w:keepNext/>
              <w:keepLines/>
              <w:widowControl/>
            </w:pPr>
            <w:r w:rsidRPr="000B09B9">
              <w:t>Transition probabilities</w:t>
            </w:r>
          </w:p>
          <w:p w14:paraId="773333A4" w14:textId="77777777" w:rsidR="00FE1325" w:rsidRPr="000B09B9" w:rsidRDefault="00FE1325" w:rsidP="002B0564">
            <w:pPr>
              <w:pStyle w:val="TableText0"/>
              <w:keepNext/>
              <w:keepLines/>
              <w:widowControl/>
            </w:pPr>
          </w:p>
        </w:tc>
        <w:tc>
          <w:tcPr>
            <w:tcW w:w="3604" w:type="pct"/>
            <w:shd w:val="clear" w:color="auto" w:fill="auto"/>
            <w:vAlign w:val="center"/>
          </w:tcPr>
          <w:p w14:paraId="0251055B" w14:textId="77777777" w:rsidR="00FE1325" w:rsidRPr="000B09B9" w:rsidRDefault="00FE1325" w:rsidP="002B0564">
            <w:pPr>
              <w:pStyle w:val="TableText0"/>
              <w:keepNext/>
              <w:keepLines/>
              <w:widowControl/>
              <w:rPr>
                <w:iCs/>
              </w:rPr>
            </w:pPr>
            <w:r w:rsidRPr="000B09B9">
              <w:rPr>
                <w:u w:val="single"/>
              </w:rPr>
              <w:t>Response rate from DAPPER trial</w:t>
            </w:r>
            <w:r w:rsidRPr="000B09B9">
              <w:t xml:space="preserve">. Responder definition: No deterioration greater than 30% in 3TUG response. </w:t>
            </w:r>
            <w:bookmarkStart w:id="43" w:name="_Hlk80263728"/>
            <w:r w:rsidRPr="000B09B9">
              <w:t xml:space="preserve">The model assumed that all (100%) patients on amifampridine responded to the treatment. </w:t>
            </w:r>
            <w:bookmarkEnd w:id="43"/>
          </w:p>
          <w:p w14:paraId="79472163" w14:textId="77777777" w:rsidR="00FE1325" w:rsidRPr="000B09B9" w:rsidRDefault="00FE1325" w:rsidP="002B0564">
            <w:pPr>
              <w:pStyle w:val="TableText0"/>
              <w:keepNext/>
              <w:keepLines/>
              <w:widowControl/>
            </w:pPr>
          </w:p>
          <w:p w14:paraId="38D8CF0D" w14:textId="77777777" w:rsidR="00FE1325" w:rsidRPr="000B09B9" w:rsidRDefault="00FE1325" w:rsidP="002B0564">
            <w:pPr>
              <w:pStyle w:val="TableText0"/>
              <w:keepNext/>
              <w:keepLines/>
              <w:widowControl/>
              <w:rPr>
                <w:iCs/>
              </w:rPr>
            </w:pPr>
            <w:r w:rsidRPr="000B09B9">
              <w:rPr>
                <w:u w:val="single"/>
              </w:rPr>
              <w:t>Treatment discontinuation.</w:t>
            </w:r>
            <w:r w:rsidRPr="000B09B9">
              <w:t xml:space="preserve"> The submission assumed all patients will continue to respond to treatment. The submission did not provide a justification for this assumption. </w:t>
            </w:r>
          </w:p>
          <w:p w14:paraId="708BE87B" w14:textId="77777777" w:rsidR="00FE1325" w:rsidRPr="000B09B9" w:rsidRDefault="00FE1325" w:rsidP="002B0564">
            <w:pPr>
              <w:pStyle w:val="TableText0"/>
              <w:keepNext/>
              <w:keepLines/>
              <w:widowControl/>
            </w:pPr>
          </w:p>
          <w:p w14:paraId="4262B0D1" w14:textId="77777777" w:rsidR="00FE1325" w:rsidRPr="000B09B9" w:rsidRDefault="00FE1325" w:rsidP="002B0564">
            <w:pPr>
              <w:pStyle w:val="TableText0"/>
              <w:keepNext/>
              <w:keepLines/>
              <w:widowControl/>
            </w:pPr>
            <w:r w:rsidRPr="000B09B9">
              <w:rPr>
                <w:u w:val="single"/>
              </w:rPr>
              <w:t>Mortality</w:t>
            </w:r>
            <w:r w:rsidRPr="000B09B9">
              <w:t xml:space="preserve"> from Australian life table</w:t>
            </w:r>
            <w:r w:rsidR="00F81FAC" w:rsidRPr="000B09B9">
              <w:t>s</w:t>
            </w:r>
            <w:r w:rsidRPr="000B09B9">
              <w:t xml:space="preserve">. </w:t>
            </w:r>
          </w:p>
        </w:tc>
      </w:tr>
      <w:tr w:rsidR="00FE1325" w:rsidRPr="000B09B9" w14:paraId="0E156E8B" w14:textId="77777777" w:rsidTr="009F56FD">
        <w:tc>
          <w:tcPr>
            <w:tcW w:w="1396" w:type="pct"/>
            <w:shd w:val="clear" w:color="auto" w:fill="auto"/>
            <w:vAlign w:val="center"/>
          </w:tcPr>
          <w:p w14:paraId="5476FAB3" w14:textId="77777777" w:rsidR="00FE1325" w:rsidRPr="000B09B9" w:rsidRDefault="00FE1325" w:rsidP="002B0564">
            <w:pPr>
              <w:pStyle w:val="TableText0"/>
              <w:keepNext/>
              <w:keepLines/>
              <w:widowControl/>
            </w:pPr>
            <w:r w:rsidRPr="000B09B9">
              <w:t xml:space="preserve">Health related quality of life </w:t>
            </w:r>
          </w:p>
        </w:tc>
        <w:tc>
          <w:tcPr>
            <w:tcW w:w="3604" w:type="pct"/>
            <w:shd w:val="clear" w:color="auto" w:fill="auto"/>
            <w:vAlign w:val="center"/>
          </w:tcPr>
          <w:p w14:paraId="737C9963" w14:textId="77777777" w:rsidR="00FE1325" w:rsidRPr="000B09B9" w:rsidRDefault="00FE1325" w:rsidP="002B0564">
            <w:pPr>
              <w:pStyle w:val="TableText0"/>
              <w:keepNext/>
              <w:keepLines/>
              <w:widowControl/>
            </w:pPr>
            <w:r w:rsidRPr="000B09B9">
              <w:t>Utilities were sourced from sponsor-initiated surveys on</w:t>
            </w:r>
            <w:r w:rsidR="00F81FAC" w:rsidRPr="000B09B9">
              <w:t xml:space="preserve"> a</w:t>
            </w:r>
            <w:r w:rsidRPr="000B09B9">
              <w:t xml:space="preserve"> subset of patients presently treated with amifampridine (N=14). The utilities applied </w:t>
            </w:r>
            <w:bookmarkStart w:id="44" w:name="_Hlk80265267"/>
            <w:r w:rsidRPr="000B09B9">
              <w:t>for responders to treatment and non-responders were 0.834 and 0.122, respectively. This indicates a treatment effect of 0.71</w:t>
            </w:r>
            <w:r w:rsidR="0084482B" w:rsidRPr="000B09B9">
              <w:t>2</w:t>
            </w:r>
            <w:r w:rsidRPr="000B09B9">
              <w:t xml:space="preserve">. </w:t>
            </w:r>
            <w:bookmarkEnd w:id="44"/>
          </w:p>
        </w:tc>
      </w:tr>
      <w:tr w:rsidR="00FE1325" w:rsidRPr="000B09B9" w14:paraId="452D0491" w14:textId="77777777" w:rsidTr="009F56FD">
        <w:tc>
          <w:tcPr>
            <w:tcW w:w="1396" w:type="pct"/>
            <w:shd w:val="clear" w:color="auto" w:fill="auto"/>
            <w:vAlign w:val="center"/>
          </w:tcPr>
          <w:p w14:paraId="673E7C79" w14:textId="77777777" w:rsidR="00FE1325" w:rsidRPr="000B09B9" w:rsidRDefault="00FE1325" w:rsidP="002B0564">
            <w:pPr>
              <w:pStyle w:val="TableText0"/>
              <w:keepNext/>
              <w:keepLines/>
              <w:widowControl/>
            </w:pPr>
            <w:r w:rsidRPr="000B09B9">
              <w:t>Maximum dose and dosing pattern of amifampridine</w:t>
            </w:r>
          </w:p>
        </w:tc>
        <w:tc>
          <w:tcPr>
            <w:tcW w:w="3604" w:type="pct"/>
            <w:shd w:val="clear" w:color="auto" w:fill="auto"/>
            <w:vAlign w:val="center"/>
          </w:tcPr>
          <w:p w14:paraId="633A0DB7" w14:textId="77777777" w:rsidR="00FE1325" w:rsidRPr="000B09B9" w:rsidRDefault="00FE1325" w:rsidP="002B0564">
            <w:pPr>
              <w:pStyle w:val="TableText0"/>
              <w:keepNext/>
              <w:keepLines/>
              <w:widowControl/>
            </w:pPr>
            <w:r w:rsidRPr="000B09B9">
              <w:t>Sourced from sponsor-initiated surveys on</w:t>
            </w:r>
            <w:r w:rsidR="00F81FAC" w:rsidRPr="000B09B9">
              <w:t xml:space="preserve"> a</w:t>
            </w:r>
            <w:r w:rsidRPr="000B09B9">
              <w:t xml:space="preserve"> subset of patients presently treated with amifampridine (N=14). Initial dose of 2.5 tablets (25</w:t>
            </w:r>
            <w:r w:rsidR="001078C6" w:rsidRPr="000B09B9">
              <w:t xml:space="preserve"> </w:t>
            </w:r>
            <w:r w:rsidRPr="000B09B9">
              <w:t xml:space="preserve">mg) increasing over 60 months </w:t>
            </w:r>
            <w:r w:rsidR="001006BF" w:rsidRPr="000B09B9">
              <w:t xml:space="preserve">(i.e. 66 four-week cycles) </w:t>
            </w:r>
            <w:r w:rsidRPr="000B09B9">
              <w:t xml:space="preserve">to an average maintenance dose of 6.85 tablets (68.5 mg) daily. </w:t>
            </w:r>
          </w:p>
        </w:tc>
      </w:tr>
    </w:tbl>
    <w:p w14:paraId="6B14F568" w14:textId="77777777" w:rsidR="00FE1325" w:rsidRPr="000B09B9" w:rsidRDefault="00FE1325" w:rsidP="002B0564">
      <w:pPr>
        <w:pStyle w:val="TableFigureFooter"/>
        <w:keepNext/>
        <w:keepLines/>
      </w:pPr>
      <w:r w:rsidRPr="000B09B9">
        <w:t>Source: Table 3.2, p129 of the submission.</w:t>
      </w:r>
    </w:p>
    <w:p w14:paraId="1E17829B" w14:textId="77777777" w:rsidR="00296DF5" w:rsidRPr="000B09B9" w:rsidRDefault="00296DF5" w:rsidP="002B0564">
      <w:pPr>
        <w:pStyle w:val="TableFigureFooter"/>
        <w:keepNext/>
        <w:keepLines/>
        <w:rPr>
          <w:rFonts w:eastAsia="Arial Narrow" w:cs="Arial Narrow"/>
          <w:color w:val="000000" w:themeColor="text1"/>
        </w:rPr>
      </w:pPr>
      <w:r w:rsidRPr="000B09B9">
        <w:t xml:space="preserve">3TUG = Triple Timed Up and Go; </w:t>
      </w:r>
      <w:r w:rsidRPr="000B09B9">
        <w:rPr>
          <w:rFonts w:eastAsia="Arial Narrow" w:cs="Arial Narrow"/>
          <w:color w:val="000000" w:themeColor="text1"/>
        </w:rPr>
        <w:t>N = total participants in group</w:t>
      </w:r>
    </w:p>
    <w:p w14:paraId="06FA3679" w14:textId="77777777" w:rsidR="00456527" w:rsidRPr="000B09B9" w:rsidRDefault="00456527" w:rsidP="002B0564">
      <w:pPr>
        <w:pStyle w:val="TableFigureFooter"/>
      </w:pPr>
    </w:p>
    <w:p w14:paraId="48088258" w14:textId="77777777" w:rsidR="00FE1325" w:rsidRPr="000B09B9" w:rsidRDefault="00FE1325" w:rsidP="002B0564">
      <w:pPr>
        <w:pStyle w:val="3-BodyText"/>
        <w:numPr>
          <w:ilvl w:val="1"/>
          <w:numId w:val="9"/>
        </w:numPr>
        <w:rPr>
          <w:iCs/>
        </w:rPr>
      </w:pPr>
      <w:r w:rsidRPr="000B09B9">
        <w:t xml:space="preserve">The submission presented a cohort expected value analysis. </w:t>
      </w:r>
      <w:r w:rsidRPr="000B09B9">
        <w:rPr>
          <w:iCs/>
        </w:rPr>
        <w:t xml:space="preserve">The structure of the economic model is simple </w:t>
      </w:r>
      <w:r w:rsidR="006F6B3F" w:rsidRPr="000B09B9">
        <w:rPr>
          <w:iCs/>
        </w:rPr>
        <w:t>which may be appropriate in the context of a rare disease with limited clinical evidenc</w:t>
      </w:r>
      <w:r w:rsidR="003E427A" w:rsidRPr="000B09B9">
        <w:rPr>
          <w:iCs/>
        </w:rPr>
        <w:t>e available to inform the model</w:t>
      </w:r>
      <w:r w:rsidRPr="000B09B9">
        <w:rPr>
          <w:iCs/>
        </w:rPr>
        <w:t>.</w:t>
      </w:r>
      <w:r w:rsidR="00E86D08" w:rsidRPr="000B09B9">
        <w:t xml:space="preserve"> </w:t>
      </w:r>
      <w:r w:rsidR="008004B9" w:rsidRPr="000B09B9">
        <w:rPr>
          <w:iCs/>
        </w:rPr>
        <w:t>T</w:t>
      </w:r>
      <w:r w:rsidR="00E86D08" w:rsidRPr="000B09B9">
        <w:rPr>
          <w:iCs/>
        </w:rPr>
        <w:t xml:space="preserve">he model considers </w:t>
      </w:r>
      <w:r w:rsidR="008004B9" w:rsidRPr="000B09B9">
        <w:rPr>
          <w:iCs/>
        </w:rPr>
        <w:t>three</w:t>
      </w:r>
      <w:r w:rsidR="00E86D08" w:rsidRPr="000B09B9">
        <w:rPr>
          <w:iCs/>
        </w:rPr>
        <w:t xml:space="preserve"> health states (Responders</w:t>
      </w:r>
      <w:r w:rsidR="008004B9" w:rsidRPr="000B09B9">
        <w:rPr>
          <w:iCs/>
        </w:rPr>
        <w:t>,</w:t>
      </w:r>
      <w:r w:rsidR="003E427A" w:rsidRPr="000B09B9">
        <w:rPr>
          <w:iCs/>
        </w:rPr>
        <w:t xml:space="preserve"> </w:t>
      </w:r>
      <w:r w:rsidR="00E86D08" w:rsidRPr="000B09B9">
        <w:rPr>
          <w:iCs/>
        </w:rPr>
        <w:t>Non-responders</w:t>
      </w:r>
      <w:r w:rsidR="008004B9" w:rsidRPr="000B09B9">
        <w:rPr>
          <w:iCs/>
        </w:rPr>
        <w:t xml:space="preserve"> and Dead</w:t>
      </w:r>
      <w:r w:rsidR="00E86D08" w:rsidRPr="000B09B9">
        <w:rPr>
          <w:iCs/>
        </w:rPr>
        <w:t>). Patients remain in the Responder health state or transition into the Non-responder health state as determined by the response rate</w:t>
      </w:r>
      <w:r w:rsidR="003E78A4" w:rsidRPr="000B09B9">
        <w:rPr>
          <w:iCs/>
        </w:rPr>
        <w:t xml:space="preserve"> </w:t>
      </w:r>
      <w:r w:rsidR="003E78A4" w:rsidRPr="000B09B9">
        <w:t>which remains fixed throughout the</w:t>
      </w:r>
      <w:r w:rsidR="002222BF" w:rsidRPr="000B09B9">
        <w:t xml:space="preserve"> entire</w:t>
      </w:r>
      <w:r w:rsidR="003E78A4" w:rsidRPr="000B09B9">
        <w:t xml:space="preserve"> time horizon</w:t>
      </w:r>
      <w:r w:rsidR="00E86D08" w:rsidRPr="000B09B9">
        <w:rPr>
          <w:iCs/>
        </w:rPr>
        <w:t>. Apart from background mortality, there were no other transitions. Additionally, apart from</w:t>
      </w:r>
      <w:r w:rsidR="00F81FAC" w:rsidRPr="000B09B9">
        <w:rPr>
          <w:iCs/>
        </w:rPr>
        <w:t xml:space="preserve"> the</w:t>
      </w:r>
      <w:r w:rsidR="00E86D08" w:rsidRPr="000B09B9">
        <w:rPr>
          <w:iCs/>
        </w:rPr>
        <w:t xml:space="preserve"> cost of amifampridine</w:t>
      </w:r>
      <w:r w:rsidR="00F81FAC" w:rsidRPr="000B09B9">
        <w:rPr>
          <w:iCs/>
        </w:rPr>
        <w:t>,</w:t>
      </w:r>
      <w:r w:rsidR="00E86D08" w:rsidRPr="000B09B9">
        <w:rPr>
          <w:iCs/>
        </w:rPr>
        <w:t xml:space="preserve"> no other costs were considered.</w:t>
      </w:r>
    </w:p>
    <w:p w14:paraId="097D4144" w14:textId="77777777" w:rsidR="00E96847" w:rsidRPr="000B09B9" w:rsidRDefault="00E96847" w:rsidP="002B0564">
      <w:pPr>
        <w:pStyle w:val="3-BodyText"/>
        <w:numPr>
          <w:ilvl w:val="1"/>
          <w:numId w:val="9"/>
        </w:numPr>
        <w:rPr>
          <w:iCs/>
        </w:rPr>
      </w:pPr>
      <w:r w:rsidRPr="000B09B9">
        <w:rPr>
          <w:iCs/>
        </w:rPr>
        <w:t xml:space="preserve">The model presented in the submission is </w:t>
      </w:r>
      <w:r w:rsidR="00F81FAC" w:rsidRPr="000B09B9">
        <w:rPr>
          <w:iCs/>
        </w:rPr>
        <w:t>different</w:t>
      </w:r>
      <w:r w:rsidRPr="000B09B9">
        <w:rPr>
          <w:iCs/>
        </w:rPr>
        <w:t xml:space="preserve"> to other published economic evaluations (models reviewed by the Scottish Medicines Consortium (SMC)</w:t>
      </w:r>
      <w:r w:rsidRPr="000B09B9">
        <w:rPr>
          <w:rStyle w:val="FootnoteReference"/>
          <w:iCs/>
        </w:rPr>
        <w:footnoteReference w:id="6"/>
      </w:r>
      <w:r w:rsidRPr="000B09B9">
        <w:rPr>
          <w:iCs/>
        </w:rPr>
        <w:t xml:space="preserve"> and Canadian Agency for Drugs and Technologies in Health (CADTH)</w:t>
      </w:r>
      <w:r w:rsidRPr="000B09B9">
        <w:rPr>
          <w:rStyle w:val="FootnoteReference"/>
          <w:iCs/>
        </w:rPr>
        <w:footnoteReference w:id="7"/>
      </w:r>
      <w:r w:rsidRPr="000B09B9">
        <w:rPr>
          <w:iCs/>
        </w:rPr>
        <w:t>. There were differences in the method of analysis, comparators, time horizons considered, maximum allowable dose</w:t>
      </w:r>
      <w:r w:rsidR="00844C5F" w:rsidRPr="000B09B9">
        <w:rPr>
          <w:iCs/>
        </w:rPr>
        <w:t>,</w:t>
      </w:r>
      <w:r w:rsidRPr="000B09B9">
        <w:rPr>
          <w:iCs/>
        </w:rPr>
        <w:t xml:space="preserve"> and utility values applied</w:t>
      </w:r>
      <w:r w:rsidR="00B77CBB" w:rsidRPr="000B09B9">
        <w:rPr>
          <w:iCs/>
        </w:rPr>
        <w:t xml:space="preserve">. </w:t>
      </w:r>
      <w:r w:rsidR="00AE2DBA" w:rsidRPr="000B09B9">
        <w:rPr>
          <w:iCs/>
        </w:rPr>
        <w:t xml:space="preserve">Table </w:t>
      </w:r>
      <w:r w:rsidR="00A95A61" w:rsidRPr="000B09B9">
        <w:rPr>
          <w:iCs/>
        </w:rPr>
        <w:t>8</w:t>
      </w:r>
      <w:r w:rsidR="00B77CBB" w:rsidRPr="000B09B9">
        <w:rPr>
          <w:iCs/>
        </w:rPr>
        <w:t xml:space="preserve"> presents </w:t>
      </w:r>
      <w:r w:rsidR="0084482B" w:rsidRPr="000B09B9">
        <w:rPr>
          <w:iCs/>
        </w:rPr>
        <w:t xml:space="preserve">a </w:t>
      </w:r>
      <w:r w:rsidR="00B77CBB" w:rsidRPr="000B09B9">
        <w:rPr>
          <w:iCs/>
        </w:rPr>
        <w:t>comparison of the economic models and final recommendations.</w:t>
      </w:r>
    </w:p>
    <w:p w14:paraId="253D7245" w14:textId="77777777" w:rsidR="00AE2DBA" w:rsidRPr="000B09B9" w:rsidRDefault="00AE2DBA" w:rsidP="002B0564">
      <w:pPr>
        <w:pStyle w:val="TableFigureHeading"/>
        <w:keepLines/>
        <w:rPr>
          <w:rStyle w:val="CommentReference"/>
          <w:b/>
          <w:bCs/>
        </w:rPr>
      </w:pPr>
      <w:r w:rsidRPr="000B09B9">
        <w:rPr>
          <w:rStyle w:val="CommentReference"/>
          <w:b/>
          <w:bCs/>
        </w:rPr>
        <w:t xml:space="preserve">Table </w:t>
      </w:r>
      <w:r w:rsidR="00A95A61" w:rsidRPr="000B09B9">
        <w:rPr>
          <w:rStyle w:val="CommentReference"/>
          <w:b/>
          <w:bCs/>
        </w:rPr>
        <w:t>8</w:t>
      </w:r>
      <w:r w:rsidRPr="000B09B9">
        <w:rPr>
          <w:rStyle w:val="CommentReference"/>
          <w:b/>
          <w:bCs/>
        </w:rPr>
        <w:t xml:space="preserve">: Comparison of economic model presented in submission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7"/>
        <w:gridCol w:w="2530"/>
        <w:gridCol w:w="2530"/>
        <w:gridCol w:w="2530"/>
      </w:tblGrid>
      <w:tr w:rsidR="00E95AEE" w:rsidRPr="000B09B9" w14:paraId="2C3CDCD3" w14:textId="77777777" w:rsidTr="00775B7D">
        <w:tc>
          <w:tcPr>
            <w:tcW w:w="791" w:type="pct"/>
            <w:vMerge w:val="restart"/>
            <w:vAlign w:val="center"/>
          </w:tcPr>
          <w:p w14:paraId="41558D1E" w14:textId="77777777" w:rsidR="00AE2DBA" w:rsidRPr="000B09B9" w:rsidRDefault="00AE2DBA" w:rsidP="002B0564">
            <w:pPr>
              <w:pStyle w:val="In-tableHeading"/>
              <w:keepLines/>
              <w:jc w:val="center"/>
              <w:rPr>
                <w:iCs/>
                <w:lang w:val="en-AU"/>
              </w:rPr>
            </w:pPr>
            <w:r w:rsidRPr="000B09B9">
              <w:rPr>
                <w:iCs/>
                <w:lang w:val="en-AU"/>
              </w:rPr>
              <w:t>Component</w:t>
            </w:r>
          </w:p>
        </w:tc>
        <w:tc>
          <w:tcPr>
            <w:tcW w:w="1403" w:type="pct"/>
            <w:vMerge w:val="restart"/>
            <w:vAlign w:val="center"/>
          </w:tcPr>
          <w:p w14:paraId="0A139FC1" w14:textId="77777777" w:rsidR="00AE2DBA" w:rsidRPr="000B09B9" w:rsidRDefault="00AE2DBA" w:rsidP="002B0564">
            <w:pPr>
              <w:pStyle w:val="TableFigureHeading"/>
              <w:keepLines/>
              <w:jc w:val="center"/>
            </w:pPr>
            <w:r w:rsidRPr="000B09B9">
              <w:t>As presented in submission</w:t>
            </w:r>
          </w:p>
        </w:tc>
        <w:tc>
          <w:tcPr>
            <w:tcW w:w="2806" w:type="pct"/>
            <w:gridSpan w:val="2"/>
            <w:vAlign w:val="center"/>
          </w:tcPr>
          <w:p w14:paraId="2DE45926" w14:textId="77777777" w:rsidR="00AE2DBA" w:rsidRPr="000B09B9" w:rsidRDefault="00AE2DBA" w:rsidP="00074C6F">
            <w:pPr>
              <w:pStyle w:val="TableFigureHeading"/>
              <w:keepLines/>
              <w:jc w:val="center"/>
              <w:rPr>
                <w:iCs/>
              </w:rPr>
            </w:pPr>
            <w:r w:rsidRPr="000B09B9">
              <w:rPr>
                <w:iCs/>
              </w:rPr>
              <w:t>Model considered by</w:t>
            </w:r>
            <w:r w:rsidR="00B96769" w:rsidRPr="000B09B9">
              <w:rPr>
                <w:iCs/>
              </w:rPr>
              <w:t>:</w:t>
            </w:r>
            <w:r w:rsidR="00B96769" w:rsidRPr="000B09B9">
              <w:rPr>
                <w:iCs/>
                <w:vertAlign w:val="superscript"/>
              </w:rPr>
              <w:t>a</w:t>
            </w:r>
          </w:p>
        </w:tc>
      </w:tr>
      <w:tr w:rsidR="00E95AEE" w:rsidRPr="000B09B9" w14:paraId="2F77C588" w14:textId="77777777" w:rsidTr="006E1A21">
        <w:tc>
          <w:tcPr>
            <w:tcW w:w="791" w:type="pct"/>
            <w:vMerge/>
            <w:vAlign w:val="center"/>
          </w:tcPr>
          <w:p w14:paraId="35F05236" w14:textId="77777777" w:rsidR="00AE2DBA" w:rsidRPr="000B09B9" w:rsidRDefault="00AE2DBA" w:rsidP="002B0564">
            <w:pPr>
              <w:pStyle w:val="In-tableHeading"/>
              <w:keepLines/>
              <w:jc w:val="center"/>
              <w:rPr>
                <w:iCs/>
                <w:lang w:val="en-AU"/>
              </w:rPr>
            </w:pPr>
          </w:p>
        </w:tc>
        <w:tc>
          <w:tcPr>
            <w:tcW w:w="1403" w:type="pct"/>
            <w:vMerge/>
            <w:vAlign w:val="center"/>
          </w:tcPr>
          <w:p w14:paraId="5F8EA700" w14:textId="77777777" w:rsidR="00AE2DBA" w:rsidRPr="000B09B9" w:rsidRDefault="00AE2DBA" w:rsidP="002B0564">
            <w:pPr>
              <w:pStyle w:val="In-tableHeading"/>
              <w:keepLines/>
              <w:jc w:val="center"/>
              <w:rPr>
                <w:lang w:val="en-AU"/>
              </w:rPr>
            </w:pPr>
          </w:p>
        </w:tc>
        <w:tc>
          <w:tcPr>
            <w:tcW w:w="1403" w:type="pct"/>
            <w:vAlign w:val="center"/>
          </w:tcPr>
          <w:p w14:paraId="7EA98C7A" w14:textId="77777777" w:rsidR="00AE2DBA" w:rsidRPr="000B09B9" w:rsidRDefault="00AE2DBA" w:rsidP="002B0564">
            <w:pPr>
              <w:pStyle w:val="In-tableHeading"/>
              <w:keepLines/>
              <w:jc w:val="center"/>
              <w:rPr>
                <w:iCs/>
                <w:lang w:val="en-AU"/>
              </w:rPr>
            </w:pPr>
            <w:r w:rsidRPr="000B09B9">
              <w:rPr>
                <w:iCs/>
                <w:lang w:val="en-AU"/>
              </w:rPr>
              <w:t>SMC</w:t>
            </w:r>
          </w:p>
        </w:tc>
        <w:tc>
          <w:tcPr>
            <w:tcW w:w="1403" w:type="pct"/>
            <w:vAlign w:val="center"/>
          </w:tcPr>
          <w:p w14:paraId="497F3096" w14:textId="77777777" w:rsidR="00AE2DBA" w:rsidRPr="000B09B9" w:rsidRDefault="00AE2DBA" w:rsidP="002B0564">
            <w:pPr>
              <w:pStyle w:val="In-tableHeading"/>
              <w:keepLines/>
              <w:jc w:val="center"/>
              <w:rPr>
                <w:iCs/>
                <w:lang w:val="en-AU"/>
              </w:rPr>
            </w:pPr>
            <w:r w:rsidRPr="000B09B9">
              <w:rPr>
                <w:iCs/>
                <w:lang w:val="en-AU"/>
              </w:rPr>
              <w:t>CADTH</w:t>
            </w:r>
          </w:p>
        </w:tc>
      </w:tr>
      <w:tr w:rsidR="00E95AEE" w:rsidRPr="000B09B9" w14:paraId="0B7F4705" w14:textId="77777777" w:rsidTr="006E1A21">
        <w:tc>
          <w:tcPr>
            <w:tcW w:w="791" w:type="pct"/>
            <w:vAlign w:val="center"/>
          </w:tcPr>
          <w:p w14:paraId="20E1C07C" w14:textId="77777777" w:rsidR="00AE2DBA" w:rsidRPr="000B09B9" w:rsidRDefault="00AE2DBA" w:rsidP="002B0564">
            <w:pPr>
              <w:pStyle w:val="TableText0"/>
              <w:keepNext/>
              <w:keepLines/>
              <w:widowControl/>
              <w:rPr>
                <w:iCs/>
              </w:rPr>
            </w:pPr>
            <w:r w:rsidRPr="000B09B9">
              <w:rPr>
                <w:iCs/>
              </w:rPr>
              <w:t>Indication</w:t>
            </w:r>
          </w:p>
        </w:tc>
        <w:tc>
          <w:tcPr>
            <w:tcW w:w="1403" w:type="pct"/>
            <w:vAlign w:val="center"/>
          </w:tcPr>
          <w:p w14:paraId="0FA212DE" w14:textId="77777777" w:rsidR="00AE2DBA" w:rsidRPr="000B09B9" w:rsidRDefault="00AE2DBA" w:rsidP="002B0564">
            <w:pPr>
              <w:pStyle w:val="TableText0"/>
              <w:keepNext/>
              <w:keepLines/>
              <w:widowControl/>
              <w:jc w:val="center"/>
            </w:pPr>
            <w:r w:rsidRPr="000B09B9">
              <w:t>Treatment of LEMS in adults and children aged ≥6 years</w:t>
            </w:r>
          </w:p>
        </w:tc>
        <w:tc>
          <w:tcPr>
            <w:tcW w:w="1403" w:type="pct"/>
            <w:vAlign w:val="center"/>
          </w:tcPr>
          <w:p w14:paraId="57BA7C81" w14:textId="77777777" w:rsidR="00AE2DBA" w:rsidRPr="000B09B9" w:rsidRDefault="00AE2DBA" w:rsidP="002B0564">
            <w:pPr>
              <w:pStyle w:val="TableText0"/>
              <w:keepNext/>
              <w:keepLines/>
              <w:widowControl/>
              <w:jc w:val="center"/>
              <w:rPr>
                <w:iCs/>
              </w:rPr>
            </w:pPr>
            <w:r w:rsidRPr="000B09B9">
              <w:rPr>
                <w:iCs/>
              </w:rPr>
              <w:t>Symptomatic treatment of LEMS in adults</w:t>
            </w:r>
          </w:p>
        </w:tc>
        <w:tc>
          <w:tcPr>
            <w:tcW w:w="1403" w:type="pct"/>
            <w:vAlign w:val="center"/>
          </w:tcPr>
          <w:p w14:paraId="28474100" w14:textId="77777777" w:rsidR="00AE2DBA" w:rsidRPr="000B09B9" w:rsidRDefault="00AE2DBA" w:rsidP="002B0564">
            <w:pPr>
              <w:pStyle w:val="TableText0"/>
              <w:keepNext/>
              <w:keepLines/>
              <w:widowControl/>
              <w:jc w:val="center"/>
              <w:rPr>
                <w:iCs/>
              </w:rPr>
            </w:pPr>
            <w:r w:rsidRPr="000B09B9">
              <w:rPr>
                <w:iCs/>
              </w:rPr>
              <w:t>Treatment of LEMS patients 6 years of age and</w:t>
            </w:r>
          </w:p>
          <w:p w14:paraId="50955233" w14:textId="77777777" w:rsidR="00AE2DBA" w:rsidRPr="000B09B9" w:rsidRDefault="00AE2DBA" w:rsidP="002B0564">
            <w:pPr>
              <w:pStyle w:val="TableText0"/>
              <w:keepNext/>
              <w:keepLines/>
              <w:widowControl/>
              <w:jc w:val="center"/>
              <w:rPr>
                <w:iCs/>
              </w:rPr>
            </w:pPr>
            <w:r w:rsidRPr="000B09B9">
              <w:rPr>
                <w:iCs/>
              </w:rPr>
              <w:t>older</w:t>
            </w:r>
          </w:p>
        </w:tc>
      </w:tr>
      <w:tr w:rsidR="00E95AEE" w:rsidRPr="000B09B9" w14:paraId="720A47B6" w14:textId="77777777" w:rsidTr="006E1A21">
        <w:tc>
          <w:tcPr>
            <w:tcW w:w="791" w:type="pct"/>
            <w:vAlign w:val="center"/>
          </w:tcPr>
          <w:p w14:paraId="2CD45226" w14:textId="77777777" w:rsidR="00AE2DBA" w:rsidRPr="000B09B9" w:rsidRDefault="00AE2DBA" w:rsidP="002B0564">
            <w:pPr>
              <w:pStyle w:val="TableText0"/>
              <w:keepNext/>
              <w:keepLines/>
              <w:widowControl/>
              <w:rPr>
                <w:iCs/>
              </w:rPr>
            </w:pPr>
            <w:r w:rsidRPr="000B09B9">
              <w:rPr>
                <w:iCs/>
              </w:rPr>
              <w:t>Comparator</w:t>
            </w:r>
          </w:p>
        </w:tc>
        <w:tc>
          <w:tcPr>
            <w:tcW w:w="1403" w:type="pct"/>
            <w:vAlign w:val="center"/>
          </w:tcPr>
          <w:p w14:paraId="686052A5" w14:textId="77777777" w:rsidR="00AE2DBA" w:rsidRPr="000B09B9" w:rsidRDefault="00AE2DBA" w:rsidP="002B0564">
            <w:pPr>
              <w:pStyle w:val="TableText0"/>
              <w:keepNext/>
              <w:keepLines/>
              <w:widowControl/>
              <w:jc w:val="center"/>
            </w:pPr>
            <w:r w:rsidRPr="000B09B9">
              <w:t>Placebo</w:t>
            </w:r>
          </w:p>
        </w:tc>
        <w:tc>
          <w:tcPr>
            <w:tcW w:w="1403" w:type="pct"/>
            <w:vAlign w:val="center"/>
          </w:tcPr>
          <w:p w14:paraId="524F71C9" w14:textId="77777777" w:rsidR="00AE2DBA" w:rsidRPr="000B09B9" w:rsidRDefault="00AE2DBA" w:rsidP="002B0564">
            <w:pPr>
              <w:pStyle w:val="TableText0"/>
              <w:keepNext/>
              <w:keepLines/>
              <w:widowControl/>
              <w:jc w:val="center"/>
              <w:rPr>
                <w:iCs/>
              </w:rPr>
            </w:pPr>
            <w:r w:rsidRPr="000B09B9">
              <w:rPr>
                <w:iCs/>
              </w:rPr>
              <w:t>Palliative care for patients with LEMS</w:t>
            </w:r>
          </w:p>
        </w:tc>
        <w:tc>
          <w:tcPr>
            <w:tcW w:w="1403" w:type="pct"/>
            <w:vAlign w:val="center"/>
          </w:tcPr>
          <w:p w14:paraId="4CCD10CC" w14:textId="77777777" w:rsidR="00AE2DBA" w:rsidRPr="000B09B9" w:rsidRDefault="00AE2DBA" w:rsidP="002B0564">
            <w:pPr>
              <w:pStyle w:val="TableText0"/>
              <w:keepNext/>
              <w:keepLines/>
              <w:widowControl/>
              <w:jc w:val="center"/>
              <w:rPr>
                <w:iCs/>
              </w:rPr>
            </w:pPr>
            <w:r w:rsidRPr="000B09B9">
              <w:rPr>
                <w:iCs/>
              </w:rPr>
              <w:t>Best supportive care</w:t>
            </w:r>
          </w:p>
        </w:tc>
      </w:tr>
      <w:tr w:rsidR="00E95AEE" w:rsidRPr="000B09B9" w14:paraId="5109417C" w14:textId="77777777" w:rsidTr="006E1A21">
        <w:tc>
          <w:tcPr>
            <w:tcW w:w="791" w:type="pct"/>
            <w:vAlign w:val="center"/>
          </w:tcPr>
          <w:p w14:paraId="0F6DF6A6" w14:textId="77777777" w:rsidR="00AE2DBA" w:rsidRPr="000B09B9" w:rsidRDefault="00AE2DBA" w:rsidP="002B0564">
            <w:pPr>
              <w:pStyle w:val="TableText0"/>
              <w:keepNext/>
              <w:keepLines/>
              <w:widowControl/>
              <w:rPr>
                <w:iCs/>
              </w:rPr>
            </w:pPr>
            <w:r w:rsidRPr="000B09B9">
              <w:rPr>
                <w:iCs/>
              </w:rPr>
              <w:t>Maximum allowable dose</w:t>
            </w:r>
          </w:p>
        </w:tc>
        <w:tc>
          <w:tcPr>
            <w:tcW w:w="1403" w:type="pct"/>
            <w:vAlign w:val="center"/>
          </w:tcPr>
          <w:p w14:paraId="089BF694" w14:textId="77777777" w:rsidR="00AE2DBA" w:rsidRPr="000B09B9" w:rsidRDefault="00AE2DBA" w:rsidP="002B0564">
            <w:pPr>
              <w:pStyle w:val="TableText0"/>
              <w:keepNext/>
              <w:keepLines/>
              <w:widowControl/>
              <w:jc w:val="center"/>
            </w:pPr>
            <w:r w:rsidRPr="000B09B9">
              <w:t>68.5</w:t>
            </w:r>
            <w:r w:rsidR="00EF4DB1" w:rsidRPr="000B09B9">
              <w:t xml:space="preserve"> </w:t>
            </w:r>
            <w:r w:rsidRPr="000B09B9">
              <w:t>mg daily (escalated from 25</w:t>
            </w:r>
            <w:r w:rsidR="00C565CE" w:rsidRPr="000B09B9">
              <w:t> </w:t>
            </w:r>
            <w:r w:rsidRPr="000B09B9">
              <w:t>mg)</w:t>
            </w:r>
          </w:p>
        </w:tc>
        <w:tc>
          <w:tcPr>
            <w:tcW w:w="1403" w:type="pct"/>
            <w:vAlign w:val="center"/>
          </w:tcPr>
          <w:p w14:paraId="624F4F0D" w14:textId="77777777" w:rsidR="00AE2DBA" w:rsidRPr="000B09B9" w:rsidRDefault="00AE2DBA" w:rsidP="002B0564">
            <w:pPr>
              <w:pStyle w:val="TableText0"/>
              <w:keepNext/>
              <w:keepLines/>
              <w:widowControl/>
              <w:jc w:val="center"/>
              <w:rPr>
                <w:iCs/>
              </w:rPr>
            </w:pPr>
            <w:r w:rsidRPr="000B09B9">
              <w:rPr>
                <w:iCs/>
              </w:rPr>
              <w:t>60</w:t>
            </w:r>
            <w:r w:rsidR="00C565CE" w:rsidRPr="000B09B9">
              <w:rPr>
                <w:iCs/>
              </w:rPr>
              <w:t xml:space="preserve"> </w:t>
            </w:r>
            <w:r w:rsidRPr="000B09B9">
              <w:rPr>
                <w:iCs/>
              </w:rPr>
              <w:t>mg per day</w:t>
            </w:r>
          </w:p>
        </w:tc>
        <w:tc>
          <w:tcPr>
            <w:tcW w:w="1403" w:type="pct"/>
            <w:vAlign w:val="center"/>
          </w:tcPr>
          <w:p w14:paraId="179883E9" w14:textId="77777777" w:rsidR="00AE2DBA" w:rsidRPr="000B09B9" w:rsidRDefault="00AE2DBA" w:rsidP="002B0564">
            <w:pPr>
              <w:pStyle w:val="TableText0"/>
              <w:keepNext/>
              <w:keepLines/>
              <w:widowControl/>
              <w:jc w:val="center"/>
              <w:rPr>
                <w:iCs/>
              </w:rPr>
            </w:pPr>
            <w:r w:rsidRPr="000B09B9">
              <w:rPr>
                <w:iCs/>
              </w:rPr>
              <w:t>80</w:t>
            </w:r>
            <w:r w:rsidR="00C565CE" w:rsidRPr="000B09B9">
              <w:rPr>
                <w:iCs/>
              </w:rPr>
              <w:t xml:space="preserve"> </w:t>
            </w:r>
            <w:r w:rsidRPr="000B09B9">
              <w:rPr>
                <w:iCs/>
              </w:rPr>
              <w:t>mg per day</w:t>
            </w:r>
          </w:p>
        </w:tc>
      </w:tr>
      <w:tr w:rsidR="00E95AEE" w:rsidRPr="000B09B9" w14:paraId="266CDA33" w14:textId="77777777" w:rsidTr="006E1A21">
        <w:tc>
          <w:tcPr>
            <w:tcW w:w="791" w:type="pct"/>
            <w:vAlign w:val="center"/>
          </w:tcPr>
          <w:p w14:paraId="6B220298" w14:textId="77777777" w:rsidR="00AE2DBA" w:rsidRPr="000B09B9" w:rsidRDefault="00AE2DBA" w:rsidP="002B0564">
            <w:pPr>
              <w:pStyle w:val="TableText0"/>
              <w:keepNext/>
              <w:keepLines/>
              <w:widowControl/>
              <w:rPr>
                <w:iCs/>
              </w:rPr>
            </w:pPr>
            <w:r w:rsidRPr="000B09B9">
              <w:rPr>
                <w:iCs/>
              </w:rPr>
              <w:t>Time horizon</w:t>
            </w:r>
          </w:p>
        </w:tc>
        <w:tc>
          <w:tcPr>
            <w:tcW w:w="1403" w:type="pct"/>
            <w:vAlign w:val="center"/>
          </w:tcPr>
          <w:p w14:paraId="12CA652D" w14:textId="77777777" w:rsidR="00AE2DBA" w:rsidRPr="000B09B9" w:rsidRDefault="00AE2DBA" w:rsidP="002B0564">
            <w:pPr>
              <w:pStyle w:val="TableText0"/>
              <w:keepNext/>
              <w:keepLines/>
              <w:widowControl/>
              <w:jc w:val="center"/>
            </w:pPr>
            <w:r w:rsidRPr="000B09B9">
              <w:t>8 years</w:t>
            </w:r>
          </w:p>
        </w:tc>
        <w:tc>
          <w:tcPr>
            <w:tcW w:w="1403" w:type="pct"/>
            <w:vAlign w:val="center"/>
          </w:tcPr>
          <w:p w14:paraId="79982ECF" w14:textId="77777777" w:rsidR="00AE2DBA" w:rsidRPr="000B09B9" w:rsidRDefault="00AE2DBA" w:rsidP="002B0564">
            <w:pPr>
              <w:pStyle w:val="TableText0"/>
              <w:keepNext/>
              <w:keepLines/>
              <w:widowControl/>
              <w:jc w:val="center"/>
              <w:rPr>
                <w:iCs/>
              </w:rPr>
            </w:pPr>
            <w:r w:rsidRPr="000B09B9">
              <w:rPr>
                <w:iCs/>
              </w:rPr>
              <w:t>1 year</w:t>
            </w:r>
          </w:p>
        </w:tc>
        <w:tc>
          <w:tcPr>
            <w:tcW w:w="1403" w:type="pct"/>
            <w:vAlign w:val="center"/>
          </w:tcPr>
          <w:p w14:paraId="5E48B5A1" w14:textId="77777777" w:rsidR="00AE2DBA" w:rsidRPr="000B09B9" w:rsidRDefault="00AE2DBA" w:rsidP="002B0564">
            <w:pPr>
              <w:pStyle w:val="TableText0"/>
              <w:keepNext/>
              <w:keepLines/>
              <w:widowControl/>
              <w:jc w:val="center"/>
              <w:rPr>
                <w:iCs/>
              </w:rPr>
            </w:pPr>
            <w:r w:rsidRPr="000B09B9">
              <w:rPr>
                <w:iCs/>
              </w:rPr>
              <w:t>Lifetime (up to 54 years)</w:t>
            </w:r>
          </w:p>
        </w:tc>
      </w:tr>
      <w:tr w:rsidR="00E95AEE" w:rsidRPr="000B09B9" w14:paraId="7542BF39" w14:textId="77777777" w:rsidTr="006E1A21">
        <w:tc>
          <w:tcPr>
            <w:tcW w:w="791" w:type="pct"/>
            <w:vAlign w:val="center"/>
          </w:tcPr>
          <w:p w14:paraId="38FBA1E8" w14:textId="77777777" w:rsidR="00AE2DBA" w:rsidRPr="000B09B9" w:rsidRDefault="00AE2DBA" w:rsidP="002B0564">
            <w:pPr>
              <w:pStyle w:val="TableText0"/>
              <w:keepNext/>
              <w:keepLines/>
              <w:widowControl/>
              <w:rPr>
                <w:iCs/>
              </w:rPr>
            </w:pPr>
            <w:r w:rsidRPr="000B09B9">
              <w:rPr>
                <w:iCs/>
              </w:rPr>
              <w:t>Methods used to generate results</w:t>
            </w:r>
          </w:p>
        </w:tc>
        <w:tc>
          <w:tcPr>
            <w:tcW w:w="1403" w:type="pct"/>
            <w:vAlign w:val="center"/>
          </w:tcPr>
          <w:p w14:paraId="287F10C8" w14:textId="77777777" w:rsidR="00AE2DBA" w:rsidRPr="000B09B9" w:rsidRDefault="00AE2DBA" w:rsidP="002B0564">
            <w:pPr>
              <w:pStyle w:val="TableText0"/>
              <w:keepNext/>
              <w:keepLines/>
              <w:widowControl/>
              <w:jc w:val="center"/>
            </w:pPr>
            <w:r w:rsidRPr="000B09B9">
              <w:t>Cohort expected value</w:t>
            </w:r>
          </w:p>
        </w:tc>
        <w:tc>
          <w:tcPr>
            <w:tcW w:w="1403" w:type="pct"/>
            <w:vAlign w:val="center"/>
          </w:tcPr>
          <w:p w14:paraId="2DB397C8" w14:textId="77777777" w:rsidR="00AE2DBA" w:rsidRPr="000B09B9" w:rsidRDefault="00AE2DBA" w:rsidP="002B0564">
            <w:pPr>
              <w:pStyle w:val="TableText0"/>
              <w:keepNext/>
              <w:keepLines/>
              <w:widowControl/>
              <w:jc w:val="center"/>
              <w:rPr>
                <w:iCs/>
              </w:rPr>
            </w:pPr>
            <w:r w:rsidRPr="000B09B9">
              <w:rPr>
                <w:iCs/>
              </w:rPr>
              <w:t>Information not available</w:t>
            </w:r>
          </w:p>
        </w:tc>
        <w:tc>
          <w:tcPr>
            <w:tcW w:w="1403" w:type="pct"/>
            <w:vAlign w:val="center"/>
          </w:tcPr>
          <w:p w14:paraId="5DD2A64D" w14:textId="77777777" w:rsidR="00AE2DBA" w:rsidRPr="000B09B9" w:rsidRDefault="00AE2DBA" w:rsidP="002B0564">
            <w:pPr>
              <w:pStyle w:val="TableText0"/>
              <w:keepNext/>
              <w:keepLines/>
              <w:widowControl/>
              <w:jc w:val="center"/>
              <w:rPr>
                <w:iCs/>
              </w:rPr>
            </w:pPr>
            <w:r w:rsidRPr="000B09B9">
              <w:rPr>
                <w:iCs/>
              </w:rPr>
              <w:t>Markov model with 5 health states</w:t>
            </w:r>
          </w:p>
        </w:tc>
      </w:tr>
      <w:tr w:rsidR="00E95AEE" w:rsidRPr="000B09B9" w14:paraId="09A41F9D" w14:textId="77777777" w:rsidTr="006E1A21">
        <w:tc>
          <w:tcPr>
            <w:tcW w:w="791" w:type="pct"/>
            <w:vAlign w:val="center"/>
          </w:tcPr>
          <w:p w14:paraId="1CAED316" w14:textId="77777777" w:rsidR="00AE2DBA" w:rsidRPr="000B09B9" w:rsidRDefault="00AE2DBA" w:rsidP="002B0564">
            <w:pPr>
              <w:pStyle w:val="TableText0"/>
              <w:keepNext/>
              <w:keepLines/>
              <w:widowControl/>
              <w:rPr>
                <w:iCs/>
              </w:rPr>
            </w:pPr>
            <w:r w:rsidRPr="000B09B9">
              <w:rPr>
                <w:iCs/>
              </w:rPr>
              <w:t>Health states</w:t>
            </w:r>
          </w:p>
        </w:tc>
        <w:tc>
          <w:tcPr>
            <w:tcW w:w="1403" w:type="pct"/>
            <w:vAlign w:val="center"/>
          </w:tcPr>
          <w:p w14:paraId="79E4C3B0" w14:textId="77777777" w:rsidR="00AE2DBA" w:rsidRPr="000B09B9" w:rsidRDefault="00AE2DBA" w:rsidP="002B0564">
            <w:pPr>
              <w:pStyle w:val="TableText0"/>
              <w:keepNext/>
              <w:keepLines/>
              <w:widowControl/>
              <w:jc w:val="center"/>
            </w:pPr>
            <w:r w:rsidRPr="000B09B9">
              <w:t>Responders</w:t>
            </w:r>
          </w:p>
          <w:p w14:paraId="583428D4" w14:textId="77777777" w:rsidR="00AE2DBA" w:rsidRPr="000B09B9" w:rsidRDefault="00AE2DBA" w:rsidP="002B0564">
            <w:pPr>
              <w:pStyle w:val="TableText0"/>
              <w:keepNext/>
              <w:keepLines/>
              <w:widowControl/>
              <w:jc w:val="center"/>
            </w:pPr>
            <w:r w:rsidRPr="000B09B9">
              <w:t>Non-responders</w:t>
            </w:r>
          </w:p>
          <w:p w14:paraId="640F2A73" w14:textId="77777777" w:rsidR="0084482B" w:rsidRPr="000B09B9" w:rsidRDefault="0084482B" w:rsidP="002B0564">
            <w:pPr>
              <w:pStyle w:val="TableText0"/>
              <w:keepNext/>
              <w:keepLines/>
              <w:widowControl/>
              <w:jc w:val="center"/>
            </w:pPr>
            <w:r w:rsidRPr="000B09B9">
              <w:t>Dead</w:t>
            </w:r>
          </w:p>
        </w:tc>
        <w:tc>
          <w:tcPr>
            <w:tcW w:w="1403" w:type="pct"/>
            <w:vAlign w:val="center"/>
          </w:tcPr>
          <w:p w14:paraId="34DC6B06" w14:textId="77777777" w:rsidR="00AE2DBA" w:rsidRPr="000B09B9" w:rsidRDefault="00AE2DBA" w:rsidP="002B0564">
            <w:pPr>
              <w:pStyle w:val="TableText0"/>
              <w:keepNext/>
              <w:keepLines/>
              <w:widowControl/>
              <w:jc w:val="center"/>
              <w:rPr>
                <w:iCs/>
              </w:rPr>
            </w:pPr>
            <w:r w:rsidRPr="000B09B9">
              <w:rPr>
                <w:iCs/>
              </w:rPr>
              <w:t>Information not available</w:t>
            </w:r>
          </w:p>
        </w:tc>
        <w:tc>
          <w:tcPr>
            <w:tcW w:w="1403" w:type="pct"/>
            <w:vAlign w:val="center"/>
          </w:tcPr>
          <w:p w14:paraId="07029894" w14:textId="77777777" w:rsidR="00AE2DBA" w:rsidRPr="000B09B9" w:rsidRDefault="00AE2DBA" w:rsidP="002B0564">
            <w:pPr>
              <w:pStyle w:val="TableText0"/>
              <w:keepNext/>
              <w:keepLines/>
              <w:widowControl/>
              <w:jc w:val="center"/>
              <w:rPr>
                <w:iCs/>
              </w:rPr>
            </w:pPr>
            <w:r w:rsidRPr="000B09B9">
              <w:rPr>
                <w:iCs/>
              </w:rPr>
              <w:t>Based on severity of QMG score: Asymptomatic (QMG score 0-1); Mild (QMG score 2-7); Moderate (QMG score 8-15); Severe (QMG score from 16-39); and Dead.</w:t>
            </w:r>
          </w:p>
        </w:tc>
      </w:tr>
      <w:tr w:rsidR="00E95AEE" w:rsidRPr="000B09B9" w14:paraId="1975E63C" w14:textId="77777777" w:rsidTr="006E1A21">
        <w:tc>
          <w:tcPr>
            <w:tcW w:w="791" w:type="pct"/>
            <w:vAlign w:val="center"/>
          </w:tcPr>
          <w:p w14:paraId="785D8633" w14:textId="77777777" w:rsidR="00AE2DBA" w:rsidRPr="000B09B9" w:rsidRDefault="00AE2DBA" w:rsidP="002B0564">
            <w:pPr>
              <w:pStyle w:val="TableText0"/>
              <w:keepNext/>
              <w:keepLines/>
              <w:widowControl/>
              <w:rPr>
                <w:iCs/>
              </w:rPr>
            </w:pPr>
            <w:r w:rsidRPr="000B09B9">
              <w:rPr>
                <w:iCs/>
              </w:rPr>
              <w:t>Response rate</w:t>
            </w:r>
          </w:p>
        </w:tc>
        <w:tc>
          <w:tcPr>
            <w:tcW w:w="1403" w:type="pct"/>
            <w:vAlign w:val="center"/>
          </w:tcPr>
          <w:p w14:paraId="36F24D43" w14:textId="77777777" w:rsidR="00AE2DBA" w:rsidRPr="000B09B9" w:rsidRDefault="00AE2DBA" w:rsidP="002B0564">
            <w:pPr>
              <w:pStyle w:val="TableText0"/>
              <w:keepNext/>
              <w:keepLines/>
              <w:widowControl/>
              <w:jc w:val="center"/>
            </w:pPr>
            <w:r w:rsidRPr="000B09B9">
              <w:t>100%</w:t>
            </w:r>
          </w:p>
        </w:tc>
        <w:tc>
          <w:tcPr>
            <w:tcW w:w="1403" w:type="pct"/>
            <w:vAlign w:val="center"/>
          </w:tcPr>
          <w:p w14:paraId="088ACB33" w14:textId="77777777" w:rsidR="00AE2DBA" w:rsidRPr="000B09B9" w:rsidRDefault="00AE2DBA" w:rsidP="002B0564">
            <w:pPr>
              <w:pStyle w:val="TableText0"/>
              <w:keepNext/>
              <w:keepLines/>
              <w:widowControl/>
              <w:jc w:val="center"/>
              <w:rPr>
                <w:iCs/>
              </w:rPr>
            </w:pPr>
            <w:r w:rsidRPr="000B09B9">
              <w:rPr>
                <w:iCs/>
              </w:rPr>
              <w:t>100%</w:t>
            </w:r>
          </w:p>
        </w:tc>
        <w:tc>
          <w:tcPr>
            <w:tcW w:w="1403" w:type="pct"/>
            <w:vAlign w:val="center"/>
          </w:tcPr>
          <w:p w14:paraId="4FA21E6C" w14:textId="77777777" w:rsidR="00AE2DBA" w:rsidRPr="000B09B9" w:rsidRDefault="00AE2DBA" w:rsidP="002B0564">
            <w:pPr>
              <w:pStyle w:val="TableText0"/>
              <w:keepNext/>
              <w:keepLines/>
              <w:widowControl/>
              <w:jc w:val="center"/>
              <w:rPr>
                <w:iCs/>
              </w:rPr>
            </w:pPr>
            <w:r w:rsidRPr="000B09B9">
              <w:rPr>
                <w:iCs/>
              </w:rPr>
              <w:t>Information not available</w:t>
            </w:r>
          </w:p>
        </w:tc>
      </w:tr>
      <w:tr w:rsidR="00E95AEE" w:rsidRPr="000B09B9" w14:paraId="7DE366A2" w14:textId="77777777" w:rsidTr="006E1A21">
        <w:tc>
          <w:tcPr>
            <w:tcW w:w="791" w:type="pct"/>
            <w:vAlign w:val="center"/>
          </w:tcPr>
          <w:p w14:paraId="5B0E4CD5" w14:textId="77777777" w:rsidR="00AE2DBA" w:rsidRPr="000B09B9" w:rsidRDefault="00AE2DBA" w:rsidP="002B0564">
            <w:pPr>
              <w:pStyle w:val="TableText0"/>
              <w:keepNext/>
              <w:keepLines/>
              <w:widowControl/>
              <w:rPr>
                <w:iCs/>
              </w:rPr>
            </w:pPr>
            <w:r w:rsidRPr="000B09B9">
              <w:rPr>
                <w:iCs/>
              </w:rPr>
              <w:t xml:space="preserve">Discontinuation rate </w:t>
            </w:r>
          </w:p>
        </w:tc>
        <w:tc>
          <w:tcPr>
            <w:tcW w:w="1403" w:type="pct"/>
            <w:vAlign w:val="center"/>
          </w:tcPr>
          <w:p w14:paraId="4EA67AB1" w14:textId="77777777" w:rsidR="00AE2DBA" w:rsidRPr="000B09B9" w:rsidRDefault="00AE2DBA" w:rsidP="002B0564">
            <w:pPr>
              <w:pStyle w:val="TableText0"/>
              <w:keepNext/>
              <w:keepLines/>
              <w:widowControl/>
              <w:jc w:val="center"/>
            </w:pPr>
            <w:r w:rsidRPr="000B09B9">
              <w:t>0%</w:t>
            </w:r>
          </w:p>
        </w:tc>
        <w:tc>
          <w:tcPr>
            <w:tcW w:w="1403" w:type="pct"/>
            <w:vAlign w:val="center"/>
          </w:tcPr>
          <w:p w14:paraId="63BDC70B" w14:textId="77777777" w:rsidR="00AE2DBA" w:rsidRPr="000B09B9" w:rsidRDefault="00AE2DBA" w:rsidP="002B0564">
            <w:pPr>
              <w:pStyle w:val="TableText0"/>
              <w:keepNext/>
              <w:keepLines/>
              <w:widowControl/>
              <w:jc w:val="center"/>
              <w:rPr>
                <w:iCs/>
              </w:rPr>
            </w:pPr>
            <w:r w:rsidRPr="000B09B9">
              <w:rPr>
                <w:iCs/>
              </w:rPr>
              <w:t>12%</w:t>
            </w:r>
          </w:p>
        </w:tc>
        <w:tc>
          <w:tcPr>
            <w:tcW w:w="1403" w:type="pct"/>
            <w:vAlign w:val="center"/>
          </w:tcPr>
          <w:p w14:paraId="0289DCAC" w14:textId="77777777" w:rsidR="00AE2DBA" w:rsidRPr="000B09B9" w:rsidRDefault="00AE2DBA" w:rsidP="002B0564">
            <w:pPr>
              <w:pStyle w:val="TableText0"/>
              <w:keepNext/>
              <w:keepLines/>
              <w:widowControl/>
              <w:jc w:val="center"/>
              <w:rPr>
                <w:iCs/>
              </w:rPr>
            </w:pPr>
            <w:r w:rsidRPr="000B09B9">
              <w:rPr>
                <w:iCs/>
              </w:rPr>
              <w:t>Information not available</w:t>
            </w:r>
          </w:p>
        </w:tc>
      </w:tr>
      <w:tr w:rsidR="00E95AEE" w:rsidRPr="000B09B9" w14:paraId="2B128A28" w14:textId="77777777" w:rsidTr="006E1A21">
        <w:tc>
          <w:tcPr>
            <w:tcW w:w="791" w:type="pct"/>
            <w:vAlign w:val="center"/>
          </w:tcPr>
          <w:p w14:paraId="17E53EE1" w14:textId="77777777" w:rsidR="00AE2DBA" w:rsidRPr="000B09B9" w:rsidRDefault="00AE2DBA" w:rsidP="002B0564">
            <w:pPr>
              <w:pStyle w:val="TableText0"/>
              <w:keepNext/>
              <w:keepLines/>
              <w:widowControl/>
              <w:rPr>
                <w:iCs/>
              </w:rPr>
            </w:pPr>
            <w:r w:rsidRPr="000B09B9">
              <w:rPr>
                <w:iCs/>
              </w:rPr>
              <w:t>Discontinuation rate of non-responders</w:t>
            </w:r>
          </w:p>
        </w:tc>
        <w:tc>
          <w:tcPr>
            <w:tcW w:w="1403" w:type="pct"/>
            <w:vAlign w:val="center"/>
          </w:tcPr>
          <w:p w14:paraId="50AA090A" w14:textId="77777777" w:rsidR="00AE2DBA" w:rsidRPr="000B09B9" w:rsidRDefault="00AE2DBA" w:rsidP="002B0564">
            <w:pPr>
              <w:pStyle w:val="TableText0"/>
              <w:keepNext/>
              <w:keepLines/>
              <w:widowControl/>
              <w:jc w:val="center"/>
            </w:pPr>
            <w:r w:rsidRPr="000B09B9">
              <w:t>Not applicable</w:t>
            </w:r>
          </w:p>
        </w:tc>
        <w:tc>
          <w:tcPr>
            <w:tcW w:w="1403" w:type="pct"/>
            <w:vAlign w:val="center"/>
          </w:tcPr>
          <w:p w14:paraId="2629B387" w14:textId="77777777" w:rsidR="00AE2DBA" w:rsidRPr="000B09B9" w:rsidRDefault="00AE2DBA" w:rsidP="002B0564">
            <w:pPr>
              <w:pStyle w:val="TableText0"/>
              <w:keepNext/>
              <w:keepLines/>
              <w:widowControl/>
              <w:jc w:val="center"/>
              <w:rPr>
                <w:iCs/>
              </w:rPr>
            </w:pPr>
            <w:r w:rsidRPr="000B09B9">
              <w:rPr>
                <w:iCs/>
              </w:rPr>
              <w:t>Discontinue at 3 months</w:t>
            </w:r>
          </w:p>
        </w:tc>
        <w:tc>
          <w:tcPr>
            <w:tcW w:w="1403" w:type="pct"/>
            <w:vAlign w:val="center"/>
          </w:tcPr>
          <w:p w14:paraId="28D9154A" w14:textId="77777777" w:rsidR="00AE2DBA" w:rsidRPr="000B09B9" w:rsidRDefault="00AE2DBA" w:rsidP="002B0564">
            <w:pPr>
              <w:pStyle w:val="TableText0"/>
              <w:keepNext/>
              <w:keepLines/>
              <w:widowControl/>
              <w:jc w:val="center"/>
              <w:rPr>
                <w:iCs/>
              </w:rPr>
            </w:pPr>
            <w:r w:rsidRPr="000B09B9">
              <w:rPr>
                <w:iCs/>
              </w:rPr>
              <w:t>Discontinue at 3 months</w:t>
            </w:r>
          </w:p>
        </w:tc>
      </w:tr>
      <w:tr w:rsidR="00E95AEE" w:rsidRPr="000B09B9" w14:paraId="282F41EE" w14:textId="77777777" w:rsidTr="006E1A21">
        <w:tc>
          <w:tcPr>
            <w:tcW w:w="791" w:type="pct"/>
            <w:vAlign w:val="center"/>
          </w:tcPr>
          <w:p w14:paraId="014AE4F2" w14:textId="77777777" w:rsidR="00AE2DBA" w:rsidRPr="000B09B9" w:rsidRDefault="00AE2DBA" w:rsidP="002B0564">
            <w:pPr>
              <w:pStyle w:val="TableText0"/>
              <w:keepNext/>
              <w:keepLines/>
              <w:widowControl/>
              <w:rPr>
                <w:iCs/>
              </w:rPr>
            </w:pPr>
            <w:r w:rsidRPr="000B09B9">
              <w:rPr>
                <w:iCs/>
              </w:rPr>
              <w:t xml:space="preserve">Utilities </w:t>
            </w:r>
          </w:p>
        </w:tc>
        <w:tc>
          <w:tcPr>
            <w:tcW w:w="1403" w:type="pct"/>
            <w:vAlign w:val="center"/>
          </w:tcPr>
          <w:p w14:paraId="313DC52C" w14:textId="77777777" w:rsidR="00AE2DBA" w:rsidRPr="000B09B9" w:rsidRDefault="00AE2DBA" w:rsidP="002B0564">
            <w:pPr>
              <w:pStyle w:val="TableText0"/>
              <w:keepNext/>
              <w:keepLines/>
              <w:widowControl/>
              <w:jc w:val="center"/>
            </w:pPr>
            <w:r w:rsidRPr="000B09B9">
              <w:t>Sponsor-initiated surveys on subset of patients presently treated with amifampridine (N=14)</w:t>
            </w:r>
          </w:p>
          <w:p w14:paraId="29C1F7BD" w14:textId="77777777" w:rsidR="00AE2DBA" w:rsidRPr="000B09B9" w:rsidRDefault="00AE2DBA" w:rsidP="002B0564">
            <w:pPr>
              <w:pStyle w:val="TableText0"/>
              <w:keepNext/>
              <w:keepLines/>
              <w:widowControl/>
              <w:jc w:val="center"/>
            </w:pPr>
            <w:r w:rsidRPr="000B09B9">
              <w:t>Responders were assigned a utility value of 0.834 and non-responders 0.122</w:t>
            </w:r>
            <w:r w:rsidR="0084482B" w:rsidRPr="000B09B9">
              <w:t xml:space="preserve"> </w:t>
            </w:r>
            <w:r w:rsidR="0084482B" w:rsidRPr="000B09B9">
              <w:rPr>
                <w:iCs/>
              </w:rPr>
              <w:t>(gain in utility score of 0.712)</w:t>
            </w:r>
          </w:p>
        </w:tc>
        <w:tc>
          <w:tcPr>
            <w:tcW w:w="1403" w:type="pct"/>
            <w:vAlign w:val="center"/>
          </w:tcPr>
          <w:p w14:paraId="1149C8F8" w14:textId="77777777" w:rsidR="00AE2DBA" w:rsidRPr="000B09B9" w:rsidRDefault="00AE2DBA" w:rsidP="002B0564">
            <w:pPr>
              <w:pStyle w:val="TableText0"/>
              <w:keepNext/>
              <w:keepLines/>
              <w:widowControl/>
              <w:jc w:val="center"/>
              <w:rPr>
                <w:iCs/>
              </w:rPr>
            </w:pPr>
            <w:r w:rsidRPr="000B09B9">
              <w:rPr>
                <w:iCs/>
              </w:rPr>
              <w:t>Based on proxy estimates from multiple sclerosis patients (gain in utility score of 0.346)</w:t>
            </w:r>
          </w:p>
        </w:tc>
        <w:tc>
          <w:tcPr>
            <w:tcW w:w="1403" w:type="pct"/>
            <w:vAlign w:val="center"/>
          </w:tcPr>
          <w:p w14:paraId="56AF8FDF" w14:textId="77777777" w:rsidR="00AE2DBA" w:rsidRPr="000B09B9" w:rsidRDefault="00AE2DBA" w:rsidP="002B0564">
            <w:pPr>
              <w:pStyle w:val="TableText0"/>
              <w:keepNext/>
              <w:keepLines/>
              <w:widowControl/>
              <w:jc w:val="center"/>
              <w:rPr>
                <w:iCs/>
              </w:rPr>
            </w:pPr>
            <w:r w:rsidRPr="000B09B9">
              <w:rPr>
                <w:iCs/>
              </w:rPr>
              <w:t>Based on utility values derived from mean QMG score for each category from a 2011 Cochrane review</w:t>
            </w:r>
          </w:p>
        </w:tc>
      </w:tr>
      <w:tr w:rsidR="00E95AEE" w:rsidRPr="000B09B9" w14:paraId="14AC7D0F" w14:textId="77777777" w:rsidTr="006E1A21">
        <w:tc>
          <w:tcPr>
            <w:tcW w:w="791" w:type="pct"/>
            <w:vAlign w:val="center"/>
          </w:tcPr>
          <w:p w14:paraId="38011670" w14:textId="77777777" w:rsidR="00AE2DBA" w:rsidRPr="000B09B9" w:rsidRDefault="00AE2DBA" w:rsidP="002B0564">
            <w:pPr>
              <w:pStyle w:val="TableText0"/>
              <w:keepNext/>
              <w:keepLines/>
              <w:widowControl/>
              <w:rPr>
                <w:iCs/>
              </w:rPr>
            </w:pPr>
            <w:r w:rsidRPr="000B09B9">
              <w:rPr>
                <w:iCs/>
              </w:rPr>
              <w:t>Cost of amifampridine (per tablet)</w:t>
            </w:r>
          </w:p>
        </w:tc>
        <w:tc>
          <w:tcPr>
            <w:tcW w:w="1403" w:type="pct"/>
            <w:vAlign w:val="center"/>
          </w:tcPr>
          <w:p w14:paraId="1CC68B66" w14:textId="77777777" w:rsidR="00AE2DBA" w:rsidRPr="000B09B9" w:rsidRDefault="00AE2DBA" w:rsidP="002B0564">
            <w:pPr>
              <w:pStyle w:val="TableText0"/>
              <w:keepNext/>
              <w:keepLines/>
              <w:widowControl/>
              <w:jc w:val="center"/>
            </w:pPr>
            <w:r w:rsidRPr="000B09B9">
              <w:t>$</w:t>
            </w:r>
            <w:r w:rsidR="00E928EF">
              <w:rPr>
                <w:noProof/>
                <w:color w:val="000000"/>
                <w:highlight w:val="black"/>
              </w:rPr>
              <w:t>''''''''''''''</w:t>
            </w:r>
          </w:p>
        </w:tc>
        <w:tc>
          <w:tcPr>
            <w:tcW w:w="1403" w:type="pct"/>
            <w:vAlign w:val="center"/>
          </w:tcPr>
          <w:p w14:paraId="07DE9130" w14:textId="77777777" w:rsidR="00AE2DBA" w:rsidRPr="000B09B9" w:rsidRDefault="00DD7385" w:rsidP="002B0564">
            <w:pPr>
              <w:pStyle w:val="TableText0"/>
              <w:keepNext/>
              <w:keepLines/>
              <w:widowControl/>
              <w:jc w:val="center"/>
              <w:rPr>
                <w:iCs/>
              </w:rPr>
            </w:pPr>
            <w:r w:rsidRPr="000B09B9">
              <w:rPr>
                <w:iCs/>
              </w:rPr>
              <w:t>£18 (approximately $33.85 AUD)</w:t>
            </w:r>
          </w:p>
        </w:tc>
        <w:tc>
          <w:tcPr>
            <w:tcW w:w="1403" w:type="pct"/>
            <w:vAlign w:val="center"/>
          </w:tcPr>
          <w:p w14:paraId="00749CB5" w14:textId="77777777" w:rsidR="00AE2DBA" w:rsidRPr="000B09B9" w:rsidRDefault="00AE2DBA" w:rsidP="002B0564">
            <w:pPr>
              <w:pStyle w:val="TableText0"/>
              <w:keepNext/>
              <w:keepLines/>
              <w:widowControl/>
              <w:jc w:val="center"/>
              <w:rPr>
                <w:iCs/>
              </w:rPr>
            </w:pPr>
            <w:r w:rsidRPr="000B09B9">
              <w:rPr>
                <w:iCs/>
              </w:rPr>
              <w:t>CAN$27.40 (approximately $29.55 AUD)</w:t>
            </w:r>
          </w:p>
        </w:tc>
      </w:tr>
      <w:tr w:rsidR="00E95AEE" w:rsidRPr="000B09B9" w14:paraId="3956F163" w14:textId="77777777" w:rsidTr="006E1A21">
        <w:tc>
          <w:tcPr>
            <w:tcW w:w="791" w:type="pct"/>
            <w:vAlign w:val="center"/>
          </w:tcPr>
          <w:p w14:paraId="38466FDC" w14:textId="77777777" w:rsidR="00AE2DBA" w:rsidRPr="000B09B9" w:rsidRDefault="00AE2DBA" w:rsidP="002B0564">
            <w:pPr>
              <w:pStyle w:val="TableText0"/>
              <w:keepNext/>
              <w:keepLines/>
              <w:widowControl/>
              <w:rPr>
                <w:iCs/>
              </w:rPr>
            </w:pPr>
            <w:r w:rsidRPr="000B09B9">
              <w:rPr>
                <w:iCs/>
              </w:rPr>
              <w:t>Base case results</w:t>
            </w:r>
          </w:p>
        </w:tc>
        <w:tc>
          <w:tcPr>
            <w:tcW w:w="1403" w:type="pct"/>
            <w:vAlign w:val="center"/>
          </w:tcPr>
          <w:p w14:paraId="013E0DE0" w14:textId="77777777" w:rsidR="00AE2DBA" w:rsidRPr="000B09B9" w:rsidRDefault="00AE2DBA" w:rsidP="002B0564">
            <w:pPr>
              <w:pStyle w:val="TableText0"/>
              <w:keepNext/>
              <w:keepLines/>
              <w:widowControl/>
              <w:jc w:val="center"/>
            </w:pPr>
            <w:r w:rsidRPr="000B09B9">
              <w:t>ICER: $</w:t>
            </w:r>
            <w:r w:rsidR="00E928EF">
              <w:rPr>
                <w:noProof/>
                <w:color w:val="000000"/>
                <w:highlight w:val="black"/>
              </w:rPr>
              <w:t>'''''''''''''''''''''</w:t>
            </w:r>
            <w:r w:rsidR="00D21EC6" w:rsidRPr="00D21EC6">
              <w:rPr>
                <w:vertAlign w:val="superscript"/>
              </w:rPr>
              <w:t>1</w:t>
            </w:r>
            <w:r w:rsidRPr="000B09B9">
              <w:t>/QALY</w:t>
            </w:r>
          </w:p>
          <w:p w14:paraId="44A6F5FC" w14:textId="77777777" w:rsidR="00AE2DBA" w:rsidRPr="000B09B9" w:rsidRDefault="00AE2DBA" w:rsidP="002B0564">
            <w:pPr>
              <w:pStyle w:val="TableText0"/>
              <w:keepNext/>
              <w:keepLines/>
              <w:widowControl/>
              <w:jc w:val="center"/>
            </w:pPr>
            <w:r w:rsidRPr="000B09B9">
              <w:t>Incremental cost: $</w:t>
            </w:r>
            <w:r w:rsidR="00E928EF">
              <w:rPr>
                <w:noProof/>
                <w:color w:val="000000"/>
                <w:highlight w:val="black"/>
              </w:rPr>
              <w:t>'''''''''''''''''''</w:t>
            </w:r>
          </w:p>
          <w:p w14:paraId="54379372" w14:textId="77777777" w:rsidR="00AE2DBA" w:rsidRPr="000B09B9" w:rsidRDefault="00AE2DBA" w:rsidP="002B0564">
            <w:pPr>
              <w:pStyle w:val="TableText0"/>
              <w:keepNext/>
              <w:keepLines/>
              <w:widowControl/>
              <w:jc w:val="center"/>
            </w:pPr>
            <w:r w:rsidRPr="000B09B9">
              <w:t>Incremental QALY: 4.24</w:t>
            </w:r>
          </w:p>
        </w:tc>
        <w:tc>
          <w:tcPr>
            <w:tcW w:w="1403" w:type="pct"/>
            <w:vAlign w:val="center"/>
          </w:tcPr>
          <w:p w14:paraId="73206BFB" w14:textId="77777777" w:rsidR="00AE2DBA" w:rsidRPr="000B09B9" w:rsidRDefault="00AE2DBA" w:rsidP="002B0564">
            <w:pPr>
              <w:pStyle w:val="TableText0"/>
              <w:keepNext/>
              <w:keepLines/>
              <w:widowControl/>
              <w:jc w:val="center"/>
              <w:rPr>
                <w:iCs/>
              </w:rPr>
            </w:pPr>
            <w:r w:rsidRPr="000B09B9">
              <w:rPr>
                <w:iCs/>
              </w:rPr>
              <w:t>ICER: £92,267/QALY</w:t>
            </w:r>
          </w:p>
          <w:p w14:paraId="3DDB67C8" w14:textId="77777777" w:rsidR="00AE2DBA" w:rsidRPr="000B09B9" w:rsidRDefault="00AE2DBA" w:rsidP="002B0564">
            <w:pPr>
              <w:pStyle w:val="TableText0"/>
              <w:keepNext/>
              <w:keepLines/>
              <w:widowControl/>
              <w:jc w:val="center"/>
              <w:rPr>
                <w:iCs/>
              </w:rPr>
            </w:pPr>
            <w:r w:rsidRPr="000B09B9">
              <w:rPr>
                <w:iCs/>
              </w:rPr>
              <w:t>Incremental cost: £33,124</w:t>
            </w:r>
          </w:p>
          <w:p w14:paraId="25293734" w14:textId="77777777" w:rsidR="00AE2DBA" w:rsidRPr="000B09B9" w:rsidRDefault="00AE2DBA" w:rsidP="002B0564">
            <w:pPr>
              <w:pStyle w:val="TableText0"/>
              <w:keepNext/>
              <w:keepLines/>
              <w:widowControl/>
              <w:jc w:val="center"/>
              <w:rPr>
                <w:iCs/>
              </w:rPr>
            </w:pPr>
            <w:r w:rsidRPr="000B09B9">
              <w:rPr>
                <w:iCs/>
              </w:rPr>
              <w:t>Incremental QALY: 0.36</w:t>
            </w:r>
          </w:p>
        </w:tc>
        <w:tc>
          <w:tcPr>
            <w:tcW w:w="1403" w:type="pct"/>
            <w:vAlign w:val="center"/>
          </w:tcPr>
          <w:p w14:paraId="39378DAC" w14:textId="77777777" w:rsidR="00AE2DBA" w:rsidRPr="000B09B9" w:rsidRDefault="00AE2DBA" w:rsidP="002B0564">
            <w:pPr>
              <w:pStyle w:val="TableText0"/>
              <w:keepNext/>
              <w:keepLines/>
              <w:widowControl/>
              <w:jc w:val="center"/>
              <w:rPr>
                <w:iCs/>
              </w:rPr>
            </w:pPr>
            <w:r w:rsidRPr="000B09B9">
              <w:rPr>
                <w:iCs/>
              </w:rPr>
              <w:t>ICER: $453,809/QALY</w:t>
            </w:r>
          </w:p>
          <w:p w14:paraId="2342D9C6" w14:textId="77777777" w:rsidR="00AE2DBA" w:rsidRPr="000B09B9" w:rsidRDefault="00AE2DBA" w:rsidP="002B0564">
            <w:pPr>
              <w:pStyle w:val="TableText0"/>
              <w:keepNext/>
              <w:keepLines/>
              <w:widowControl/>
              <w:jc w:val="center"/>
              <w:rPr>
                <w:iCs/>
              </w:rPr>
            </w:pPr>
            <w:r w:rsidRPr="000B09B9">
              <w:rPr>
                <w:iCs/>
              </w:rPr>
              <w:t>Incremental cost: $956,144</w:t>
            </w:r>
          </w:p>
          <w:p w14:paraId="56A9560C" w14:textId="77777777" w:rsidR="00AE2DBA" w:rsidRPr="000B09B9" w:rsidRDefault="00AE2DBA" w:rsidP="002B0564">
            <w:pPr>
              <w:pStyle w:val="TableText0"/>
              <w:keepNext/>
              <w:keepLines/>
              <w:widowControl/>
              <w:jc w:val="center"/>
              <w:rPr>
                <w:iCs/>
              </w:rPr>
            </w:pPr>
            <w:r w:rsidRPr="000B09B9">
              <w:rPr>
                <w:iCs/>
              </w:rPr>
              <w:t>Incremental QALY: 2.11 QALY</w:t>
            </w:r>
          </w:p>
        </w:tc>
      </w:tr>
      <w:tr w:rsidR="00E95AEE" w:rsidRPr="000B09B9" w14:paraId="165AABC2" w14:textId="77777777" w:rsidTr="006E1A21">
        <w:tc>
          <w:tcPr>
            <w:tcW w:w="791" w:type="pct"/>
            <w:vAlign w:val="center"/>
          </w:tcPr>
          <w:p w14:paraId="57773370" w14:textId="77777777" w:rsidR="00AE2DBA" w:rsidRPr="000B09B9" w:rsidRDefault="00AE2DBA" w:rsidP="002B0564">
            <w:pPr>
              <w:pStyle w:val="TableText0"/>
              <w:keepNext/>
              <w:keepLines/>
              <w:widowControl/>
              <w:rPr>
                <w:iCs/>
              </w:rPr>
            </w:pPr>
            <w:r w:rsidRPr="000B09B9">
              <w:rPr>
                <w:iCs/>
              </w:rPr>
              <w:t>Final recommendation</w:t>
            </w:r>
          </w:p>
        </w:tc>
        <w:tc>
          <w:tcPr>
            <w:tcW w:w="1403" w:type="pct"/>
            <w:vAlign w:val="center"/>
          </w:tcPr>
          <w:p w14:paraId="12FD2CAD" w14:textId="77777777" w:rsidR="00AE2DBA" w:rsidRPr="000B09B9" w:rsidRDefault="00AE2DBA" w:rsidP="002B0564">
            <w:pPr>
              <w:pStyle w:val="TableText0"/>
              <w:keepNext/>
              <w:keepLines/>
              <w:widowControl/>
              <w:jc w:val="center"/>
            </w:pPr>
            <w:r w:rsidRPr="000B09B9">
              <w:t>-</w:t>
            </w:r>
          </w:p>
        </w:tc>
        <w:tc>
          <w:tcPr>
            <w:tcW w:w="1403" w:type="pct"/>
            <w:vAlign w:val="center"/>
          </w:tcPr>
          <w:p w14:paraId="15A7AC49" w14:textId="77777777" w:rsidR="00AE2DBA" w:rsidRPr="000B09B9" w:rsidRDefault="00AB44E5" w:rsidP="002B0564">
            <w:pPr>
              <w:pStyle w:val="TableText0"/>
              <w:keepNext/>
              <w:keepLines/>
              <w:widowControl/>
              <w:jc w:val="center"/>
              <w:rPr>
                <w:iCs/>
              </w:rPr>
            </w:pPr>
            <w:r w:rsidRPr="000B09B9">
              <w:rPr>
                <w:iCs/>
              </w:rPr>
              <w:t>Not recommended due to insufficient justification of treatment cost relative to health benefits and lack of robust economic analysis</w:t>
            </w:r>
          </w:p>
        </w:tc>
        <w:tc>
          <w:tcPr>
            <w:tcW w:w="1403" w:type="pct"/>
            <w:vAlign w:val="center"/>
          </w:tcPr>
          <w:p w14:paraId="5C893247" w14:textId="77777777" w:rsidR="00AE2DBA" w:rsidRPr="000B09B9" w:rsidRDefault="00AB44E5" w:rsidP="000F13AA">
            <w:pPr>
              <w:pStyle w:val="TableText0"/>
              <w:keepNext/>
              <w:keepLines/>
              <w:widowControl/>
              <w:jc w:val="center"/>
              <w:rPr>
                <w:iCs/>
              </w:rPr>
            </w:pPr>
            <w:r w:rsidRPr="000B09B9">
              <w:rPr>
                <w:iCs/>
              </w:rPr>
              <w:t>Reimburse with conditions</w:t>
            </w:r>
            <w:r w:rsidR="00BC345C" w:rsidRPr="000B09B9">
              <w:rPr>
                <w:iCs/>
              </w:rPr>
              <w:t xml:space="preserve"> </w:t>
            </w:r>
            <w:r w:rsidR="000F13AA" w:rsidRPr="000B09B9">
              <w:rPr>
                <w:iCs/>
              </w:rPr>
              <w:t xml:space="preserve">that </w:t>
            </w:r>
            <w:r w:rsidR="00BC345C" w:rsidRPr="000B09B9">
              <w:rPr>
                <w:iCs/>
              </w:rPr>
              <w:t xml:space="preserve">include a price reduction of at least 76% </w:t>
            </w:r>
          </w:p>
        </w:tc>
      </w:tr>
      <w:tr w:rsidR="00E95AEE" w:rsidRPr="000B09B9" w14:paraId="42787DD6" w14:textId="77777777" w:rsidTr="006E1A21">
        <w:tc>
          <w:tcPr>
            <w:tcW w:w="791" w:type="pct"/>
            <w:vAlign w:val="center"/>
          </w:tcPr>
          <w:p w14:paraId="2F7BDC69" w14:textId="77777777" w:rsidR="00AB44E5" w:rsidRPr="000B09B9" w:rsidRDefault="00AB44E5" w:rsidP="002B0564">
            <w:pPr>
              <w:pStyle w:val="TableText0"/>
              <w:keepNext/>
              <w:keepLines/>
              <w:widowControl/>
              <w:rPr>
                <w:iCs/>
              </w:rPr>
            </w:pPr>
            <w:r w:rsidRPr="000B09B9">
              <w:rPr>
                <w:iCs/>
              </w:rPr>
              <w:t>Other comments</w:t>
            </w:r>
          </w:p>
        </w:tc>
        <w:tc>
          <w:tcPr>
            <w:tcW w:w="1403" w:type="pct"/>
            <w:vAlign w:val="center"/>
          </w:tcPr>
          <w:p w14:paraId="3DC3850E" w14:textId="77777777" w:rsidR="00AB44E5" w:rsidRPr="000B09B9" w:rsidRDefault="00F307AF" w:rsidP="002B0564">
            <w:pPr>
              <w:pStyle w:val="TableText0"/>
              <w:keepNext/>
              <w:keepLines/>
              <w:widowControl/>
              <w:jc w:val="center"/>
            </w:pPr>
            <w:r w:rsidRPr="000B09B9">
              <w:t>-</w:t>
            </w:r>
          </w:p>
        </w:tc>
        <w:tc>
          <w:tcPr>
            <w:tcW w:w="1403" w:type="pct"/>
            <w:vAlign w:val="center"/>
          </w:tcPr>
          <w:p w14:paraId="10D44CEB" w14:textId="77777777" w:rsidR="00AB44E5" w:rsidRPr="000B09B9" w:rsidRDefault="00AB44E5" w:rsidP="002B0564">
            <w:pPr>
              <w:pStyle w:val="TableText0"/>
              <w:keepNext/>
              <w:keepLines/>
              <w:widowControl/>
              <w:jc w:val="center"/>
              <w:rPr>
                <w:iCs/>
              </w:rPr>
            </w:pPr>
            <w:r w:rsidRPr="000B09B9">
              <w:rPr>
                <w:iCs/>
              </w:rPr>
              <w:t>Medication evaluated was amifampridine phosphate (Firdapse)</w:t>
            </w:r>
          </w:p>
        </w:tc>
        <w:tc>
          <w:tcPr>
            <w:tcW w:w="1403" w:type="pct"/>
            <w:vAlign w:val="center"/>
          </w:tcPr>
          <w:p w14:paraId="3B979D40" w14:textId="77777777" w:rsidR="00AB44E5" w:rsidRPr="000B09B9" w:rsidRDefault="00F307AF" w:rsidP="002B0564">
            <w:pPr>
              <w:pStyle w:val="TableText0"/>
              <w:keepNext/>
              <w:keepLines/>
              <w:widowControl/>
              <w:jc w:val="center"/>
              <w:rPr>
                <w:iCs/>
              </w:rPr>
            </w:pPr>
            <w:r w:rsidRPr="000B09B9">
              <w:rPr>
                <w:iCs/>
              </w:rPr>
              <w:t>-</w:t>
            </w:r>
          </w:p>
        </w:tc>
      </w:tr>
    </w:tbl>
    <w:p w14:paraId="23804F90" w14:textId="77777777" w:rsidR="00AE2DBA" w:rsidRPr="000B09B9" w:rsidRDefault="00B96769" w:rsidP="002B0564">
      <w:pPr>
        <w:pStyle w:val="TableFigureFooter"/>
        <w:keepNext/>
        <w:keepLines/>
      </w:pPr>
      <w:r w:rsidRPr="000B09B9">
        <w:rPr>
          <w:vertAlign w:val="superscript"/>
        </w:rPr>
        <w:t>a</w:t>
      </w:r>
      <w:r w:rsidR="00AE2DBA" w:rsidRPr="000B09B9">
        <w:t xml:space="preserve"> Information as extracted from publicly available documents</w:t>
      </w:r>
      <w:r w:rsidRPr="000B09B9">
        <w:t>.</w:t>
      </w:r>
    </w:p>
    <w:p w14:paraId="0C791278" w14:textId="77777777" w:rsidR="00AE2DBA" w:rsidRPr="000B09B9" w:rsidRDefault="00AE2DBA" w:rsidP="002B0564">
      <w:pPr>
        <w:pStyle w:val="TableFigureFooter"/>
        <w:keepNext/>
        <w:keepLines/>
      </w:pPr>
      <w:r w:rsidRPr="000B09B9">
        <w:t xml:space="preserve">Source: Compiled during the evaluation based on Table 3.2, p129 of the submission and information extracted from CADTH Reimbursement Recommendation for Amifampridine (Ruzurgi), 2021 and SMC No. 660/10 Amifampridine 10mg tablet, as phosphate (Firdapse). </w:t>
      </w:r>
    </w:p>
    <w:p w14:paraId="1BC64031" w14:textId="77777777" w:rsidR="00AE2DBA" w:rsidRDefault="00AE2DBA" w:rsidP="002B0564">
      <w:pPr>
        <w:pStyle w:val="TableFigureFooter"/>
        <w:keepNext/>
        <w:keepLines/>
        <w:rPr>
          <w:rFonts w:eastAsia="Arial Narrow" w:cs="Arial Narrow"/>
          <w:color w:val="000000" w:themeColor="text1"/>
          <w:szCs w:val="18"/>
        </w:rPr>
      </w:pPr>
      <w:r w:rsidRPr="000B09B9">
        <w:rPr>
          <w:rFonts w:eastAsia="Arial Narrow"/>
        </w:rPr>
        <w:t xml:space="preserve">AUD = Australian dollars; CADTH = Canadian Agency for Drugs and Technologies in Health; CAN = Canadian dollars; LEMS = Lambert-Eaton myasthenic syndrome; </w:t>
      </w:r>
      <w:r w:rsidRPr="000B09B9">
        <w:rPr>
          <w:rFonts w:eastAsia="Arial Narrow" w:cs="Arial Narrow"/>
          <w:color w:val="000000" w:themeColor="text1"/>
        </w:rPr>
        <w:t>N = total participants in group</w:t>
      </w:r>
      <w:r w:rsidRPr="000B09B9">
        <w:rPr>
          <w:rFonts w:eastAsia="Arial Narrow" w:cs="Arial Narrow"/>
          <w:color w:val="000000" w:themeColor="text1"/>
          <w:szCs w:val="18"/>
        </w:rPr>
        <w:t>; QMG= Quantitative Myasthenia Gravis; SMC = Scottish Medicines Consortium</w:t>
      </w:r>
      <w:r w:rsidR="00B96769" w:rsidRPr="000B09B9">
        <w:rPr>
          <w:rFonts w:eastAsia="Arial Narrow" w:cs="Arial Narrow"/>
          <w:color w:val="000000" w:themeColor="text1"/>
          <w:szCs w:val="18"/>
        </w:rPr>
        <w:t>.</w:t>
      </w:r>
    </w:p>
    <w:p w14:paraId="1F994CED" w14:textId="77777777" w:rsidR="00CC501C" w:rsidRPr="009A6D58" w:rsidRDefault="00CC501C" w:rsidP="00CC501C">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728F19E" w14:textId="77777777" w:rsidR="00CC501C" w:rsidRPr="009A6D58" w:rsidRDefault="00CC501C" w:rsidP="00CC501C">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CC501C">
        <w:rPr>
          <w:rFonts w:ascii="Arial Narrow" w:hAnsi="Arial Narrow"/>
          <w:i/>
          <w:sz w:val="18"/>
          <w:szCs w:val="18"/>
        </w:rPr>
        <w:t>$115,000 to &lt; $135,000</w:t>
      </w:r>
    </w:p>
    <w:p w14:paraId="58CA2C37" w14:textId="77777777" w:rsidR="00CC501C" w:rsidRPr="000B09B9" w:rsidRDefault="00CC501C" w:rsidP="002B0564">
      <w:pPr>
        <w:pStyle w:val="TableFigureFooter"/>
        <w:keepNext/>
        <w:keepLines/>
        <w:rPr>
          <w:rFonts w:eastAsia="Arial Narrow" w:cs="Arial Narrow"/>
          <w:color w:val="000000" w:themeColor="text1"/>
          <w:szCs w:val="18"/>
        </w:rPr>
      </w:pPr>
    </w:p>
    <w:p w14:paraId="5F0F1072" w14:textId="77777777" w:rsidR="00FE1325" w:rsidRPr="000B09B9" w:rsidRDefault="00FE1325" w:rsidP="002B0564">
      <w:pPr>
        <w:pStyle w:val="3-BodyText"/>
        <w:numPr>
          <w:ilvl w:val="1"/>
          <w:numId w:val="9"/>
        </w:numPr>
      </w:pPr>
      <w:r w:rsidRPr="000B09B9">
        <w:t xml:space="preserve">The </w:t>
      </w:r>
      <w:r w:rsidR="00AE2DBA" w:rsidRPr="000B09B9">
        <w:t xml:space="preserve">submission </w:t>
      </w:r>
      <w:r w:rsidRPr="000B09B9">
        <w:t>economic model relied on</w:t>
      </w:r>
      <w:r w:rsidR="000F13AA" w:rsidRPr="000B09B9">
        <w:t xml:space="preserve"> (i)</w:t>
      </w:r>
      <w:r w:rsidRPr="000B09B9">
        <w:t xml:space="preserve"> the primary efficacy endpoint (</w:t>
      </w:r>
      <w:r w:rsidR="00CC7EE6" w:rsidRPr="000B09B9">
        <w:t xml:space="preserve">a greater than 30% </w:t>
      </w:r>
      <w:r w:rsidRPr="000B09B9">
        <w:t>deterioration in 3TUG response) in the DAPPER trial</w:t>
      </w:r>
      <w:r w:rsidR="000F13AA" w:rsidRPr="000B09B9">
        <w:t>;</w:t>
      </w:r>
      <w:r w:rsidRPr="000B09B9">
        <w:t xml:space="preserve"> </w:t>
      </w:r>
      <w:r w:rsidR="000F13AA" w:rsidRPr="000B09B9">
        <w:t xml:space="preserve">(ii) </w:t>
      </w:r>
      <w:r w:rsidRPr="000B09B9">
        <w:t>patient-reported HRQoL outcomes</w:t>
      </w:r>
      <w:r w:rsidR="000F13AA" w:rsidRPr="000B09B9">
        <w:t>;</w:t>
      </w:r>
      <w:r w:rsidRPr="000B09B9">
        <w:t xml:space="preserve"> and </w:t>
      </w:r>
      <w:r w:rsidR="000F13AA" w:rsidRPr="000B09B9">
        <w:t xml:space="preserve">(iii) </w:t>
      </w:r>
      <w:r w:rsidRPr="000B09B9">
        <w:t>maximum amifampridine dose from</w:t>
      </w:r>
      <w:r w:rsidR="003516EA" w:rsidRPr="000B09B9">
        <w:t xml:space="preserve"> a</w:t>
      </w:r>
      <w:r w:rsidRPr="000B09B9">
        <w:t xml:space="preserve"> survey conducted by the sponsor on Australian LEMS patients.</w:t>
      </w:r>
      <w:r w:rsidR="00065E66" w:rsidRPr="000B09B9">
        <w:t xml:space="preserve"> The key issues with the model were:</w:t>
      </w:r>
    </w:p>
    <w:p w14:paraId="5FF6D6C7" w14:textId="77777777" w:rsidR="00FE1325" w:rsidRPr="000B09B9" w:rsidRDefault="00FE1325" w:rsidP="002B0564">
      <w:pPr>
        <w:pStyle w:val="3-BodyText"/>
        <w:numPr>
          <w:ilvl w:val="0"/>
          <w:numId w:val="8"/>
        </w:numPr>
      </w:pPr>
      <w:r w:rsidRPr="000B09B9">
        <w:rPr>
          <w:iCs/>
        </w:rPr>
        <w:t>There is high risk of sampling bias given the withdrawal study design of the DAPPER trial</w:t>
      </w:r>
      <w:r w:rsidR="00E51FF7" w:rsidRPr="000B09B9">
        <w:rPr>
          <w:iCs/>
        </w:rPr>
        <w:t xml:space="preserve"> (</w:t>
      </w:r>
      <w:r w:rsidR="00E51FF7" w:rsidRPr="00F613DB">
        <w:rPr>
          <w:iCs/>
        </w:rPr>
        <w:t>paragraph 6.</w:t>
      </w:r>
      <w:r w:rsidR="00977C31" w:rsidRPr="00F613DB">
        <w:rPr>
          <w:iCs/>
        </w:rPr>
        <w:t>1</w:t>
      </w:r>
      <w:r w:rsidR="00F613DB" w:rsidRPr="00F613DB">
        <w:rPr>
          <w:iCs/>
        </w:rPr>
        <w:t>7</w:t>
      </w:r>
      <w:r w:rsidR="00E51FF7" w:rsidRPr="000B09B9">
        <w:rPr>
          <w:iCs/>
        </w:rPr>
        <w:t>)</w:t>
      </w:r>
      <w:r w:rsidRPr="000B09B9">
        <w:rPr>
          <w:iCs/>
        </w:rPr>
        <w:t>.</w:t>
      </w:r>
      <w:r w:rsidR="00065E66" w:rsidRPr="000B09B9">
        <w:rPr>
          <w:iCs/>
        </w:rPr>
        <w:t xml:space="preserve"> The model reflected LEMS patients who were already responding to treatment and did not adequately capture treatment naïve patients who may respond differently to amifampridine.</w:t>
      </w:r>
      <w:r w:rsidRPr="000B09B9">
        <w:rPr>
          <w:iCs/>
        </w:rPr>
        <w:t xml:space="preserve"> </w:t>
      </w:r>
      <w:r w:rsidR="00E51FF7" w:rsidRPr="000B09B9">
        <w:rPr>
          <w:iCs/>
        </w:rPr>
        <w:t>U</w:t>
      </w:r>
      <w:r w:rsidRPr="000B09B9">
        <w:rPr>
          <w:iCs/>
        </w:rPr>
        <w:t>sing the response rate from the DAPPER trial in the model may overstate</w:t>
      </w:r>
      <w:r w:rsidR="00093D2A" w:rsidRPr="000B09B9">
        <w:rPr>
          <w:iCs/>
        </w:rPr>
        <w:t xml:space="preserve"> the</w:t>
      </w:r>
      <w:r w:rsidRPr="000B09B9">
        <w:rPr>
          <w:iCs/>
        </w:rPr>
        <w:t xml:space="preserve"> effectiveness</w:t>
      </w:r>
      <w:r w:rsidR="00093D2A" w:rsidRPr="000B09B9">
        <w:rPr>
          <w:iCs/>
        </w:rPr>
        <w:t xml:space="preserve"> of amifampridine</w:t>
      </w:r>
      <w:r w:rsidRPr="000B09B9">
        <w:rPr>
          <w:iCs/>
        </w:rPr>
        <w:t>.</w:t>
      </w:r>
    </w:p>
    <w:p w14:paraId="1B9A89AE" w14:textId="77777777" w:rsidR="00FE1325" w:rsidRPr="000B09B9" w:rsidRDefault="005812D2" w:rsidP="002B0564">
      <w:pPr>
        <w:pStyle w:val="ListParagraph"/>
        <w:numPr>
          <w:ilvl w:val="0"/>
          <w:numId w:val="17"/>
        </w:numPr>
      </w:pPr>
      <w:r w:rsidRPr="000B09B9">
        <w:rPr>
          <w:iCs/>
        </w:rPr>
        <w:t xml:space="preserve">Utility data </w:t>
      </w:r>
      <w:r w:rsidR="00FE1325" w:rsidRPr="000B09B9">
        <w:rPr>
          <w:iCs/>
        </w:rPr>
        <w:t xml:space="preserve">from the sponsor-initiated survey was based on a subset of patients </w:t>
      </w:r>
      <w:r w:rsidR="00F307AF" w:rsidRPr="000B09B9">
        <w:rPr>
          <w:iCs/>
        </w:rPr>
        <w:t xml:space="preserve">currently </w:t>
      </w:r>
      <w:r w:rsidR="00FE1325" w:rsidRPr="000B09B9">
        <w:rPr>
          <w:iCs/>
        </w:rPr>
        <w:t xml:space="preserve">treated with amifampridine (N=14). </w:t>
      </w:r>
      <w:r w:rsidR="009E4AA0" w:rsidRPr="000B09B9">
        <w:rPr>
          <w:iCs/>
        </w:rPr>
        <w:t>Individual (de-</w:t>
      </w:r>
      <w:r w:rsidR="00FE464E" w:rsidRPr="000B09B9">
        <w:rPr>
          <w:iCs/>
        </w:rPr>
        <w:t>identified</w:t>
      </w:r>
      <w:r w:rsidR="009E4AA0" w:rsidRPr="000B09B9">
        <w:rPr>
          <w:iCs/>
        </w:rPr>
        <w:t xml:space="preserve">) patient </w:t>
      </w:r>
      <w:r w:rsidR="00FE464E" w:rsidRPr="000B09B9">
        <w:rPr>
          <w:iCs/>
        </w:rPr>
        <w:t>responses</w:t>
      </w:r>
      <w:r w:rsidR="009E4AA0" w:rsidRPr="000B09B9">
        <w:rPr>
          <w:iCs/>
        </w:rPr>
        <w:t xml:space="preserve"> were provided as an attachment to the submission</w:t>
      </w:r>
      <w:r w:rsidR="00612830" w:rsidRPr="000B09B9">
        <w:rPr>
          <w:iCs/>
        </w:rPr>
        <w:t>, however limited details of the methodology of the survey were provided (</w:t>
      </w:r>
      <w:r w:rsidR="00612830" w:rsidRPr="00F613DB">
        <w:rPr>
          <w:iCs/>
        </w:rPr>
        <w:t>paragraph 6.</w:t>
      </w:r>
      <w:r w:rsidR="00977C31" w:rsidRPr="00F613DB">
        <w:rPr>
          <w:iCs/>
        </w:rPr>
        <w:t>45</w:t>
      </w:r>
      <w:r w:rsidR="00612830" w:rsidRPr="000B09B9">
        <w:rPr>
          <w:iCs/>
        </w:rPr>
        <w:t>)</w:t>
      </w:r>
      <w:r w:rsidR="009E4AA0" w:rsidRPr="000B09B9">
        <w:rPr>
          <w:iCs/>
        </w:rPr>
        <w:t>.</w:t>
      </w:r>
      <w:r w:rsidR="00612830" w:rsidRPr="000B09B9">
        <w:rPr>
          <w:iCs/>
        </w:rPr>
        <w:t xml:space="preserve"> </w:t>
      </w:r>
      <w:r w:rsidR="00FE1325" w:rsidRPr="000B09B9">
        <w:rPr>
          <w:iCs/>
        </w:rPr>
        <w:t xml:space="preserve">There was no information on the criteria for patient selection aside from all patients being currently on treatment with amifampridine. </w:t>
      </w:r>
    </w:p>
    <w:p w14:paraId="12A09595" w14:textId="77777777" w:rsidR="00FE1325" w:rsidRPr="000B09B9" w:rsidRDefault="00F53515" w:rsidP="002B0564">
      <w:pPr>
        <w:pStyle w:val="3-BodyText"/>
        <w:numPr>
          <w:ilvl w:val="0"/>
          <w:numId w:val="18"/>
        </w:numPr>
      </w:pPr>
      <w:r w:rsidRPr="000B09B9">
        <w:rPr>
          <w:iCs/>
        </w:rPr>
        <w:t>T</w:t>
      </w:r>
      <w:r w:rsidR="00FE1325" w:rsidRPr="000B09B9">
        <w:rPr>
          <w:iCs/>
        </w:rPr>
        <w:t>he validity of utility scores was highly uncertain</w:t>
      </w:r>
      <w:r w:rsidRPr="000B09B9">
        <w:rPr>
          <w:iCs/>
        </w:rPr>
        <w:t xml:space="preserve"> </w:t>
      </w:r>
      <w:r w:rsidRPr="00F613DB">
        <w:rPr>
          <w:iCs/>
        </w:rPr>
        <w:t>(paragraph 6.</w:t>
      </w:r>
      <w:r w:rsidR="00977C31" w:rsidRPr="00F613DB">
        <w:rPr>
          <w:iCs/>
        </w:rPr>
        <w:t>45</w:t>
      </w:r>
      <w:r w:rsidRPr="000B09B9">
        <w:rPr>
          <w:iCs/>
        </w:rPr>
        <w:t>)</w:t>
      </w:r>
      <w:r w:rsidR="00FE1325" w:rsidRPr="000B09B9">
        <w:rPr>
          <w:iCs/>
        </w:rPr>
        <w:t>.</w:t>
      </w:r>
    </w:p>
    <w:p w14:paraId="35971F8A" w14:textId="77777777" w:rsidR="0038017B" w:rsidRPr="000B09B9" w:rsidRDefault="00CC7EE6" w:rsidP="002B0564">
      <w:pPr>
        <w:pStyle w:val="3-BodyText"/>
        <w:numPr>
          <w:ilvl w:val="1"/>
          <w:numId w:val="9"/>
        </w:numPr>
        <w:rPr>
          <w:iCs/>
        </w:rPr>
      </w:pPr>
      <w:r w:rsidRPr="000B09B9">
        <w:t>Utility values for HRQoL and amifampridine dosing data used to inform the economic model were obtained from a sponsor-initiated patient survey</w:t>
      </w:r>
      <w:r w:rsidR="00160165" w:rsidRPr="000B09B9">
        <w:t xml:space="preserve">. The survey </w:t>
      </w:r>
      <w:r w:rsidR="00D048BD" w:rsidRPr="000B09B9">
        <w:t>(</w:t>
      </w:r>
      <w:r w:rsidR="00F307AF" w:rsidRPr="000B09B9">
        <w:t xml:space="preserve">which </w:t>
      </w:r>
      <w:r w:rsidR="00D048BD" w:rsidRPr="000B09B9">
        <w:t>included questions on dur</w:t>
      </w:r>
      <w:r w:rsidR="00160165" w:rsidRPr="000B09B9">
        <w:t xml:space="preserve">ation of diagnosis with LEMS and treatment with amifampridine, current </w:t>
      </w:r>
      <w:r w:rsidR="00312865" w:rsidRPr="000B09B9">
        <w:t xml:space="preserve">dose of amifampridine, </w:t>
      </w:r>
      <w:r w:rsidR="00160165" w:rsidRPr="000B09B9">
        <w:t>occupation and living arrangements</w:t>
      </w:r>
      <w:r w:rsidR="00D048BD" w:rsidRPr="000B09B9">
        <w:t xml:space="preserve">) </w:t>
      </w:r>
      <w:r w:rsidR="00160165" w:rsidRPr="000B09B9">
        <w:t>was sent out to 17 LEMS patients (currently treated with amifampridine) in Australia. The survey included the EQ-5D-5L to measure patients</w:t>
      </w:r>
      <w:r w:rsidR="00BE3DC2" w:rsidRPr="000B09B9">
        <w:t>’</w:t>
      </w:r>
      <w:r w:rsidR="00160165" w:rsidRPr="000B09B9">
        <w:t xml:space="preserve"> retrospectively recalled health state prior to receiving treatment with amifampridine and their present utility whilst receiving treatment with amifampridine.</w:t>
      </w:r>
      <w:r w:rsidR="00D048BD" w:rsidRPr="000B09B9">
        <w:t xml:space="preserve"> </w:t>
      </w:r>
      <w:r w:rsidR="00254655" w:rsidRPr="000B09B9">
        <w:t>Fourteen</w:t>
      </w:r>
      <w:r w:rsidR="00D048BD" w:rsidRPr="000B09B9">
        <w:t xml:space="preserve"> patients </w:t>
      </w:r>
      <w:r w:rsidR="0038017B" w:rsidRPr="000B09B9">
        <w:t xml:space="preserve">(82%) </w:t>
      </w:r>
      <w:r w:rsidR="00D048BD" w:rsidRPr="000B09B9">
        <w:t xml:space="preserve">completed the EQ-5D questionnaires and 11 </w:t>
      </w:r>
      <w:r w:rsidR="0038017B" w:rsidRPr="000B09B9">
        <w:t xml:space="preserve">(65%) </w:t>
      </w:r>
      <w:r w:rsidR="00D048BD" w:rsidRPr="000B09B9">
        <w:t xml:space="preserve">provided data on their current dose. </w:t>
      </w:r>
      <w:r w:rsidR="00065E66" w:rsidRPr="000B09B9">
        <w:t>The key issues with the patient survey were:</w:t>
      </w:r>
    </w:p>
    <w:p w14:paraId="01A1C3A2" w14:textId="77777777" w:rsidR="0038017B" w:rsidRPr="000B09B9" w:rsidRDefault="0038017B" w:rsidP="002B0564">
      <w:pPr>
        <w:pStyle w:val="3-BodyText"/>
        <w:numPr>
          <w:ilvl w:val="0"/>
          <w:numId w:val="18"/>
        </w:numPr>
        <w:rPr>
          <w:iCs/>
        </w:rPr>
      </w:pPr>
      <w:r w:rsidRPr="000B09B9">
        <w:rPr>
          <w:iCs/>
        </w:rPr>
        <w:t xml:space="preserve">The submission did not provide information on the criteria for patient selection aside from all patients being currently on treatment with amifampridine and no patient characteristics such as age, sex and concomitant medications were reported. </w:t>
      </w:r>
    </w:p>
    <w:p w14:paraId="35DAD0CE" w14:textId="77777777" w:rsidR="00316AB9" w:rsidRPr="000B09B9" w:rsidRDefault="00316AB9" w:rsidP="002B0564">
      <w:pPr>
        <w:pStyle w:val="3-BodyText"/>
        <w:numPr>
          <w:ilvl w:val="0"/>
          <w:numId w:val="18"/>
        </w:numPr>
        <w:rPr>
          <w:iCs/>
        </w:rPr>
      </w:pPr>
      <w:r w:rsidRPr="000B09B9">
        <w:rPr>
          <w:iCs/>
        </w:rPr>
        <w:t xml:space="preserve">Although LEMS is a rare disease, the sample size </w:t>
      </w:r>
      <w:r w:rsidR="00312865" w:rsidRPr="000B09B9">
        <w:rPr>
          <w:iCs/>
        </w:rPr>
        <w:t>appears</w:t>
      </w:r>
      <w:r w:rsidRPr="000B09B9">
        <w:rPr>
          <w:iCs/>
        </w:rPr>
        <w:t xml:space="preserve"> small </w:t>
      </w:r>
      <w:r w:rsidR="00312865" w:rsidRPr="000B09B9">
        <w:rPr>
          <w:iCs/>
        </w:rPr>
        <w:t xml:space="preserve">(&lt;27%) </w:t>
      </w:r>
      <w:r w:rsidRPr="000B09B9">
        <w:rPr>
          <w:iCs/>
        </w:rPr>
        <w:t>relative to the number of patients the submission claimed to be currently treated with amifampridine</w:t>
      </w:r>
      <w:r w:rsidR="00312865" w:rsidRPr="000B09B9">
        <w:rPr>
          <w:iCs/>
        </w:rPr>
        <w:t xml:space="preserve"> in Australia</w:t>
      </w:r>
      <w:r w:rsidRPr="000B09B9">
        <w:rPr>
          <w:iCs/>
        </w:rPr>
        <w:t xml:space="preserve"> (between 51 and 55 based on numbers used estimate the financial implications).</w:t>
      </w:r>
    </w:p>
    <w:p w14:paraId="26893619" w14:textId="77777777" w:rsidR="00732E0E" w:rsidRPr="000B09B9" w:rsidRDefault="00316AB9" w:rsidP="002B0564">
      <w:pPr>
        <w:pStyle w:val="3-BodyText"/>
        <w:numPr>
          <w:ilvl w:val="0"/>
          <w:numId w:val="18"/>
        </w:numPr>
        <w:rPr>
          <w:iCs/>
        </w:rPr>
      </w:pPr>
      <w:r w:rsidRPr="000B09B9">
        <w:rPr>
          <w:iCs/>
        </w:rPr>
        <w:t>The duration of treatment from the survey sample of patients ranged from 0.25 to 16 years. There is high risk of recall bias for those who were asked to retrospectively report their HRQoL prior to treatment with amifampridine.</w:t>
      </w:r>
    </w:p>
    <w:p w14:paraId="78ED120E" w14:textId="77777777" w:rsidR="00CC7EE6" w:rsidRPr="000B09B9" w:rsidRDefault="0038017B" w:rsidP="002B0564">
      <w:pPr>
        <w:pStyle w:val="3-BodyText"/>
        <w:numPr>
          <w:ilvl w:val="0"/>
          <w:numId w:val="18"/>
        </w:numPr>
        <w:rPr>
          <w:iCs/>
        </w:rPr>
      </w:pPr>
      <w:r w:rsidRPr="000B09B9">
        <w:rPr>
          <w:iCs/>
        </w:rPr>
        <w:t xml:space="preserve">As these patients </w:t>
      </w:r>
      <w:r w:rsidR="00316AB9" w:rsidRPr="000B09B9">
        <w:rPr>
          <w:iCs/>
        </w:rPr>
        <w:t xml:space="preserve">were </w:t>
      </w:r>
      <w:r w:rsidRPr="000B09B9">
        <w:rPr>
          <w:iCs/>
        </w:rPr>
        <w:t xml:space="preserve">already on amifampridine, they </w:t>
      </w:r>
      <w:r w:rsidR="00312865" w:rsidRPr="000B09B9">
        <w:rPr>
          <w:iCs/>
        </w:rPr>
        <w:t>were</w:t>
      </w:r>
      <w:r w:rsidRPr="000B09B9">
        <w:rPr>
          <w:iCs/>
        </w:rPr>
        <w:t xml:space="preserve"> likely to be representative of</w:t>
      </w:r>
      <w:r w:rsidR="00316AB9" w:rsidRPr="000B09B9">
        <w:rPr>
          <w:iCs/>
        </w:rPr>
        <w:t xml:space="preserve"> a subset of the proposed PBS population; i.e., grandfathered patients</w:t>
      </w:r>
      <w:r w:rsidR="00B9557F" w:rsidRPr="000B09B9">
        <w:rPr>
          <w:iCs/>
        </w:rPr>
        <w:t xml:space="preserve"> already accessing amifampridine through SAS. It may have not adequately accounted for patients that would initiate amifampridine as a result of PBS listin</w:t>
      </w:r>
      <w:r w:rsidR="00B54BCF" w:rsidRPr="000B09B9">
        <w:rPr>
          <w:iCs/>
        </w:rPr>
        <w:t>g or patients who currently do no</w:t>
      </w:r>
      <w:r w:rsidR="00B9557F" w:rsidRPr="000B09B9">
        <w:rPr>
          <w:iCs/>
        </w:rPr>
        <w:t>t receive</w:t>
      </w:r>
      <w:r w:rsidR="007F2A14" w:rsidRPr="000B09B9">
        <w:rPr>
          <w:iCs/>
        </w:rPr>
        <w:t xml:space="preserve"> it</w:t>
      </w:r>
      <w:r w:rsidR="00B9557F" w:rsidRPr="000B09B9">
        <w:rPr>
          <w:iCs/>
        </w:rPr>
        <w:t xml:space="preserve"> due to restricted access.</w:t>
      </w:r>
    </w:p>
    <w:p w14:paraId="39DA8D09" w14:textId="77777777" w:rsidR="00FE1325" w:rsidRPr="000B09B9" w:rsidRDefault="00FE1325" w:rsidP="002B0564">
      <w:pPr>
        <w:pStyle w:val="3-BodyText"/>
        <w:numPr>
          <w:ilvl w:val="1"/>
          <w:numId w:val="9"/>
        </w:numPr>
      </w:pPr>
      <w:r w:rsidRPr="000B09B9">
        <w:t xml:space="preserve">The utilities applied in the model for responders to treatment and non-responders were 0.834 and 0.122, respectively. </w:t>
      </w:r>
      <w:r w:rsidRPr="000B09B9">
        <w:rPr>
          <w:iCs/>
        </w:rPr>
        <w:t>The ICER was most sensitive to the utility values applied, particularly for the non-responder health state.</w:t>
      </w:r>
      <w:r w:rsidR="007F2A14" w:rsidRPr="000B09B9">
        <w:rPr>
          <w:iCs/>
        </w:rPr>
        <w:t xml:space="preserve"> While the PSCR stated</w:t>
      </w:r>
      <w:r w:rsidR="00EF6D3D" w:rsidRPr="000B09B9">
        <w:rPr>
          <w:iCs/>
        </w:rPr>
        <w:t xml:space="preserve"> </w:t>
      </w:r>
      <w:r w:rsidR="007F2A14" w:rsidRPr="000B09B9">
        <w:rPr>
          <w:iCs/>
        </w:rPr>
        <w:t xml:space="preserve">that the utility values </w:t>
      </w:r>
      <w:r w:rsidR="00EF6D3D" w:rsidRPr="000B09B9">
        <w:rPr>
          <w:iCs/>
        </w:rPr>
        <w:t>derived</w:t>
      </w:r>
      <w:r w:rsidR="007F2A14" w:rsidRPr="000B09B9">
        <w:rPr>
          <w:iCs/>
        </w:rPr>
        <w:t xml:space="preserve"> from the 14 LEMS patients was the best available evidence for the Australian LEMS population</w:t>
      </w:r>
      <w:r w:rsidR="00EF6D3D" w:rsidRPr="000B09B9">
        <w:rPr>
          <w:iCs/>
        </w:rPr>
        <w:t xml:space="preserve">, the ESC considered that the validity of the utility values </w:t>
      </w:r>
      <w:r w:rsidR="00F16273" w:rsidRPr="000B09B9">
        <w:rPr>
          <w:iCs/>
        </w:rPr>
        <w:t xml:space="preserve">is </w:t>
      </w:r>
      <w:r w:rsidR="00EF6D3D" w:rsidRPr="000B09B9">
        <w:rPr>
          <w:iCs/>
        </w:rPr>
        <w:t>highly uncertain</w:t>
      </w:r>
      <w:r w:rsidR="007F2A14" w:rsidRPr="000B09B9">
        <w:rPr>
          <w:iCs/>
        </w:rPr>
        <w:t>.</w:t>
      </w:r>
      <w:r w:rsidR="00EF6D3D" w:rsidRPr="000B09B9">
        <w:rPr>
          <w:iCs/>
        </w:rPr>
        <w:t xml:space="preserve"> </w:t>
      </w:r>
      <w:r w:rsidR="00946EE9" w:rsidRPr="000B09B9">
        <w:rPr>
          <w:iCs/>
        </w:rPr>
        <w:t xml:space="preserve">The ESC noted that </w:t>
      </w:r>
      <w:r w:rsidR="003059FB" w:rsidRPr="000B09B9">
        <w:rPr>
          <w:iCs/>
        </w:rPr>
        <w:t xml:space="preserve">utilities reported in Harms et al </w:t>
      </w:r>
      <w:r w:rsidR="00FF00B2" w:rsidRPr="000B09B9">
        <w:rPr>
          <w:iCs/>
        </w:rPr>
        <w:t>(2012)</w:t>
      </w:r>
      <w:r w:rsidR="00612830" w:rsidRPr="000B09B9">
        <w:rPr>
          <w:rStyle w:val="FootnoteReference"/>
          <w:iCs/>
        </w:rPr>
        <w:footnoteReference w:id="8"/>
      </w:r>
      <w:r w:rsidR="00FF00B2" w:rsidRPr="000B09B9">
        <w:rPr>
          <w:iCs/>
        </w:rPr>
        <w:t xml:space="preserve"> </w:t>
      </w:r>
      <w:r w:rsidR="003059FB" w:rsidRPr="000B09B9">
        <w:rPr>
          <w:iCs/>
        </w:rPr>
        <w:t>for</w:t>
      </w:r>
      <w:r w:rsidR="00714B18" w:rsidRPr="000B09B9">
        <w:rPr>
          <w:iCs/>
        </w:rPr>
        <w:t xml:space="preserve"> 12</w:t>
      </w:r>
      <w:r w:rsidR="003059FB" w:rsidRPr="000B09B9">
        <w:rPr>
          <w:iCs/>
        </w:rPr>
        <w:t xml:space="preserve"> German LEMS patients </w:t>
      </w:r>
      <w:r w:rsidR="003059FB" w:rsidRPr="000B09B9">
        <w:t>provide a reasonable alternative utility value</w:t>
      </w:r>
      <w:r w:rsidR="00153EC0" w:rsidRPr="000B09B9">
        <w:t xml:space="preserve"> (0.31)</w:t>
      </w:r>
      <w:r w:rsidR="003059FB" w:rsidRPr="000B09B9">
        <w:t xml:space="preserve"> for non-responders.</w:t>
      </w:r>
    </w:p>
    <w:p w14:paraId="1061661E" w14:textId="25506CA3" w:rsidR="00FE1325" w:rsidRPr="000B09B9" w:rsidRDefault="00FE1325" w:rsidP="002B0564">
      <w:pPr>
        <w:pStyle w:val="3-BodyText"/>
        <w:numPr>
          <w:ilvl w:val="1"/>
          <w:numId w:val="9"/>
        </w:numPr>
        <w:rPr>
          <w:iCs/>
        </w:rPr>
      </w:pPr>
      <w:r w:rsidRPr="000B09B9">
        <w:t>The submission assumed an initial dose of 2.5 tablets (25</w:t>
      </w:r>
      <w:r w:rsidR="00843946" w:rsidRPr="000B09B9">
        <w:t xml:space="preserve"> </w:t>
      </w:r>
      <w:r w:rsidRPr="000B09B9">
        <w:t>mg) increasing over 60</w:t>
      </w:r>
      <w:r w:rsidR="00961166">
        <w:t> </w:t>
      </w:r>
      <w:r w:rsidRPr="000B09B9">
        <w:t xml:space="preserve">months to an average maintenance dose of 6.85 tablets (68.5 mg) daily. </w:t>
      </w:r>
      <w:r w:rsidRPr="000B09B9">
        <w:rPr>
          <w:iCs/>
        </w:rPr>
        <w:t xml:space="preserve">The escalation period of 60 months </w:t>
      </w:r>
      <w:r w:rsidR="00365E00" w:rsidRPr="000B09B9">
        <w:rPr>
          <w:iCs/>
        </w:rPr>
        <w:t>(</w:t>
      </w:r>
      <w:r w:rsidR="00365E00" w:rsidRPr="000B09B9">
        <w:t xml:space="preserve">66 four-week cycles) </w:t>
      </w:r>
      <w:r w:rsidRPr="000B09B9">
        <w:rPr>
          <w:iCs/>
        </w:rPr>
        <w:t>appears to be inappropriate</w:t>
      </w:r>
      <w:r w:rsidR="00F307AF" w:rsidRPr="000B09B9">
        <w:rPr>
          <w:iCs/>
        </w:rPr>
        <w:t>,</w:t>
      </w:r>
      <w:r w:rsidRPr="000B09B9">
        <w:rPr>
          <w:iCs/>
        </w:rPr>
        <w:t xml:space="preserve"> as amifampridine is used for symptomatic treatment and</w:t>
      </w:r>
      <w:r w:rsidR="00F307AF" w:rsidRPr="000B09B9">
        <w:rPr>
          <w:iCs/>
        </w:rPr>
        <w:t>,</w:t>
      </w:r>
      <w:r w:rsidRPr="000B09B9">
        <w:rPr>
          <w:iCs/>
        </w:rPr>
        <w:t xml:space="preserve"> based on the design of the DAPPER trial</w:t>
      </w:r>
      <w:r w:rsidR="00F307AF" w:rsidRPr="000B09B9">
        <w:rPr>
          <w:iCs/>
        </w:rPr>
        <w:t>,</w:t>
      </w:r>
      <w:r w:rsidRPr="000B09B9">
        <w:rPr>
          <w:iCs/>
        </w:rPr>
        <w:t xml:space="preserve"> treatment is shown to be effective soon after dosing. Further, although there was an escalation of the drug to average maintenance dose by 60 months, the full impact on quality of life for responders was applied from </w:t>
      </w:r>
      <w:r w:rsidR="001078C6" w:rsidRPr="000B09B9">
        <w:rPr>
          <w:iCs/>
        </w:rPr>
        <w:t>D</w:t>
      </w:r>
      <w:r w:rsidRPr="000B09B9">
        <w:rPr>
          <w:iCs/>
        </w:rPr>
        <w:t>ay 1. Th</w:t>
      </w:r>
      <w:r w:rsidR="00365E00" w:rsidRPr="000B09B9">
        <w:rPr>
          <w:iCs/>
        </w:rPr>
        <w:t>e ESC</w:t>
      </w:r>
      <w:r w:rsidRPr="000B09B9">
        <w:rPr>
          <w:iCs/>
        </w:rPr>
        <w:t xml:space="preserve"> </w:t>
      </w:r>
      <w:r w:rsidR="00365E00" w:rsidRPr="000B09B9">
        <w:rPr>
          <w:iCs/>
        </w:rPr>
        <w:t xml:space="preserve">noted </w:t>
      </w:r>
      <w:r w:rsidRPr="000B09B9">
        <w:rPr>
          <w:iCs/>
        </w:rPr>
        <w:t>the assumption of immediate improvement in HRQoL favours amifampridine.</w:t>
      </w:r>
      <w:r w:rsidR="008A0350" w:rsidRPr="000B09B9">
        <w:rPr>
          <w:iCs/>
        </w:rPr>
        <w:t xml:space="preserve"> </w:t>
      </w:r>
    </w:p>
    <w:p w14:paraId="03974A32" w14:textId="77777777" w:rsidR="00FE1325" w:rsidRPr="000B09B9" w:rsidRDefault="00FE1325" w:rsidP="002B0564">
      <w:pPr>
        <w:pStyle w:val="3-BodyText"/>
        <w:numPr>
          <w:ilvl w:val="1"/>
          <w:numId w:val="9"/>
        </w:numPr>
        <w:rPr>
          <w:iCs/>
        </w:rPr>
      </w:pPr>
      <w:r w:rsidRPr="000B09B9">
        <w:rPr>
          <w:iCs/>
        </w:rPr>
        <w:t xml:space="preserve">The application of mortality rates from the Australian life tables may not adequately represent </w:t>
      </w:r>
      <w:r w:rsidR="006F0130" w:rsidRPr="000B09B9">
        <w:rPr>
          <w:iCs/>
        </w:rPr>
        <w:t>p</w:t>
      </w:r>
      <w:r w:rsidRPr="000B09B9">
        <w:rPr>
          <w:iCs/>
        </w:rPr>
        <w:t>LEMS (</w:t>
      </w:r>
      <w:r w:rsidR="006F0130" w:rsidRPr="000B09B9">
        <w:rPr>
          <w:iCs/>
        </w:rPr>
        <w:t xml:space="preserve">typically associated with SCLC and </w:t>
      </w:r>
      <w:r w:rsidRPr="000B09B9">
        <w:rPr>
          <w:iCs/>
        </w:rPr>
        <w:t>expected to represent 50% of LEMS population). This is inconsistent with the PBS proposed population</w:t>
      </w:r>
      <w:r w:rsidR="17DEB064" w:rsidRPr="000B09B9">
        <w:rPr>
          <w:iCs/>
        </w:rPr>
        <w:t xml:space="preserve"> of </w:t>
      </w:r>
      <w:r w:rsidR="00296DF5" w:rsidRPr="000B09B9">
        <w:rPr>
          <w:iCs/>
        </w:rPr>
        <w:t>patients with LEMS (including a</w:t>
      </w:r>
      <w:r w:rsidR="00153EC0" w:rsidRPr="000B09B9">
        <w:rPr>
          <w:iCs/>
        </w:rPr>
        <w:t xml:space="preserve">LEMS </w:t>
      </w:r>
      <w:r w:rsidR="001F1715" w:rsidRPr="000B09B9">
        <w:rPr>
          <w:iCs/>
        </w:rPr>
        <w:t>and</w:t>
      </w:r>
      <w:r w:rsidR="00296DF5" w:rsidRPr="000B09B9">
        <w:rPr>
          <w:iCs/>
        </w:rPr>
        <w:t xml:space="preserve"> </w:t>
      </w:r>
      <w:r w:rsidR="006F0130" w:rsidRPr="000B09B9">
        <w:rPr>
          <w:iCs/>
        </w:rPr>
        <w:t>p</w:t>
      </w:r>
      <w:r w:rsidR="00296DF5" w:rsidRPr="000B09B9">
        <w:rPr>
          <w:iCs/>
        </w:rPr>
        <w:t>LEMS).</w:t>
      </w:r>
      <w:r w:rsidR="001F1715" w:rsidRPr="000B09B9">
        <w:rPr>
          <w:iCs/>
        </w:rPr>
        <w:t xml:space="preserve"> Different utilities and mortality rates may apply to </w:t>
      </w:r>
      <w:r w:rsidR="006F0130" w:rsidRPr="000B09B9">
        <w:rPr>
          <w:iCs/>
        </w:rPr>
        <w:t>p</w:t>
      </w:r>
      <w:r w:rsidR="001F1715" w:rsidRPr="000B09B9">
        <w:rPr>
          <w:iCs/>
        </w:rPr>
        <w:t>LEMS, however there is a lack of data to inform a separate model for this sub-population.</w:t>
      </w:r>
      <w:r w:rsidR="00153EC0" w:rsidRPr="000B09B9">
        <w:rPr>
          <w:iCs/>
        </w:rPr>
        <w:t xml:space="preserve"> The ESC acknowledged the</w:t>
      </w:r>
      <w:r w:rsidR="00153EC0" w:rsidRPr="000B09B9">
        <w:t xml:space="preserve"> lack of mortality data to inform the pLEMS population</w:t>
      </w:r>
      <w:r w:rsidR="00153EC0" w:rsidRPr="000B09B9">
        <w:rPr>
          <w:iCs/>
        </w:rPr>
        <w:t xml:space="preserve"> and that </w:t>
      </w:r>
      <w:r w:rsidR="00153EC0" w:rsidRPr="000B09B9">
        <w:t xml:space="preserve">available literature indicates that patients with pLEMS appear to have improved survival over non-LEMS SCLC patients, however it considered the survival of these patients is unlikely to be similar to the general population. </w:t>
      </w:r>
    </w:p>
    <w:p w14:paraId="5E06039B" w14:textId="77777777" w:rsidR="00E85D38" w:rsidRPr="000B09B9" w:rsidRDefault="00FE1325" w:rsidP="00941DB7">
      <w:pPr>
        <w:pStyle w:val="3-BodyText"/>
      </w:pPr>
      <w:r w:rsidRPr="000B09B9">
        <w:t xml:space="preserve">The submission did not include costs for the management of </w:t>
      </w:r>
      <w:r w:rsidR="00163241" w:rsidRPr="000B09B9">
        <w:t>AEs</w:t>
      </w:r>
      <w:r w:rsidRPr="000B09B9">
        <w:t xml:space="preserve">. There is evidence of </w:t>
      </w:r>
      <w:r w:rsidR="00163241" w:rsidRPr="000B09B9">
        <w:t>AEs</w:t>
      </w:r>
      <w:r w:rsidRPr="000B09B9">
        <w:t xml:space="preserve"> relating to amifampridine use from trials and post-marketing surveillance data (e.g., treatment related </w:t>
      </w:r>
      <w:r w:rsidR="00163241" w:rsidRPr="000B09B9">
        <w:t>AEs</w:t>
      </w:r>
      <w:r w:rsidRPr="000B09B9">
        <w:t xml:space="preserve"> were reported in 68 (42%) of patients</w:t>
      </w:r>
      <w:r w:rsidR="00907D26" w:rsidRPr="000B09B9">
        <w:t xml:space="preserve"> in the RPV162 group [</w:t>
      </w:r>
      <w:r w:rsidR="00907D26" w:rsidRPr="00CF77B9">
        <w:t>paragraph 6.</w:t>
      </w:r>
      <w:r w:rsidR="00977C31" w:rsidRPr="00CF77B9">
        <w:t>26</w:t>
      </w:r>
      <w:r w:rsidR="00907D26" w:rsidRPr="00CF77B9">
        <w:t>]</w:t>
      </w:r>
      <w:r w:rsidRPr="000B09B9">
        <w:t>)</w:t>
      </w:r>
      <w:r w:rsidR="00907D26" w:rsidRPr="000B09B9">
        <w:t xml:space="preserve"> and 48 patients (30%) in the RPV162 group had their amifampridine dose adjusted or discontinued due to an AE</w:t>
      </w:r>
      <w:r w:rsidRPr="000B09B9">
        <w:t>.</w:t>
      </w:r>
      <w:r w:rsidR="00254655" w:rsidRPr="000B09B9">
        <w:t xml:space="preserve"> More than half of the Special Populations group adjusted or discontinued amifampridine due to an AE </w:t>
      </w:r>
      <w:r w:rsidR="00254655" w:rsidRPr="00CF77B9">
        <w:t>(paragraph 6.</w:t>
      </w:r>
      <w:r w:rsidR="00536175" w:rsidRPr="00CF77B9">
        <w:t>2</w:t>
      </w:r>
      <w:r w:rsidR="00977C31" w:rsidRPr="00CF77B9">
        <w:t>7</w:t>
      </w:r>
      <w:r w:rsidR="00254655" w:rsidRPr="00CF77B9">
        <w:t>)</w:t>
      </w:r>
      <w:r w:rsidR="00907D26" w:rsidRPr="00CF77B9">
        <w:t>.</w:t>
      </w:r>
      <w:r w:rsidR="00907D26" w:rsidRPr="000B09B9">
        <w:t xml:space="preserve"> A</w:t>
      </w:r>
      <w:r w:rsidR="00254655" w:rsidRPr="000B09B9">
        <w:t xml:space="preserve">mifampridine can cause serious AEs such as seizures and cardiac-related events </w:t>
      </w:r>
      <w:r w:rsidR="00254655" w:rsidRPr="00CF77B9">
        <w:t>(paragraph 6.2</w:t>
      </w:r>
      <w:r w:rsidR="00977C31" w:rsidRPr="00CF77B9">
        <w:t>9</w:t>
      </w:r>
      <w:r w:rsidR="00254655" w:rsidRPr="00CF77B9">
        <w:t>).</w:t>
      </w:r>
      <w:r w:rsidRPr="00CF77B9">
        <w:t xml:space="preserve"> </w:t>
      </w:r>
      <w:r w:rsidR="00CA03BC" w:rsidRPr="00CF77B9">
        <w:t>The</w:t>
      </w:r>
      <w:r w:rsidR="00CA03BC" w:rsidRPr="000B09B9">
        <w:t xml:space="preserve"> ESC agreed with the evaluation that </w:t>
      </w:r>
      <w:r w:rsidRPr="000B09B9">
        <w:t xml:space="preserve">not accounting for potential </w:t>
      </w:r>
      <w:r w:rsidR="00163241" w:rsidRPr="000B09B9">
        <w:t>AEs</w:t>
      </w:r>
      <w:r w:rsidRPr="000B09B9">
        <w:t xml:space="preserve"> favours amifampridine.</w:t>
      </w:r>
      <w:r w:rsidR="00254655" w:rsidRPr="000B09B9">
        <w:t xml:space="preserve"> </w:t>
      </w:r>
      <w:r w:rsidR="0097218C" w:rsidRPr="000B09B9">
        <w:t xml:space="preserve">The ESC noted that the model structure was </w:t>
      </w:r>
      <w:r w:rsidR="0097218C" w:rsidRPr="000B09B9">
        <w:rPr>
          <w:rFonts w:eastAsia="Arial Narrow"/>
        </w:rPr>
        <w:t xml:space="preserve">not designed to allow disutility and cost accrual associated with AEs to be estimated without significant reworking. </w:t>
      </w:r>
    </w:p>
    <w:p w14:paraId="27C527ED" w14:textId="77777777" w:rsidR="00C07AD1" w:rsidRPr="000B09B9" w:rsidRDefault="002146FF" w:rsidP="002B0564">
      <w:pPr>
        <w:pStyle w:val="3-BodyText"/>
        <w:numPr>
          <w:ilvl w:val="1"/>
          <w:numId w:val="9"/>
        </w:numPr>
      </w:pPr>
      <w:r w:rsidRPr="000B09B9">
        <w:t xml:space="preserve">The submission </w:t>
      </w:r>
      <w:r w:rsidR="00422F60" w:rsidRPr="000B09B9">
        <w:t xml:space="preserve">assumed that all patients on amifampridine would continue to be on the medication over the entire time horizon, thus assuming a discontinuing rate of 0%. </w:t>
      </w:r>
      <w:r w:rsidR="00422F60" w:rsidRPr="000B09B9">
        <w:rPr>
          <w:iCs/>
        </w:rPr>
        <w:t>This is not appropriate as the long-term effectiveness and safety of amifampridine is unknown</w:t>
      </w:r>
      <w:r w:rsidR="00907D26" w:rsidRPr="000B09B9">
        <w:rPr>
          <w:iCs/>
        </w:rPr>
        <w:t xml:space="preserve"> and</w:t>
      </w:r>
      <w:r w:rsidR="00740B8D" w:rsidRPr="000B09B9">
        <w:rPr>
          <w:iCs/>
        </w:rPr>
        <w:t xml:space="preserve"> there is</w:t>
      </w:r>
      <w:r w:rsidR="00907D26" w:rsidRPr="000B09B9">
        <w:rPr>
          <w:iCs/>
        </w:rPr>
        <w:t xml:space="preserve"> </w:t>
      </w:r>
      <w:r w:rsidR="00740B8D" w:rsidRPr="000B09B9">
        <w:rPr>
          <w:iCs/>
        </w:rPr>
        <w:t xml:space="preserve">evidence of discontinuations due to AEs </w:t>
      </w:r>
      <w:r w:rsidR="00740B8D" w:rsidRPr="00CF77B9">
        <w:rPr>
          <w:iCs/>
        </w:rPr>
        <w:t>(paragraph 6.</w:t>
      </w:r>
      <w:r w:rsidR="004908A3" w:rsidRPr="00CF77B9">
        <w:rPr>
          <w:iCs/>
        </w:rPr>
        <w:t>5</w:t>
      </w:r>
      <w:r w:rsidR="00626BE3" w:rsidRPr="00CF77B9">
        <w:rPr>
          <w:iCs/>
        </w:rPr>
        <w:t>1</w:t>
      </w:r>
      <w:r w:rsidR="00740B8D" w:rsidRPr="00CF77B9">
        <w:rPr>
          <w:iCs/>
        </w:rPr>
        <w:t>)</w:t>
      </w:r>
      <w:r w:rsidR="00422F60" w:rsidRPr="00CF77B9">
        <w:rPr>
          <w:iCs/>
        </w:rPr>
        <w:t>.</w:t>
      </w:r>
      <w:r w:rsidR="00422F60" w:rsidRPr="000B09B9">
        <w:rPr>
          <w:iCs/>
        </w:rPr>
        <w:t xml:space="preserve"> </w:t>
      </w:r>
      <w:r w:rsidR="00C07AD1" w:rsidRPr="000B09B9">
        <w:rPr>
          <w:iCs/>
        </w:rPr>
        <w:t>Not accounting for potential discontinuation following treatment favours amifampridine.</w:t>
      </w:r>
    </w:p>
    <w:p w14:paraId="51998809" w14:textId="77777777" w:rsidR="00247816" w:rsidRPr="000B09B9" w:rsidRDefault="00247816" w:rsidP="004C530D">
      <w:pPr>
        <w:pStyle w:val="3-BodyText"/>
        <w:numPr>
          <w:ilvl w:val="1"/>
          <w:numId w:val="9"/>
        </w:numPr>
      </w:pPr>
      <w:r w:rsidRPr="000B09B9">
        <w:t>The model applied a fixed 100% response rate across the entire 8-year time horizon</w:t>
      </w:r>
      <w:r w:rsidR="00E22C86" w:rsidRPr="000B09B9">
        <w:t xml:space="preserve">, </w:t>
      </w:r>
      <w:r w:rsidR="000D46B4" w:rsidRPr="000B09B9">
        <w:t>based on 3TUG results from the DAPPER trial</w:t>
      </w:r>
      <w:r w:rsidRPr="000B09B9">
        <w:t>. It is possible that some patients will lose their response or discontinue due to AEs</w:t>
      </w:r>
      <w:r w:rsidR="00F44A9C" w:rsidRPr="000B09B9">
        <w:t>, consistent with the withdrawal of 1 patient from the DUKE trial (</w:t>
      </w:r>
      <w:r w:rsidR="00F44A9C" w:rsidRPr="00A572BF">
        <w:t>paragraph 6.</w:t>
      </w:r>
      <w:r w:rsidR="00A572BF" w:rsidRPr="00A572BF">
        <w:t>25</w:t>
      </w:r>
      <w:r w:rsidR="00F44A9C" w:rsidRPr="000B09B9">
        <w:t>) and</w:t>
      </w:r>
      <w:r w:rsidR="00740B8D" w:rsidRPr="000B09B9">
        <w:t xml:space="preserve"> patients in both the </w:t>
      </w:r>
      <w:r w:rsidR="00B7552F" w:rsidRPr="000B09B9">
        <w:t>Special Populations</w:t>
      </w:r>
      <w:r w:rsidR="00740B8D" w:rsidRPr="000B09B9">
        <w:t xml:space="preserve"> and RPV162</w:t>
      </w:r>
      <w:r w:rsidR="00F44A9C" w:rsidRPr="000B09B9">
        <w:t xml:space="preserve"> group</w:t>
      </w:r>
      <w:r w:rsidR="00740B8D" w:rsidRPr="000B09B9">
        <w:t>s</w:t>
      </w:r>
      <w:r w:rsidR="00B7552F" w:rsidRPr="000B09B9">
        <w:t xml:space="preserve"> </w:t>
      </w:r>
      <w:r w:rsidR="00F44A9C" w:rsidRPr="000B09B9">
        <w:t>adjusting or discontinuing amifampridine (paragraph 6.</w:t>
      </w:r>
      <w:r w:rsidR="00A572BF">
        <w:t>27</w:t>
      </w:r>
      <w:r w:rsidR="00F44A9C" w:rsidRPr="000B09B9">
        <w:t>)</w:t>
      </w:r>
      <w:r w:rsidRPr="000B09B9">
        <w:t>.</w:t>
      </w:r>
      <w:r w:rsidR="000D46B4" w:rsidRPr="000B09B9">
        <w:t xml:space="preserve"> A loss of response in the DAPPER trial may not have been captured due to the withdrawal study design.</w:t>
      </w:r>
      <w:r w:rsidR="00E22C86" w:rsidRPr="000B09B9">
        <w:t xml:space="preserve"> </w:t>
      </w:r>
      <w:r w:rsidR="00E22C86" w:rsidRPr="004C530D">
        <w:rPr>
          <w:iCs/>
        </w:rPr>
        <w:t>Available data suggested that between 11–22% of patients treated with amifampridine may discontinue due to AEs</w:t>
      </w:r>
      <w:r w:rsidR="00DC0210" w:rsidRPr="004C530D">
        <w:rPr>
          <w:iCs/>
        </w:rPr>
        <w:t xml:space="preserve"> within the first </w:t>
      </w:r>
      <w:r w:rsidR="00AC2768" w:rsidRPr="004C530D">
        <w:rPr>
          <w:iCs/>
        </w:rPr>
        <w:t>year</w:t>
      </w:r>
      <w:r w:rsidR="00DC0210" w:rsidRPr="004C530D">
        <w:rPr>
          <w:iCs/>
        </w:rPr>
        <w:t xml:space="preserve"> of treatment</w:t>
      </w:r>
      <w:r w:rsidR="00AC2768" w:rsidRPr="004C530D">
        <w:rPr>
          <w:iCs/>
        </w:rPr>
        <w:t xml:space="preserve"> (</w:t>
      </w:r>
      <w:r w:rsidR="0005279F" w:rsidRPr="004C530D">
        <w:rPr>
          <w:iCs/>
        </w:rPr>
        <w:t xml:space="preserve">paragraph </w:t>
      </w:r>
      <w:r w:rsidR="00B21957" w:rsidRPr="004C530D">
        <w:rPr>
          <w:iCs/>
        </w:rPr>
        <w:t>6.2</w:t>
      </w:r>
      <w:r w:rsidR="00A572BF" w:rsidRPr="004C530D">
        <w:rPr>
          <w:iCs/>
        </w:rPr>
        <w:t>5</w:t>
      </w:r>
      <w:r w:rsidR="00AC2768" w:rsidRPr="004C530D">
        <w:rPr>
          <w:iCs/>
        </w:rPr>
        <w:t>)</w:t>
      </w:r>
      <w:r w:rsidR="00E22C86" w:rsidRPr="004C530D">
        <w:rPr>
          <w:iCs/>
        </w:rPr>
        <w:t>.</w:t>
      </w:r>
      <w:r w:rsidRPr="000B09B9">
        <w:t xml:space="preserve"> A</w:t>
      </w:r>
      <w:r w:rsidR="00E22C86" w:rsidRPr="000B09B9">
        <w:t>n 89</w:t>
      </w:r>
      <w:r w:rsidRPr="000B09B9">
        <w:t>% fixed response rate</w:t>
      </w:r>
      <w:r w:rsidR="00E22C86" w:rsidRPr="000B09B9">
        <w:t xml:space="preserve"> (assuming 11% of patients withdrew)</w:t>
      </w:r>
      <w:r w:rsidRPr="000B09B9">
        <w:t xml:space="preserve"> was tested in </w:t>
      </w:r>
      <w:r w:rsidR="000D0625" w:rsidRPr="000B09B9">
        <w:t xml:space="preserve">a </w:t>
      </w:r>
      <w:r w:rsidRPr="000B09B9">
        <w:t>sensitivity analysis and results were sensitive to this change</w:t>
      </w:r>
      <w:r w:rsidR="00F44A9C" w:rsidRPr="000B09B9">
        <w:t>,</w:t>
      </w:r>
      <w:r w:rsidRPr="000B09B9">
        <w:t xml:space="preserve"> with the ICER increasing from $</w:t>
      </w:r>
      <w:r w:rsidR="004C530D" w:rsidRPr="004C530D">
        <w:t>115,000 to &lt; $135,000</w:t>
      </w:r>
      <w:r w:rsidRPr="000B09B9">
        <w:t xml:space="preserve"> per QALY (base case</w:t>
      </w:r>
      <w:r w:rsidR="0098735E" w:rsidRPr="000B09B9">
        <w:t xml:space="preserve"> corrected during evaluation</w:t>
      </w:r>
      <w:r w:rsidRPr="000B09B9">
        <w:t xml:space="preserve">) to </w:t>
      </w:r>
      <w:r w:rsidR="00E22C86" w:rsidRPr="004C530D">
        <w:rPr>
          <w:iCs/>
        </w:rPr>
        <w:t>$</w:t>
      </w:r>
      <w:r w:rsidR="004C530D" w:rsidRPr="004C530D">
        <w:rPr>
          <w:iCs/>
        </w:rPr>
        <w:t>135,000 to &lt; $155,000</w:t>
      </w:r>
      <w:r w:rsidRPr="000B09B9">
        <w:t xml:space="preserve"> per QALY</w:t>
      </w:r>
      <w:r w:rsidR="00F44A9C" w:rsidRPr="000B09B9">
        <w:t xml:space="preserve"> (Table 11)</w:t>
      </w:r>
      <w:r w:rsidRPr="000B09B9">
        <w:t>.</w:t>
      </w:r>
    </w:p>
    <w:p w14:paraId="0A04B26A" w14:textId="14018BDF" w:rsidR="00247816" w:rsidRPr="000B09B9" w:rsidRDefault="00247816" w:rsidP="000129F4">
      <w:pPr>
        <w:pStyle w:val="3-BodyText"/>
        <w:numPr>
          <w:ilvl w:val="1"/>
          <w:numId w:val="9"/>
        </w:numPr>
      </w:pPr>
      <w:r w:rsidRPr="000B09B9">
        <w:t>For patients in the placebo arm, a response rate of 10% was applied</w:t>
      </w:r>
      <w:r w:rsidR="000D0625" w:rsidRPr="000B09B9">
        <w:t xml:space="preserve"> in the base case</w:t>
      </w:r>
      <w:r w:rsidRPr="000B09B9">
        <w:t>. This rate could not be verified</w:t>
      </w:r>
      <w:r w:rsidR="00761E92" w:rsidRPr="000B09B9">
        <w:t>,</w:t>
      </w:r>
      <w:r w:rsidRPr="000B09B9">
        <w:t xml:space="preserve"> and a rate o</w:t>
      </w:r>
      <w:r w:rsidR="00AA3A4D" w:rsidRPr="000B09B9">
        <w:t>f 27.8% as per the DAPPER trial</w:t>
      </w:r>
      <w:r w:rsidRPr="000B09B9">
        <w:t xml:space="preserve"> should have been used instead</w:t>
      </w:r>
      <w:r w:rsidR="000D0625" w:rsidRPr="000B09B9">
        <w:t xml:space="preserve"> if it is accepted that the model is informed by the </w:t>
      </w:r>
      <w:r w:rsidR="000D0625" w:rsidRPr="000129F4">
        <w:rPr>
          <w:iCs/>
        </w:rPr>
        <w:t>outcome of &gt;30%</w:t>
      </w:r>
      <w:r w:rsidR="00961166">
        <w:rPr>
          <w:iCs/>
        </w:rPr>
        <w:t> </w:t>
      </w:r>
      <w:r w:rsidR="000D0625" w:rsidRPr="000129F4">
        <w:rPr>
          <w:iCs/>
        </w:rPr>
        <w:t>deterioration in 3TUG test as reported for the DAPPER trial</w:t>
      </w:r>
      <w:r w:rsidR="00761E92" w:rsidRPr="000129F4">
        <w:rPr>
          <w:iCs/>
        </w:rPr>
        <w:t xml:space="preserve"> (i.e. 72.2% of patients in the taper-to-placebo arm, Table 4)</w:t>
      </w:r>
      <w:r w:rsidRPr="000B09B9">
        <w:t xml:space="preserve">. </w:t>
      </w:r>
      <w:r w:rsidR="00AA3A4D" w:rsidRPr="000B09B9">
        <w:t>Adjusting the</w:t>
      </w:r>
      <w:r w:rsidRPr="000B09B9">
        <w:t xml:space="preserve"> placebo response rate to 27.8% increased</w:t>
      </w:r>
      <w:r w:rsidR="00AA3A4D" w:rsidRPr="000B09B9">
        <w:t xml:space="preserve"> the</w:t>
      </w:r>
      <w:r w:rsidRPr="000B09B9">
        <w:t xml:space="preserve"> ICER to $</w:t>
      </w:r>
      <w:r w:rsidR="000129F4" w:rsidRPr="000129F4">
        <w:t>135,000 to &lt; $155,000</w:t>
      </w:r>
      <w:r w:rsidRPr="000B09B9">
        <w:t xml:space="preserve"> per QALY gained from $</w:t>
      </w:r>
      <w:r w:rsidR="000129F4" w:rsidRPr="000129F4">
        <w:t>115,000</w:t>
      </w:r>
      <w:r w:rsidR="00961166">
        <w:t> </w:t>
      </w:r>
      <w:r w:rsidR="000129F4" w:rsidRPr="000129F4">
        <w:t>to &lt; $135,000</w:t>
      </w:r>
      <w:r w:rsidR="007D518C">
        <w:t xml:space="preserve"> </w:t>
      </w:r>
      <w:r w:rsidRPr="000B09B9">
        <w:t>per QALY (base case</w:t>
      </w:r>
      <w:r w:rsidR="0098735E" w:rsidRPr="000B09B9">
        <w:t xml:space="preserve"> corrected during evaluation</w:t>
      </w:r>
      <w:r w:rsidRPr="000B09B9">
        <w:t>)</w:t>
      </w:r>
      <w:r w:rsidR="00F44A9C" w:rsidRPr="000B09B9">
        <w:t xml:space="preserve"> (Table 11)</w:t>
      </w:r>
      <w:r w:rsidRPr="000B09B9">
        <w:t>.</w:t>
      </w:r>
    </w:p>
    <w:p w14:paraId="713D4A9F" w14:textId="77777777" w:rsidR="00714B77" w:rsidRPr="000B09B9" w:rsidRDefault="00714B77" w:rsidP="00744418">
      <w:pPr>
        <w:pStyle w:val="3-BodyText"/>
        <w:numPr>
          <w:ilvl w:val="1"/>
          <w:numId w:val="9"/>
        </w:numPr>
      </w:pPr>
      <w:r w:rsidRPr="000B09B9">
        <w:t xml:space="preserve">The submission claimed that patients on treatment with amifampridine will have a 50% reduction of IVIg use, but did not include this reduction in the economic model. </w:t>
      </w:r>
      <w:r w:rsidRPr="000B09B9">
        <w:rPr>
          <w:iCs/>
        </w:rPr>
        <w:t>This claim could not be verified. There is uncertainty whether and how IVIg could be displaced or may be added to therapy.</w:t>
      </w:r>
      <w:r w:rsidR="00744418" w:rsidRPr="000B09B9">
        <w:rPr>
          <w:iCs/>
        </w:rPr>
        <w:t xml:space="preserve">  </w:t>
      </w:r>
    </w:p>
    <w:p w14:paraId="5764A5DA" w14:textId="77777777" w:rsidR="00714B77" w:rsidRPr="000B09B9" w:rsidRDefault="00714B77" w:rsidP="002B0564">
      <w:pPr>
        <w:pStyle w:val="3-BodyText"/>
        <w:numPr>
          <w:ilvl w:val="1"/>
          <w:numId w:val="9"/>
        </w:numPr>
        <w:rPr>
          <w:iCs/>
        </w:rPr>
      </w:pPr>
      <w:r w:rsidRPr="000B09B9">
        <w:rPr>
          <w:iCs/>
        </w:rPr>
        <w:t>Patients with LEMS are likely to be treated with concurrent medications</w:t>
      </w:r>
      <w:r w:rsidR="002E1963" w:rsidRPr="000B09B9">
        <w:rPr>
          <w:iCs/>
        </w:rPr>
        <w:t xml:space="preserve"> in addition to amifampridine,</w:t>
      </w:r>
      <w:r w:rsidRPr="000B09B9">
        <w:rPr>
          <w:iCs/>
        </w:rPr>
        <w:t xml:space="preserve"> such as pyridostigmine, prednisolone, </w:t>
      </w:r>
      <w:r w:rsidR="002E1963" w:rsidRPr="000B09B9">
        <w:rPr>
          <w:iCs/>
        </w:rPr>
        <w:t xml:space="preserve">or </w:t>
      </w:r>
      <w:r w:rsidRPr="000B09B9">
        <w:rPr>
          <w:iCs/>
        </w:rPr>
        <w:t>azathioprine. For example, 81.3% of patients in the DAPPER trial were concurrently on pyridostigmine. However, it is uncertain if treatment with amifampridine would result in an increase or decrease in use of these concurrent medications. These were not considered in the economic model and</w:t>
      </w:r>
      <w:r w:rsidR="002E1963" w:rsidRPr="000B09B9">
        <w:rPr>
          <w:iCs/>
        </w:rPr>
        <w:t xml:space="preserve"> it</w:t>
      </w:r>
      <w:r w:rsidRPr="000B09B9">
        <w:rPr>
          <w:iCs/>
        </w:rPr>
        <w:t xml:space="preserve"> may be inappropriate to exclude them.</w:t>
      </w:r>
      <w:r w:rsidR="008A0350" w:rsidRPr="000B09B9">
        <w:rPr>
          <w:iCs/>
        </w:rPr>
        <w:t xml:space="preserve"> </w:t>
      </w:r>
      <w:r w:rsidR="00EB5687" w:rsidRPr="000B09B9">
        <w:rPr>
          <w:iCs/>
        </w:rPr>
        <w:t>The ESC considered that further information on potential changes to IVIg or other concurrent therapies would be informative</w:t>
      </w:r>
      <w:r w:rsidR="00500744" w:rsidRPr="000B09B9">
        <w:rPr>
          <w:iCs/>
        </w:rPr>
        <w:t xml:space="preserve"> for interpretation of the economic model</w:t>
      </w:r>
      <w:r w:rsidR="00EB5687" w:rsidRPr="000B09B9">
        <w:rPr>
          <w:iCs/>
        </w:rPr>
        <w:t>.</w:t>
      </w:r>
      <w:r w:rsidR="001B1AD5" w:rsidRPr="000B09B9">
        <w:rPr>
          <w:iCs/>
        </w:rPr>
        <w:t xml:space="preserve"> The pre-PBAC response stated that reduction in use of other treatments, notably IVIg, was considered, but not incorporated in the modelled economic evaluation due to lack of reliable data.</w:t>
      </w:r>
    </w:p>
    <w:p w14:paraId="4B3B9235" w14:textId="77777777" w:rsidR="00FE1325" w:rsidRPr="000B09B9" w:rsidRDefault="00FE1325" w:rsidP="002B0564">
      <w:pPr>
        <w:pStyle w:val="3-BodyText"/>
        <w:numPr>
          <w:ilvl w:val="1"/>
          <w:numId w:val="9"/>
        </w:numPr>
      </w:pPr>
      <w:r w:rsidRPr="000B09B9">
        <w:t xml:space="preserve">Table </w:t>
      </w:r>
      <w:r w:rsidR="00A95A61" w:rsidRPr="000B09B9">
        <w:t xml:space="preserve">9 </w:t>
      </w:r>
      <w:r w:rsidRPr="000B09B9">
        <w:t>summarises the key drivers of the model.</w:t>
      </w:r>
    </w:p>
    <w:p w14:paraId="4764D851" w14:textId="77777777" w:rsidR="00FE1325" w:rsidRPr="000B09B9" w:rsidRDefault="00FE1325" w:rsidP="002B0564">
      <w:pPr>
        <w:pStyle w:val="TableFigureHeading"/>
        <w:keepNext w:val="0"/>
        <w:rPr>
          <w:rStyle w:val="CommentReference"/>
          <w:b/>
          <w:szCs w:val="24"/>
        </w:rPr>
      </w:pPr>
      <w:r w:rsidRPr="000B09B9">
        <w:rPr>
          <w:rStyle w:val="CommentReference"/>
          <w:b/>
          <w:szCs w:val="24"/>
        </w:rPr>
        <w:t xml:space="preserve">Table </w:t>
      </w:r>
      <w:r w:rsidR="00A95A61" w:rsidRPr="000B09B9">
        <w:rPr>
          <w:rStyle w:val="CommentReference"/>
          <w:b/>
          <w:szCs w:val="24"/>
        </w:rPr>
        <w:t>9</w:t>
      </w:r>
      <w:r w:rsidRPr="000B09B9">
        <w:rPr>
          <w:rStyle w:val="CommentReference"/>
          <w:b/>
          <w:szCs w:val="24"/>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4"/>
        <w:gridCol w:w="4820"/>
        <w:gridCol w:w="2783"/>
      </w:tblGrid>
      <w:tr w:rsidR="00FE1325" w:rsidRPr="000B09B9" w14:paraId="1D229180" w14:textId="77777777" w:rsidTr="00AA3A4D">
        <w:trPr>
          <w:tblHeader/>
        </w:trPr>
        <w:tc>
          <w:tcPr>
            <w:tcW w:w="784" w:type="pct"/>
            <w:shd w:val="clear" w:color="auto" w:fill="auto"/>
            <w:vAlign w:val="center"/>
          </w:tcPr>
          <w:p w14:paraId="02CB65D5" w14:textId="77777777" w:rsidR="00FE1325" w:rsidRPr="000B09B9" w:rsidRDefault="00FE1325" w:rsidP="002B0564">
            <w:pPr>
              <w:pStyle w:val="In-tableHeading"/>
              <w:keepNext w:val="0"/>
              <w:jc w:val="center"/>
              <w:rPr>
                <w:lang w:val="en-AU"/>
              </w:rPr>
            </w:pPr>
            <w:r w:rsidRPr="000B09B9">
              <w:rPr>
                <w:lang w:val="en-AU"/>
              </w:rPr>
              <w:t>Description</w:t>
            </w:r>
          </w:p>
        </w:tc>
        <w:tc>
          <w:tcPr>
            <w:tcW w:w="2673" w:type="pct"/>
            <w:shd w:val="clear" w:color="auto" w:fill="auto"/>
            <w:vAlign w:val="center"/>
          </w:tcPr>
          <w:p w14:paraId="500E5E04" w14:textId="77777777" w:rsidR="00FE1325" w:rsidRPr="000B09B9" w:rsidRDefault="00FE1325" w:rsidP="002B0564">
            <w:pPr>
              <w:pStyle w:val="In-tableHeading"/>
              <w:keepNext w:val="0"/>
              <w:jc w:val="center"/>
              <w:rPr>
                <w:lang w:val="en-AU"/>
              </w:rPr>
            </w:pPr>
            <w:r w:rsidRPr="000B09B9">
              <w:rPr>
                <w:lang w:val="en-AU"/>
              </w:rPr>
              <w:t>Method/Value</w:t>
            </w:r>
          </w:p>
        </w:tc>
        <w:tc>
          <w:tcPr>
            <w:tcW w:w="1543" w:type="pct"/>
            <w:shd w:val="clear" w:color="auto" w:fill="auto"/>
            <w:vAlign w:val="center"/>
          </w:tcPr>
          <w:p w14:paraId="52399DCA" w14:textId="77777777" w:rsidR="00FE1325" w:rsidRPr="000B09B9" w:rsidRDefault="00FE1325" w:rsidP="002B0564">
            <w:pPr>
              <w:pStyle w:val="In-tableHeading"/>
              <w:keepNext w:val="0"/>
              <w:jc w:val="center"/>
              <w:rPr>
                <w:lang w:val="en-AU"/>
              </w:rPr>
            </w:pPr>
            <w:r w:rsidRPr="000B09B9">
              <w:rPr>
                <w:lang w:val="en-AU"/>
              </w:rPr>
              <w:t>Impact</w:t>
            </w:r>
          </w:p>
          <w:p w14:paraId="0767332A" w14:textId="77777777" w:rsidR="00FE1325" w:rsidRPr="000B09B9" w:rsidRDefault="00FE1325" w:rsidP="000129F4">
            <w:pPr>
              <w:pStyle w:val="In-tableHeading"/>
              <w:keepNext w:val="0"/>
              <w:jc w:val="center"/>
              <w:rPr>
                <w:lang w:val="en-AU"/>
              </w:rPr>
            </w:pPr>
            <w:r w:rsidRPr="000B09B9">
              <w:rPr>
                <w:rFonts w:cs="Arial"/>
                <w:szCs w:val="20"/>
                <w:lang w:val="en-AU"/>
              </w:rPr>
              <w:t>Base case: $</w:t>
            </w:r>
            <w:r w:rsidR="00E928EF">
              <w:rPr>
                <w:rFonts w:cs="Arial"/>
                <w:noProof/>
                <w:color w:val="000000"/>
                <w:szCs w:val="20"/>
                <w:highlight w:val="black"/>
                <w:lang w:val="en-AU"/>
              </w:rPr>
              <w:t>'''''''''''''''''</w:t>
            </w:r>
            <w:r w:rsidR="000129F4" w:rsidRPr="000129F4">
              <w:rPr>
                <w:rFonts w:cs="Arial"/>
                <w:szCs w:val="20"/>
                <w:vertAlign w:val="superscript"/>
                <w:lang w:val="en-AU"/>
              </w:rPr>
              <w:t>1</w:t>
            </w:r>
            <w:r w:rsidRPr="000B09B9">
              <w:rPr>
                <w:rFonts w:cs="Arial"/>
                <w:szCs w:val="20"/>
                <w:lang w:val="en-AU"/>
              </w:rPr>
              <w:t>/QALY gained</w:t>
            </w:r>
            <w:r w:rsidR="00AC3867" w:rsidRPr="000B09B9">
              <w:rPr>
                <w:rFonts w:cs="Arial"/>
                <w:szCs w:val="20"/>
                <w:lang w:val="en-AU"/>
              </w:rPr>
              <w:t xml:space="preserve"> (corrected by evaluator)</w:t>
            </w:r>
          </w:p>
        </w:tc>
      </w:tr>
      <w:tr w:rsidR="00FE1325" w:rsidRPr="000B09B9" w14:paraId="1376361E" w14:textId="77777777" w:rsidTr="00AA3A4D">
        <w:tc>
          <w:tcPr>
            <w:tcW w:w="784" w:type="pct"/>
            <w:shd w:val="clear" w:color="auto" w:fill="auto"/>
            <w:vAlign w:val="center"/>
          </w:tcPr>
          <w:p w14:paraId="52349AAA" w14:textId="77777777" w:rsidR="00FE1325" w:rsidRPr="000B09B9" w:rsidRDefault="00FE1325" w:rsidP="002B0564">
            <w:pPr>
              <w:pStyle w:val="TableText0"/>
              <w:widowControl/>
              <w:jc w:val="center"/>
            </w:pPr>
            <w:r w:rsidRPr="000B09B9">
              <w:t>Utilities</w:t>
            </w:r>
          </w:p>
        </w:tc>
        <w:tc>
          <w:tcPr>
            <w:tcW w:w="2673" w:type="pct"/>
            <w:shd w:val="clear" w:color="auto" w:fill="auto"/>
            <w:vAlign w:val="center"/>
          </w:tcPr>
          <w:p w14:paraId="471E4A51" w14:textId="77777777" w:rsidR="00FE1325" w:rsidRPr="000B09B9" w:rsidRDefault="00FE1325" w:rsidP="002B0564">
            <w:pPr>
              <w:pStyle w:val="TableText0"/>
              <w:widowControl/>
            </w:pPr>
            <w:r w:rsidRPr="000B09B9">
              <w:t xml:space="preserve">Utilities sourced from sponsor-initiated surveys on subset of patients presently treated with amifampridine (N=14). Utilities applied for responders to treatment and non-responders were 0.834 and 0.122, respectively. </w:t>
            </w:r>
            <w:r w:rsidRPr="000B09B9">
              <w:rPr>
                <w:iCs/>
              </w:rPr>
              <w:t>Utility applied to non-responders was highly uncertain because there is a high risk of recall bias. Further, the implied utility difference of 0.711 is large and higher than the utility difference between responders and non-responders used in the Scottish Medicines Consortium (SMC) model (0.346)</w:t>
            </w:r>
            <w:r w:rsidR="000D0625" w:rsidRPr="000B09B9">
              <w:rPr>
                <w:iCs/>
              </w:rPr>
              <w:t xml:space="preserve"> see Table 8 for further details</w:t>
            </w:r>
            <w:r w:rsidRPr="000B09B9">
              <w:t>.</w:t>
            </w:r>
          </w:p>
        </w:tc>
        <w:tc>
          <w:tcPr>
            <w:tcW w:w="1543" w:type="pct"/>
            <w:shd w:val="clear" w:color="auto" w:fill="auto"/>
          </w:tcPr>
          <w:p w14:paraId="7015E81B" w14:textId="77777777" w:rsidR="00FE1325" w:rsidRPr="000B09B9" w:rsidRDefault="00FE1325" w:rsidP="002B0564">
            <w:pPr>
              <w:pStyle w:val="TableText0"/>
              <w:widowControl/>
            </w:pPr>
            <w:r w:rsidRPr="000B09B9">
              <w:t>High, favours amifampridine. Increasing non-responder utility to 0.</w:t>
            </w:r>
            <w:r w:rsidR="00926CF4" w:rsidRPr="000B09B9">
              <w:t>31</w:t>
            </w:r>
            <w:r w:rsidRPr="000B09B9">
              <w:t xml:space="preserve"> increased</w:t>
            </w:r>
            <w:r w:rsidR="00926CF4" w:rsidRPr="000B09B9">
              <w:t xml:space="preserve"> the</w:t>
            </w:r>
            <w:r w:rsidRPr="000B09B9">
              <w:t xml:space="preserve"> ICER to $</w:t>
            </w:r>
            <w:r w:rsidR="00E928EF">
              <w:rPr>
                <w:noProof/>
                <w:color w:val="000000"/>
                <w:highlight w:val="black"/>
              </w:rPr>
              <w:t>''''''''''''''''''''</w:t>
            </w:r>
            <w:r w:rsidR="000129F4" w:rsidRPr="000129F4">
              <w:rPr>
                <w:vertAlign w:val="superscript"/>
              </w:rPr>
              <w:t>2</w:t>
            </w:r>
            <w:r w:rsidRPr="000B09B9">
              <w:t xml:space="preserve"> per QALY</w:t>
            </w:r>
            <w:r w:rsidR="00BA0F53" w:rsidRPr="000B09B9">
              <w:t xml:space="preserve"> gained</w:t>
            </w:r>
            <w:r w:rsidRPr="000B09B9">
              <w:t xml:space="preserve">. </w:t>
            </w:r>
          </w:p>
        </w:tc>
      </w:tr>
      <w:tr w:rsidR="00FE1325" w:rsidRPr="000B09B9" w14:paraId="14EC6DEC" w14:textId="77777777" w:rsidTr="00EF4DB1">
        <w:tc>
          <w:tcPr>
            <w:tcW w:w="784" w:type="pct"/>
            <w:shd w:val="clear" w:color="auto" w:fill="auto"/>
            <w:vAlign w:val="center"/>
          </w:tcPr>
          <w:p w14:paraId="3906DC5D" w14:textId="77777777" w:rsidR="00FE1325" w:rsidRPr="000B09B9" w:rsidRDefault="00FE1325" w:rsidP="002B0564">
            <w:pPr>
              <w:pStyle w:val="TableText0"/>
              <w:widowControl/>
              <w:jc w:val="center"/>
            </w:pPr>
            <w:r w:rsidRPr="000B09B9">
              <w:t>Maximum amifampridine dose applied</w:t>
            </w:r>
          </w:p>
        </w:tc>
        <w:tc>
          <w:tcPr>
            <w:tcW w:w="2673" w:type="pct"/>
            <w:shd w:val="clear" w:color="auto" w:fill="auto"/>
            <w:vAlign w:val="center"/>
          </w:tcPr>
          <w:p w14:paraId="5740AFDB" w14:textId="77777777" w:rsidR="00FE1325" w:rsidRPr="000B09B9" w:rsidRDefault="00FE1325" w:rsidP="002B0564">
            <w:pPr>
              <w:pStyle w:val="TableText0"/>
              <w:widowControl/>
            </w:pPr>
            <w:r w:rsidRPr="000B09B9">
              <w:t>Sourced from sponsor-initiated surveys on subset of patients presently treated with amifampridine (N=14). Initial dose of 2.5 tablets (25</w:t>
            </w:r>
            <w:r w:rsidR="00BA0F53" w:rsidRPr="000B09B9">
              <w:t xml:space="preserve"> </w:t>
            </w:r>
            <w:r w:rsidRPr="000B09B9">
              <w:t xml:space="preserve">mg) increasing over 60 months </w:t>
            </w:r>
            <w:r w:rsidR="00365E00" w:rsidRPr="000B09B9">
              <w:t xml:space="preserve">((i.e. 66 four-week cycles) </w:t>
            </w:r>
            <w:r w:rsidRPr="000B09B9">
              <w:t xml:space="preserve">to an average maintenance dose of 6.85 tablets (68.5 mg) daily. </w:t>
            </w:r>
            <w:r w:rsidRPr="000B09B9">
              <w:rPr>
                <w:iCs/>
              </w:rPr>
              <w:t>Amifampridine is used for symptomatic treatment and doses can vary depending on the needs of the patient. A maximum dose of 100</w:t>
            </w:r>
            <w:r w:rsidR="00B4289F" w:rsidRPr="000B09B9">
              <w:rPr>
                <w:iCs/>
              </w:rPr>
              <w:t xml:space="preserve"> </w:t>
            </w:r>
            <w:r w:rsidRPr="000B09B9">
              <w:rPr>
                <w:iCs/>
              </w:rPr>
              <w:t>mg is possible. Higher doses would result in an increased ICER.</w:t>
            </w:r>
          </w:p>
        </w:tc>
        <w:tc>
          <w:tcPr>
            <w:tcW w:w="1543" w:type="pct"/>
            <w:shd w:val="clear" w:color="auto" w:fill="auto"/>
          </w:tcPr>
          <w:p w14:paraId="67A736C1" w14:textId="77777777" w:rsidR="00FE1325" w:rsidRPr="000B09B9" w:rsidRDefault="00FE1325" w:rsidP="000129F4">
            <w:pPr>
              <w:pStyle w:val="TableText0"/>
              <w:widowControl/>
            </w:pPr>
            <w:r w:rsidRPr="000B09B9">
              <w:t>High, favours amifampridine. Increasing to maximum dose of 10 tablets (10</w:t>
            </w:r>
            <w:r w:rsidR="0057598A" w:rsidRPr="000B09B9">
              <w:t xml:space="preserve"> </w:t>
            </w:r>
            <w:r w:rsidRPr="000B09B9">
              <w:t xml:space="preserve">mg) daily with no dose escalation </w:t>
            </w:r>
            <w:r w:rsidRPr="000B09B9">
              <w:rPr>
                <w:iCs/>
              </w:rPr>
              <w:t>increased the ICER to $</w:t>
            </w:r>
            <w:r w:rsidR="00E928EF">
              <w:rPr>
                <w:iCs/>
                <w:noProof/>
                <w:color w:val="000000"/>
                <w:highlight w:val="black"/>
              </w:rPr>
              <w:t>''''''''''''''''''</w:t>
            </w:r>
            <w:r w:rsidR="000129F4" w:rsidRPr="000129F4">
              <w:rPr>
                <w:vertAlign w:val="superscript"/>
              </w:rPr>
              <w:t>2</w:t>
            </w:r>
            <w:r w:rsidRPr="000B09B9">
              <w:rPr>
                <w:iCs/>
              </w:rPr>
              <w:t xml:space="preserve"> per QALY gained.</w:t>
            </w:r>
          </w:p>
        </w:tc>
      </w:tr>
      <w:tr w:rsidR="00FE1325" w:rsidRPr="000B09B9" w14:paraId="0B2C2A2E" w14:textId="77777777" w:rsidTr="00EF4DB1">
        <w:tc>
          <w:tcPr>
            <w:tcW w:w="784" w:type="pct"/>
            <w:shd w:val="clear" w:color="auto" w:fill="auto"/>
            <w:vAlign w:val="center"/>
          </w:tcPr>
          <w:p w14:paraId="4D41A81D" w14:textId="77777777" w:rsidR="00FE1325" w:rsidRPr="000B09B9" w:rsidRDefault="00FE1325" w:rsidP="00EF4DB1">
            <w:pPr>
              <w:pStyle w:val="TableText0"/>
              <w:widowControl/>
              <w:jc w:val="center"/>
            </w:pPr>
            <w:r w:rsidRPr="000B09B9">
              <w:t>Response rate</w:t>
            </w:r>
          </w:p>
        </w:tc>
        <w:tc>
          <w:tcPr>
            <w:tcW w:w="2673" w:type="pct"/>
            <w:shd w:val="clear" w:color="auto" w:fill="auto"/>
          </w:tcPr>
          <w:p w14:paraId="6ADB2EE8" w14:textId="77777777" w:rsidR="001F07D8" w:rsidRPr="000B09B9" w:rsidRDefault="00FE1325" w:rsidP="002B0564">
            <w:pPr>
              <w:pStyle w:val="TableText0"/>
              <w:widowControl/>
            </w:pPr>
            <w:r w:rsidRPr="000B09B9">
              <w:t xml:space="preserve">The model </w:t>
            </w:r>
            <w:r w:rsidR="001F07D8" w:rsidRPr="000B09B9">
              <w:t xml:space="preserve">applied a </w:t>
            </w:r>
            <w:r w:rsidRPr="000B09B9">
              <w:t>100%</w:t>
            </w:r>
            <w:r w:rsidR="001F07D8" w:rsidRPr="000B09B9">
              <w:t xml:space="preserve"> response rate for</w:t>
            </w:r>
            <w:r w:rsidRPr="000B09B9">
              <w:t xml:space="preserve"> patients on amifampridine </w:t>
            </w:r>
            <w:r w:rsidR="008F3C62" w:rsidRPr="000B09B9">
              <w:t>based on results from the DAPPER trial</w:t>
            </w:r>
            <w:r w:rsidR="00B4289F" w:rsidRPr="000B09B9">
              <w:t>.</w:t>
            </w:r>
          </w:p>
          <w:p w14:paraId="75A37A55" w14:textId="77777777" w:rsidR="001F07D8" w:rsidRPr="000B09B9" w:rsidRDefault="001F07D8" w:rsidP="002B0564">
            <w:pPr>
              <w:pStyle w:val="TableText0"/>
              <w:widowControl/>
            </w:pPr>
          </w:p>
          <w:p w14:paraId="1B98F90E" w14:textId="77777777" w:rsidR="001F07D8" w:rsidRPr="000B09B9" w:rsidRDefault="001F07D8" w:rsidP="002B0564">
            <w:pPr>
              <w:pStyle w:val="TableText0"/>
              <w:widowControl/>
            </w:pPr>
          </w:p>
          <w:p w14:paraId="56975065" w14:textId="77777777" w:rsidR="00AA3A4D" w:rsidRPr="000B09B9" w:rsidRDefault="00AA3A4D" w:rsidP="002B0564">
            <w:pPr>
              <w:pStyle w:val="TableText0"/>
              <w:widowControl/>
            </w:pPr>
          </w:p>
          <w:p w14:paraId="05F42962" w14:textId="77777777" w:rsidR="00FE1325" w:rsidRPr="000B09B9" w:rsidRDefault="001F07D8" w:rsidP="002B0564">
            <w:pPr>
              <w:pStyle w:val="TableText0"/>
              <w:widowControl/>
            </w:pPr>
            <w:r w:rsidRPr="000B09B9">
              <w:t xml:space="preserve">For patients in the placebo arm, a response rate of 10% was applied. </w:t>
            </w:r>
            <w:r w:rsidRPr="000B09B9">
              <w:rPr>
                <w:iCs/>
              </w:rPr>
              <w:t xml:space="preserve">This rate could not be verified. </w:t>
            </w:r>
            <w:r w:rsidRPr="000B09B9">
              <w:t>A</w:t>
            </w:r>
            <w:r w:rsidR="00895CAA" w:rsidRPr="000B09B9">
              <w:t xml:space="preserve"> </w:t>
            </w:r>
            <w:r w:rsidRPr="000B09B9">
              <w:t xml:space="preserve">response rate of 27.8% for the placebo arm (DAPPER trial) </w:t>
            </w:r>
            <w:r w:rsidR="00EA5023" w:rsidRPr="000B09B9">
              <w:t>should</w:t>
            </w:r>
            <w:r w:rsidRPr="000B09B9">
              <w:t xml:space="preserve"> have been </w:t>
            </w:r>
            <w:r w:rsidR="00EA5023" w:rsidRPr="000B09B9">
              <w:t>used instead</w:t>
            </w:r>
            <w:r w:rsidRPr="000B09B9">
              <w:t>.</w:t>
            </w:r>
          </w:p>
        </w:tc>
        <w:tc>
          <w:tcPr>
            <w:tcW w:w="1543" w:type="pct"/>
            <w:shd w:val="clear" w:color="auto" w:fill="auto"/>
          </w:tcPr>
          <w:p w14:paraId="02E43D4B" w14:textId="77777777" w:rsidR="00FE1325" w:rsidRPr="000B09B9" w:rsidRDefault="00F30869" w:rsidP="002B0564">
            <w:pPr>
              <w:pStyle w:val="TableText0"/>
              <w:widowControl/>
              <w:rPr>
                <w:iCs/>
              </w:rPr>
            </w:pPr>
            <w:r w:rsidRPr="000B09B9">
              <w:t>Moderate</w:t>
            </w:r>
            <w:r w:rsidR="00FE1325" w:rsidRPr="000B09B9">
              <w:t xml:space="preserve">, favours amifampridine. Decreasing </w:t>
            </w:r>
            <w:r w:rsidR="001F07D8" w:rsidRPr="000B09B9">
              <w:t xml:space="preserve">amifampridine </w:t>
            </w:r>
            <w:r w:rsidR="00FE1325" w:rsidRPr="000B09B9">
              <w:t>response rate to 8</w:t>
            </w:r>
            <w:r w:rsidR="00926CF4" w:rsidRPr="000B09B9">
              <w:t>9</w:t>
            </w:r>
            <w:r w:rsidR="00FE1325" w:rsidRPr="000B09B9">
              <w:t xml:space="preserve">% increased ICER to </w:t>
            </w:r>
            <w:r w:rsidR="00FE1325" w:rsidRPr="000B09B9">
              <w:rPr>
                <w:iCs/>
              </w:rPr>
              <w:t>$</w:t>
            </w:r>
            <w:r w:rsidR="00E928EF">
              <w:rPr>
                <w:noProof/>
                <w:color w:val="000000"/>
                <w:highlight w:val="black"/>
              </w:rPr>
              <w:t>''''''''''''''''''''</w:t>
            </w:r>
            <w:r w:rsidR="000129F4">
              <w:rPr>
                <w:vertAlign w:val="superscript"/>
              </w:rPr>
              <w:t>3</w:t>
            </w:r>
            <w:r w:rsidR="00FE1325" w:rsidRPr="000B09B9">
              <w:rPr>
                <w:iCs/>
              </w:rPr>
              <w:t xml:space="preserve"> per QALY</w:t>
            </w:r>
            <w:r w:rsidR="00BA0F53" w:rsidRPr="000B09B9">
              <w:rPr>
                <w:iCs/>
              </w:rPr>
              <w:t xml:space="preserve"> gained</w:t>
            </w:r>
            <w:r w:rsidR="00FE1325" w:rsidRPr="000B09B9">
              <w:rPr>
                <w:iCs/>
              </w:rPr>
              <w:t>.</w:t>
            </w:r>
          </w:p>
          <w:p w14:paraId="09100B90" w14:textId="77777777" w:rsidR="001F07D8" w:rsidRPr="000B09B9" w:rsidRDefault="001F07D8" w:rsidP="002B0564">
            <w:pPr>
              <w:pStyle w:val="TableText0"/>
              <w:widowControl/>
              <w:rPr>
                <w:iCs/>
              </w:rPr>
            </w:pPr>
          </w:p>
          <w:p w14:paraId="47985853" w14:textId="77777777" w:rsidR="001F07D8" w:rsidRPr="000B09B9" w:rsidRDefault="001F07D8" w:rsidP="002B0564">
            <w:pPr>
              <w:pStyle w:val="TableText0"/>
              <w:widowControl/>
              <w:rPr>
                <w:iCs/>
              </w:rPr>
            </w:pPr>
            <w:r w:rsidRPr="000B09B9">
              <w:rPr>
                <w:iCs/>
              </w:rPr>
              <w:t>Moderate, favours amifampridine.</w:t>
            </w:r>
          </w:p>
          <w:p w14:paraId="3A813DC9" w14:textId="77777777" w:rsidR="001F07D8" w:rsidRPr="000B09B9" w:rsidRDefault="00EA5023" w:rsidP="002B0564">
            <w:pPr>
              <w:pStyle w:val="TableText0"/>
              <w:widowControl/>
              <w:rPr>
                <w:iCs/>
              </w:rPr>
            </w:pPr>
            <w:r w:rsidRPr="000B09B9">
              <w:rPr>
                <w:iCs/>
              </w:rPr>
              <w:t>Correcting</w:t>
            </w:r>
            <w:r w:rsidR="001F07D8" w:rsidRPr="000B09B9">
              <w:rPr>
                <w:iCs/>
              </w:rPr>
              <w:t xml:space="preserve"> placebo response rate to 27.8% increased ICER to $</w:t>
            </w:r>
            <w:r w:rsidR="00E928EF">
              <w:rPr>
                <w:iCs/>
                <w:noProof/>
                <w:color w:val="000000"/>
                <w:highlight w:val="black"/>
              </w:rPr>
              <w:t>''''''''''''''''''''</w:t>
            </w:r>
            <w:r w:rsidR="000129F4">
              <w:rPr>
                <w:vertAlign w:val="superscript"/>
              </w:rPr>
              <w:t>3</w:t>
            </w:r>
            <w:r w:rsidR="001F07D8" w:rsidRPr="000B09B9">
              <w:rPr>
                <w:iCs/>
              </w:rPr>
              <w:t xml:space="preserve"> per QALY gained.</w:t>
            </w:r>
          </w:p>
        </w:tc>
      </w:tr>
    </w:tbl>
    <w:p w14:paraId="385AD83D" w14:textId="77777777" w:rsidR="00FE1325" w:rsidRPr="000B09B9" w:rsidRDefault="00FE1325" w:rsidP="002B0564">
      <w:pPr>
        <w:pStyle w:val="TableFigureFooter"/>
      </w:pPr>
      <w:r w:rsidRPr="000B09B9">
        <w:t>Source: Tables 3.14, pp148-149 of the submission and from sensitivity analyses conducted during the evaluation</w:t>
      </w:r>
      <w:r w:rsidR="6C9DED79" w:rsidRPr="000B09B9">
        <w:t xml:space="preserve">. </w:t>
      </w:r>
    </w:p>
    <w:p w14:paraId="1026787A" w14:textId="77777777" w:rsidR="6C9DED79" w:rsidRDefault="00296DF5" w:rsidP="002B0564">
      <w:pPr>
        <w:pStyle w:val="TableFigureFooter"/>
        <w:rPr>
          <w:szCs w:val="18"/>
        </w:rPr>
      </w:pPr>
      <w:bookmarkStart w:id="45" w:name="_Hlk81486982"/>
      <w:r w:rsidRPr="000B09B9">
        <w:rPr>
          <w:rFonts w:eastAsia="Arial Narrow" w:cs="Arial Narrow"/>
          <w:color w:val="000000" w:themeColor="text1"/>
        </w:rPr>
        <w:t>ICER = incremental cost-effectiveness ratio; N = total participants in group</w:t>
      </w:r>
      <w:r w:rsidRPr="000B09B9">
        <w:rPr>
          <w:rFonts w:eastAsia="Arial Narrow" w:cs="Arial Narrow"/>
          <w:color w:val="000000" w:themeColor="text1"/>
          <w:szCs w:val="18"/>
        </w:rPr>
        <w:t xml:space="preserve">; </w:t>
      </w:r>
      <w:r w:rsidRPr="000B09B9">
        <w:rPr>
          <w:szCs w:val="18"/>
        </w:rPr>
        <w:t>QALY = quality-adjusted life year</w:t>
      </w:r>
    </w:p>
    <w:bookmarkEnd w:id="45"/>
    <w:p w14:paraId="2EE88B68" w14:textId="77777777" w:rsidR="000129F4" w:rsidRPr="009A6D58" w:rsidRDefault="000129F4" w:rsidP="000129F4">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2A38D944" w14:textId="77777777" w:rsidR="000129F4" w:rsidRPr="009A6D58" w:rsidRDefault="000129F4" w:rsidP="000129F4">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0129F4">
        <w:rPr>
          <w:rFonts w:ascii="Arial Narrow" w:hAnsi="Arial Narrow"/>
          <w:i/>
          <w:sz w:val="18"/>
          <w:szCs w:val="18"/>
        </w:rPr>
        <w:t>$115,000 to &lt; $135,000</w:t>
      </w:r>
    </w:p>
    <w:p w14:paraId="61F3E04A" w14:textId="77777777" w:rsidR="000129F4" w:rsidRPr="009A6D58" w:rsidRDefault="000129F4" w:rsidP="000129F4">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0129F4">
        <w:rPr>
          <w:rFonts w:ascii="Arial Narrow" w:hAnsi="Arial Narrow"/>
          <w:i/>
          <w:sz w:val="18"/>
          <w:szCs w:val="18"/>
        </w:rPr>
        <w:t>$155,000 to &lt; $255,000</w:t>
      </w:r>
    </w:p>
    <w:p w14:paraId="63F067DF" w14:textId="77777777" w:rsidR="000129F4" w:rsidRDefault="000129F4" w:rsidP="000129F4">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0129F4">
        <w:rPr>
          <w:rFonts w:ascii="Arial Narrow" w:hAnsi="Arial Narrow"/>
          <w:i/>
          <w:sz w:val="18"/>
          <w:szCs w:val="18"/>
        </w:rPr>
        <w:t>$135,000 to &lt; $155,000</w:t>
      </w:r>
    </w:p>
    <w:p w14:paraId="18CDD2EB" w14:textId="77777777" w:rsidR="00FE1325" w:rsidRPr="000B09B9" w:rsidRDefault="00FE1325" w:rsidP="002B0564">
      <w:pPr>
        <w:pStyle w:val="TableFigureFooter"/>
      </w:pPr>
    </w:p>
    <w:p w14:paraId="2B215358" w14:textId="77777777" w:rsidR="00FE1325" w:rsidRPr="000B09B9" w:rsidRDefault="00FE1325" w:rsidP="002B0564">
      <w:pPr>
        <w:pStyle w:val="3-BodyText"/>
        <w:numPr>
          <w:ilvl w:val="1"/>
          <w:numId w:val="9"/>
        </w:numPr>
      </w:pPr>
      <w:r w:rsidRPr="000B09B9">
        <w:t xml:space="preserve">The submission did not provide a justification for not presenting a stepped economic evaluation. </w:t>
      </w:r>
      <w:r w:rsidR="00F83DB2" w:rsidRPr="000B09B9">
        <w:rPr>
          <w:iCs/>
        </w:rPr>
        <w:t>A t</w:t>
      </w:r>
      <w:r w:rsidRPr="000B09B9">
        <w:rPr>
          <w:iCs/>
        </w:rPr>
        <w:t xml:space="preserve">rial-based </w:t>
      </w:r>
      <w:r w:rsidR="00F83DB2" w:rsidRPr="000B09B9">
        <w:rPr>
          <w:iCs/>
        </w:rPr>
        <w:t xml:space="preserve">evaluation based on </w:t>
      </w:r>
      <w:r w:rsidRPr="000B09B9">
        <w:rPr>
          <w:iCs/>
        </w:rPr>
        <w:t xml:space="preserve">cost and outcomes (&gt;30% deterioration in 3TUG test) </w:t>
      </w:r>
      <w:r w:rsidR="007F1A53" w:rsidRPr="000B09B9">
        <w:rPr>
          <w:iCs/>
        </w:rPr>
        <w:t xml:space="preserve">from </w:t>
      </w:r>
      <w:r w:rsidRPr="000B09B9">
        <w:rPr>
          <w:iCs/>
        </w:rPr>
        <w:t xml:space="preserve">the DAPPER trial </w:t>
      </w:r>
      <w:r w:rsidR="00F83DB2" w:rsidRPr="000B09B9">
        <w:rPr>
          <w:iCs/>
        </w:rPr>
        <w:t>was conducted during the evaluation</w:t>
      </w:r>
      <w:r w:rsidRPr="000B09B9">
        <w:rPr>
          <w:iCs/>
        </w:rPr>
        <w:t xml:space="preserve">. </w:t>
      </w:r>
    </w:p>
    <w:p w14:paraId="388725DE" w14:textId="77777777" w:rsidR="00FE1325" w:rsidRPr="000B09B9" w:rsidRDefault="00FE1325" w:rsidP="002B0564">
      <w:pPr>
        <w:pStyle w:val="3-BodyText"/>
        <w:numPr>
          <w:ilvl w:val="1"/>
          <w:numId w:val="9"/>
        </w:numPr>
      </w:pPr>
      <w:r w:rsidRPr="000B09B9">
        <w:t xml:space="preserve">Table </w:t>
      </w:r>
      <w:r w:rsidR="00AE2DBA" w:rsidRPr="000B09B9">
        <w:t>1</w:t>
      </w:r>
      <w:r w:rsidR="00A95A61" w:rsidRPr="000B09B9">
        <w:t>0</w:t>
      </w:r>
      <w:r w:rsidR="00AE2DBA" w:rsidRPr="000B09B9">
        <w:t xml:space="preserve"> </w:t>
      </w:r>
      <w:r w:rsidRPr="000B09B9">
        <w:t xml:space="preserve">presents the results of the economic evaluation. </w:t>
      </w:r>
    </w:p>
    <w:p w14:paraId="33C499C1" w14:textId="77777777" w:rsidR="00FE1325" w:rsidRPr="000B09B9" w:rsidRDefault="00FE1325" w:rsidP="002B0564">
      <w:pPr>
        <w:pStyle w:val="TableFigureHeading"/>
        <w:keepLines/>
      </w:pPr>
      <w:r w:rsidRPr="000B09B9">
        <w:rPr>
          <w:rStyle w:val="CommentReference"/>
          <w:b/>
          <w:szCs w:val="24"/>
        </w:rPr>
        <w:t xml:space="preserve">Table </w:t>
      </w:r>
      <w:r w:rsidR="00A95A61" w:rsidRPr="000B09B9">
        <w:rPr>
          <w:rStyle w:val="CommentReference"/>
          <w:b/>
          <w:szCs w:val="24"/>
        </w:rPr>
        <w:t>10</w:t>
      </w:r>
      <w:r w:rsidRPr="000B09B9">
        <w:rPr>
          <w:rStyle w:val="CommentReference"/>
          <w:b/>
          <w:szCs w:val="24"/>
        </w:rPr>
        <w:t>: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699"/>
        <w:gridCol w:w="2440"/>
        <w:gridCol w:w="2521"/>
        <w:gridCol w:w="2357"/>
      </w:tblGrid>
      <w:tr w:rsidR="00FE1325" w:rsidRPr="000B09B9" w14:paraId="266465E9" w14:textId="77777777" w:rsidTr="00F83DB2">
        <w:trPr>
          <w:cantSplit/>
        </w:trPr>
        <w:tc>
          <w:tcPr>
            <w:tcW w:w="942" w:type="pct"/>
            <w:shd w:val="clear" w:color="auto" w:fill="FFFFFF"/>
          </w:tcPr>
          <w:p w14:paraId="184B4E5E" w14:textId="77777777" w:rsidR="00FE1325" w:rsidRPr="000B09B9" w:rsidRDefault="00FE1325" w:rsidP="002B0564">
            <w:pPr>
              <w:pStyle w:val="In-tableHeading"/>
              <w:keepLines/>
              <w:jc w:val="center"/>
              <w:rPr>
                <w:lang w:val="en-AU"/>
              </w:rPr>
            </w:pPr>
          </w:p>
        </w:tc>
        <w:tc>
          <w:tcPr>
            <w:tcW w:w="1353" w:type="pct"/>
            <w:shd w:val="clear" w:color="auto" w:fill="FFFFFF"/>
          </w:tcPr>
          <w:p w14:paraId="1C0A2A0B" w14:textId="77777777" w:rsidR="00FE1325" w:rsidRPr="000B09B9" w:rsidRDefault="00FE1325" w:rsidP="002B0564">
            <w:pPr>
              <w:pStyle w:val="In-tableHeading"/>
              <w:keepLines/>
              <w:jc w:val="center"/>
              <w:rPr>
                <w:lang w:val="en-AU"/>
              </w:rPr>
            </w:pPr>
            <w:r w:rsidRPr="000B09B9">
              <w:rPr>
                <w:lang w:val="en-AU"/>
              </w:rPr>
              <w:t>Amifampridine</w:t>
            </w:r>
          </w:p>
        </w:tc>
        <w:tc>
          <w:tcPr>
            <w:tcW w:w="1398" w:type="pct"/>
            <w:shd w:val="clear" w:color="auto" w:fill="FFFFFF"/>
          </w:tcPr>
          <w:p w14:paraId="4CFB9CD2" w14:textId="77777777" w:rsidR="00FE1325" w:rsidRPr="000B09B9" w:rsidRDefault="00FE1325" w:rsidP="002B0564">
            <w:pPr>
              <w:pStyle w:val="In-tableHeading"/>
              <w:keepLines/>
              <w:jc w:val="center"/>
              <w:rPr>
                <w:lang w:val="en-AU"/>
              </w:rPr>
            </w:pPr>
            <w:r w:rsidRPr="000B09B9">
              <w:rPr>
                <w:lang w:val="en-AU"/>
              </w:rPr>
              <w:t>Placebo</w:t>
            </w:r>
          </w:p>
        </w:tc>
        <w:tc>
          <w:tcPr>
            <w:tcW w:w="1307" w:type="pct"/>
            <w:shd w:val="clear" w:color="auto" w:fill="FFFFFF"/>
            <w:vAlign w:val="center"/>
          </w:tcPr>
          <w:p w14:paraId="6BBC004C" w14:textId="77777777" w:rsidR="00FE1325" w:rsidRPr="000B09B9" w:rsidRDefault="00FE1325" w:rsidP="002B0564">
            <w:pPr>
              <w:pStyle w:val="In-tableHeading"/>
              <w:keepLines/>
              <w:jc w:val="center"/>
              <w:rPr>
                <w:lang w:val="en-AU"/>
              </w:rPr>
            </w:pPr>
            <w:r w:rsidRPr="000B09B9">
              <w:rPr>
                <w:lang w:val="en-AU"/>
              </w:rPr>
              <w:t>Increment</w:t>
            </w:r>
          </w:p>
        </w:tc>
      </w:tr>
      <w:tr w:rsidR="00E95AEE" w:rsidRPr="000B09B9" w14:paraId="303DEFFF" w14:textId="77777777" w:rsidTr="00F83DB2">
        <w:trPr>
          <w:cantSplit/>
        </w:trPr>
        <w:tc>
          <w:tcPr>
            <w:tcW w:w="5000" w:type="pct"/>
            <w:gridSpan w:val="4"/>
            <w:shd w:val="clear" w:color="auto" w:fill="FFFFFF"/>
          </w:tcPr>
          <w:p w14:paraId="74A670AF" w14:textId="77777777" w:rsidR="00F83DB2" w:rsidRPr="000B09B9" w:rsidRDefault="00F83DB2" w:rsidP="002B0564">
            <w:pPr>
              <w:pStyle w:val="In-tableHeading"/>
              <w:keepLines/>
              <w:rPr>
                <w:lang w:val="en-AU"/>
              </w:rPr>
            </w:pPr>
            <w:r w:rsidRPr="000B09B9">
              <w:rPr>
                <w:iCs/>
                <w:lang w:val="en-AU"/>
              </w:rPr>
              <w:t>Trial-based evaluation; over 6 days; drug costs only; outcome = experiencing &lt;30% deterioration, no change or improvement in 3TUG test</w:t>
            </w:r>
            <w:r w:rsidRPr="000B09B9">
              <w:rPr>
                <w:vertAlign w:val="superscript"/>
                <w:lang w:val="en-AU"/>
              </w:rPr>
              <w:t xml:space="preserve"> a</w:t>
            </w:r>
          </w:p>
        </w:tc>
      </w:tr>
      <w:tr w:rsidR="003A35A4" w:rsidRPr="000B09B9" w14:paraId="7109C613" w14:textId="77777777" w:rsidTr="00F83DB2">
        <w:trPr>
          <w:cantSplit/>
        </w:trPr>
        <w:tc>
          <w:tcPr>
            <w:tcW w:w="942" w:type="pct"/>
            <w:shd w:val="clear" w:color="auto" w:fill="FFFFFF"/>
            <w:vAlign w:val="center"/>
          </w:tcPr>
          <w:p w14:paraId="532CDE61" w14:textId="77777777" w:rsidR="00F83DB2" w:rsidRPr="000B09B9" w:rsidRDefault="00F83DB2" w:rsidP="002B0564">
            <w:pPr>
              <w:pStyle w:val="TableText0"/>
              <w:keepNext/>
              <w:keepLines/>
              <w:widowControl/>
            </w:pPr>
            <w:r w:rsidRPr="000B09B9">
              <w:t>Total cost</w:t>
            </w:r>
            <w:r w:rsidR="00A76D0C">
              <w:t xml:space="preserve"> ($)</w:t>
            </w:r>
          </w:p>
        </w:tc>
        <w:tc>
          <w:tcPr>
            <w:tcW w:w="1353" w:type="pct"/>
            <w:shd w:val="clear" w:color="auto" w:fill="FFFFFF"/>
            <w:vAlign w:val="center"/>
          </w:tcPr>
          <w:p w14:paraId="7B5C19C8" w14:textId="77777777" w:rsidR="00F83DB2" w:rsidRPr="000B09B9" w:rsidRDefault="00E928EF" w:rsidP="002B0564">
            <w:pPr>
              <w:pStyle w:val="TableText0"/>
              <w:keepNext/>
              <w:keepLines/>
              <w:widowControl/>
              <w:jc w:val="center"/>
            </w:pPr>
            <w:r>
              <w:rPr>
                <w:noProof/>
                <w:color w:val="000000"/>
                <w:highlight w:val="black"/>
              </w:rPr>
              <w:t>''''''''''''''''</w:t>
            </w:r>
            <w:r w:rsidR="009326FC" w:rsidRPr="000B09B9">
              <w:rPr>
                <w:vertAlign w:val="superscript"/>
              </w:rPr>
              <w:t>b</w:t>
            </w:r>
          </w:p>
        </w:tc>
        <w:tc>
          <w:tcPr>
            <w:tcW w:w="1398" w:type="pct"/>
            <w:shd w:val="clear" w:color="auto" w:fill="FFFFFF"/>
            <w:vAlign w:val="center"/>
          </w:tcPr>
          <w:p w14:paraId="1756191A" w14:textId="77777777" w:rsidR="00F83DB2" w:rsidRPr="000B09B9" w:rsidRDefault="00F83DB2" w:rsidP="002B0564">
            <w:pPr>
              <w:pStyle w:val="TableText0"/>
              <w:keepNext/>
              <w:keepLines/>
              <w:widowControl/>
              <w:jc w:val="center"/>
            </w:pPr>
            <w:r w:rsidRPr="000B09B9">
              <w:t>$0</w:t>
            </w:r>
          </w:p>
        </w:tc>
        <w:tc>
          <w:tcPr>
            <w:tcW w:w="1307" w:type="pct"/>
            <w:shd w:val="clear" w:color="auto" w:fill="FFFFFF"/>
            <w:vAlign w:val="center"/>
          </w:tcPr>
          <w:p w14:paraId="5D0DAF45" w14:textId="77777777" w:rsidR="00F83DB2" w:rsidRPr="00E928EF" w:rsidRDefault="00E928EF" w:rsidP="002B0564">
            <w:pPr>
              <w:pStyle w:val="TableText0"/>
              <w:keepNext/>
              <w:keepLines/>
              <w:widowControl/>
              <w:jc w:val="center"/>
              <w:rPr>
                <w:highlight w:val="black"/>
              </w:rPr>
            </w:pPr>
            <w:r>
              <w:rPr>
                <w:noProof/>
                <w:color w:val="000000"/>
                <w:highlight w:val="black"/>
              </w:rPr>
              <w:t>''''''''''''''''</w:t>
            </w:r>
          </w:p>
        </w:tc>
      </w:tr>
      <w:tr w:rsidR="003A35A4" w:rsidRPr="000B09B9" w14:paraId="75DC5704" w14:textId="77777777" w:rsidTr="00F83DB2">
        <w:trPr>
          <w:cantSplit/>
        </w:trPr>
        <w:tc>
          <w:tcPr>
            <w:tcW w:w="942" w:type="pct"/>
            <w:shd w:val="clear" w:color="auto" w:fill="FFFFFF"/>
            <w:vAlign w:val="center"/>
          </w:tcPr>
          <w:p w14:paraId="1F00C934" w14:textId="77777777" w:rsidR="00F83DB2" w:rsidRPr="000B09B9" w:rsidRDefault="00F83DB2" w:rsidP="002B0564">
            <w:pPr>
              <w:pStyle w:val="TableText0"/>
              <w:keepNext/>
              <w:keepLines/>
              <w:widowControl/>
            </w:pPr>
            <w:r w:rsidRPr="000B09B9">
              <w:t>% responder</w:t>
            </w:r>
          </w:p>
        </w:tc>
        <w:tc>
          <w:tcPr>
            <w:tcW w:w="1353" w:type="pct"/>
            <w:shd w:val="clear" w:color="auto" w:fill="FFFFFF"/>
            <w:vAlign w:val="center"/>
          </w:tcPr>
          <w:p w14:paraId="7C33A4EE" w14:textId="77777777" w:rsidR="00F83DB2" w:rsidRPr="000B09B9" w:rsidRDefault="00F83DB2" w:rsidP="002B0564">
            <w:pPr>
              <w:pStyle w:val="TableText0"/>
              <w:keepNext/>
              <w:keepLines/>
              <w:widowControl/>
              <w:jc w:val="center"/>
            </w:pPr>
            <w:r w:rsidRPr="000B09B9">
              <w:t>100</w:t>
            </w:r>
          </w:p>
        </w:tc>
        <w:tc>
          <w:tcPr>
            <w:tcW w:w="1398" w:type="pct"/>
            <w:shd w:val="clear" w:color="auto" w:fill="FFFFFF"/>
            <w:vAlign w:val="center"/>
          </w:tcPr>
          <w:p w14:paraId="644B44E1" w14:textId="77777777" w:rsidR="00F83DB2" w:rsidRPr="000B09B9" w:rsidRDefault="00F83DB2" w:rsidP="002B0564">
            <w:pPr>
              <w:pStyle w:val="TableText0"/>
              <w:keepNext/>
              <w:keepLines/>
              <w:widowControl/>
              <w:jc w:val="center"/>
            </w:pPr>
            <w:r w:rsidRPr="000B09B9">
              <w:t>27.8</w:t>
            </w:r>
          </w:p>
        </w:tc>
        <w:tc>
          <w:tcPr>
            <w:tcW w:w="1307" w:type="pct"/>
            <w:shd w:val="clear" w:color="auto" w:fill="FFFFFF"/>
            <w:vAlign w:val="center"/>
          </w:tcPr>
          <w:p w14:paraId="369E66D9" w14:textId="77777777" w:rsidR="00F83DB2" w:rsidRPr="000B09B9" w:rsidRDefault="00F83DB2" w:rsidP="002B0564">
            <w:pPr>
              <w:pStyle w:val="TableText0"/>
              <w:keepNext/>
              <w:keepLines/>
              <w:widowControl/>
              <w:jc w:val="center"/>
            </w:pPr>
            <w:r w:rsidRPr="000B09B9">
              <w:t>72.7</w:t>
            </w:r>
          </w:p>
        </w:tc>
      </w:tr>
      <w:tr w:rsidR="003A35A4" w:rsidRPr="000B09B9" w14:paraId="4102103B" w14:textId="77777777" w:rsidTr="00F83DB2">
        <w:trPr>
          <w:cantSplit/>
        </w:trPr>
        <w:tc>
          <w:tcPr>
            <w:tcW w:w="3693" w:type="pct"/>
            <w:gridSpan w:val="3"/>
            <w:shd w:val="clear" w:color="auto" w:fill="FFFFFF"/>
          </w:tcPr>
          <w:p w14:paraId="21031989" w14:textId="77777777" w:rsidR="00F83DB2" w:rsidRPr="000B09B9" w:rsidRDefault="00F83DB2" w:rsidP="002B0564">
            <w:pPr>
              <w:pStyle w:val="In-tableHeading"/>
              <w:keepLines/>
              <w:rPr>
                <w:lang w:val="en-AU"/>
              </w:rPr>
            </w:pPr>
            <w:r w:rsidRPr="000B09B9">
              <w:rPr>
                <w:lang w:val="en-AU"/>
              </w:rPr>
              <w:t>Incremental cost per extra responder</w:t>
            </w:r>
          </w:p>
        </w:tc>
        <w:tc>
          <w:tcPr>
            <w:tcW w:w="1307" w:type="pct"/>
            <w:shd w:val="clear" w:color="auto" w:fill="FFFFFF"/>
            <w:vAlign w:val="center"/>
          </w:tcPr>
          <w:p w14:paraId="0EF75199" w14:textId="77777777" w:rsidR="00F83DB2" w:rsidRPr="0031213D" w:rsidRDefault="00E928EF" w:rsidP="002B0564">
            <w:pPr>
              <w:pStyle w:val="TableText0"/>
              <w:keepNext/>
              <w:keepLines/>
              <w:widowControl/>
              <w:jc w:val="center"/>
              <w:rPr>
                <w:vertAlign w:val="superscript"/>
              </w:rPr>
            </w:pPr>
            <w:r>
              <w:rPr>
                <w:noProof/>
                <w:color w:val="000000"/>
                <w:highlight w:val="black"/>
              </w:rPr>
              <w:t>'''''''''</w:t>
            </w:r>
            <w:r w:rsidR="0031213D" w:rsidRPr="0031213D">
              <w:rPr>
                <w:vertAlign w:val="superscript"/>
              </w:rPr>
              <w:t>1</w:t>
            </w:r>
          </w:p>
        </w:tc>
      </w:tr>
      <w:tr w:rsidR="00E95AEE" w:rsidRPr="000B09B9" w14:paraId="2AFDA87B" w14:textId="77777777" w:rsidTr="00F83DB2">
        <w:trPr>
          <w:cantSplit/>
        </w:trPr>
        <w:tc>
          <w:tcPr>
            <w:tcW w:w="5000" w:type="pct"/>
            <w:gridSpan w:val="4"/>
            <w:shd w:val="clear" w:color="auto" w:fill="FFFFFF"/>
          </w:tcPr>
          <w:p w14:paraId="07358360" w14:textId="77777777" w:rsidR="00F83DB2" w:rsidRPr="000B09B9" w:rsidRDefault="00F83DB2" w:rsidP="002B0564">
            <w:pPr>
              <w:pStyle w:val="TableText0"/>
              <w:keepNext/>
              <w:keepLines/>
              <w:widowControl/>
              <w:rPr>
                <w:b/>
                <w:bCs w:val="0"/>
              </w:rPr>
            </w:pPr>
            <w:r w:rsidRPr="000B09B9">
              <w:rPr>
                <w:b/>
                <w:bCs w:val="0"/>
              </w:rPr>
              <w:t>Base case results as presented in the submission</w:t>
            </w:r>
          </w:p>
        </w:tc>
      </w:tr>
      <w:tr w:rsidR="00FE1325" w:rsidRPr="000B09B9" w14:paraId="40BB6C47" w14:textId="77777777" w:rsidTr="00F83DB2">
        <w:trPr>
          <w:cantSplit/>
        </w:trPr>
        <w:tc>
          <w:tcPr>
            <w:tcW w:w="942" w:type="pct"/>
            <w:shd w:val="clear" w:color="auto" w:fill="auto"/>
          </w:tcPr>
          <w:p w14:paraId="60354FC6" w14:textId="77777777" w:rsidR="00FE1325" w:rsidRPr="000B09B9" w:rsidRDefault="00FE1325" w:rsidP="002B0564">
            <w:pPr>
              <w:pStyle w:val="TableText0"/>
              <w:keepNext/>
              <w:keepLines/>
              <w:widowControl/>
            </w:pPr>
            <w:r w:rsidRPr="000B09B9">
              <w:t>Costs</w:t>
            </w:r>
            <w:r w:rsidR="00A76D0C">
              <w:t xml:space="preserve"> ($)</w:t>
            </w:r>
          </w:p>
        </w:tc>
        <w:tc>
          <w:tcPr>
            <w:tcW w:w="1353" w:type="pct"/>
            <w:shd w:val="clear" w:color="auto" w:fill="auto"/>
            <w:vAlign w:val="bottom"/>
          </w:tcPr>
          <w:p w14:paraId="784237A4" w14:textId="77777777" w:rsidR="00FE1325" w:rsidRPr="000B09B9" w:rsidRDefault="00E928EF" w:rsidP="002B0564">
            <w:pPr>
              <w:pStyle w:val="TableText0"/>
              <w:keepNext/>
              <w:keepLines/>
              <w:widowControl/>
              <w:jc w:val="center"/>
            </w:pPr>
            <w:r>
              <w:rPr>
                <w:noProof/>
                <w:color w:val="000000"/>
                <w:highlight w:val="black"/>
              </w:rPr>
              <w:t>'''''''''''''''''''''''</w:t>
            </w:r>
            <w:r w:rsidR="009326FC" w:rsidRPr="000B09B9">
              <w:rPr>
                <w:vertAlign w:val="superscript"/>
              </w:rPr>
              <w:t>b</w:t>
            </w:r>
          </w:p>
        </w:tc>
        <w:tc>
          <w:tcPr>
            <w:tcW w:w="1398" w:type="pct"/>
            <w:shd w:val="clear" w:color="auto" w:fill="auto"/>
            <w:vAlign w:val="bottom"/>
          </w:tcPr>
          <w:p w14:paraId="1F5D912E" w14:textId="77777777" w:rsidR="00FE1325" w:rsidRPr="000B09B9" w:rsidRDefault="00FE1325" w:rsidP="002B0564">
            <w:pPr>
              <w:pStyle w:val="TableText0"/>
              <w:keepNext/>
              <w:keepLines/>
              <w:widowControl/>
              <w:jc w:val="center"/>
            </w:pPr>
            <w:r w:rsidRPr="000B09B9">
              <w:t>$0</w:t>
            </w:r>
          </w:p>
        </w:tc>
        <w:tc>
          <w:tcPr>
            <w:tcW w:w="1307" w:type="pct"/>
            <w:shd w:val="clear" w:color="auto" w:fill="auto"/>
          </w:tcPr>
          <w:p w14:paraId="63975C43" w14:textId="77777777" w:rsidR="00FE1325" w:rsidRPr="000B09B9" w:rsidRDefault="00E928EF" w:rsidP="002B0564">
            <w:pPr>
              <w:pStyle w:val="TableText0"/>
              <w:keepNext/>
              <w:keepLines/>
              <w:widowControl/>
              <w:jc w:val="center"/>
            </w:pPr>
            <w:r>
              <w:rPr>
                <w:noProof/>
                <w:color w:val="000000"/>
                <w:highlight w:val="black"/>
              </w:rPr>
              <w:t>''''''''''''''''''''''''</w:t>
            </w:r>
            <w:r w:rsidR="005C3250" w:rsidRPr="000B09B9">
              <w:rPr>
                <w:vertAlign w:val="superscript"/>
              </w:rPr>
              <w:t>b</w:t>
            </w:r>
          </w:p>
        </w:tc>
      </w:tr>
      <w:tr w:rsidR="00FE1325" w:rsidRPr="000B09B9" w14:paraId="14B6F983" w14:textId="77777777" w:rsidTr="00F83DB2">
        <w:trPr>
          <w:cantSplit/>
        </w:trPr>
        <w:tc>
          <w:tcPr>
            <w:tcW w:w="942" w:type="pct"/>
            <w:shd w:val="clear" w:color="auto" w:fill="auto"/>
          </w:tcPr>
          <w:p w14:paraId="7135B5E2" w14:textId="77777777" w:rsidR="00FE1325" w:rsidRPr="000B09B9" w:rsidRDefault="00FE1325" w:rsidP="002B0564">
            <w:pPr>
              <w:pStyle w:val="TableText0"/>
              <w:keepNext/>
              <w:keepLines/>
              <w:widowControl/>
            </w:pPr>
            <w:r w:rsidRPr="000B09B9">
              <w:t>QALYs</w:t>
            </w:r>
          </w:p>
        </w:tc>
        <w:tc>
          <w:tcPr>
            <w:tcW w:w="1353" w:type="pct"/>
            <w:shd w:val="clear" w:color="auto" w:fill="auto"/>
            <w:vAlign w:val="bottom"/>
          </w:tcPr>
          <w:p w14:paraId="348F93FE" w14:textId="77777777" w:rsidR="00FE1325" w:rsidRPr="000B09B9" w:rsidRDefault="00FE1325" w:rsidP="002B0564">
            <w:pPr>
              <w:pStyle w:val="TableText0"/>
              <w:keepNext/>
              <w:keepLines/>
              <w:widowControl/>
              <w:jc w:val="center"/>
            </w:pPr>
            <w:r w:rsidRPr="000B09B9">
              <w:t>5.520</w:t>
            </w:r>
          </w:p>
        </w:tc>
        <w:tc>
          <w:tcPr>
            <w:tcW w:w="1398" w:type="pct"/>
            <w:shd w:val="clear" w:color="auto" w:fill="auto"/>
            <w:vAlign w:val="bottom"/>
          </w:tcPr>
          <w:p w14:paraId="032D388A" w14:textId="77777777" w:rsidR="00FE1325" w:rsidRPr="000B09B9" w:rsidRDefault="00FE1325" w:rsidP="002B0564">
            <w:pPr>
              <w:pStyle w:val="TableText0"/>
              <w:keepNext/>
              <w:keepLines/>
              <w:widowControl/>
              <w:jc w:val="center"/>
            </w:pPr>
            <w:r w:rsidRPr="000B09B9">
              <w:t>1.281</w:t>
            </w:r>
          </w:p>
        </w:tc>
        <w:tc>
          <w:tcPr>
            <w:tcW w:w="1307" w:type="pct"/>
            <w:shd w:val="clear" w:color="auto" w:fill="auto"/>
          </w:tcPr>
          <w:p w14:paraId="78DEC19F" w14:textId="77777777" w:rsidR="00FE1325" w:rsidRPr="000B09B9" w:rsidRDefault="00FE1325" w:rsidP="002B0564">
            <w:pPr>
              <w:pStyle w:val="TableText0"/>
              <w:keepNext/>
              <w:keepLines/>
              <w:widowControl/>
              <w:jc w:val="center"/>
            </w:pPr>
            <w:r w:rsidRPr="000B09B9">
              <w:t>4.239</w:t>
            </w:r>
          </w:p>
        </w:tc>
      </w:tr>
      <w:tr w:rsidR="00FE1325" w:rsidRPr="000B09B9" w14:paraId="10029BFA" w14:textId="77777777" w:rsidTr="00F83DB2">
        <w:trPr>
          <w:cantSplit/>
        </w:trPr>
        <w:tc>
          <w:tcPr>
            <w:tcW w:w="3693" w:type="pct"/>
            <w:gridSpan w:val="3"/>
            <w:tcBorders>
              <w:right w:val="single" w:sz="4" w:space="0" w:color="000000"/>
            </w:tcBorders>
            <w:shd w:val="clear" w:color="auto" w:fill="auto"/>
          </w:tcPr>
          <w:p w14:paraId="4A8ECDA9" w14:textId="77777777" w:rsidR="00FE1325" w:rsidRPr="000B09B9" w:rsidRDefault="00FE1325" w:rsidP="002B0564">
            <w:pPr>
              <w:pStyle w:val="In-tableHeading"/>
              <w:keepLines/>
              <w:rPr>
                <w:lang w:val="en-AU"/>
              </w:rPr>
            </w:pPr>
            <w:r w:rsidRPr="000B09B9">
              <w:rPr>
                <w:lang w:val="en-AU"/>
              </w:rPr>
              <w:t>Incremental cost per QALY gained</w:t>
            </w:r>
          </w:p>
        </w:tc>
        <w:tc>
          <w:tcPr>
            <w:tcW w:w="1307" w:type="pct"/>
            <w:tcBorders>
              <w:left w:val="single" w:sz="4" w:space="0" w:color="000000"/>
            </w:tcBorders>
            <w:shd w:val="clear" w:color="auto" w:fill="auto"/>
          </w:tcPr>
          <w:p w14:paraId="6374B9A3" w14:textId="77777777" w:rsidR="00FE1325" w:rsidRPr="000B09B9" w:rsidRDefault="00E928EF" w:rsidP="002B0564">
            <w:pPr>
              <w:pStyle w:val="TableText0"/>
              <w:keepNext/>
              <w:keepLines/>
              <w:widowControl/>
              <w:jc w:val="center"/>
              <w:rPr>
                <w:rFonts w:eastAsia="Calibri"/>
                <w:b/>
                <w:bCs w:val="0"/>
                <w:szCs w:val="20"/>
              </w:rPr>
            </w:pPr>
            <w:r>
              <w:rPr>
                <w:b/>
                <w:bCs w:val="0"/>
                <w:noProof/>
                <w:color w:val="000000"/>
                <w:highlight w:val="black"/>
              </w:rPr>
              <w:t>'''''''''''''''''''</w:t>
            </w:r>
            <w:r w:rsidR="005C3250" w:rsidRPr="000B09B9">
              <w:rPr>
                <w:bCs w:val="0"/>
                <w:vertAlign w:val="superscript"/>
              </w:rPr>
              <w:t>b</w:t>
            </w:r>
            <w:r w:rsidR="0031213D">
              <w:rPr>
                <w:bCs w:val="0"/>
                <w:vertAlign w:val="superscript"/>
              </w:rPr>
              <w:t xml:space="preserve">, </w:t>
            </w:r>
            <w:r w:rsidR="0031213D">
              <w:rPr>
                <w:vertAlign w:val="superscript"/>
              </w:rPr>
              <w:t>2</w:t>
            </w:r>
          </w:p>
        </w:tc>
      </w:tr>
      <w:tr w:rsidR="005C3250" w:rsidRPr="000B09B9" w14:paraId="12FC7F4B" w14:textId="77777777" w:rsidTr="00E217AC">
        <w:trPr>
          <w:cantSplit/>
        </w:trPr>
        <w:tc>
          <w:tcPr>
            <w:tcW w:w="5000" w:type="pct"/>
            <w:gridSpan w:val="4"/>
            <w:shd w:val="clear" w:color="auto" w:fill="FFFFFF"/>
          </w:tcPr>
          <w:p w14:paraId="4F267FAA" w14:textId="77777777" w:rsidR="005C3250" w:rsidRPr="000B09B9" w:rsidRDefault="005C3250" w:rsidP="002B0564">
            <w:pPr>
              <w:pStyle w:val="TableText0"/>
              <w:keepNext/>
              <w:keepLines/>
              <w:widowControl/>
              <w:rPr>
                <w:b/>
                <w:bCs w:val="0"/>
              </w:rPr>
            </w:pPr>
            <w:r w:rsidRPr="000B09B9">
              <w:rPr>
                <w:b/>
                <w:bCs w:val="0"/>
              </w:rPr>
              <w:t>Base case results (corrected during evaluation)</w:t>
            </w:r>
          </w:p>
        </w:tc>
      </w:tr>
      <w:tr w:rsidR="005C3250" w:rsidRPr="000B09B9" w14:paraId="09C8D7B1" w14:textId="77777777" w:rsidTr="00E217AC">
        <w:trPr>
          <w:cantSplit/>
        </w:trPr>
        <w:tc>
          <w:tcPr>
            <w:tcW w:w="942" w:type="pct"/>
            <w:shd w:val="clear" w:color="auto" w:fill="auto"/>
          </w:tcPr>
          <w:p w14:paraId="7BAC0E40" w14:textId="77777777" w:rsidR="005C3250" w:rsidRPr="000B09B9" w:rsidRDefault="005C3250" w:rsidP="002B0564">
            <w:pPr>
              <w:pStyle w:val="TableText0"/>
              <w:keepNext/>
              <w:keepLines/>
              <w:widowControl/>
            </w:pPr>
            <w:r w:rsidRPr="000B09B9">
              <w:t>Costs</w:t>
            </w:r>
            <w:r w:rsidR="00A76D0C">
              <w:t xml:space="preserve"> ($)</w:t>
            </w:r>
          </w:p>
        </w:tc>
        <w:tc>
          <w:tcPr>
            <w:tcW w:w="1353" w:type="pct"/>
            <w:shd w:val="clear" w:color="auto" w:fill="auto"/>
            <w:vAlign w:val="bottom"/>
          </w:tcPr>
          <w:p w14:paraId="12AB9B53" w14:textId="77777777" w:rsidR="005C3250" w:rsidRPr="00E928EF" w:rsidRDefault="00E928EF" w:rsidP="002B0564">
            <w:pPr>
              <w:pStyle w:val="TableText0"/>
              <w:keepNext/>
              <w:keepLines/>
              <w:widowControl/>
              <w:jc w:val="center"/>
              <w:rPr>
                <w:highlight w:val="black"/>
              </w:rPr>
            </w:pPr>
            <w:r>
              <w:rPr>
                <w:noProof/>
                <w:color w:val="000000"/>
                <w:highlight w:val="black"/>
              </w:rPr>
              <w:t>'''''''''''''''''''''''</w:t>
            </w:r>
          </w:p>
        </w:tc>
        <w:tc>
          <w:tcPr>
            <w:tcW w:w="1398" w:type="pct"/>
            <w:shd w:val="clear" w:color="auto" w:fill="auto"/>
            <w:vAlign w:val="bottom"/>
          </w:tcPr>
          <w:p w14:paraId="5C726C2F" w14:textId="77777777" w:rsidR="005C3250" w:rsidRPr="000B09B9" w:rsidRDefault="005C3250" w:rsidP="002B0564">
            <w:pPr>
              <w:pStyle w:val="TableText0"/>
              <w:keepNext/>
              <w:keepLines/>
              <w:widowControl/>
              <w:jc w:val="center"/>
            </w:pPr>
            <w:r w:rsidRPr="000B09B9">
              <w:t>$0</w:t>
            </w:r>
          </w:p>
        </w:tc>
        <w:tc>
          <w:tcPr>
            <w:tcW w:w="1307" w:type="pct"/>
            <w:shd w:val="clear" w:color="auto" w:fill="auto"/>
          </w:tcPr>
          <w:p w14:paraId="2CAD2749" w14:textId="77777777" w:rsidR="005C3250" w:rsidRPr="00E928EF" w:rsidRDefault="00E928EF" w:rsidP="002B0564">
            <w:pPr>
              <w:pStyle w:val="TableText0"/>
              <w:keepNext/>
              <w:keepLines/>
              <w:widowControl/>
              <w:jc w:val="center"/>
              <w:rPr>
                <w:highlight w:val="black"/>
              </w:rPr>
            </w:pPr>
            <w:r>
              <w:rPr>
                <w:noProof/>
                <w:color w:val="000000"/>
                <w:highlight w:val="black"/>
              </w:rPr>
              <w:t>'''''''''''''''''''''</w:t>
            </w:r>
          </w:p>
        </w:tc>
      </w:tr>
      <w:tr w:rsidR="005C3250" w:rsidRPr="000B09B9" w14:paraId="1135961F" w14:textId="77777777" w:rsidTr="00E217AC">
        <w:trPr>
          <w:cantSplit/>
        </w:trPr>
        <w:tc>
          <w:tcPr>
            <w:tcW w:w="942" w:type="pct"/>
            <w:shd w:val="clear" w:color="auto" w:fill="auto"/>
          </w:tcPr>
          <w:p w14:paraId="79074F4E" w14:textId="77777777" w:rsidR="005C3250" w:rsidRPr="000B09B9" w:rsidRDefault="005C3250" w:rsidP="002B0564">
            <w:pPr>
              <w:pStyle w:val="TableText0"/>
              <w:keepNext/>
              <w:keepLines/>
              <w:widowControl/>
            </w:pPr>
            <w:r w:rsidRPr="000B09B9">
              <w:t>QALYs</w:t>
            </w:r>
          </w:p>
        </w:tc>
        <w:tc>
          <w:tcPr>
            <w:tcW w:w="1353" w:type="pct"/>
            <w:shd w:val="clear" w:color="auto" w:fill="auto"/>
            <w:vAlign w:val="bottom"/>
          </w:tcPr>
          <w:p w14:paraId="287A5168" w14:textId="77777777" w:rsidR="005C3250" w:rsidRPr="000B09B9" w:rsidRDefault="003E51F7" w:rsidP="002B0564">
            <w:pPr>
              <w:pStyle w:val="TableText0"/>
              <w:keepNext/>
              <w:keepLines/>
              <w:widowControl/>
              <w:jc w:val="center"/>
            </w:pPr>
            <w:r w:rsidRPr="000B09B9">
              <w:t>5.502</w:t>
            </w:r>
          </w:p>
        </w:tc>
        <w:tc>
          <w:tcPr>
            <w:tcW w:w="1398" w:type="pct"/>
            <w:shd w:val="clear" w:color="auto" w:fill="auto"/>
            <w:vAlign w:val="bottom"/>
          </w:tcPr>
          <w:p w14:paraId="7791D62C" w14:textId="77777777" w:rsidR="005C3250" w:rsidRPr="000B09B9" w:rsidRDefault="003E51F7" w:rsidP="002B0564">
            <w:pPr>
              <w:pStyle w:val="TableText0"/>
              <w:keepNext/>
              <w:keepLines/>
              <w:widowControl/>
              <w:jc w:val="center"/>
            </w:pPr>
            <w:r w:rsidRPr="000B09B9">
              <w:t>1.277</w:t>
            </w:r>
          </w:p>
        </w:tc>
        <w:tc>
          <w:tcPr>
            <w:tcW w:w="1307" w:type="pct"/>
            <w:shd w:val="clear" w:color="auto" w:fill="auto"/>
          </w:tcPr>
          <w:p w14:paraId="30D25C8F" w14:textId="77777777" w:rsidR="005C3250" w:rsidRPr="000B09B9" w:rsidRDefault="005C3250" w:rsidP="002B0564">
            <w:pPr>
              <w:pStyle w:val="TableText0"/>
              <w:keepNext/>
              <w:keepLines/>
              <w:widowControl/>
              <w:jc w:val="center"/>
            </w:pPr>
            <w:r w:rsidRPr="000B09B9">
              <w:t>4.226</w:t>
            </w:r>
          </w:p>
        </w:tc>
      </w:tr>
      <w:tr w:rsidR="005C3250" w:rsidRPr="000B09B9" w14:paraId="2E217E40" w14:textId="77777777" w:rsidTr="00E217AC">
        <w:trPr>
          <w:cantSplit/>
        </w:trPr>
        <w:tc>
          <w:tcPr>
            <w:tcW w:w="3693" w:type="pct"/>
            <w:gridSpan w:val="3"/>
            <w:tcBorders>
              <w:right w:val="single" w:sz="4" w:space="0" w:color="000000"/>
            </w:tcBorders>
            <w:shd w:val="clear" w:color="auto" w:fill="auto"/>
          </w:tcPr>
          <w:p w14:paraId="4FCCD144" w14:textId="77777777" w:rsidR="005C3250" w:rsidRPr="000B09B9" w:rsidRDefault="005C3250" w:rsidP="002B0564">
            <w:pPr>
              <w:pStyle w:val="In-tableHeading"/>
              <w:keepLines/>
              <w:rPr>
                <w:lang w:val="en-AU"/>
              </w:rPr>
            </w:pPr>
            <w:r w:rsidRPr="000B09B9">
              <w:rPr>
                <w:lang w:val="en-AU"/>
              </w:rPr>
              <w:t>Incremental cost per QALY gained</w:t>
            </w:r>
          </w:p>
        </w:tc>
        <w:tc>
          <w:tcPr>
            <w:tcW w:w="1307" w:type="pct"/>
            <w:tcBorders>
              <w:left w:val="single" w:sz="4" w:space="0" w:color="000000"/>
            </w:tcBorders>
            <w:shd w:val="clear" w:color="auto" w:fill="auto"/>
          </w:tcPr>
          <w:p w14:paraId="7F850BC5" w14:textId="77777777" w:rsidR="005C3250" w:rsidRPr="000B09B9" w:rsidRDefault="00E928EF" w:rsidP="002B0564">
            <w:pPr>
              <w:pStyle w:val="TableText0"/>
              <w:keepNext/>
              <w:keepLines/>
              <w:widowControl/>
              <w:jc w:val="center"/>
              <w:rPr>
                <w:rFonts w:eastAsia="Calibri"/>
                <w:b/>
                <w:bCs w:val="0"/>
                <w:szCs w:val="20"/>
              </w:rPr>
            </w:pPr>
            <w:r>
              <w:rPr>
                <w:b/>
                <w:bCs w:val="0"/>
                <w:noProof/>
                <w:color w:val="000000"/>
                <w:highlight w:val="black"/>
              </w:rPr>
              <w:t>''''''''''''''''</w:t>
            </w:r>
            <w:r w:rsidR="0031213D">
              <w:rPr>
                <w:vertAlign w:val="superscript"/>
              </w:rPr>
              <w:t>2</w:t>
            </w:r>
          </w:p>
        </w:tc>
      </w:tr>
    </w:tbl>
    <w:p w14:paraId="55F5367D" w14:textId="77777777" w:rsidR="00FE1325" w:rsidRPr="000B09B9" w:rsidRDefault="00FE1325" w:rsidP="002B0564">
      <w:pPr>
        <w:pStyle w:val="TableFigureFooter"/>
        <w:keepNext/>
        <w:keepLines/>
        <w:rPr>
          <w:iCs/>
        </w:rPr>
      </w:pPr>
      <w:r w:rsidRPr="000B09B9">
        <w:t>Source: Table 3.12, p146 of the submission</w:t>
      </w:r>
      <w:r w:rsidR="000C315B" w:rsidRPr="000B09B9">
        <w:rPr>
          <w:iCs/>
        </w:rPr>
        <w:t>.</w:t>
      </w:r>
    </w:p>
    <w:p w14:paraId="3B384010" w14:textId="77777777" w:rsidR="009326FC" w:rsidRPr="000B09B9" w:rsidRDefault="00FE1325" w:rsidP="002B0564">
      <w:pPr>
        <w:pStyle w:val="TableFigureFooter"/>
        <w:keepNext/>
        <w:keepLines/>
        <w:rPr>
          <w:rFonts w:eastAsia="Calibri"/>
        </w:rPr>
      </w:pPr>
      <w:r w:rsidRPr="000B09B9">
        <w:rPr>
          <w:rFonts w:eastAsia="Calibri"/>
        </w:rPr>
        <w:t>QALY = quality adjusted life year</w:t>
      </w:r>
      <w:r w:rsidR="009326FC" w:rsidRPr="000B09B9">
        <w:rPr>
          <w:rFonts w:eastAsia="Calibri"/>
        </w:rPr>
        <w:t xml:space="preserve">; 3TUG = </w:t>
      </w:r>
      <w:r w:rsidR="009326FC" w:rsidRPr="000B09B9">
        <w:t>Triple Timed Up and Go</w:t>
      </w:r>
      <w:r w:rsidRPr="000B09B9">
        <w:rPr>
          <w:rFonts w:eastAsia="Calibri"/>
        </w:rPr>
        <w:t>.</w:t>
      </w:r>
    </w:p>
    <w:p w14:paraId="77FE79CE" w14:textId="77777777" w:rsidR="00FE1325" w:rsidRPr="000B09B9" w:rsidRDefault="009326FC" w:rsidP="002B0564">
      <w:pPr>
        <w:pStyle w:val="TableFigureFooter"/>
        <w:keepNext/>
        <w:keepLines/>
      </w:pPr>
      <w:r w:rsidRPr="000B09B9">
        <w:rPr>
          <w:iCs/>
          <w:vertAlign w:val="superscript"/>
        </w:rPr>
        <w:t xml:space="preserve">a </w:t>
      </w:r>
      <w:r w:rsidRPr="000B09B9">
        <w:rPr>
          <w:iCs/>
        </w:rPr>
        <w:t xml:space="preserve">This outcome was </w:t>
      </w:r>
      <w:r w:rsidR="00617853" w:rsidRPr="000B09B9">
        <w:rPr>
          <w:iCs/>
        </w:rPr>
        <w:t>inverted</w:t>
      </w:r>
      <w:r w:rsidR="00CA462F" w:rsidRPr="000B09B9">
        <w:rPr>
          <w:iCs/>
        </w:rPr>
        <w:t xml:space="preserve"> </w:t>
      </w:r>
      <w:r w:rsidRPr="000B09B9">
        <w:rPr>
          <w:iCs/>
        </w:rPr>
        <w:t>to ease interpretation. It still represents the same numbers for outcome of &gt;30% deterioration in 3TUG test.</w:t>
      </w:r>
      <w:r w:rsidR="00FE1325" w:rsidRPr="000B09B9">
        <w:t xml:space="preserve"> </w:t>
      </w:r>
    </w:p>
    <w:p w14:paraId="7893C56D" w14:textId="77777777" w:rsidR="00F83DB2" w:rsidRDefault="009326FC" w:rsidP="002B0564">
      <w:pPr>
        <w:pStyle w:val="TableFigureFooter"/>
        <w:keepNext/>
        <w:keepLines/>
      </w:pPr>
      <w:r w:rsidRPr="000B09B9">
        <w:rPr>
          <w:vertAlign w:val="superscript"/>
        </w:rPr>
        <w:t>b</w:t>
      </w:r>
      <w:r w:rsidR="00FE1325" w:rsidRPr="000B09B9">
        <w:t xml:space="preserve"> As presented in submission</w:t>
      </w:r>
      <w:r w:rsidR="0062795D" w:rsidRPr="000B09B9">
        <w:t xml:space="preserve"> based on DPMQ of $</w:t>
      </w:r>
      <w:r w:rsidR="00E928EF">
        <w:rPr>
          <w:noProof/>
          <w:color w:val="000000"/>
          <w:highlight w:val="black"/>
        </w:rPr>
        <w:t>'''''''''''''''''''''</w:t>
      </w:r>
      <w:r w:rsidR="0062795D" w:rsidRPr="000B09B9">
        <w:t xml:space="preserve"> for a maximum quantity of 200 amifampridine tablets, and a DPMQ price of $</w:t>
      </w:r>
      <w:r w:rsidR="00E928EF">
        <w:rPr>
          <w:noProof/>
          <w:color w:val="000000"/>
          <w:highlight w:val="black"/>
        </w:rPr>
        <w:t>''''''''''''''</w:t>
      </w:r>
      <w:r w:rsidR="0062795D" w:rsidRPr="000B09B9">
        <w:t xml:space="preserve"> per tablet. </w:t>
      </w:r>
      <w:r w:rsidR="0025412E" w:rsidRPr="000B09B9">
        <w:t>T</w:t>
      </w:r>
      <w:r w:rsidR="0062795D" w:rsidRPr="000B09B9">
        <w:t>he correct DPMQ should be $</w:t>
      </w:r>
      <w:r w:rsidR="00E928EF">
        <w:rPr>
          <w:noProof/>
          <w:color w:val="000000"/>
          <w:highlight w:val="black"/>
        </w:rPr>
        <w:t>'''''''''''''''''''''</w:t>
      </w:r>
      <w:r w:rsidR="0062795D" w:rsidRPr="000B09B9">
        <w:t xml:space="preserve"> and cost per tablet is $</w:t>
      </w:r>
      <w:r w:rsidR="00E928EF">
        <w:rPr>
          <w:noProof/>
          <w:color w:val="000000"/>
          <w:highlight w:val="black"/>
        </w:rPr>
        <w:t>''''''''''''''</w:t>
      </w:r>
      <w:r w:rsidR="0062795D" w:rsidRPr="000B09B9">
        <w:t xml:space="preserve"> at the DPMQ price. This correction resulted in a very small change to the ICER and favours the placebo arm – ICER changed from base case of $</w:t>
      </w:r>
      <w:r w:rsidR="0031213D" w:rsidRPr="0031213D">
        <w:t>115,000 to &lt; $135,000</w:t>
      </w:r>
      <w:r w:rsidR="0062795D" w:rsidRPr="000B09B9">
        <w:t xml:space="preserve"> per QALY to $</w:t>
      </w:r>
      <w:r w:rsidR="0031213D" w:rsidRPr="0031213D">
        <w:t>115,000 to &lt; $135,000</w:t>
      </w:r>
      <w:r w:rsidR="0062795D" w:rsidRPr="000B09B9">
        <w:t xml:space="preserve"> per QALY.</w:t>
      </w:r>
    </w:p>
    <w:p w14:paraId="5809CE86" w14:textId="77777777" w:rsidR="0031213D" w:rsidRPr="009A6D58" w:rsidRDefault="0031213D" w:rsidP="0031213D">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0B44C220" w14:textId="77777777" w:rsidR="0031213D" w:rsidRPr="009A6D58" w:rsidRDefault="0031213D" w:rsidP="0031213D">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31213D">
        <w:rPr>
          <w:rFonts w:ascii="Arial Narrow" w:hAnsi="Arial Narrow"/>
          <w:i/>
          <w:sz w:val="18"/>
          <w:szCs w:val="18"/>
        </w:rPr>
        <w:t>0 to &lt; $5,000</w:t>
      </w:r>
    </w:p>
    <w:p w14:paraId="67D7F820" w14:textId="77777777" w:rsidR="0031213D" w:rsidRPr="009A6D58" w:rsidRDefault="0031213D" w:rsidP="0031213D">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31213D">
        <w:rPr>
          <w:rFonts w:ascii="Arial Narrow" w:hAnsi="Arial Narrow"/>
          <w:i/>
          <w:sz w:val="18"/>
          <w:szCs w:val="18"/>
        </w:rPr>
        <w:t>$115,000 to &lt; $135,000</w:t>
      </w:r>
    </w:p>
    <w:p w14:paraId="6356CDCC" w14:textId="77777777" w:rsidR="0031213D" w:rsidRPr="000B09B9" w:rsidRDefault="0031213D" w:rsidP="002B0564">
      <w:pPr>
        <w:pStyle w:val="TableFigureFooter"/>
        <w:keepNext/>
        <w:keepLines/>
      </w:pPr>
    </w:p>
    <w:p w14:paraId="1421F3B6" w14:textId="77777777" w:rsidR="00FE1325" w:rsidRPr="000B09B9" w:rsidRDefault="00FE1325" w:rsidP="002B0564">
      <w:pPr>
        <w:pStyle w:val="3-BodyText"/>
        <w:numPr>
          <w:ilvl w:val="1"/>
          <w:numId w:val="9"/>
        </w:numPr>
        <w:rPr>
          <w:iCs/>
        </w:rPr>
      </w:pPr>
      <w:r w:rsidRPr="000B09B9">
        <w:rPr>
          <w:iCs/>
        </w:rPr>
        <w:t>The results should be considered with caution because:</w:t>
      </w:r>
    </w:p>
    <w:p w14:paraId="758F5678" w14:textId="77777777" w:rsidR="00FE1325" w:rsidRPr="000B09B9" w:rsidRDefault="00FE1325" w:rsidP="002B0564">
      <w:pPr>
        <w:pStyle w:val="3-BodyText"/>
        <w:numPr>
          <w:ilvl w:val="0"/>
          <w:numId w:val="7"/>
        </w:numPr>
        <w:rPr>
          <w:iCs/>
        </w:rPr>
      </w:pPr>
      <w:r w:rsidRPr="000B09B9">
        <w:rPr>
          <w:iCs/>
        </w:rPr>
        <w:t xml:space="preserve">There is large uncertainty in the utility values applied in the model, particularly for the non-responder health state. There is high risk of recall bias and uncertainty in eliciting retrospective </w:t>
      </w:r>
      <w:r w:rsidR="00A90A94" w:rsidRPr="000B09B9">
        <w:t>HRQoL</w:t>
      </w:r>
      <w:r w:rsidRPr="000B09B9">
        <w:rPr>
          <w:iCs/>
        </w:rPr>
        <w:t xml:space="preserve"> (utility values) for the non-responder health state. </w:t>
      </w:r>
      <w:r w:rsidR="00FB77EC" w:rsidRPr="000B09B9">
        <w:rPr>
          <w:iCs/>
        </w:rPr>
        <w:t xml:space="preserve">This was lower than the average utility (0.31) of LEMS patients reported in </w:t>
      </w:r>
      <w:r w:rsidR="00175B85" w:rsidRPr="000B09B9">
        <w:rPr>
          <w:iCs/>
        </w:rPr>
        <w:t xml:space="preserve">the </w:t>
      </w:r>
      <w:r w:rsidR="00FB77EC" w:rsidRPr="000B09B9">
        <w:rPr>
          <w:iCs/>
        </w:rPr>
        <w:t xml:space="preserve">study reported by Harms et al. Further, </w:t>
      </w:r>
      <w:r w:rsidR="005A3F03" w:rsidRPr="000B09B9">
        <w:rPr>
          <w:iCs/>
        </w:rPr>
        <w:t xml:space="preserve">a mean utility value of 0.834 was applied for treatment responders in the economic model, which is higher than the maximum utility value </w:t>
      </w:r>
      <w:r w:rsidR="00FB77EC" w:rsidRPr="000B09B9">
        <w:rPr>
          <w:iCs/>
        </w:rPr>
        <w:t xml:space="preserve">(0.77) </w:t>
      </w:r>
      <w:r w:rsidR="005A3F03" w:rsidRPr="000B09B9">
        <w:rPr>
          <w:iCs/>
        </w:rPr>
        <w:t>reported</w:t>
      </w:r>
      <w:r w:rsidR="00175B85" w:rsidRPr="000B09B9">
        <w:rPr>
          <w:iCs/>
        </w:rPr>
        <w:t xml:space="preserve"> by Harms et al over the duration of their study</w:t>
      </w:r>
      <w:r w:rsidR="00E018E3" w:rsidRPr="000B09B9">
        <w:rPr>
          <w:iCs/>
        </w:rPr>
        <w:t xml:space="preserve"> (7 days)</w:t>
      </w:r>
      <w:r w:rsidR="00FB77EC" w:rsidRPr="000B09B9">
        <w:rPr>
          <w:iCs/>
        </w:rPr>
        <w:t>.</w:t>
      </w:r>
      <w:r w:rsidR="005A3F03" w:rsidRPr="000B09B9">
        <w:rPr>
          <w:iCs/>
        </w:rPr>
        <w:t xml:space="preserve"> </w:t>
      </w:r>
      <w:r w:rsidRPr="000B09B9">
        <w:rPr>
          <w:iCs/>
        </w:rPr>
        <w:t xml:space="preserve">The ICER was </w:t>
      </w:r>
      <w:r w:rsidRPr="000B09B9">
        <w:t>very sensitive</w:t>
      </w:r>
      <w:r w:rsidRPr="000B09B9">
        <w:rPr>
          <w:iCs/>
        </w:rPr>
        <w:t xml:space="preserve"> to the utility values applied</w:t>
      </w:r>
      <w:r w:rsidR="00BA0F53" w:rsidRPr="000B09B9">
        <w:rPr>
          <w:iCs/>
        </w:rPr>
        <w:t xml:space="preserve"> (Table</w:t>
      </w:r>
      <w:r w:rsidR="00175B85" w:rsidRPr="000B09B9">
        <w:rPr>
          <w:iCs/>
        </w:rPr>
        <w:t> </w:t>
      </w:r>
      <w:r w:rsidR="00381152" w:rsidRPr="000B09B9">
        <w:rPr>
          <w:iCs/>
        </w:rPr>
        <w:t>9</w:t>
      </w:r>
      <w:r w:rsidR="00BA0F53" w:rsidRPr="000B09B9">
        <w:rPr>
          <w:iCs/>
        </w:rPr>
        <w:t>)</w:t>
      </w:r>
      <w:r w:rsidRPr="000B09B9">
        <w:rPr>
          <w:iCs/>
        </w:rPr>
        <w:t>.</w:t>
      </w:r>
    </w:p>
    <w:p w14:paraId="16F53321" w14:textId="77777777" w:rsidR="00FE1325" w:rsidRPr="000B09B9" w:rsidRDefault="00FE1325" w:rsidP="002B0564">
      <w:pPr>
        <w:pStyle w:val="3-BodyText"/>
        <w:numPr>
          <w:ilvl w:val="0"/>
          <w:numId w:val="7"/>
        </w:numPr>
        <w:rPr>
          <w:rFonts w:eastAsiaTheme="majorEastAsia"/>
          <w:iCs/>
        </w:rPr>
      </w:pPr>
      <w:r w:rsidRPr="000B09B9">
        <w:rPr>
          <w:iCs/>
        </w:rPr>
        <w:t>The modelled total QALY gain presented in the submission is considerably larger than gains seen in the CADTH</w:t>
      </w:r>
      <w:r w:rsidR="005A3F03" w:rsidRPr="000B09B9">
        <w:rPr>
          <w:rStyle w:val="FootnoteReference"/>
          <w:iCs/>
        </w:rPr>
        <w:footnoteReference w:id="9"/>
      </w:r>
      <w:r w:rsidRPr="000B09B9">
        <w:rPr>
          <w:iCs/>
        </w:rPr>
        <w:t xml:space="preserve"> and SMC</w:t>
      </w:r>
      <w:r w:rsidR="005A3F03" w:rsidRPr="000B09B9">
        <w:rPr>
          <w:rStyle w:val="FootnoteReference"/>
          <w:iCs/>
        </w:rPr>
        <w:footnoteReference w:id="10"/>
      </w:r>
      <w:r w:rsidRPr="000B09B9">
        <w:rPr>
          <w:iCs/>
        </w:rPr>
        <w:t xml:space="preserve"> models</w:t>
      </w:r>
      <w:r w:rsidR="0084191B" w:rsidRPr="000B09B9">
        <w:rPr>
          <w:iCs/>
        </w:rPr>
        <w:t xml:space="preserve"> (</w:t>
      </w:r>
      <w:r w:rsidR="0084191B" w:rsidRPr="00796214">
        <w:rPr>
          <w:iCs/>
        </w:rPr>
        <w:t>paragraph 6.</w:t>
      </w:r>
      <w:r w:rsidR="00796214" w:rsidRPr="00796214">
        <w:rPr>
          <w:iCs/>
        </w:rPr>
        <w:t>43</w:t>
      </w:r>
      <w:r w:rsidR="0084191B" w:rsidRPr="000B09B9">
        <w:rPr>
          <w:iCs/>
        </w:rPr>
        <w:t>)</w:t>
      </w:r>
      <w:r w:rsidRPr="000B09B9">
        <w:rPr>
          <w:iCs/>
        </w:rPr>
        <w:t>.</w:t>
      </w:r>
      <w:r w:rsidRPr="000B09B9">
        <w:rPr>
          <w:rFonts w:eastAsiaTheme="majorEastAsia"/>
          <w:iCs/>
        </w:rPr>
        <w:t xml:space="preserve"> </w:t>
      </w:r>
      <w:r w:rsidRPr="000B09B9">
        <w:rPr>
          <w:iCs/>
        </w:rPr>
        <w:t>The base case of the SMC model considered a time horizon of 1 year, producing a total QALY gain of 0.36. This compares with 0.671 QALYs gained at 1 year using the economic model presented by the submission. The base case of the CADTH model produced a total QALY gain of 2.107 with a lifetime horizon, compared to 9.585 QALYs gained using the economic model presented by the submission with a lifetime horizon also applied.</w:t>
      </w:r>
    </w:p>
    <w:p w14:paraId="57B74471" w14:textId="77777777" w:rsidR="00FE1325" w:rsidRPr="000B09B9" w:rsidRDefault="00FE1325" w:rsidP="002B0564">
      <w:pPr>
        <w:pStyle w:val="3-BodyText"/>
        <w:keepNext/>
        <w:numPr>
          <w:ilvl w:val="1"/>
          <w:numId w:val="9"/>
        </w:numPr>
        <w:rPr>
          <w:rFonts w:ascii="Arial Narrow" w:hAnsi="Arial Narrow"/>
          <w:b/>
          <w:bCs/>
          <w:sz w:val="20"/>
          <w:szCs w:val="20"/>
        </w:rPr>
      </w:pPr>
      <w:r w:rsidRPr="000B09B9">
        <w:t>The results of key univariate sensitivi</w:t>
      </w:r>
      <w:r w:rsidR="00D47D47" w:rsidRPr="000B09B9">
        <w:t>ty analyses are summarised in Table 11</w:t>
      </w:r>
      <w:r w:rsidRPr="000B09B9">
        <w:t>.</w:t>
      </w:r>
    </w:p>
    <w:p w14:paraId="2CC97985" w14:textId="77777777" w:rsidR="00FE1325" w:rsidRPr="000B09B9" w:rsidRDefault="00FE1325" w:rsidP="002B0564">
      <w:pPr>
        <w:pStyle w:val="3-BodyText"/>
        <w:keepNext/>
        <w:keepLines/>
        <w:numPr>
          <w:ilvl w:val="0"/>
          <w:numId w:val="0"/>
        </w:numPr>
        <w:spacing w:after="0"/>
        <w:rPr>
          <w:rStyle w:val="CommentReference"/>
          <w:szCs w:val="24"/>
        </w:rPr>
      </w:pPr>
      <w:r w:rsidRPr="000B09B9">
        <w:rPr>
          <w:rStyle w:val="CommentReference"/>
          <w:szCs w:val="24"/>
        </w:rPr>
        <w:t>Table</w:t>
      </w:r>
      <w:r w:rsidR="00A95A61" w:rsidRPr="000B09B9">
        <w:rPr>
          <w:rStyle w:val="CommentReference"/>
          <w:szCs w:val="24"/>
        </w:rPr>
        <w:t xml:space="preserve"> 11</w:t>
      </w:r>
      <w:r w:rsidRPr="000B09B9">
        <w:rPr>
          <w:rStyle w:val="CommentReference"/>
          <w:szCs w:val="24"/>
        </w:rPr>
        <w:t xml:space="preserve">: </w:t>
      </w:r>
      <w:r w:rsidR="00FF00B2" w:rsidRPr="000B09B9">
        <w:rPr>
          <w:rStyle w:val="CommentReference"/>
          <w:szCs w:val="24"/>
        </w:rPr>
        <w:t>Univariate s</w:t>
      </w:r>
      <w:r w:rsidRPr="000B09B9">
        <w:rPr>
          <w:rStyle w:val="CommentReference"/>
          <w:szCs w:val="24"/>
        </w:rPr>
        <w:t>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44"/>
        <w:gridCol w:w="1262"/>
        <w:gridCol w:w="1264"/>
        <w:gridCol w:w="1262"/>
        <w:gridCol w:w="1264"/>
      </w:tblGrid>
      <w:tr w:rsidR="00E018E3" w:rsidRPr="000B09B9" w14:paraId="1778E0C0" w14:textId="77777777" w:rsidTr="00B01376">
        <w:tc>
          <w:tcPr>
            <w:tcW w:w="233" w:type="pct"/>
            <w:shd w:val="clear" w:color="auto" w:fill="auto"/>
            <w:vAlign w:val="center"/>
          </w:tcPr>
          <w:p w14:paraId="4847AE52" w14:textId="77777777" w:rsidR="00E018E3" w:rsidRPr="000B09B9" w:rsidRDefault="00E018E3" w:rsidP="002B0564">
            <w:pPr>
              <w:pStyle w:val="TableFigureHeading"/>
              <w:keepLines/>
              <w:rPr>
                <w:szCs w:val="20"/>
              </w:rPr>
            </w:pPr>
          </w:p>
        </w:tc>
        <w:tc>
          <w:tcPr>
            <w:tcW w:w="1965" w:type="pct"/>
            <w:shd w:val="clear" w:color="auto" w:fill="auto"/>
            <w:vAlign w:val="center"/>
          </w:tcPr>
          <w:p w14:paraId="00F752D0" w14:textId="77777777" w:rsidR="00E018E3" w:rsidRPr="000B09B9" w:rsidRDefault="00E018E3" w:rsidP="002B0564">
            <w:pPr>
              <w:pStyle w:val="TableFigureHeading"/>
              <w:keepLines/>
              <w:rPr>
                <w:szCs w:val="20"/>
              </w:rPr>
            </w:pPr>
            <w:r w:rsidRPr="000B09B9">
              <w:rPr>
                <w:szCs w:val="20"/>
              </w:rPr>
              <w:t>Analyses</w:t>
            </w:r>
          </w:p>
        </w:tc>
        <w:tc>
          <w:tcPr>
            <w:tcW w:w="700" w:type="pct"/>
            <w:shd w:val="clear" w:color="auto" w:fill="auto"/>
            <w:vAlign w:val="center"/>
          </w:tcPr>
          <w:p w14:paraId="2B30B2EE" w14:textId="77777777" w:rsidR="00E018E3" w:rsidRPr="000B09B9" w:rsidRDefault="00E018E3" w:rsidP="002B0564">
            <w:pPr>
              <w:pStyle w:val="TableFigureHeading"/>
              <w:keepLines/>
              <w:jc w:val="center"/>
              <w:rPr>
                <w:szCs w:val="20"/>
              </w:rPr>
            </w:pPr>
            <w:r w:rsidRPr="000B09B9">
              <w:rPr>
                <w:szCs w:val="20"/>
              </w:rPr>
              <w:t>Incremental cost</w:t>
            </w:r>
            <w:r w:rsidR="00A76D0C">
              <w:rPr>
                <w:szCs w:val="20"/>
              </w:rPr>
              <w:t xml:space="preserve"> ($)</w:t>
            </w:r>
          </w:p>
        </w:tc>
        <w:tc>
          <w:tcPr>
            <w:tcW w:w="701" w:type="pct"/>
            <w:shd w:val="clear" w:color="auto" w:fill="auto"/>
            <w:vAlign w:val="center"/>
          </w:tcPr>
          <w:p w14:paraId="064D253D" w14:textId="77777777" w:rsidR="00E018E3" w:rsidRPr="000B09B9" w:rsidRDefault="00E018E3" w:rsidP="002B0564">
            <w:pPr>
              <w:pStyle w:val="TableFigureHeading"/>
              <w:keepLines/>
              <w:jc w:val="center"/>
              <w:rPr>
                <w:szCs w:val="20"/>
              </w:rPr>
            </w:pPr>
            <w:r w:rsidRPr="000B09B9">
              <w:rPr>
                <w:szCs w:val="20"/>
              </w:rPr>
              <w:t>Incremental QALY</w:t>
            </w:r>
          </w:p>
        </w:tc>
        <w:tc>
          <w:tcPr>
            <w:tcW w:w="700" w:type="pct"/>
            <w:shd w:val="clear" w:color="auto" w:fill="auto"/>
            <w:vAlign w:val="center"/>
          </w:tcPr>
          <w:p w14:paraId="589A4CCB" w14:textId="77777777" w:rsidR="00E018E3" w:rsidRPr="000B09B9" w:rsidRDefault="00E018E3" w:rsidP="002B0564">
            <w:pPr>
              <w:pStyle w:val="TableFigureHeading"/>
              <w:keepLines/>
              <w:jc w:val="center"/>
              <w:rPr>
                <w:szCs w:val="20"/>
              </w:rPr>
            </w:pPr>
            <w:r w:rsidRPr="000B09B9">
              <w:rPr>
                <w:szCs w:val="20"/>
              </w:rPr>
              <w:t>ICER</w:t>
            </w:r>
          </w:p>
        </w:tc>
        <w:tc>
          <w:tcPr>
            <w:tcW w:w="701" w:type="pct"/>
            <w:shd w:val="clear" w:color="auto" w:fill="auto"/>
            <w:vAlign w:val="center"/>
          </w:tcPr>
          <w:p w14:paraId="3280EFB6" w14:textId="77777777" w:rsidR="00E018E3" w:rsidRPr="000B09B9" w:rsidRDefault="00FF00B2" w:rsidP="002B0564">
            <w:pPr>
              <w:pStyle w:val="TableFigureHeading"/>
              <w:keepLines/>
              <w:jc w:val="center"/>
              <w:rPr>
                <w:szCs w:val="20"/>
              </w:rPr>
            </w:pPr>
            <w:r w:rsidRPr="000B09B9">
              <w:rPr>
                <w:szCs w:val="20"/>
              </w:rPr>
              <w:t>C</w:t>
            </w:r>
            <w:r w:rsidR="00E018E3" w:rsidRPr="000B09B9">
              <w:rPr>
                <w:szCs w:val="20"/>
              </w:rPr>
              <w:t>hange from</w:t>
            </w:r>
            <w:r w:rsidRPr="000B09B9">
              <w:rPr>
                <w:szCs w:val="20"/>
              </w:rPr>
              <w:t xml:space="preserve"> corrected</w:t>
            </w:r>
            <w:r w:rsidR="00E018E3" w:rsidRPr="000B09B9">
              <w:rPr>
                <w:szCs w:val="20"/>
              </w:rPr>
              <w:t xml:space="preserve"> base case ICER</w:t>
            </w:r>
          </w:p>
        </w:tc>
      </w:tr>
      <w:tr w:rsidR="00E018E3" w:rsidRPr="000B09B9" w14:paraId="14C0E265" w14:textId="77777777" w:rsidTr="00B01376">
        <w:tc>
          <w:tcPr>
            <w:tcW w:w="233" w:type="pct"/>
            <w:shd w:val="clear" w:color="auto" w:fill="auto"/>
            <w:vAlign w:val="center"/>
          </w:tcPr>
          <w:p w14:paraId="1352F21B" w14:textId="77777777" w:rsidR="00E018E3" w:rsidRPr="000B09B9" w:rsidRDefault="00E018E3" w:rsidP="002B0564">
            <w:pPr>
              <w:pStyle w:val="TableText0"/>
              <w:keepNext/>
              <w:keepLines/>
              <w:widowControl/>
              <w:rPr>
                <w:szCs w:val="20"/>
              </w:rPr>
            </w:pPr>
          </w:p>
        </w:tc>
        <w:tc>
          <w:tcPr>
            <w:tcW w:w="1965" w:type="pct"/>
            <w:shd w:val="clear" w:color="auto" w:fill="auto"/>
            <w:vAlign w:val="center"/>
          </w:tcPr>
          <w:p w14:paraId="701EACCE" w14:textId="77777777" w:rsidR="00E018E3" w:rsidRPr="000B09B9" w:rsidRDefault="00E018E3" w:rsidP="002B0564">
            <w:pPr>
              <w:pStyle w:val="TableText0"/>
              <w:keepNext/>
              <w:keepLines/>
              <w:widowControl/>
              <w:rPr>
                <w:szCs w:val="20"/>
              </w:rPr>
            </w:pPr>
            <w:r w:rsidRPr="000B09B9">
              <w:rPr>
                <w:szCs w:val="20"/>
              </w:rPr>
              <w:t>Base case (presented in submission)</w:t>
            </w:r>
          </w:p>
        </w:tc>
        <w:tc>
          <w:tcPr>
            <w:tcW w:w="700" w:type="pct"/>
            <w:shd w:val="clear" w:color="auto" w:fill="auto"/>
            <w:vAlign w:val="center"/>
          </w:tcPr>
          <w:p w14:paraId="63D8411C" w14:textId="77777777" w:rsidR="00E018E3" w:rsidRPr="00E928EF" w:rsidRDefault="00E928EF" w:rsidP="002B0564">
            <w:pPr>
              <w:pStyle w:val="TableText0"/>
              <w:keepNext/>
              <w:keepLines/>
              <w:widowControl/>
              <w:jc w:val="center"/>
              <w:rPr>
                <w:szCs w:val="20"/>
                <w:highlight w:val="black"/>
              </w:rPr>
            </w:pPr>
            <w:r>
              <w:rPr>
                <w:noProof/>
                <w:color w:val="000000"/>
                <w:szCs w:val="20"/>
                <w:highlight w:val="black"/>
              </w:rPr>
              <w:t>''''''''''''''''''''''</w:t>
            </w:r>
          </w:p>
        </w:tc>
        <w:tc>
          <w:tcPr>
            <w:tcW w:w="701" w:type="pct"/>
            <w:shd w:val="clear" w:color="auto" w:fill="auto"/>
            <w:vAlign w:val="center"/>
          </w:tcPr>
          <w:p w14:paraId="7A46CD20" w14:textId="77777777" w:rsidR="00E018E3" w:rsidRPr="000B09B9" w:rsidRDefault="00E018E3" w:rsidP="002B0564">
            <w:pPr>
              <w:pStyle w:val="TableText0"/>
              <w:keepNext/>
              <w:keepLines/>
              <w:widowControl/>
              <w:jc w:val="center"/>
              <w:rPr>
                <w:szCs w:val="20"/>
              </w:rPr>
            </w:pPr>
            <w:r w:rsidRPr="000B09B9">
              <w:rPr>
                <w:szCs w:val="20"/>
              </w:rPr>
              <w:t>4.239</w:t>
            </w:r>
          </w:p>
        </w:tc>
        <w:tc>
          <w:tcPr>
            <w:tcW w:w="700" w:type="pct"/>
            <w:shd w:val="clear" w:color="auto" w:fill="auto"/>
            <w:vAlign w:val="center"/>
          </w:tcPr>
          <w:p w14:paraId="09382B6E" w14:textId="77777777" w:rsidR="00E018E3" w:rsidRPr="00E928EF" w:rsidRDefault="00E928EF" w:rsidP="00462478">
            <w:pPr>
              <w:pStyle w:val="TableText0"/>
              <w:keepNext/>
              <w:keepLines/>
              <w:widowControl/>
              <w:jc w:val="center"/>
              <w:rPr>
                <w:szCs w:val="20"/>
                <w:vertAlign w:val="superscript"/>
              </w:rPr>
            </w:pPr>
            <w:r>
              <w:rPr>
                <w:noProof/>
                <w:color w:val="000000"/>
                <w:szCs w:val="20"/>
                <w:highlight w:val="black"/>
              </w:rPr>
              <w:t>'''''''''''''''''''''''</w:t>
            </w:r>
            <w:r w:rsidR="00F46A2D" w:rsidRPr="00F46A2D">
              <w:rPr>
                <w:szCs w:val="20"/>
                <w:vertAlign w:val="superscript"/>
              </w:rPr>
              <w:t>1</w:t>
            </w:r>
          </w:p>
        </w:tc>
        <w:tc>
          <w:tcPr>
            <w:tcW w:w="701" w:type="pct"/>
            <w:shd w:val="clear" w:color="auto" w:fill="auto"/>
            <w:vAlign w:val="center"/>
          </w:tcPr>
          <w:p w14:paraId="4AE6D687" w14:textId="77777777" w:rsidR="00E018E3" w:rsidRPr="000B09B9" w:rsidRDefault="00E018E3" w:rsidP="002B0564">
            <w:pPr>
              <w:pStyle w:val="TableText0"/>
              <w:keepNext/>
              <w:keepLines/>
              <w:widowControl/>
              <w:jc w:val="center"/>
              <w:rPr>
                <w:szCs w:val="20"/>
              </w:rPr>
            </w:pPr>
          </w:p>
        </w:tc>
      </w:tr>
      <w:tr w:rsidR="00E018E3" w:rsidRPr="000B09B9" w14:paraId="4011BEC1" w14:textId="77777777" w:rsidTr="00B01376">
        <w:tc>
          <w:tcPr>
            <w:tcW w:w="233" w:type="pct"/>
            <w:shd w:val="clear" w:color="auto" w:fill="auto"/>
            <w:vAlign w:val="center"/>
          </w:tcPr>
          <w:p w14:paraId="46B9FF01" w14:textId="77777777" w:rsidR="00E018E3" w:rsidRPr="000B09B9" w:rsidRDefault="00E018E3" w:rsidP="002B0564">
            <w:pPr>
              <w:pStyle w:val="TableText0"/>
              <w:keepNext/>
              <w:keepLines/>
              <w:widowControl/>
              <w:rPr>
                <w:szCs w:val="20"/>
              </w:rPr>
            </w:pPr>
          </w:p>
        </w:tc>
        <w:tc>
          <w:tcPr>
            <w:tcW w:w="1965" w:type="pct"/>
            <w:shd w:val="clear" w:color="auto" w:fill="auto"/>
            <w:vAlign w:val="center"/>
          </w:tcPr>
          <w:p w14:paraId="687899AF" w14:textId="77777777" w:rsidR="00E018E3" w:rsidRPr="000B09B9" w:rsidRDefault="00E018E3" w:rsidP="002B0564">
            <w:pPr>
              <w:pStyle w:val="TableText0"/>
              <w:keepNext/>
              <w:keepLines/>
              <w:widowControl/>
              <w:rPr>
                <w:szCs w:val="20"/>
              </w:rPr>
            </w:pPr>
            <w:r w:rsidRPr="000B09B9">
              <w:rPr>
                <w:szCs w:val="20"/>
              </w:rPr>
              <w:t>Base case (with corrections)</w:t>
            </w:r>
            <w:r w:rsidRPr="000B09B9">
              <w:rPr>
                <w:szCs w:val="20"/>
                <w:vertAlign w:val="superscript"/>
              </w:rPr>
              <w:t>a</w:t>
            </w:r>
          </w:p>
        </w:tc>
        <w:tc>
          <w:tcPr>
            <w:tcW w:w="700" w:type="pct"/>
            <w:shd w:val="clear" w:color="auto" w:fill="auto"/>
            <w:vAlign w:val="center"/>
          </w:tcPr>
          <w:p w14:paraId="75ACC3FC" w14:textId="77777777" w:rsidR="00E018E3" w:rsidRPr="00E928EF" w:rsidRDefault="00E928EF" w:rsidP="002B0564">
            <w:pPr>
              <w:pStyle w:val="TableText0"/>
              <w:keepNext/>
              <w:keepLines/>
              <w:widowControl/>
              <w:jc w:val="center"/>
              <w:rPr>
                <w:iCs/>
                <w:szCs w:val="20"/>
                <w:highlight w:val="black"/>
              </w:rPr>
            </w:pPr>
            <w:r>
              <w:rPr>
                <w:noProof/>
                <w:color w:val="000000"/>
                <w:szCs w:val="20"/>
                <w:highlight w:val="black"/>
              </w:rPr>
              <w:t>'''''''''''''''''''''</w:t>
            </w:r>
          </w:p>
        </w:tc>
        <w:tc>
          <w:tcPr>
            <w:tcW w:w="701" w:type="pct"/>
            <w:shd w:val="clear" w:color="auto" w:fill="auto"/>
            <w:vAlign w:val="center"/>
          </w:tcPr>
          <w:p w14:paraId="7FE78C96" w14:textId="77777777" w:rsidR="00E018E3" w:rsidRPr="000B09B9" w:rsidRDefault="00E018E3" w:rsidP="002B0564">
            <w:pPr>
              <w:pStyle w:val="TableText0"/>
              <w:keepNext/>
              <w:keepLines/>
              <w:widowControl/>
              <w:jc w:val="center"/>
              <w:rPr>
                <w:iCs/>
                <w:szCs w:val="20"/>
              </w:rPr>
            </w:pPr>
            <w:r w:rsidRPr="000B09B9">
              <w:rPr>
                <w:szCs w:val="20"/>
              </w:rPr>
              <w:t>4.226</w:t>
            </w:r>
          </w:p>
        </w:tc>
        <w:tc>
          <w:tcPr>
            <w:tcW w:w="700" w:type="pct"/>
            <w:shd w:val="clear" w:color="auto" w:fill="auto"/>
            <w:vAlign w:val="center"/>
          </w:tcPr>
          <w:p w14:paraId="71094203" w14:textId="77777777" w:rsidR="00E018E3" w:rsidRPr="00E928EF" w:rsidRDefault="00E928EF" w:rsidP="002B0564">
            <w:pPr>
              <w:pStyle w:val="TableText0"/>
              <w:keepNext/>
              <w:keepLines/>
              <w:widowControl/>
              <w:jc w:val="center"/>
              <w:rPr>
                <w:iCs/>
                <w:szCs w:val="20"/>
              </w:rPr>
            </w:pPr>
            <w:r>
              <w:rPr>
                <w:noProof/>
                <w:color w:val="000000"/>
                <w:szCs w:val="20"/>
                <w:highlight w:val="black"/>
              </w:rPr>
              <w:t>'''''''''''''''''''''''</w:t>
            </w:r>
            <w:r w:rsidR="00F46A2D" w:rsidRPr="00F46A2D">
              <w:rPr>
                <w:szCs w:val="20"/>
                <w:vertAlign w:val="superscript"/>
              </w:rPr>
              <w:t>1</w:t>
            </w:r>
          </w:p>
        </w:tc>
        <w:tc>
          <w:tcPr>
            <w:tcW w:w="701" w:type="pct"/>
            <w:shd w:val="clear" w:color="auto" w:fill="auto"/>
            <w:vAlign w:val="center"/>
          </w:tcPr>
          <w:p w14:paraId="0B36601C" w14:textId="77777777" w:rsidR="00E018E3" w:rsidRPr="000B09B9" w:rsidRDefault="00E018E3" w:rsidP="002B0564">
            <w:pPr>
              <w:pStyle w:val="TableText0"/>
              <w:keepNext/>
              <w:keepLines/>
              <w:widowControl/>
              <w:jc w:val="center"/>
              <w:rPr>
                <w:szCs w:val="20"/>
              </w:rPr>
            </w:pPr>
          </w:p>
        </w:tc>
      </w:tr>
      <w:tr w:rsidR="00E018E3" w:rsidRPr="000B09B9" w14:paraId="7507E2FC" w14:textId="77777777" w:rsidTr="00B01376">
        <w:tc>
          <w:tcPr>
            <w:tcW w:w="233" w:type="pct"/>
            <w:shd w:val="clear" w:color="auto" w:fill="auto"/>
            <w:vAlign w:val="center"/>
          </w:tcPr>
          <w:p w14:paraId="03CFCEE1" w14:textId="77777777" w:rsidR="00E018E3" w:rsidRPr="000B09B9" w:rsidRDefault="00E018E3" w:rsidP="002B0564">
            <w:pPr>
              <w:pStyle w:val="TableText0"/>
              <w:keepNext/>
              <w:keepLines/>
              <w:widowControl/>
              <w:rPr>
                <w:b/>
                <w:bCs w:val="0"/>
                <w:szCs w:val="20"/>
              </w:rPr>
            </w:pPr>
            <w:r w:rsidRPr="000B09B9">
              <w:rPr>
                <w:b/>
                <w:bCs w:val="0"/>
                <w:szCs w:val="20"/>
              </w:rPr>
              <w:t>(1)</w:t>
            </w:r>
          </w:p>
        </w:tc>
        <w:tc>
          <w:tcPr>
            <w:tcW w:w="1965" w:type="pct"/>
            <w:shd w:val="clear" w:color="auto" w:fill="auto"/>
            <w:vAlign w:val="center"/>
          </w:tcPr>
          <w:p w14:paraId="56403C45" w14:textId="77777777" w:rsidR="00E018E3" w:rsidRPr="000B09B9" w:rsidRDefault="00E018E3" w:rsidP="002B0564">
            <w:pPr>
              <w:pStyle w:val="TableText0"/>
              <w:keepNext/>
              <w:keepLines/>
              <w:widowControl/>
              <w:rPr>
                <w:b/>
                <w:bCs w:val="0"/>
                <w:szCs w:val="20"/>
              </w:rPr>
            </w:pPr>
            <w:r w:rsidRPr="000B09B9">
              <w:rPr>
                <w:b/>
                <w:bCs w:val="0"/>
                <w:szCs w:val="20"/>
              </w:rPr>
              <w:t>Placebo cohort responder rate</w:t>
            </w:r>
          </w:p>
        </w:tc>
        <w:tc>
          <w:tcPr>
            <w:tcW w:w="700" w:type="pct"/>
            <w:shd w:val="clear" w:color="auto" w:fill="auto"/>
            <w:vAlign w:val="center"/>
          </w:tcPr>
          <w:p w14:paraId="7954F52F" w14:textId="77777777" w:rsidR="00E018E3" w:rsidRPr="00E928EF" w:rsidRDefault="00E018E3" w:rsidP="002B0564">
            <w:pPr>
              <w:pStyle w:val="TableText0"/>
              <w:keepNext/>
              <w:keepLines/>
              <w:widowControl/>
              <w:jc w:val="center"/>
              <w:rPr>
                <w:szCs w:val="20"/>
              </w:rPr>
            </w:pPr>
          </w:p>
        </w:tc>
        <w:tc>
          <w:tcPr>
            <w:tcW w:w="701" w:type="pct"/>
            <w:shd w:val="clear" w:color="auto" w:fill="auto"/>
            <w:vAlign w:val="center"/>
          </w:tcPr>
          <w:p w14:paraId="4B4F0F46" w14:textId="77777777" w:rsidR="00E018E3" w:rsidRPr="000B09B9" w:rsidRDefault="00E018E3" w:rsidP="002B0564">
            <w:pPr>
              <w:pStyle w:val="TableText0"/>
              <w:keepNext/>
              <w:keepLines/>
              <w:widowControl/>
              <w:jc w:val="center"/>
              <w:rPr>
                <w:szCs w:val="20"/>
              </w:rPr>
            </w:pPr>
          </w:p>
        </w:tc>
        <w:tc>
          <w:tcPr>
            <w:tcW w:w="700" w:type="pct"/>
            <w:shd w:val="clear" w:color="auto" w:fill="auto"/>
            <w:vAlign w:val="center"/>
          </w:tcPr>
          <w:p w14:paraId="3309CC5E" w14:textId="77777777" w:rsidR="00E018E3" w:rsidRPr="00E928EF" w:rsidRDefault="00E018E3" w:rsidP="002B0564">
            <w:pPr>
              <w:pStyle w:val="TableText0"/>
              <w:keepNext/>
              <w:keepLines/>
              <w:widowControl/>
              <w:jc w:val="center"/>
              <w:rPr>
                <w:szCs w:val="20"/>
              </w:rPr>
            </w:pPr>
          </w:p>
        </w:tc>
        <w:tc>
          <w:tcPr>
            <w:tcW w:w="701" w:type="pct"/>
            <w:shd w:val="clear" w:color="auto" w:fill="auto"/>
            <w:vAlign w:val="center"/>
          </w:tcPr>
          <w:p w14:paraId="19F2071F" w14:textId="77777777" w:rsidR="00E018E3" w:rsidRPr="000B09B9" w:rsidRDefault="00E018E3" w:rsidP="002B0564">
            <w:pPr>
              <w:pStyle w:val="TableText0"/>
              <w:keepNext/>
              <w:keepLines/>
              <w:widowControl/>
              <w:jc w:val="center"/>
              <w:rPr>
                <w:szCs w:val="20"/>
              </w:rPr>
            </w:pPr>
          </w:p>
        </w:tc>
      </w:tr>
      <w:tr w:rsidR="00906435" w:rsidRPr="000B09B9" w14:paraId="17C06DC2" w14:textId="77777777" w:rsidTr="00B01376">
        <w:tc>
          <w:tcPr>
            <w:tcW w:w="233" w:type="pct"/>
            <w:shd w:val="clear" w:color="auto" w:fill="DBE5F1" w:themeFill="accent1" w:themeFillTint="33"/>
            <w:vAlign w:val="center"/>
          </w:tcPr>
          <w:p w14:paraId="4A9BDCA0" w14:textId="77777777" w:rsidR="00E018E3" w:rsidRPr="000B09B9" w:rsidRDefault="00E018E3" w:rsidP="002B0564">
            <w:pPr>
              <w:pStyle w:val="TableText0"/>
              <w:keepNext/>
              <w:keepLines/>
              <w:widowControl/>
              <w:rPr>
                <w:szCs w:val="20"/>
              </w:rPr>
            </w:pPr>
          </w:p>
        </w:tc>
        <w:tc>
          <w:tcPr>
            <w:tcW w:w="1965" w:type="pct"/>
            <w:shd w:val="clear" w:color="auto" w:fill="DBE5F1" w:themeFill="accent1" w:themeFillTint="33"/>
            <w:vAlign w:val="center"/>
          </w:tcPr>
          <w:p w14:paraId="586BC25C" w14:textId="5B4A16FB" w:rsidR="00E018E3" w:rsidRPr="000B09B9" w:rsidRDefault="00E018E3" w:rsidP="002B0564">
            <w:pPr>
              <w:pStyle w:val="TableText0"/>
              <w:keepNext/>
              <w:keepLines/>
              <w:widowControl/>
              <w:rPr>
                <w:szCs w:val="20"/>
              </w:rPr>
            </w:pPr>
            <w:r w:rsidRPr="000B09B9">
              <w:rPr>
                <w:szCs w:val="20"/>
              </w:rPr>
              <w:t>Applied 27.8% as per DAPPER trial</w:t>
            </w:r>
          </w:p>
        </w:tc>
        <w:tc>
          <w:tcPr>
            <w:tcW w:w="700" w:type="pct"/>
            <w:shd w:val="clear" w:color="auto" w:fill="DBE5F1" w:themeFill="accent1" w:themeFillTint="33"/>
            <w:vAlign w:val="center"/>
          </w:tcPr>
          <w:p w14:paraId="390C3444" w14:textId="77777777" w:rsidR="00E018E3" w:rsidRPr="00E928EF" w:rsidRDefault="00E928EF" w:rsidP="002B0564">
            <w:pPr>
              <w:pStyle w:val="TableText0"/>
              <w:keepNext/>
              <w:keepLines/>
              <w:widowControl/>
              <w:jc w:val="center"/>
              <w:rPr>
                <w:szCs w:val="20"/>
                <w:highlight w:val="black"/>
              </w:rPr>
            </w:pPr>
            <w:r>
              <w:rPr>
                <w:noProof/>
                <w:color w:val="000000"/>
                <w:szCs w:val="20"/>
                <w:highlight w:val="black"/>
              </w:rPr>
              <w:t>''''''''''''''''''''''</w:t>
            </w:r>
          </w:p>
        </w:tc>
        <w:tc>
          <w:tcPr>
            <w:tcW w:w="701" w:type="pct"/>
            <w:shd w:val="clear" w:color="auto" w:fill="DBE5F1" w:themeFill="accent1" w:themeFillTint="33"/>
            <w:vAlign w:val="center"/>
          </w:tcPr>
          <w:p w14:paraId="243DDD50" w14:textId="77777777" w:rsidR="00E018E3" w:rsidRPr="000B09B9" w:rsidRDefault="00E018E3" w:rsidP="002B0564">
            <w:pPr>
              <w:pStyle w:val="TableText0"/>
              <w:keepNext/>
              <w:keepLines/>
              <w:widowControl/>
              <w:jc w:val="center"/>
              <w:rPr>
                <w:szCs w:val="20"/>
              </w:rPr>
            </w:pPr>
            <w:r w:rsidRPr="000B09B9">
              <w:rPr>
                <w:szCs w:val="20"/>
              </w:rPr>
              <w:t>3.390</w:t>
            </w:r>
          </w:p>
        </w:tc>
        <w:tc>
          <w:tcPr>
            <w:tcW w:w="700" w:type="pct"/>
            <w:shd w:val="clear" w:color="auto" w:fill="DBE5F1" w:themeFill="accent1" w:themeFillTint="33"/>
            <w:vAlign w:val="center"/>
          </w:tcPr>
          <w:p w14:paraId="745FF9E9" w14:textId="77777777" w:rsidR="00E018E3" w:rsidRPr="00E928EF" w:rsidRDefault="00E928EF" w:rsidP="002B0564">
            <w:pPr>
              <w:pStyle w:val="TableText0"/>
              <w:keepNext/>
              <w:keepLines/>
              <w:widowControl/>
              <w:jc w:val="center"/>
              <w:rPr>
                <w:szCs w:val="20"/>
              </w:rPr>
            </w:pPr>
            <w:r>
              <w:rPr>
                <w:noProof/>
                <w:color w:val="000000"/>
                <w:szCs w:val="20"/>
                <w:highlight w:val="black"/>
              </w:rPr>
              <w:t>''''''''''''''''''''''</w:t>
            </w:r>
            <w:r w:rsidR="00F46A2D">
              <w:rPr>
                <w:szCs w:val="20"/>
                <w:vertAlign w:val="superscript"/>
              </w:rPr>
              <w:t>2</w:t>
            </w:r>
          </w:p>
        </w:tc>
        <w:tc>
          <w:tcPr>
            <w:tcW w:w="701" w:type="pct"/>
            <w:shd w:val="clear" w:color="auto" w:fill="DBE5F1" w:themeFill="accent1" w:themeFillTint="33"/>
            <w:vAlign w:val="center"/>
          </w:tcPr>
          <w:p w14:paraId="21035429" w14:textId="77777777" w:rsidR="00E018E3" w:rsidRPr="000B09B9" w:rsidRDefault="00E018E3" w:rsidP="002B0564">
            <w:pPr>
              <w:pStyle w:val="TableText0"/>
              <w:keepNext/>
              <w:keepLines/>
              <w:widowControl/>
              <w:jc w:val="center"/>
              <w:rPr>
                <w:szCs w:val="20"/>
              </w:rPr>
            </w:pPr>
            <w:r w:rsidRPr="000B09B9">
              <w:rPr>
                <w:szCs w:val="20"/>
              </w:rPr>
              <w:t>25%</w:t>
            </w:r>
          </w:p>
        </w:tc>
      </w:tr>
      <w:tr w:rsidR="00E018E3" w:rsidRPr="000B09B9" w14:paraId="15EDC85D" w14:textId="77777777" w:rsidTr="00B01376">
        <w:tc>
          <w:tcPr>
            <w:tcW w:w="233" w:type="pct"/>
            <w:shd w:val="clear" w:color="auto" w:fill="auto"/>
            <w:vAlign w:val="center"/>
          </w:tcPr>
          <w:p w14:paraId="4C3F5C2E" w14:textId="77777777" w:rsidR="00E018E3" w:rsidRPr="000B09B9" w:rsidRDefault="00E018E3" w:rsidP="002B0564">
            <w:pPr>
              <w:pStyle w:val="TableText0"/>
              <w:keepNext/>
              <w:keepLines/>
              <w:widowControl/>
              <w:rPr>
                <w:b/>
                <w:bCs w:val="0"/>
                <w:szCs w:val="20"/>
              </w:rPr>
            </w:pPr>
            <w:r w:rsidRPr="000B09B9">
              <w:rPr>
                <w:b/>
                <w:bCs w:val="0"/>
                <w:szCs w:val="20"/>
              </w:rPr>
              <w:t>(2)</w:t>
            </w:r>
          </w:p>
        </w:tc>
        <w:tc>
          <w:tcPr>
            <w:tcW w:w="1965" w:type="pct"/>
            <w:shd w:val="clear" w:color="auto" w:fill="auto"/>
            <w:vAlign w:val="center"/>
          </w:tcPr>
          <w:p w14:paraId="35C02D19" w14:textId="77777777" w:rsidR="00E018E3" w:rsidRPr="000B09B9" w:rsidRDefault="00E018E3" w:rsidP="002B0564">
            <w:pPr>
              <w:pStyle w:val="TableText0"/>
              <w:keepNext/>
              <w:keepLines/>
              <w:widowControl/>
              <w:rPr>
                <w:b/>
                <w:bCs w:val="0"/>
                <w:szCs w:val="20"/>
              </w:rPr>
            </w:pPr>
            <w:r w:rsidRPr="000B09B9">
              <w:rPr>
                <w:b/>
                <w:bCs w:val="0"/>
                <w:szCs w:val="20"/>
              </w:rPr>
              <w:t>Utility values</w:t>
            </w:r>
          </w:p>
        </w:tc>
        <w:tc>
          <w:tcPr>
            <w:tcW w:w="700" w:type="pct"/>
            <w:shd w:val="clear" w:color="auto" w:fill="auto"/>
            <w:vAlign w:val="center"/>
          </w:tcPr>
          <w:p w14:paraId="288EF080" w14:textId="77777777" w:rsidR="00E018E3" w:rsidRPr="00E928EF" w:rsidRDefault="00E018E3" w:rsidP="002B0564">
            <w:pPr>
              <w:pStyle w:val="TableText0"/>
              <w:keepNext/>
              <w:keepLines/>
              <w:widowControl/>
              <w:jc w:val="center"/>
              <w:rPr>
                <w:szCs w:val="20"/>
              </w:rPr>
            </w:pPr>
          </w:p>
        </w:tc>
        <w:tc>
          <w:tcPr>
            <w:tcW w:w="701" w:type="pct"/>
            <w:shd w:val="clear" w:color="auto" w:fill="auto"/>
            <w:vAlign w:val="center"/>
          </w:tcPr>
          <w:p w14:paraId="0EAD1EDE" w14:textId="77777777" w:rsidR="00E018E3" w:rsidRPr="000B09B9" w:rsidRDefault="00E018E3" w:rsidP="002B0564">
            <w:pPr>
              <w:pStyle w:val="TableText0"/>
              <w:keepNext/>
              <w:keepLines/>
              <w:widowControl/>
              <w:jc w:val="center"/>
              <w:rPr>
                <w:szCs w:val="20"/>
              </w:rPr>
            </w:pPr>
          </w:p>
        </w:tc>
        <w:tc>
          <w:tcPr>
            <w:tcW w:w="700" w:type="pct"/>
            <w:shd w:val="clear" w:color="auto" w:fill="auto"/>
            <w:vAlign w:val="center"/>
          </w:tcPr>
          <w:p w14:paraId="2285DF40" w14:textId="77777777" w:rsidR="00E018E3" w:rsidRPr="000B09B9" w:rsidRDefault="00E018E3" w:rsidP="002B0564">
            <w:pPr>
              <w:pStyle w:val="TableText0"/>
              <w:keepNext/>
              <w:keepLines/>
              <w:widowControl/>
              <w:jc w:val="center"/>
              <w:rPr>
                <w:szCs w:val="20"/>
              </w:rPr>
            </w:pPr>
          </w:p>
        </w:tc>
        <w:tc>
          <w:tcPr>
            <w:tcW w:w="701" w:type="pct"/>
            <w:shd w:val="clear" w:color="auto" w:fill="auto"/>
            <w:vAlign w:val="center"/>
          </w:tcPr>
          <w:p w14:paraId="04D2615C" w14:textId="77777777" w:rsidR="00E018E3" w:rsidRPr="000B09B9" w:rsidRDefault="00E018E3" w:rsidP="002B0564">
            <w:pPr>
              <w:pStyle w:val="TableText0"/>
              <w:keepNext/>
              <w:keepLines/>
              <w:widowControl/>
              <w:jc w:val="center"/>
              <w:rPr>
                <w:szCs w:val="20"/>
              </w:rPr>
            </w:pPr>
          </w:p>
        </w:tc>
      </w:tr>
      <w:tr w:rsidR="00E018E3" w:rsidRPr="000B09B9" w14:paraId="62A2A54D" w14:textId="77777777" w:rsidTr="00B01376">
        <w:tc>
          <w:tcPr>
            <w:tcW w:w="233" w:type="pct"/>
            <w:shd w:val="clear" w:color="auto" w:fill="auto"/>
            <w:vAlign w:val="center"/>
          </w:tcPr>
          <w:p w14:paraId="5E2C4544" w14:textId="77777777" w:rsidR="00E018E3" w:rsidRPr="000B09B9" w:rsidRDefault="00E018E3" w:rsidP="002B0564">
            <w:pPr>
              <w:pStyle w:val="TableText0"/>
              <w:keepNext/>
              <w:keepLines/>
              <w:widowControl/>
              <w:rPr>
                <w:szCs w:val="20"/>
              </w:rPr>
            </w:pPr>
          </w:p>
        </w:tc>
        <w:tc>
          <w:tcPr>
            <w:tcW w:w="1965" w:type="pct"/>
            <w:shd w:val="clear" w:color="auto" w:fill="auto"/>
            <w:vAlign w:val="center"/>
          </w:tcPr>
          <w:p w14:paraId="636A255B" w14:textId="448FEC2D" w:rsidR="00E018E3" w:rsidRPr="000B09B9" w:rsidRDefault="00E018E3" w:rsidP="002B0564">
            <w:pPr>
              <w:pStyle w:val="TableText0"/>
              <w:keepNext/>
              <w:keepLines/>
              <w:widowControl/>
              <w:rPr>
                <w:szCs w:val="20"/>
              </w:rPr>
            </w:pPr>
            <w:r w:rsidRPr="000B09B9">
              <w:rPr>
                <w:szCs w:val="20"/>
              </w:rPr>
              <w:t xml:space="preserve">Applying 0.77 (maximum utility of LEMS patients from Harms et al) to responders </w:t>
            </w:r>
          </w:p>
        </w:tc>
        <w:tc>
          <w:tcPr>
            <w:tcW w:w="700" w:type="pct"/>
            <w:shd w:val="clear" w:color="auto" w:fill="auto"/>
            <w:vAlign w:val="center"/>
          </w:tcPr>
          <w:p w14:paraId="7A280439" w14:textId="77777777" w:rsidR="00E018E3" w:rsidRPr="00E928EF" w:rsidRDefault="00E928EF" w:rsidP="002B0564">
            <w:pPr>
              <w:pStyle w:val="TableText0"/>
              <w:keepNext/>
              <w:keepLines/>
              <w:widowControl/>
              <w:jc w:val="center"/>
              <w:rPr>
                <w:szCs w:val="20"/>
                <w:highlight w:val="black"/>
              </w:rPr>
            </w:pPr>
            <w:r>
              <w:rPr>
                <w:noProof/>
                <w:color w:val="000000"/>
                <w:szCs w:val="20"/>
                <w:highlight w:val="black"/>
              </w:rPr>
              <w:t>'''''''''''''''''''''</w:t>
            </w:r>
          </w:p>
        </w:tc>
        <w:tc>
          <w:tcPr>
            <w:tcW w:w="701" w:type="pct"/>
            <w:shd w:val="clear" w:color="auto" w:fill="auto"/>
            <w:vAlign w:val="center"/>
          </w:tcPr>
          <w:p w14:paraId="6C36FBAF" w14:textId="77777777" w:rsidR="00E018E3" w:rsidRPr="000B09B9" w:rsidRDefault="00E018E3" w:rsidP="002B0564">
            <w:pPr>
              <w:pStyle w:val="TableText0"/>
              <w:keepNext/>
              <w:keepLines/>
              <w:widowControl/>
              <w:jc w:val="center"/>
              <w:rPr>
                <w:szCs w:val="20"/>
              </w:rPr>
            </w:pPr>
            <w:r w:rsidRPr="000B09B9">
              <w:rPr>
                <w:szCs w:val="20"/>
              </w:rPr>
              <w:t>3.847</w:t>
            </w:r>
          </w:p>
        </w:tc>
        <w:tc>
          <w:tcPr>
            <w:tcW w:w="700" w:type="pct"/>
            <w:shd w:val="clear" w:color="auto" w:fill="auto"/>
            <w:vAlign w:val="center"/>
          </w:tcPr>
          <w:p w14:paraId="146267E1" w14:textId="77777777" w:rsidR="00E018E3" w:rsidRPr="00E928EF" w:rsidRDefault="00E928EF" w:rsidP="002B0564">
            <w:pPr>
              <w:pStyle w:val="TableText0"/>
              <w:keepNext/>
              <w:keepLines/>
              <w:widowControl/>
              <w:jc w:val="center"/>
              <w:rPr>
                <w:szCs w:val="20"/>
              </w:rPr>
            </w:pPr>
            <w:r>
              <w:rPr>
                <w:noProof/>
                <w:color w:val="000000"/>
                <w:szCs w:val="20"/>
                <w:highlight w:val="black"/>
              </w:rPr>
              <w:t>'''''''''''''''''''''</w:t>
            </w:r>
            <w:r w:rsidR="00F46A2D" w:rsidRPr="00F46A2D">
              <w:rPr>
                <w:szCs w:val="20"/>
                <w:vertAlign w:val="superscript"/>
              </w:rPr>
              <w:t>1</w:t>
            </w:r>
          </w:p>
        </w:tc>
        <w:tc>
          <w:tcPr>
            <w:tcW w:w="701" w:type="pct"/>
            <w:shd w:val="clear" w:color="auto" w:fill="auto"/>
            <w:vAlign w:val="center"/>
          </w:tcPr>
          <w:p w14:paraId="1E37ED98" w14:textId="77777777" w:rsidR="00E018E3" w:rsidRPr="000B09B9" w:rsidRDefault="00E018E3" w:rsidP="002B0564">
            <w:pPr>
              <w:pStyle w:val="TableText0"/>
              <w:keepNext/>
              <w:keepLines/>
              <w:widowControl/>
              <w:jc w:val="center"/>
              <w:rPr>
                <w:szCs w:val="20"/>
              </w:rPr>
            </w:pPr>
            <w:r w:rsidRPr="000B09B9">
              <w:rPr>
                <w:szCs w:val="20"/>
              </w:rPr>
              <w:t>10%</w:t>
            </w:r>
          </w:p>
        </w:tc>
      </w:tr>
      <w:tr w:rsidR="00752B6B" w:rsidRPr="000B09B9" w14:paraId="5F3DF5EF" w14:textId="77777777" w:rsidTr="00B01376">
        <w:tc>
          <w:tcPr>
            <w:tcW w:w="233" w:type="pct"/>
            <w:shd w:val="clear" w:color="auto" w:fill="DBE5F1" w:themeFill="accent1" w:themeFillTint="33"/>
            <w:vAlign w:val="center"/>
          </w:tcPr>
          <w:p w14:paraId="14AC66F3" w14:textId="77777777" w:rsidR="00E018E3" w:rsidRPr="000B09B9" w:rsidRDefault="00E018E3" w:rsidP="002B0564">
            <w:pPr>
              <w:pStyle w:val="TableText0"/>
              <w:keepNext/>
              <w:keepLines/>
              <w:widowControl/>
              <w:rPr>
                <w:szCs w:val="20"/>
              </w:rPr>
            </w:pPr>
          </w:p>
        </w:tc>
        <w:tc>
          <w:tcPr>
            <w:tcW w:w="1965" w:type="pct"/>
            <w:shd w:val="clear" w:color="auto" w:fill="DBE5F1" w:themeFill="accent1" w:themeFillTint="33"/>
            <w:vAlign w:val="center"/>
          </w:tcPr>
          <w:p w14:paraId="34F621F0" w14:textId="32994F46" w:rsidR="00E018E3" w:rsidRPr="000B09B9" w:rsidRDefault="00E018E3" w:rsidP="002B0564">
            <w:pPr>
              <w:pStyle w:val="TableText0"/>
              <w:keepNext/>
              <w:keepLines/>
              <w:widowControl/>
              <w:rPr>
                <w:szCs w:val="20"/>
              </w:rPr>
            </w:pPr>
            <w:r w:rsidRPr="000B09B9">
              <w:rPr>
                <w:szCs w:val="20"/>
              </w:rPr>
              <w:t>Applying 0.31 (average utility of LEMS patients from Harms et al) to non-responders</w:t>
            </w:r>
          </w:p>
        </w:tc>
        <w:tc>
          <w:tcPr>
            <w:tcW w:w="700" w:type="pct"/>
            <w:shd w:val="clear" w:color="auto" w:fill="DBE5F1" w:themeFill="accent1" w:themeFillTint="33"/>
            <w:vAlign w:val="center"/>
          </w:tcPr>
          <w:p w14:paraId="6180CDBA" w14:textId="77777777" w:rsidR="00E018E3" w:rsidRPr="00E928EF" w:rsidRDefault="00E928EF" w:rsidP="002B0564">
            <w:pPr>
              <w:pStyle w:val="TableText0"/>
              <w:keepNext/>
              <w:keepLines/>
              <w:widowControl/>
              <w:jc w:val="center"/>
              <w:rPr>
                <w:szCs w:val="20"/>
                <w:highlight w:val="black"/>
              </w:rPr>
            </w:pPr>
            <w:r>
              <w:rPr>
                <w:noProof/>
                <w:color w:val="000000"/>
                <w:szCs w:val="20"/>
                <w:highlight w:val="black"/>
              </w:rPr>
              <w:t>''''''''''''''''''''''''</w:t>
            </w:r>
          </w:p>
        </w:tc>
        <w:tc>
          <w:tcPr>
            <w:tcW w:w="701" w:type="pct"/>
            <w:shd w:val="clear" w:color="auto" w:fill="DBE5F1" w:themeFill="accent1" w:themeFillTint="33"/>
            <w:vAlign w:val="center"/>
          </w:tcPr>
          <w:p w14:paraId="256134BC" w14:textId="77777777" w:rsidR="00E018E3" w:rsidRPr="000B09B9" w:rsidRDefault="00E018E3" w:rsidP="002B0564">
            <w:pPr>
              <w:pStyle w:val="TableText0"/>
              <w:keepNext/>
              <w:keepLines/>
              <w:widowControl/>
              <w:jc w:val="center"/>
              <w:rPr>
                <w:szCs w:val="20"/>
              </w:rPr>
            </w:pPr>
            <w:r w:rsidRPr="000B09B9">
              <w:rPr>
                <w:szCs w:val="20"/>
              </w:rPr>
              <w:t>3.111</w:t>
            </w:r>
          </w:p>
        </w:tc>
        <w:tc>
          <w:tcPr>
            <w:tcW w:w="700" w:type="pct"/>
            <w:shd w:val="clear" w:color="auto" w:fill="DBE5F1" w:themeFill="accent1" w:themeFillTint="33"/>
            <w:vAlign w:val="center"/>
          </w:tcPr>
          <w:p w14:paraId="1D30D3CF" w14:textId="77777777" w:rsidR="00E018E3" w:rsidRPr="00E928EF" w:rsidRDefault="00E928EF" w:rsidP="002B0564">
            <w:pPr>
              <w:pStyle w:val="TableText0"/>
              <w:keepNext/>
              <w:keepLines/>
              <w:widowControl/>
              <w:jc w:val="center"/>
              <w:rPr>
                <w:szCs w:val="20"/>
              </w:rPr>
            </w:pPr>
            <w:r>
              <w:rPr>
                <w:noProof/>
                <w:color w:val="000000"/>
                <w:szCs w:val="20"/>
                <w:highlight w:val="black"/>
              </w:rPr>
              <w:t>''''''''''''''''''''''''</w:t>
            </w:r>
            <w:r w:rsidR="00F46A2D">
              <w:rPr>
                <w:szCs w:val="20"/>
                <w:vertAlign w:val="superscript"/>
              </w:rPr>
              <w:t>3</w:t>
            </w:r>
          </w:p>
        </w:tc>
        <w:tc>
          <w:tcPr>
            <w:tcW w:w="701" w:type="pct"/>
            <w:shd w:val="clear" w:color="auto" w:fill="DBE5F1" w:themeFill="accent1" w:themeFillTint="33"/>
            <w:vAlign w:val="center"/>
          </w:tcPr>
          <w:p w14:paraId="753A78EC" w14:textId="77777777" w:rsidR="00E018E3" w:rsidRPr="000B09B9" w:rsidRDefault="00E018E3" w:rsidP="002B0564">
            <w:pPr>
              <w:pStyle w:val="TableText0"/>
              <w:keepNext/>
              <w:keepLines/>
              <w:widowControl/>
              <w:jc w:val="center"/>
              <w:rPr>
                <w:szCs w:val="20"/>
              </w:rPr>
            </w:pPr>
            <w:r w:rsidRPr="000B09B9">
              <w:rPr>
                <w:szCs w:val="20"/>
              </w:rPr>
              <w:t>36%</w:t>
            </w:r>
          </w:p>
        </w:tc>
      </w:tr>
      <w:tr w:rsidR="00E018E3" w:rsidRPr="000B09B9" w14:paraId="2BFF2A40" w14:textId="77777777" w:rsidTr="00B01376">
        <w:tc>
          <w:tcPr>
            <w:tcW w:w="233" w:type="pct"/>
            <w:shd w:val="clear" w:color="auto" w:fill="auto"/>
            <w:vAlign w:val="center"/>
          </w:tcPr>
          <w:p w14:paraId="6710C9EF" w14:textId="77777777" w:rsidR="00E018E3" w:rsidRPr="000B09B9" w:rsidRDefault="00E018E3" w:rsidP="002B0564">
            <w:pPr>
              <w:pStyle w:val="TableText0"/>
              <w:keepNext/>
              <w:keepLines/>
              <w:widowControl/>
              <w:rPr>
                <w:szCs w:val="20"/>
              </w:rPr>
            </w:pPr>
          </w:p>
        </w:tc>
        <w:tc>
          <w:tcPr>
            <w:tcW w:w="1965" w:type="pct"/>
            <w:shd w:val="clear" w:color="auto" w:fill="auto"/>
            <w:vAlign w:val="center"/>
          </w:tcPr>
          <w:p w14:paraId="0A1FB630" w14:textId="6EF6D35C" w:rsidR="00E018E3" w:rsidRPr="000B09B9" w:rsidRDefault="00E018E3" w:rsidP="002B0564">
            <w:pPr>
              <w:pStyle w:val="TableText0"/>
              <w:keepNext/>
              <w:keepLines/>
              <w:widowControl/>
              <w:rPr>
                <w:szCs w:val="20"/>
              </w:rPr>
            </w:pPr>
            <w:r w:rsidRPr="000B09B9">
              <w:rPr>
                <w:szCs w:val="20"/>
              </w:rPr>
              <w:t>Applying utility gain of 0.346 as considered by the SMC</w:t>
            </w:r>
            <w:r w:rsidRPr="000B09B9">
              <w:rPr>
                <w:szCs w:val="20"/>
                <w:vertAlign w:val="superscript"/>
              </w:rPr>
              <w:t>b</w:t>
            </w:r>
          </w:p>
        </w:tc>
        <w:tc>
          <w:tcPr>
            <w:tcW w:w="700" w:type="pct"/>
            <w:shd w:val="clear" w:color="auto" w:fill="auto"/>
            <w:vAlign w:val="center"/>
          </w:tcPr>
          <w:p w14:paraId="7D9CF32D" w14:textId="77777777" w:rsidR="00E018E3" w:rsidRPr="00E928EF" w:rsidRDefault="00E928EF" w:rsidP="002B0564">
            <w:pPr>
              <w:pStyle w:val="TableText0"/>
              <w:keepNext/>
              <w:keepLines/>
              <w:widowControl/>
              <w:jc w:val="center"/>
              <w:rPr>
                <w:szCs w:val="20"/>
                <w:highlight w:val="black"/>
              </w:rPr>
            </w:pPr>
            <w:r>
              <w:rPr>
                <w:noProof/>
                <w:color w:val="000000"/>
                <w:szCs w:val="20"/>
                <w:highlight w:val="black"/>
              </w:rPr>
              <w:t>'''''''''''''''''''''''</w:t>
            </w:r>
          </w:p>
        </w:tc>
        <w:tc>
          <w:tcPr>
            <w:tcW w:w="701" w:type="pct"/>
            <w:shd w:val="clear" w:color="auto" w:fill="auto"/>
            <w:vAlign w:val="center"/>
          </w:tcPr>
          <w:p w14:paraId="0929F7D7" w14:textId="77777777" w:rsidR="00E018E3" w:rsidRPr="000B09B9" w:rsidRDefault="00E018E3" w:rsidP="002B0564">
            <w:pPr>
              <w:pStyle w:val="TableText0"/>
              <w:keepNext/>
              <w:keepLines/>
              <w:widowControl/>
              <w:jc w:val="center"/>
              <w:rPr>
                <w:szCs w:val="20"/>
              </w:rPr>
            </w:pPr>
            <w:r w:rsidRPr="000B09B9">
              <w:rPr>
                <w:szCs w:val="20"/>
              </w:rPr>
              <w:t>2.055</w:t>
            </w:r>
          </w:p>
        </w:tc>
        <w:tc>
          <w:tcPr>
            <w:tcW w:w="700" w:type="pct"/>
            <w:shd w:val="clear" w:color="auto" w:fill="auto"/>
            <w:vAlign w:val="center"/>
          </w:tcPr>
          <w:p w14:paraId="2A15BB90" w14:textId="77777777" w:rsidR="00E018E3" w:rsidRPr="00E928EF" w:rsidRDefault="00E928EF" w:rsidP="002B0564">
            <w:pPr>
              <w:pStyle w:val="TableText0"/>
              <w:keepNext/>
              <w:keepLines/>
              <w:widowControl/>
              <w:jc w:val="center"/>
              <w:rPr>
                <w:szCs w:val="20"/>
              </w:rPr>
            </w:pPr>
            <w:r>
              <w:rPr>
                <w:noProof/>
                <w:color w:val="000000"/>
                <w:szCs w:val="20"/>
                <w:highlight w:val="black"/>
              </w:rPr>
              <w:t>'''''''''''''''''''''''</w:t>
            </w:r>
            <w:r w:rsidR="00F46A2D">
              <w:rPr>
                <w:szCs w:val="20"/>
                <w:vertAlign w:val="superscript"/>
              </w:rPr>
              <w:t>3</w:t>
            </w:r>
          </w:p>
        </w:tc>
        <w:tc>
          <w:tcPr>
            <w:tcW w:w="701" w:type="pct"/>
            <w:shd w:val="clear" w:color="auto" w:fill="auto"/>
            <w:vAlign w:val="center"/>
          </w:tcPr>
          <w:p w14:paraId="1EC94F98" w14:textId="77777777" w:rsidR="00E018E3" w:rsidRPr="000B09B9" w:rsidRDefault="00E018E3" w:rsidP="002B0564">
            <w:pPr>
              <w:pStyle w:val="TableText0"/>
              <w:keepNext/>
              <w:keepLines/>
              <w:widowControl/>
              <w:jc w:val="center"/>
              <w:rPr>
                <w:szCs w:val="20"/>
              </w:rPr>
            </w:pPr>
            <w:r w:rsidRPr="000B09B9">
              <w:rPr>
                <w:szCs w:val="20"/>
              </w:rPr>
              <w:t>106%</w:t>
            </w:r>
          </w:p>
        </w:tc>
      </w:tr>
      <w:tr w:rsidR="00E018E3" w:rsidRPr="000B09B9" w14:paraId="765573B1" w14:textId="77777777" w:rsidTr="00B01376">
        <w:tc>
          <w:tcPr>
            <w:tcW w:w="233" w:type="pct"/>
            <w:shd w:val="clear" w:color="auto" w:fill="auto"/>
            <w:vAlign w:val="center"/>
          </w:tcPr>
          <w:p w14:paraId="77049D48" w14:textId="77777777" w:rsidR="00E018E3" w:rsidRPr="000B09B9" w:rsidRDefault="00E018E3" w:rsidP="002B0564">
            <w:pPr>
              <w:pStyle w:val="TableText0"/>
              <w:keepNext/>
              <w:keepLines/>
              <w:widowControl/>
              <w:rPr>
                <w:b/>
                <w:bCs w:val="0"/>
                <w:szCs w:val="20"/>
              </w:rPr>
            </w:pPr>
            <w:r w:rsidRPr="000B09B9">
              <w:rPr>
                <w:b/>
                <w:bCs w:val="0"/>
                <w:szCs w:val="20"/>
              </w:rPr>
              <w:t>(3)</w:t>
            </w:r>
          </w:p>
        </w:tc>
        <w:tc>
          <w:tcPr>
            <w:tcW w:w="1965" w:type="pct"/>
            <w:shd w:val="clear" w:color="auto" w:fill="auto"/>
            <w:vAlign w:val="center"/>
          </w:tcPr>
          <w:p w14:paraId="0712D0AA" w14:textId="77777777" w:rsidR="00E018E3" w:rsidRPr="000B09B9" w:rsidRDefault="00E018E3" w:rsidP="002B0564">
            <w:pPr>
              <w:pStyle w:val="TableText0"/>
              <w:keepNext/>
              <w:keepLines/>
              <w:widowControl/>
              <w:rPr>
                <w:b/>
                <w:bCs w:val="0"/>
                <w:szCs w:val="20"/>
              </w:rPr>
            </w:pPr>
            <w:r w:rsidRPr="000B09B9">
              <w:rPr>
                <w:b/>
                <w:bCs w:val="0"/>
                <w:szCs w:val="20"/>
              </w:rPr>
              <w:t>Dosing</w:t>
            </w:r>
          </w:p>
        </w:tc>
        <w:tc>
          <w:tcPr>
            <w:tcW w:w="700" w:type="pct"/>
            <w:shd w:val="clear" w:color="auto" w:fill="auto"/>
            <w:vAlign w:val="center"/>
          </w:tcPr>
          <w:p w14:paraId="77DBC6D2" w14:textId="77777777" w:rsidR="00E018E3" w:rsidRPr="00E928EF" w:rsidRDefault="00E018E3" w:rsidP="002B0564">
            <w:pPr>
              <w:pStyle w:val="TableText0"/>
              <w:keepNext/>
              <w:keepLines/>
              <w:widowControl/>
              <w:jc w:val="center"/>
              <w:rPr>
                <w:szCs w:val="20"/>
              </w:rPr>
            </w:pPr>
          </w:p>
        </w:tc>
        <w:tc>
          <w:tcPr>
            <w:tcW w:w="701" w:type="pct"/>
            <w:shd w:val="clear" w:color="auto" w:fill="auto"/>
            <w:vAlign w:val="center"/>
          </w:tcPr>
          <w:p w14:paraId="456767EA" w14:textId="77777777" w:rsidR="00E018E3" w:rsidRPr="000B09B9" w:rsidRDefault="00E018E3" w:rsidP="002B0564">
            <w:pPr>
              <w:pStyle w:val="TableText0"/>
              <w:keepNext/>
              <w:keepLines/>
              <w:widowControl/>
              <w:jc w:val="center"/>
              <w:rPr>
                <w:szCs w:val="20"/>
              </w:rPr>
            </w:pPr>
          </w:p>
        </w:tc>
        <w:tc>
          <w:tcPr>
            <w:tcW w:w="700" w:type="pct"/>
            <w:shd w:val="clear" w:color="auto" w:fill="auto"/>
            <w:vAlign w:val="center"/>
          </w:tcPr>
          <w:p w14:paraId="2B0A5F24" w14:textId="77777777" w:rsidR="00E018E3" w:rsidRPr="00E928EF" w:rsidRDefault="00E018E3" w:rsidP="002B0564">
            <w:pPr>
              <w:pStyle w:val="TableText0"/>
              <w:keepNext/>
              <w:keepLines/>
              <w:widowControl/>
              <w:jc w:val="center"/>
              <w:rPr>
                <w:szCs w:val="20"/>
              </w:rPr>
            </w:pPr>
          </w:p>
        </w:tc>
        <w:tc>
          <w:tcPr>
            <w:tcW w:w="701" w:type="pct"/>
            <w:shd w:val="clear" w:color="auto" w:fill="auto"/>
            <w:vAlign w:val="center"/>
          </w:tcPr>
          <w:p w14:paraId="47F0A778" w14:textId="77777777" w:rsidR="00E018E3" w:rsidRPr="000B09B9" w:rsidRDefault="00E018E3" w:rsidP="002B0564">
            <w:pPr>
              <w:pStyle w:val="TableText0"/>
              <w:keepNext/>
              <w:keepLines/>
              <w:widowControl/>
              <w:jc w:val="center"/>
              <w:rPr>
                <w:szCs w:val="20"/>
              </w:rPr>
            </w:pPr>
          </w:p>
        </w:tc>
      </w:tr>
      <w:tr w:rsidR="00E018E3" w:rsidRPr="000B09B9" w14:paraId="17AD2296" w14:textId="77777777" w:rsidTr="00B01376">
        <w:tc>
          <w:tcPr>
            <w:tcW w:w="233" w:type="pct"/>
            <w:shd w:val="clear" w:color="auto" w:fill="auto"/>
            <w:vAlign w:val="center"/>
          </w:tcPr>
          <w:p w14:paraId="474449FB" w14:textId="77777777" w:rsidR="00E018E3" w:rsidRPr="000B09B9" w:rsidRDefault="00E018E3" w:rsidP="002B0564">
            <w:pPr>
              <w:pStyle w:val="TableText0"/>
              <w:keepNext/>
              <w:keepLines/>
              <w:widowControl/>
              <w:rPr>
                <w:szCs w:val="20"/>
              </w:rPr>
            </w:pPr>
          </w:p>
        </w:tc>
        <w:tc>
          <w:tcPr>
            <w:tcW w:w="1965" w:type="pct"/>
            <w:shd w:val="clear" w:color="auto" w:fill="auto"/>
            <w:vAlign w:val="center"/>
          </w:tcPr>
          <w:p w14:paraId="21D7059E" w14:textId="400EDA33" w:rsidR="00E018E3" w:rsidRPr="000B09B9" w:rsidRDefault="00E018E3" w:rsidP="002B0564">
            <w:pPr>
              <w:pStyle w:val="TableText0"/>
              <w:keepNext/>
              <w:keepLines/>
              <w:widowControl/>
              <w:rPr>
                <w:szCs w:val="20"/>
              </w:rPr>
            </w:pPr>
            <w:r w:rsidRPr="000B09B9">
              <w:rPr>
                <w:szCs w:val="20"/>
              </w:rPr>
              <w:t>No dose escalation – dose of 7.5 tablets daily (based on mean daily dose in the DAPPER trial)</w:t>
            </w:r>
          </w:p>
        </w:tc>
        <w:tc>
          <w:tcPr>
            <w:tcW w:w="700" w:type="pct"/>
            <w:shd w:val="clear" w:color="auto" w:fill="auto"/>
            <w:vAlign w:val="center"/>
          </w:tcPr>
          <w:p w14:paraId="50FF334C" w14:textId="77777777" w:rsidR="00E018E3" w:rsidRPr="00E928EF" w:rsidRDefault="00E928EF" w:rsidP="002B0564">
            <w:pPr>
              <w:pStyle w:val="TableText0"/>
              <w:keepNext/>
              <w:keepLines/>
              <w:widowControl/>
              <w:jc w:val="center"/>
              <w:rPr>
                <w:iCs/>
                <w:color w:val="FF0000"/>
                <w:szCs w:val="20"/>
                <w:highlight w:val="black"/>
              </w:rPr>
            </w:pPr>
            <w:r>
              <w:rPr>
                <w:noProof/>
                <w:color w:val="000000"/>
                <w:szCs w:val="20"/>
                <w:highlight w:val="black"/>
              </w:rPr>
              <w:t>''''''''''''''''''''''''</w:t>
            </w:r>
          </w:p>
        </w:tc>
        <w:tc>
          <w:tcPr>
            <w:tcW w:w="701" w:type="pct"/>
            <w:shd w:val="clear" w:color="auto" w:fill="auto"/>
            <w:vAlign w:val="center"/>
          </w:tcPr>
          <w:p w14:paraId="695FCD96" w14:textId="77777777" w:rsidR="00E018E3" w:rsidRPr="000B09B9" w:rsidRDefault="00E018E3" w:rsidP="002B0564">
            <w:pPr>
              <w:pStyle w:val="TableText0"/>
              <w:keepNext/>
              <w:keepLines/>
              <w:widowControl/>
              <w:jc w:val="center"/>
              <w:rPr>
                <w:iCs/>
                <w:color w:val="FF0000"/>
                <w:szCs w:val="20"/>
              </w:rPr>
            </w:pPr>
            <w:r w:rsidRPr="000B09B9">
              <w:rPr>
                <w:szCs w:val="20"/>
              </w:rPr>
              <w:t>4.226</w:t>
            </w:r>
          </w:p>
        </w:tc>
        <w:tc>
          <w:tcPr>
            <w:tcW w:w="700" w:type="pct"/>
            <w:shd w:val="clear" w:color="auto" w:fill="auto"/>
            <w:vAlign w:val="center"/>
          </w:tcPr>
          <w:p w14:paraId="1B5EF1AD" w14:textId="77777777" w:rsidR="00E018E3" w:rsidRPr="00E928EF" w:rsidRDefault="00E928EF" w:rsidP="002B0564">
            <w:pPr>
              <w:pStyle w:val="TableText0"/>
              <w:keepNext/>
              <w:keepLines/>
              <w:widowControl/>
              <w:jc w:val="center"/>
              <w:rPr>
                <w:iCs/>
                <w:color w:val="FF0000"/>
                <w:szCs w:val="20"/>
              </w:rPr>
            </w:pPr>
            <w:r>
              <w:rPr>
                <w:noProof/>
                <w:color w:val="000000"/>
                <w:szCs w:val="20"/>
                <w:highlight w:val="black"/>
              </w:rPr>
              <w:t>''''''''''''''''''''</w:t>
            </w:r>
            <w:r w:rsidR="00F46A2D">
              <w:rPr>
                <w:szCs w:val="20"/>
                <w:vertAlign w:val="superscript"/>
              </w:rPr>
              <w:t>3</w:t>
            </w:r>
          </w:p>
        </w:tc>
        <w:tc>
          <w:tcPr>
            <w:tcW w:w="701" w:type="pct"/>
            <w:shd w:val="clear" w:color="auto" w:fill="auto"/>
            <w:vAlign w:val="center"/>
          </w:tcPr>
          <w:p w14:paraId="246A28D4" w14:textId="77777777" w:rsidR="00E018E3" w:rsidRPr="000B09B9" w:rsidRDefault="00E018E3" w:rsidP="002B0564">
            <w:pPr>
              <w:pStyle w:val="TableText0"/>
              <w:keepNext/>
              <w:keepLines/>
              <w:widowControl/>
              <w:jc w:val="center"/>
              <w:rPr>
                <w:iCs/>
                <w:color w:val="FF0000"/>
                <w:szCs w:val="20"/>
              </w:rPr>
            </w:pPr>
            <w:r w:rsidRPr="000B09B9">
              <w:rPr>
                <w:szCs w:val="20"/>
              </w:rPr>
              <w:t>42%</w:t>
            </w:r>
          </w:p>
        </w:tc>
      </w:tr>
      <w:tr w:rsidR="00752B6B" w:rsidRPr="000B09B9" w14:paraId="077681B4" w14:textId="77777777" w:rsidTr="00B01376">
        <w:tc>
          <w:tcPr>
            <w:tcW w:w="233" w:type="pct"/>
            <w:shd w:val="clear" w:color="auto" w:fill="DBE5F1" w:themeFill="accent1" w:themeFillTint="33"/>
            <w:vAlign w:val="center"/>
          </w:tcPr>
          <w:p w14:paraId="6814989A" w14:textId="77777777" w:rsidR="00E018E3" w:rsidRPr="000B09B9" w:rsidRDefault="00E018E3" w:rsidP="002B0564">
            <w:pPr>
              <w:pStyle w:val="TableText0"/>
              <w:keepNext/>
              <w:keepLines/>
              <w:widowControl/>
              <w:rPr>
                <w:szCs w:val="20"/>
              </w:rPr>
            </w:pPr>
          </w:p>
        </w:tc>
        <w:tc>
          <w:tcPr>
            <w:tcW w:w="1965" w:type="pct"/>
            <w:shd w:val="clear" w:color="auto" w:fill="DBE5F1" w:themeFill="accent1" w:themeFillTint="33"/>
            <w:vAlign w:val="center"/>
          </w:tcPr>
          <w:p w14:paraId="792F2A0D" w14:textId="673A5C88" w:rsidR="00E018E3" w:rsidRPr="000B09B9" w:rsidRDefault="00E018E3" w:rsidP="002B0564">
            <w:pPr>
              <w:pStyle w:val="TableText0"/>
              <w:keepNext/>
              <w:keepLines/>
              <w:widowControl/>
              <w:rPr>
                <w:b/>
                <w:szCs w:val="20"/>
              </w:rPr>
            </w:pPr>
            <w:r w:rsidRPr="000B09B9">
              <w:rPr>
                <w:szCs w:val="20"/>
              </w:rPr>
              <w:t>Dose escalation from 2.5 to 6.85 within a 3-month time frame (remains constant thereafter)</w:t>
            </w:r>
            <w:r w:rsidRPr="000B09B9">
              <w:rPr>
                <w:szCs w:val="20"/>
                <w:vertAlign w:val="superscript"/>
              </w:rPr>
              <w:t>c</w:t>
            </w:r>
          </w:p>
        </w:tc>
        <w:tc>
          <w:tcPr>
            <w:tcW w:w="700" w:type="pct"/>
            <w:shd w:val="clear" w:color="auto" w:fill="DBE5F1" w:themeFill="accent1" w:themeFillTint="33"/>
            <w:vAlign w:val="center"/>
          </w:tcPr>
          <w:p w14:paraId="216D3A52" w14:textId="77777777" w:rsidR="00E018E3" w:rsidRPr="00E928EF" w:rsidRDefault="00E928EF" w:rsidP="002B0564">
            <w:pPr>
              <w:pStyle w:val="TableText0"/>
              <w:keepNext/>
              <w:keepLines/>
              <w:widowControl/>
              <w:jc w:val="center"/>
              <w:rPr>
                <w:b/>
                <w:iCs/>
                <w:color w:val="FF0000"/>
                <w:szCs w:val="20"/>
                <w:highlight w:val="black"/>
              </w:rPr>
            </w:pPr>
            <w:r>
              <w:rPr>
                <w:noProof/>
                <w:color w:val="000000"/>
                <w:szCs w:val="20"/>
                <w:highlight w:val="black"/>
              </w:rPr>
              <w:t>'''''''''''''''''''''''</w:t>
            </w:r>
          </w:p>
        </w:tc>
        <w:tc>
          <w:tcPr>
            <w:tcW w:w="701" w:type="pct"/>
            <w:shd w:val="clear" w:color="auto" w:fill="DBE5F1" w:themeFill="accent1" w:themeFillTint="33"/>
            <w:vAlign w:val="center"/>
          </w:tcPr>
          <w:p w14:paraId="76633088" w14:textId="77777777" w:rsidR="00E018E3" w:rsidRPr="000B09B9" w:rsidRDefault="00E018E3" w:rsidP="002B0564">
            <w:pPr>
              <w:pStyle w:val="TableText0"/>
              <w:keepNext/>
              <w:keepLines/>
              <w:widowControl/>
              <w:jc w:val="center"/>
              <w:rPr>
                <w:b/>
                <w:iCs/>
                <w:color w:val="FF0000"/>
                <w:szCs w:val="20"/>
              </w:rPr>
            </w:pPr>
            <w:r w:rsidRPr="000B09B9">
              <w:rPr>
                <w:szCs w:val="20"/>
              </w:rPr>
              <w:t>4.226</w:t>
            </w:r>
          </w:p>
        </w:tc>
        <w:tc>
          <w:tcPr>
            <w:tcW w:w="700" w:type="pct"/>
            <w:shd w:val="clear" w:color="auto" w:fill="DBE5F1" w:themeFill="accent1" w:themeFillTint="33"/>
            <w:vAlign w:val="center"/>
          </w:tcPr>
          <w:p w14:paraId="5649BBF4" w14:textId="77777777" w:rsidR="00E018E3" w:rsidRPr="00E928EF" w:rsidRDefault="00E928EF" w:rsidP="002B0564">
            <w:pPr>
              <w:pStyle w:val="TableText0"/>
              <w:keepNext/>
              <w:keepLines/>
              <w:widowControl/>
              <w:jc w:val="center"/>
              <w:rPr>
                <w:b/>
                <w:iCs/>
                <w:color w:val="FF0000"/>
                <w:szCs w:val="20"/>
              </w:rPr>
            </w:pPr>
            <w:r>
              <w:rPr>
                <w:noProof/>
                <w:color w:val="000000"/>
                <w:szCs w:val="20"/>
                <w:highlight w:val="black"/>
              </w:rPr>
              <w:t>'''''''''''''''''''''</w:t>
            </w:r>
            <w:r w:rsidR="00F46A2D">
              <w:rPr>
                <w:szCs w:val="20"/>
                <w:vertAlign w:val="superscript"/>
              </w:rPr>
              <w:t>3</w:t>
            </w:r>
          </w:p>
        </w:tc>
        <w:tc>
          <w:tcPr>
            <w:tcW w:w="701" w:type="pct"/>
            <w:shd w:val="clear" w:color="auto" w:fill="DBE5F1" w:themeFill="accent1" w:themeFillTint="33"/>
            <w:vAlign w:val="center"/>
          </w:tcPr>
          <w:p w14:paraId="65BC64DE" w14:textId="77777777" w:rsidR="00E018E3" w:rsidRPr="000B09B9" w:rsidRDefault="00E018E3" w:rsidP="002B0564">
            <w:pPr>
              <w:pStyle w:val="TableText0"/>
              <w:keepNext/>
              <w:keepLines/>
              <w:widowControl/>
              <w:jc w:val="center"/>
              <w:rPr>
                <w:b/>
                <w:iCs/>
                <w:color w:val="FF0000"/>
                <w:szCs w:val="20"/>
              </w:rPr>
            </w:pPr>
            <w:r w:rsidRPr="000B09B9">
              <w:rPr>
                <w:szCs w:val="20"/>
              </w:rPr>
              <w:t>27%</w:t>
            </w:r>
          </w:p>
        </w:tc>
      </w:tr>
      <w:tr w:rsidR="00E018E3" w:rsidRPr="000B09B9" w14:paraId="50369440" w14:textId="77777777" w:rsidTr="00B01376">
        <w:tc>
          <w:tcPr>
            <w:tcW w:w="233" w:type="pct"/>
            <w:shd w:val="clear" w:color="auto" w:fill="auto"/>
            <w:vAlign w:val="center"/>
          </w:tcPr>
          <w:p w14:paraId="685A7CD4" w14:textId="77777777" w:rsidR="00E018E3" w:rsidRPr="000B09B9" w:rsidRDefault="00E018E3" w:rsidP="002B0564">
            <w:pPr>
              <w:pStyle w:val="TableText0"/>
              <w:keepNext/>
              <w:keepLines/>
              <w:widowControl/>
              <w:rPr>
                <w:szCs w:val="20"/>
              </w:rPr>
            </w:pPr>
          </w:p>
        </w:tc>
        <w:tc>
          <w:tcPr>
            <w:tcW w:w="1965" w:type="pct"/>
            <w:shd w:val="clear" w:color="auto" w:fill="auto"/>
            <w:vAlign w:val="center"/>
          </w:tcPr>
          <w:p w14:paraId="7273B1D2" w14:textId="2D833839" w:rsidR="00E018E3" w:rsidRPr="000B09B9" w:rsidRDefault="00E018E3" w:rsidP="002B0564">
            <w:pPr>
              <w:pStyle w:val="TableText0"/>
              <w:keepNext/>
              <w:keepLines/>
              <w:widowControl/>
              <w:rPr>
                <w:szCs w:val="20"/>
              </w:rPr>
            </w:pPr>
            <w:r w:rsidRPr="000B09B9">
              <w:rPr>
                <w:szCs w:val="20"/>
              </w:rPr>
              <w:t xml:space="preserve">Dose escalation from 2.5 to 10 </w:t>
            </w:r>
            <w:r w:rsidR="004F74C2" w:rsidRPr="000B09B9">
              <w:rPr>
                <w:szCs w:val="20"/>
              </w:rPr>
              <w:t xml:space="preserve">(maximum dose from sponsor-initiated survey) </w:t>
            </w:r>
            <w:r w:rsidRPr="000B09B9">
              <w:rPr>
                <w:szCs w:val="20"/>
              </w:rPr>
              <w:t>within a 3-month time frame (remains constant thereafter)</w:t>
            </w:r>
            <w:r w:rsidRPr="000B09B9">
              <w:rPr>
                <w:szCs w:val="20"/>
                <w:vertAlign w:val="superscript"/>
              </w:rPr>
              <w:t>c</w:t>
            </w:r>
          </w:p>
        </w:tc>
        <w:tc>
          <w:tcPr>
            <w:tcW w:w="700" w:type="pct"/>
            <w:shd w:val="clear" w:color="auto" w:fill="auto"/>
            <w:vAlign w:val="center"/>
          </w:tcPr>
          <w:p w14:paraId="5B79B934" w14:textId="77777777" w:rsidR="00E018E3" w:rsidRPr="00E928EF" w:rsidRDefault="00E928EF" w:rsidP="002B0564">
            <w:pPr>
              <w:pStyle w:val="TableText0"/>
              <w:keepNext/>
              <w:keepLines/>
              <w:widowControl/>
              <w:jc w:val="center"/>
              <w:rPr>
                <w:szCs w:val="20"/>
                <w:highlight w:val="black"/>
              </w:rPr>
            </w:pPr>
            <w:r>
              <w:rPr>
                <w:noProof/>
                <w:color w:val="000000"/>
                <w:szCs w:val="20"/>
                <w:highlight w:val="black"/>
              </w:rPr>
              <w:t>''''''''''''''''''''</w:t>
            </w:r>
          </w:p>
        </w:tc>
        <w:tc>
          <w:tcPr>
            <w:tcW w:w="701" w:type="pct"/>
            <w:shd w:val="clear" w:color="auto" w:fill="auto"/>
            <w:vAlign w:val="center"/>
          </w:tcPr>
          <w:p w14:paraId="67C2D9BA" w14:textId="77777777" w:rsidR="00E018E3" w:rsidRPr="000B09B9" w:rsidRDefault="00E018E3" w:rsidP="002B0564">
            <w:pPr>
              <w:pStyle w:val="TableText0"/>
              <w:keepNext/>
              <w:keepLines/>
              <w:widowControl/>
              <w:jc w:val="center"/>
              <w:rPr>
                <w:szCs w:val="20"/>
              </w:rPr>
            </w:pPr>
            <w:r w:rsidRPr="000B09B9">
              <w:rPr>
                <w:szCs w:val="20"/>
              </w:rPr>
              <w:t>4.226</w:t>
            </w:r>
          </w:p>
        </w:tc>
        <w:tc>
          <w:tcPr>
            <w:tcW w:w="700" w:type="pct"/>
            <w:shd w:val="clear" w:color="auto" w:fill="auto"/>
            <w:vAlign w:val="center"/>
          </w:tcPr>
          <w:p w14:paraId="3927AC9B" w14:textId="77777777" w:rsidR="00E018E3" w:rsidRPr="00E928EF" w:rsidRDefault="00E928EF" w:rsidP="002B0564">
            <w:pPr>
              <w:pStyle w:val="TableText0"/>
              <w:keepNext/>
              <w:keepLines/>
              <w:widowControl/>
              <w:jc w:val="center"/>
              <w:rPr>
                <w:szCs w:val="20"/>
              </w:rPr>
            </w:pPr>
            <w:r>
              <w:rPr>
                <w:noProof/>
                <w:color w:val="000000"/>
                <w:szCs w:val="20"/>
                <w:highlight w:val="black"/>
              </w:rPr>
              <w:t>'''''''''''''''''''''''</w:t>
            </w:r>
            <w:r w:rsidR="00F46A2D">
              <w:rPr>
                <w:szCs w:val="20"/>
                <w:vertAlign w:val="superscript"/>
              </w:rPr>
              <w:t>3</w:t>
            </w:r>
          </w:p>
        </w:tc>
        <w:tc>
          <w:tcPr>
            <w:tcW w:w="701" w:type="pct"/>
            <w:shd w:val="clear" w:color="auto" w:fill="auto"/>
            <w:vAlign w:val="center"/>
          </w:tcPr>
          <w:p w14:paraId="42158FB3" w14:textId="77777777" w:rsidR="00E018E3" w:rsidRPr="000B09B9" w:rsidRDefault="00E018E3" w:rsidP="002B0564">
            <w:pPr>
              <w:pStyle w:val="TableText0"/>
              <w:keepNext/>
              <w:keepLines/>
              <w:widowControl/>
              <w:jc w:val="center"/>
              <w:rPr>
                <w:szCs w:val="20"/>
              </w:rPr>
            </w:pPr>
            <w:r w:rsidRPr="000B09B9">
              <w:rPr>
                <w:szCs w:val="20"/>
              </w:rPr>
              <w:t>85%</w:t>
            </w:r>
          </w:p>
        </w:tc>
      </w:tr>
      <w:tr w:rsidR="00E018E3" w:rsidRPr="000B09B9" w14:paraId="578F69D0" w14:textId="77777777" w:rsidTr="00B01376">
        <w:tc>
          <w:tcPr>
            <w:tcW w:w="233" w:type="pct"/>
            <w:shd w:val="clear" w:color="auto" w:fill="auto"/>
            <w:vAlign w:val="center"/>
          </w:tcPr>
          <w:p w14:paraId="58E24D5D" w14:textId="77777777" w:rsidR="00E018E3" w:rsidRPr="000B09B9" w:rsidRDefault="00E018E3" w:rsidP="002B0564">
            <w:pPr>
              <w:pStyle w:val="TableText0"/>
              <w:keepNext/>
              <w:keepLines/>
              <w:widowControl/>
              <w:rPr>
                <w:b/>
                <w:bCs w:val="0"/>
                <w:szCs w:val="20"/>
              </w:rPr>
            </w:pPr>
            <w:r w:rsidRPr="000B09B9">
              <w:rPr>
                <w:b/>
                <w:bCs w:val="0"/>
                <w:szCs w:val="20"/>
              </w:rPr>
              <w:t>(4)</w:t>
            </w:r>
          </w:p>
        </w:tc>
        <w:tc>
          <w:tcPr>
            <w:tcW w:w="1965" w:type="pct"/>
            <w:shd w:val="clear" w:color="auto" w:fill="auto"/>
            <w:vAlign w:val="center"/>
          </w:tcPr>
          <w:p w14:paraId="7CBEDB1F" w14:textId="77777777" w:rsidR="00E018E3" w:rsidRPr="000B09B9" w:rsidRDefault="00E018E3" w:rsidP="002B0564">
            <w:pPr>
              <w:pStyle w:val="TableText0"/>
              <w:keepNext/>
              <w:keepLines/>
              <w:widowControl/>
              <w:rPr>
                <w:b/>
                <w:bCs w:val="0"/>
                <w:szCs w:val="20"/>
              </w:rPr>
            </w:pPr>
            <w:r w:rsidRPr="000B09B9">
              <w:rPr>
                <w:b/>
                <w:bCs w:val="0"/>
                <w:szCs w:val="20"/>
              </w:rPr>
              <w:t>Discontinuation rate</w:t>
            </w:r>
          </w:p>
        </w:tc>
        <w:tc>
          <w:tcPr>
            <w:tcW w:w="700" w:type="pct"/>
            <w:shd w:val="clear" w:color="auto" w:fill="auto"/>
            <w:vAlign w:val="center"/>
          </w:tcPr>
          <w:p w14:paraId="40E93B82" w14:textId="77777777" w:rsidR="00E018E3" w:rsidRPr="00E928EF" w:rsidRDefault="00E018E3" w:rsidP="002B0564">
            <w:pPr>
              <w:pStyle w:val="TableText0"/>
              <w:keepNext/>
              <w:keepLines/>
              <w:widowControl/>
              <w:jc w:val="center"/>
              <w:rPr>
                <w:szCs w:val="20"/>
              </w:rPr>
            </w:pPr>
          </w:p>
        </w:tc>
        <w:tc>
          <w:tcPr>
            <w:tcW w:w="701" w:type="pct"/>
            <w:shd w:val="clear" w:color="auto" w:fill="auto"/>
            <w:vAlign w:val="center"/>
          </w:tcPr>
          <w:p w14:paraId="4E9CBED2" w14:textId="77777777" w:rsidR="00E018E3" w:rsidRPr="000B09B9" w:rsidRDefault="00E018E3" w:rsidP="002B0564">
            <w:pPr>
              <w:pStyle w:val="TableText0"/>
              <w:keepNext/>
              <w:keepLines/>
              <w:widowControl/>
              <w:jc w:val="center"/>
              <w:rPr>
                <w:szCs w:val="20"/>
              </w:rPr>
            </w:pPr>
          </w:p>
        </w:tc>
        <w:tc>
          <w:tcPr>
            <w:tcW w:w="700" w:type="pct"/>
            <w:shd w:val="clear" w:color="auto" w:fill="auto"/>
            <w:vAlign w:val="center"/>
          </w:tcPr>
          <w:p w14:paraId="6E515AE6" w14:textId="77777777" w:rsidR="00E018E3" w:rsidRPr="000B09B9" w:rsidRDefault="00E018E3" w:rsidP="002B0564">
            <w:pPr>
              <w:pStyle w:val="TableText0"/>
              <w:keepNext/>
              <w:keepLines/>
              <w:widowControl/>
              <w:jc w:val="center"/>
              <w:rPr>
                <w:szCs w:val="20"/>
              </w:rPr>
            </w:pPr>
          </w:p>
        </w:tc>
        <w:tc>
          <w:tcPr>
            <w:tcW w:w="701" w:type="pct"/>
            <w:shd w:val="clear" w:color="auto" w:fill="auto"/>
            <w:vAlign w:val="center"/>
          </w:tcPr>
          <w:p w14:paraId="421916E0" w14:textId="77777777" w:rsidR="00E018E3" w:rsidRPr="000B09B9" w:rsidRDefault="00E018E3" w:rsidP="002B0564">
            <w:pPr>
              <w:pStyle w:val="TableText0"/>
              <w:keepNext/>
              <w:keepLines/>
              <w:widowControl/>
              <w:jc w:val="center"/>
              <w:rPr>
                <w:szCs w:val="20"/>
              </w:rPr>
            </w:pPr>
          </w:p>
        </w:tc>
      </w:tr>
      <w:tr w:rsidR="00D6663D" w:rsidRPr="000B09B9" w14:paraId="7B727923" w14:textId="77777777" w:rsidTr="00B01376">
        <w:tc>
          <w:tcPr>
            <w:tcW w:w="233" w:type="pct"/>
            <w:shd w:val="clear" w:color="auto" w:fill="DBE5F1" w:themeFill="accent1" w:themeFillTint="33"/>
            <w:vAlign w:val="center"/>
          </w:tcPr>
          <w:p w14:paraId="33DB339E" w14:textId="77777777" w:rsidR="00E018E3" w:rsidRPr="000B09B9" w:rsidRDefault="00E018E3" w:rsidP="002B0564">
            <w:pPr>
              <w:pStyle w:val="TableText0"/>
              <w:keepNext/>
              <w:keepLines/>
              <w:widowControl/>
              <w:rPr>
                <w:szCs w:val="20"/>
              </w:rPr>
            </w:pPr>
          </w:p>
        </w:tc>
        <w:tc>
          <w:tcPr>
            <w:tcW w:w="1965" w:type="pct"/>
            <w:shd w:val="clear" w:color="auto" w:fill="DBE5F1" w:themeFill="accent1" w:themeFillTint="33"/>
            <w:vAlign w:val="center"/>
          </w:tcPr>
          <w:p w14:paraId="7B58132E" w14:textId="77777777" w:rsidR="00E018E3" w:rsidRPr="000B09B9" w:rsidRDefault="00E018E3" w:rsidP="002B0564">
            <w:pPr>
              <w:pStyle w:val="TableText0"/>
              <w:keepNext/>
              <w:keepLines/>
              <w:widowControl/>
              <w:rPr>
                <w:szCs w:val="20"/>
              </w:rPr>
            </w:pPr>
            <w:r w:rsidRPr="000B09B9">
              <w:t>Responder rate of 89% (proxy for assumed discontinuation rate of 11%)</w:t>
            </w:r>
          </w:p>
        </w:tc>
        <w:tc>
          <w:tcPr>
            <w:tcW w:w="700" w:type="pct"/>
            <w:shd w:val="clear" w:color="auto" w:fill="DBE5F1" w:themeFill="accent1" w:themeFillTint="33"/>
            <w:vAlign w:val="center"/>
          </w:tcPr>
          <w:p w14:paraId="7CE4C34B" w14:textId="77777777" w:rsidR="00E018E3" w:rsidRPr="00E928EF" w:rsidRDefault="00E928EF" w:rsidP="002B0564">
            <w:pPr>
              <w:pStyle w:val="TableText0"/>
              <w:keepNext/>
              <w:keepLines/>
              <w:widowControl/>
              <w:jc w:val="center"/>
              <w:rPr>
                <w:szCs w:val="20"/>
                <w:highlight w:val="black"/>
              </w:rPr>
            </w:pPr>
            <w:r>
              <w:rPr>
                <w:noProof/>
                <w:color w:val="000000"/>
                <w:highlight w:val="black"/>
              </w:rPr>
              <w:t>'''''''''''''''''''''''</w:t>
            </w:r>
          </w:p>
        </w:tc>
        <w:tc>
          <w:tcPr>
            <w:tcW w:w="701" w:type="pct"/>
            <w:shd w:val="clear" w:color="auto" w:fill="DBE5F1" w:themeFill="accent1" w:themeFillTint="33"/>
            <w:vAlign w:val="center"/>
          </w:tcPr>
          <w:p w14:paraId="6F25108D" w14:textId="77777777" w:rsidR="00E018E3" w:rsidRPr="000B09B9" w:rsidRDefault="00E018E3" w:rsidP="002B0564">
            <w:pPr>
              <w:pStyle w:val="TableText0"/>
              <w:keepNext/>
              <w:keepLines/>
              <w:widowControl/>
              <w:jc w:val="center"/>
              <w:rPr>
                <w:szCs w:val="20"/>
              </w:rPr>
            </w:pPr>
            <w:r w:rsidRPr="000B09B9">
              <w:t>3.709</w:t>
            </w:r>
          </w:p>
        </w:tc>
        <w:tc>
          <w:tcPr>
            <w:tcW w:w="700" w:type="pct"/>
            <w:shd w:val="clear" w:color="auto" w:fill="DBE5F1" w:themeFill="accent1" w:themeFillTint="33"/>
            <w:vAlign w:val="center"/>
          </w:tcPr>
          <w:p w14:paraId="7BF8D83F" w14:textId="77777777" w:rsidR="00E018E3" w:rsidRPr="00E928EF" w:rsidRDefault="00E928EF" w:rsidP="002B0564">
            <w:pPr>
              <w:pStyle w:val="TableText0"/>
              <w:keepNext/>
              <w:keepLines/>
              <w:widowControl/>
              <w:jc w:val="center"/>
              <w:rPr>
                <w:szCs w:val="20"/>
              </w:rPr>
            </w:pPr>
            <w:r>
              <w:rPr>
                <w:noProof/>
                <w:color w:val="000000"/>
                <w:highlight w:val="black"/>
              </w:rPr>
              <w:t>'''''''''''''''''''''</w:t>
            </w:r>
            <w:r w:rsidR="00F46A2D">
              <w:rPr>
                <w:szCs w:val="20"/>
                <w:vertAlign w:val="superscript"/>
              </w:rPr>
              <w:t>2</w:t>
            </w:r>
          </w:p>
        </w:tc>
        <w:tc>
          <w:tcPr>
            <w:tcW w:w="701" w:type="pct"/>
            <w:shd w:val="clear" w:color="auto" w:fill="DBE5F1" w:themeFill="accent1" w:themeFillTint="33"/>
            <w:vAlign w:val="center"/>
          </w:tcPr>
          <w:p w14:paraId="148CDFCD" w14:textId="77777777" w:rsidR="00E018E3" w:rsidRPr="000B09B9" w:rsidRDefault="00E018E3" w:rsidP="002B0564">
            <w:pPr>
              <w:pStyle w:val="TableText0"/>
              <w:keepNext/>
              <w:keepLines/>
              <w:widowControl/>
              <w:jc w:val="center"/>
              <w:rPr>
                <w:szCs w:val="20"/>
              </w:rPr>
            </w:pPr>
            <w:r w:rsidRPr="000B09B9">
              <w:t>14%</w:t>
            </w:r>
          </w:p>
        </w:tc>
      </w:tr>
      <w:tr w:rsidR="00E018E3" w:rsidRPr="000B09B9" w14:paraId="26D45EF0" w14:textId="77777777" w:rsidTr="00B01376">
        <w:tc>
          <w:tcPr>
            <w:tcW w:w="233" w:type="pct"/>
            <w:shd w:val="clear" w:color="auto" w:fill="auto"/>
            <w:vAlign w:val="center"/>
          </w:tcPr>
          <w:p w14:paraId="719E205C" w14:textId="77777777" w:rsidR="00E018E3" w:rsidRPr="000B09B9" w:rsidRDefault="00E018E3" w:rsidP="002B0564">
            <w:pPr>
              <w:pStyle w:val="TableText0"/>
              <w:keepNext/>
              <w:keepLines/>
              <w:widowControl/>
              <w:rPr>
                <w:szCs w:val="20"/>
              </w:rPr>
            </w:pPr>
          </w:p>
        </w:tc>
        <w:tc>
          <w:tcPr>
            <w:tcW w:w="1965" w:type="pct"/>
            <w:shd w:val="clear" w:color="auto" w:fill="auto"/>
            <w:vAlign w:val="center"/>
          </w:tcPr>
          <w:p w14:paraId="5A4C51F2" w14:textId="77777777" w:rsidR="00E018E3" w:rsidRPr="000B09B9" w:rsidRDefault="00E018E3" w:rsidP="002B0564">
            <w:pPr>
              <w:pStyle w:val="TableText0"/>
              <w:keepNext/>
              <w:keepLines/>
              <w:widowControl/>
              <w:rPr>
                <w:szCs w:val="20"/>
              </w:rPr>
            </w:pPr>
            <w:r w:rsidRPr="000B09B9">
              <w:t>Responder rate of 78% (proxy for assumed discontinuation rate of 22%)</w:t>
            </w:r>
          </w:p>
        </w:tc>
        <w:tc>
          <w:tcPr>
            <w:tcW w:w="700" w:type="pct"/>
            <w:shd w:val="clear" w:color="auto" w:fill="auto"/>
            <w:vAlign w:val="center"/>
          </w:tcPr>
          <w:p w14:paraId="3CF099BD" w14:textId="77777777" w:rsidR="00E018E3" w:rsidRPr="00E928EF" w:rsidRDefault="00E928EF" w:rsidP="002B0564">
            <w:pPr>
              <w:pStyle w:val="TableText0"/>
              <w:keepNext/>
              <w:keepLines/>
              <w:widowControl/>
              <w:jc w:val="center"/>
              <w:rPr>
                <w:szCs w:val="20"/>
                <w:highlight w:val="black"/>
              </w:rPr>
            </w:pPr>
            <w:r>
              <w:rPr>
                <w:noProof/>
                <w:color w:val="000000"/>
                <w:highlight w:val="black"/>
              </w:rPr>
              <w:t>''''''''''''''''''''</w:t>
            </w:r>
          </w:p>
        </w:tc>
        <w:tc>
          <w:tcPr>
            <w:tcW w:w="701" w:type="pct"/>
            <w:shd w:val="clear" w:color="auto" w:fill="auto"/>
            <w:vAlign w:val="center"/>
          </w:tcPr>
          <w:p w14:paraId="7546C5EB" w14:textId="77777777" w:rsidR="00E018E3" w:rsidRPr="000B09B9" w:rsidRDefault="00E018E3" w:rsidP="002B0564">
            <w:pPr>
              <w:pStyle w:val="TableText0"/>
              <w:keepNext/>
              <w:keepLines/>
              <w:widowControl/>
              <w:jc w:val="center"/>
              <w:rPr>
                <w:szCs w:val="20"/>
              </w:rPr>
            </w:pPr>
            <w:r w:rsidRPr="000B09B9">
              <w:t>3.193</w:t>
            </w:r>
          </w:p>
        </w:tc>
        <w:tc>
          <w:tcPr>
            <w:tcW w:w="700" w:type="pct"/>
            <w:shd w:val="clear" w:color="auto" w:fill="auto"/>
            <w:vAlign w:val="center"/>
          </w:tcPr>
          <w:p w14:paraId="3723B58B" w14:textId="77777777" w:rsidR="00E018E3" w:rsidRPr="00E928EF" w:rsidRDefault="00E928EF" w:rsidP="002B0564">
            <w:pPr>
              <w:pStyle w:val="TableText0"/>
              <w:keepNext/>
              <w:keepLines/>
              <w:widowControl/>
              <w:jc w:val="center"/>
              <w:rPr>
                <w:szCs w:val="20"/>
              </w:rPr>
            </w:pPr>
            <w:r>
              <w:rPr>
                <w:noProof/>
                <w:color w:val="000000"/>
                <w:highlight w:val="black"/>
              </w:rPr>
              <w:t>''''''''''''''''''''''''</w:t>
            </w:r>
            <w:r w:rsidR="00F46A2D">
              <w:rPr>
                <w:szCs w:val="20"/>
                <w:vertAlign w:val="superscript"/>
              </w:rPr>
              <w:t>3</w:t>
            </w:r>
          </w:p>
        </w:tc>
        <w:tc>
          <w:tcPr>
            <w:tcW w:w="701" w:type="pct"/>
            <w:shd w:val="clear" w:color="auto" w:fill="auto"/>
            <w:vAlign w:val="center"/>
          </w:tcPr>
          <w:p w14:paraId="6FF861FF" w14:textId="77777777" w:rsidR="00E018E3" w:rsidRPr="000B09B9" w:rsidRDefault="00E018E3" w:rsidP="002B0564">
            <w:pPr>
              <w:pStyle w:val="TableText0"/>
              <w:keepNext/>
              <w:keepLines/>
              <w:widowControl/>
              <w:jc w:val="center"/>
              <w:rPr>
                <w:szCs w:val="20"/>
              </w:rPr>
            </w:pPr>
            <w:r w:rsidRPr="000B09B9">
              <w:t>32%</w:t>
            </w:r>
          </w:p>
        </w:tc>
      </w:tr>
    </w:tbl>
    <w:p w14:paraId="3C4AD4DC" w14:textId="77777777" w:rsidR="00CA462F" w:rsidRPr="000B09B9" w:rsidRDefault="00CA462F" w:rsidP="002B0564">
      <w:pPr>
        <w:pStyle w:val="TableFigureFooter"/>
        <w:keepNext/>
        <w:keepLines/>
        <w:rPr>
          <w:rFonts w:eastAsiaTheme="majorEastAsia"/>
        </w:rPr>
      </w:pPr>
      <w:r w:rsidRPr="000B09B9">
        <w:rPr>
          <w:rFonts w:eastAsiaTheme="majorEastAsia"/>
        </w:rPr>
        <w:t>Shading shows the components of the re-specified base case in Table 12.</w:t>
      </w:r>
    </w:p>
    <w:p w14:paraId="1DD4D431" w14:textId="77777777" w:rsidR="00E018E3" w:rsidRPr="000B09B9" w:rsidRDefault="00E018E3" w:rsidP="002B0564">
      <w:pPr>
        <w:pStyle w:val="TableFigureFooter"/>
        <w:keepNext/>
        <w:keepLines/>
        <w:rPr>
          <w:rFonts w:eastAsiaTheme="majorEastAsia"/>
        </w:rPr>
      </w:pPr>
      <w:r w:rsidRPr="000B09B9">
        <w:rPr>
          <w:rFonts w:eastAsiaTheme="majorEastAsia"/>
          <w:vertAlign w:val="superscript"/>
        </w:rPr>
        <w:t>a</w:t>
      </w:r>
      <w:r w:rsidRPr="000B09B9">
        <w:rPr>
          <w:rFonts w:eastAsiaTheme="majorEastAsia"/>
        </w:rPr>
        <w:t xml:space="preserve"> Corrections applied were described in Section 3.1 of the commentary</w:t>
      </w:r>
      <w:r w:rsidR="00617853" w:rsidRPr="000B09B9">
        <w:rPr>
          <w:rFonts w:eastAsiaTheme="majorEastAsia"/>
        </w:rPr>
        <w:t>, which included calculation errors related to cycle length, survival probabilities, discount rate, and the calculation of discounted costs and outcomes.</w:t>
      </w:r>
    </w:p>
    <w:p w14:paraId="08DD0E3B" w14:textId="77777777" w:rsidR="00E018E3" w:rsidRPr="000B09B9" w:rsidRDefault="00E018E3" w:rsidP="002B0564">
      <w:pPr>
        <w:pStyle w:val="TableFigureFooter"/>
        <w:keepNext/>
        <w:keepLines/>
      </w:pPr>
      <w:r w:rsidRPr="000B09B9">
        <w:rPr>
          <w:rFonts w:eastAsiaTheme="majorEastAsia"/>
          <w:vertAlign w:val="superscript"/>
        </w:rPr>
        <w:t>b</w:t>
      </w:r>
      <w:r w:rsidRPr="000B09B9">
        <w:rPr>
          <w:rFonts w:eastAsiaTheme="majorEastAsia"/>
        </w:rPr>
        <w:t xml:space="preserve"> Scottish Medicines Consortium </w:t>
      </w:r>
      <w:r w:rsidRPr="000B09B9">
        <w:t>(Amifampridine 10 mg tablet, as phosphate (Firdapse®) SMC No.(660/10), August 2012)</w:t>
      </w:r>
    </w:p>
    <w:p w14:paraId="2377AA47" w14:textId="77777777" w:rsidR="00B01376" w:rsidRPr="000B09B9" w:rsidRDefault="00B01376" w:rsidP="002B0564">
      <w:pPr>
        <w:pStyle w:val="TableFigureFooter"/>
        <w:keepNext/>
        <w:keepLines/>
        <w:rPr>
          <w:rFonts w:eastAsiaTheme="majorEastAsia"/>
        </w:rPr>
      </w:pPr>
      <w:r w:rsidRPr="000B09B9">
        <w:rPr>
          <w:rFonts w:eastAsiaTheme="majorEastAsia"/>
          <w:vertAlign w:val="superscript"/>
        </w:rPr>
        <w:t>c</w:t>
      </w:r>
      <w:r w:rsidRPr="000B09B9">
        <w:rPr>
          <w:rFonts w:eastAsiaTheme="majorEastAsia"/>
        </w:rPr>
        <w:t xml:space="preserve"> Escalation time frame similar to CADTH model assumption</w:t>
      </w:r>
    </w:p>
    <w:p w14:paraId="40CC2C27" w14:textId="77777777" w:rsidR="00E018E3" w:rsidRPr="000B09B9" w:rsidRDefault="00E018E3" w:rsidP="002B0564">
      <w:pPr>
        <w:pStyle w:val="TableFigureFooter"/>
        <w:keepNext/>
        <w:keepLines/>
        <w:rPr>
          <w:rFonts w:eastAsiaTheme="majorEastAsia"/>
        </w:rPr>
      </w:pPr>
      <w:r w:rsidRPr="000B09B9">
        <w:t>Source: Compiled during the evaluation using evaluator corrected models</w:t>
      </w:r>
    </w:p>
    <w:p w14:paraId="73C69D25" w14:textId="77777777" w:rsidR="00E018E3" w:rsidRDefault="00E018E3" w:rsidP="002B0564">
      <w:pPr>
        <w:pStyle w:val="TableFigureFooter"/>
        <w:keepNext/>
        <w:keepLines/>
        <w:rPr>
          <w:rFonts w:eastAsia="Arial Narrow" w:cs="Arial Narrow"/>
          <w:color w:val="000000" w:themeColor="text1"/>
          <w:szCs w:val="18"/>
        </w:rPr>
      </w:pPr>
      <w:r w:rsidRPr="000B09B9">
        <w:rPr>
          <w:szCs w:val="18"/>
        </w:rPr>
        <w:t xml:space="preserve">CADTH = Canadian Agency for Drugs and Technologies in Health; ICER = incremental cost-effectiveness ratio; </w:t>
      </w:r>
      <w:r w:rsidRPr="000B09B9">
        <w:rPr>
          <w:rFonts w:eastAsia="Arial Narrow"/>
        </w:rPr>
        <w:t xml:space="preserve">LEMS = Lambert-Eaton myasthenic syndrome; QALY = quality-adjusted life year; </w:t>
      </w:r>
      <w:r w:rsidRPr="000B09B9">
        <w:rPr>
          <w:rFonts w:eastAsia="Arial Narrow" w:cs="Arial Narrow"/>
          <w:color w:val="000000" w:themeColor="text1"/>
          <w:szCs w:val="18"/>
        </w:rPr>
        <w:t>SMC = Scottish Medicines Consortium</w:t>
      </w:r>
    </w:p>
    <w:p w14:paraId="25879180" w14:textId="77777777" w:rsidR="00F46A2D" w:rsidRPr="009A6D58" w:rsidRDefault="00F46A2D" w:rsidP="00F46A2D">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CE5951E" w14:textId="77777777" w:rsidR="00F46A2D" w:rsidRPr="009A6D58" w:rsidRDefault="00F46A2D" w:rsidP="00F46A2D">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F46A2D">
        <w:rPr>
          <w:rFonts w:ascii="Arial Narrow" w:hAnsi="Arial Narrow"/>
          <w:i/>
          <w:sz w:val="18"/>
          <w:szCs w:val="18"/>
        </w:rPr>
        <w:t>$115,000 to &lt; $135,000</w:t>
      </w:r>
    </w:p>
    <w:p w14:paraId="6E9693E3" w14:textId="77777777" w:rsidR="00F46A2D" w:rsidRPr="009A6D58" w:rsidRDefault="00F46A2D" w:rsidP="00F46A2D">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F46A2D">
        <w:rPr>
          <w:rFonts w:ascii="Arial Narrow" w:hAnsi="Arial Narrow"/>
          <w:i/>
          <w:sz w:val="18"/>
          <w:szCs w:val="18"/>
        </w:rPr>
        <w:t>$135,000 to &lt; $155,000</w:t>
      </w:r>
    </w:p>
    <w:p w14:paraId="21B44C33" w14:textId="77777777" w:rsidR="00F46A2D" w:rsidRDefault="00F46A2D" w:rsidP="00F46A2D">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F46A2D">
        <w:rPr>
          <w:rFonts w:ascii="Arial Narrow" w:hAnsi="Arial Narrow"/>
          <w:i/>
          <w:sz w:val="18"/>
          <w:szCs w:val="18"/>
        </w:rPr>
        <w:t>$155,000 to &lt; $255,000</w:t>
      </w:r>
    </w:p>
    <w:p w14:paraId="1CDC0730" w14:textId="77777777" w:rsidR="00F46A2D" w:rsidRPr="000B09B9" w:rsidRDefault="00F46A2D" w:rsidP="002B0564">
      <w:pPr>
        <w:pStyle w:val="TableFigureFooter"/>
        <w:keepNext/>
        <w:keepLines/>
        <w:rPr>
          <w:rFonts w:eastAsia="Arial Narrow" w:cs="Arial Narrow"/>
          <w:color w:val="000000" w:themeColor="text1"/>
          <w:szCs w:val="18"/>
        </w:rPr>
      </w:pPr>
    </w:p>
    <w:p w14:paraId="400C7AEE" w14:textId="77777777" w:rsidR="00FF00B2" w:rsidRPr="000B09B9" w:rsidRDefault="001B1AD5" w:rsidP="002B0564">
      <w:pPr>
        <w:pStyle w:val="3-BodyText"/>
      </w:pPr>
      <w:r w:rsidRPr="000B09B9">
        <w:t xml:space="preserve">The ESC noted the </w:t>
      </w:r>
      <w:r w:rsidR="00FF00B2" w:rsidRPr="000B09B9">
        <w:t>key parameters</w:t>
      </w:r>
      <w:r w:rsidR="00D81089" w:rsidRPr="000B09B9">
        <w:t xml:space="preserve"> explored in the univariate sensitivity analyses</w:t>
      </w:r>
      <w:r w:rsidR="00FF00B2" w:rsidRPr="000B09B9">
        <w:t xml:space="preserve"> </w:t>
      </w:r>
      <w:r w:rsidR="002B31CD" w:rsidRPr="000B09B9">
        <w:t xml:space="preserve">(Table 11) </w:t>
      </w:r>
      <w:r w:rsidRPr="000B09B9">
        <w:t xml:space="preserve">and recommended </w:t>
      </w:r>
      <w:r w:rsidR="00FF00B2" w:rsidRPr="000B09B9">
        <w:t>a revised base case</w:t>
      </w:r>
      <w:r w:rsidR="002B31CD" w:rsidRPr="000B09B9">
        <w:t xml:space="preserve"> as set out in Table 12 below</w:t>
      </w:r>
      <w:r w:rsidR="00FF00B2" w:rsidRPr="000B09B9">
        <w:t>. The proposed changes for the respecified base case include:</w:t>
      </w:r>
    </w:p>
    <w:p w14:paraId="39D4C2AB" w14:textId="77777777" w:rsidR="00FF00B2" w:rsidRPr="000B09B9" w:rsidRDefault="00FF00B2" w:rsidP="00BD4881">
      <w:pPr>
        <w:pStyle w:val="ListParagraph"/>
        <w:numPr>
          <w:ilvl w:val="0"/>
          <w:numId w:val="21"/>
        </w:numPr>
        <w:spacing w:after="160" w:line="259" w:lineRule="auto"/>
        <w:contextualSpacing/>
      </w:pPr>
      <w:r w:rsidRPr="000B09B9">
        <w:t>Change placebo response rate to 27.8%</w:t>
      </w:r>
    </w:p>
    <w:p w14:paraId="323CFB87" w14:textId="77777777" w:rsidR="00FF00B2" w:rsidRPr="000B09B9" w:rsidRDefault="00FF00B2" w:rsidP="00BD4881">
      <w:pPr>
        <w:pStyle w:val="ListParagraph"/>
        <w:numPr>
          <w:ilvl w:val="0"/>
          <w:numId w:val="21"/>
        </w:numPr>
        <w:spacing w:after="160" w:line="259" w:lineRule="auto"/>
        <w:contextualSpacing/>
      </w:pPr>
      <w:r w:rsidRPr="000B09B9">
        <w:t>Apply alternative utility value of 0.31 to the non-responder health state (Harms, 2012)</w:t>
      </w:r>
    </w:p>
    <w:p w14:paraId="688A48FA" w14:textId="77777777" w:rsidR="00FF00B2" w:rsidRPr="000B09B9" w:rsidRDefault="00FF00B2" w:rsidP="00BD4881">
      <w:pPr>
        <w:pStyle w:val="ListParagraph"/>
        <w:numPr>
          <w:ilvl w:val="0"/>
          <w:numId w:val="21"/>
        </w:numPr>
        <w:spacing w:after="160" w:line="259" w:lineRule="auto"/>
        <w:contextualSpacing/>
      </w:pPr>
      <w:r w:rsidRPr="000B09B9">
        <w:t>Apply dose escalation from 2.5 to 6.85 tablets per day within a 3-month time frame</w:t>
      </w:r>
    </w:p>
    <w:p w14:paraId="1C1E7DFB" w14:textId="77777777" w:rsidR="00FF00B2" w:rsidRPr="000B09B9" w:rsidRDefault="00FF00B2" w:rsidP="00BD4881">
      <w:pPr>
        <w:pStyle w:val="ListParagraph"/>
        <w:numPr>
          <w:ilvl w:val="0"/>
          <w:numId w:val="21"/>
        </w:numPr>
        <w:spacing w:after="160" w:line="259" w:lineRule="auto"/>
        <w:contextualSpacing/>
      </w:pPr>
      <w:r w:rsidRPr="000B09B9">
        <w:t>Apply responder rate of 89% (proxy for assumed discontinuation rate of 11%)</w:t>
      </w:r>
      <w:r w:rsidR="00D6663D" w:rsidRPr="000B09B9">
        <w:t>.</w:t>
      </w:r>
    </w:p>
    <w:p w14:paraId="58D3D3E2" w14:textId="77777777" w:rsidR="00FF00B2" w:rsidRPr="000B09B9" w:rsidRDefault="00FF00B2" w:rsidP="002B0564">
      <w:pPr>
        <w:pStyle w:val="3-BodyText"/>
      </w:pPr>
      <w:r w:rsidRPr="000B09B9">
        <w:t>The stepped results for each of these changes are presented in Table 1</w:t>
      </w:r>
      <w:r w:rsidR="00D81089" w:rsidRPr="000B09B9">
        <w:t>2</w:t>
      </w:r>
      <w:r w:rsidRPr="000B09B9">
        <w:t>. The application of these proposed changes produced an ICER of $3</w:t>
      </w:r>
      <w:r w:rsidR="00C535A8" w:rsidRPr="000B09B9">
        <w:t>11,546</w:t>
      </w:r>
      <w:r w:rsidRPr="000B09B9">
        <w:t xml:space="preserve"> per QALY gained and this was considered to be a more appropriate base case.</w:t>
      </w:r>
    </w:p>
    <w:p w14:paraId="51746CCD" w14:textId="77777777" w:rsidR="00FF00B2" w:rsidRPr="000B09B9" w:rsidRDefault="00FF00B2" w:rsidP="002B0564">
      <w:pPr>
        <w:pStyle w:val="TableFigureHeading"/>
      </w:pPr>
      <w:r w:rsidRPr="000B09B9">
        <w:t>Table 12: Stepped approached for</w:t>
      </w:r>
      <w:r w:rsidR="00C03E04" w:rsidRPr="000B09B9">
        <w:t xml:space="preserve"> the</w:t>
      </w:r>
      <w:r w:rsidRPr="000B09B9">
        <w:t xml:space="preserve"> </w:t>
      </w:r>
      <w:r w:rsidR="00B75C4F" w:rsidRPr="000B09B9">
        <w:t xml:space="preserve">ESC </w:t>
      </w:r>
      <w:r w:rsidRPr="000B09B9">
        <w:t>respecified base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2136"/>
        <w:gridCol w:w="1585"/>
        <w:gridCol w:w="1238"/>
        <w:gridCol w:w="1585"/>
        <w:gridCol w:w="2056"/>
      </w:tblGrid>
      <w:tr w:rsidR="00FF00B2" w:rsidRPr="000B09B9" w14:paraId="522A4BE4" w14:textId="77777777" w:rsidTr="00B01376">
        <w:tc>
          <w:tcPr>
            <w:tcW w:w="0" w:type="auto"/>
            <w:vMerge w:val="restart"/>
            <w:vAlign w:val="center"/>
          </w:tcPr>
          <w:p w14:paraId="7A7EDD4B" w14:textId="77777777" w:rsidR="00FF00B2" w:rsidRPr="000B09B9" w:rsidRDefault="00FF00B2" w:rsidP="002B0564">
            <w:pPr>
              <w:pStyle w:val="TableFigureHeading"/>
              <w:keepNext w:val="0"/>
              <w:rPr>
                <w:szCs w:val="20"/>
              </w:rPr>
            </w:pPr>
          </w:p>
        </w:tc>
        <w:tc>
          <w:tcPr>
            <w:tcW w:w="2136" w:type="dxa"/>
            <w:vAlign w:val="center"/>
          </w:tcPr>
          <w:p w14:paraId="6FFC8ADE" w14:textId="77777777" w:rsidR="00FF00B2" w:rsidRPr="000B09B9" w:rsidRDefault="00FF00B2" w:rsidP="002B0564">
            <w:pPr>
              <w:pStyle w:val="TableFigureHeading"/>
              <w:keepNext w:val="0"/>
              <w:rPr>
                <w:szCs w:val="20"/>
              </w:rPr>
            </w:pPr>
            <w:r w:rsidRPr="000B09B9">
              <w:rPr>
                <w:szCs w:val="20"/>
              </w:rPr>
              <w:t>Analyses</w:t>
            </w:r>
          </w:p>
        </w:tc>
        <w:tc>
          <w:tcPr>
            <w:tcW w:w="1585" w:type="dxa"/>
            <w:vAlign w:val="center"/>
          </w:tcPr>
          <w:p w14:paraId="466853F8" w14:textId="77777777" w:rsidR="00FF00B2" w:rsidRPr="000B09B9" w:rsidRDefault="00FF00B2" w:rsidP="002B0564">
            <w:pPr>
              <w:pStyle w:val="TableFigureHeading"/>
              <w:keepNext w:val="0"/>
              <w:jc w:val="center"/>
              <w:rPr>
                <w:szCs w:val="20"/>
              </w:rPr>
            </w:pPr>
            <w:r w:rsidRPr="000B09B9">
              <w:rPr>
                <w:szCs w:val="20"/>
              </w:rPr>
              <w:t>Incremental cost</w:t>
            </w:r>
            <w:r w:rsidR="00DC1CE0">
              <w:rPr>
                <w:szCs w:val="20"/>
              </w:rPr>
              <w:t xml:space="preserve"> ($)</w:t>
            </w:r>
          </w:p>
        </w:tc>
        <w:tc>
          <w:tcPr>
            <w:tcW w:w="1238" w:type="dxa"/>
            <w:vAlign w:val="center"/>
          </w:tcPr>
          <w:p w14:paraId="2B6A2B89" w14:textId="77777777" w:rsidR="00FF00B2" w:rsidRPr="000B09B9" w:rsidRDefault="00FF00B2" w:rsidP="002B0564">
            <w:pPr>
              <w:pStyle w:val="TableFigureHeading"/>
              <w:keepNext w:val="0"/>
              <w:jc w:val="center"/>
              <w:rPr>
                <w:szCs w:val="20"/>
              </w:rPr>
            </w:pPr>
            <w:r w:rsidRPr="000B09B9">
              <w:rPr>
                <w:szCs w:val="20"/>
              </w:rPr>
              <w:t>Incremental QALY</w:t>
            </w:r>
          </w:p>
        </w:tc>
        <w:tc>
          <w:tcPr>
            <w:tcW w:w="1585" w:type="dxa"/>
            <w:vAlign w:val="center"/>
          </w:tcPr>
          <w:p w14:paraId="2314E377" w14:textId="77777777" w:rsidR="00FF00B2" w:rsidRPr="000B09B9" w:rsidRDefault="00FF00B2" w:rsidP="002B0564">
            <w:pPr>
              <w:pStyle w:val="TableFigureHeading"/>
              <w:keepNext w:val="0"/>
              <w:jc w:val="center"/>
              <w:rPr>
                <w:szCs w:val="20"/>
              </w:rPr>
            </w:pPr>
            <w:r w:rsidRPr="000B09B9">
              <w:rPr>
                <w:szCs w:val="20"/>
              </w:rPr>
              <w:t>ICER</w:t>
            </w:r>
          </w:p>
        </w:tc>
        <w:tc>
          <w:tcPr>
            <w:tcW w:w="2056" w:type="dxa"/>
            <w:vAlign w:val="center"/>
          </w:tcPr>
          <w:p w14:paraId="736704A6" w14:textId="77777777" w:rsidR="00FF00B2" w:rsidRPr="000B09B9" w:rsidRDefault="00FF00B2" w:rsidP="002B0564">
            <w:pPr>
              <w:pStyle w:val="TableFigureHeading"/>
              <w:keepNext w:val="0"/>
              <w:jc w:val="center"/>
              <w:rPr>
                <w:szCs w:val="20"/>
              </w:rPr>
            </w:pPr>
            <w:r w:rsidRPr="000B09B9">
              <w:rPr>
                <w:szCs w:val="20"/>
              </w:rPr>
              <w:t>% change from base case ICER</w:t>
            </w:r>
          </w:p>
        </w:tc>
      </w:tr>
      <w:tr w:rsidR="00FF00B2" w:rsidRPr="000B09B9" w14:paraId="02728C11" w14:textId="77777777" w:rsidTr="00B01376">
        <w:tc>
          <w:tcPr>
            <w:tcW w:w="0" w:type="auto"/>
            <w:vMerge/>
            <w:vAlign w:val="center"/>
          </w:tcPr>
          <w:p w14:paraId="3BAE3FC5" w14:textId="77777777" w:rsidR="00FF00B2" w:rsidRPr="000B09B9" w:rsidRDefault="00FF00B2" w:rsidP="002B0564">
            <w:pPr>
              <w:pStyle w:val="TableText0"/>
              <w:widowControl/>
              <w:rPr>
                <w:szCs w:val="20"/>
              </w:rPr>
            </w:pPr>
          </w:p>
        </w:tc>
        <w:tc>
          <w:tcPr>
            <w:tcW w:w="2136" w:type="dxa"/>
            <w:vAlign w:val="center"/>
          </w:tcPr>
          <w:p w14:paraId="26D14F85" w14:textId="77777777" w:rsidR="00FF00B2" w:rsidRPr="000B09B9" w:rsidRDefault="00FF00B2" w:rsidP="002B0564">
            <w:pPr>
              <w:pStyle w:val="TableText0"/>
              <w:widowControl/>
              <w:rPr>
                <w:b/>
                <w:bCs w:val="0"/>
                <w:szCs w:val="20"/>
              </w:rPr>
            </w:pPr>
            <w:r w:rsidRPr="000B09B9">
              <w:rPr>
                <w:b/>
                <w:bCs w:val="0"/>
                <w:szCs w:val="20"/>
              </w:rPr>
              <w:t>Base case (presented in submission)</w:t>
            </w:r>
          </w:p>
        </w:tc>
        <w:tc>
          <w:tcPr>
            <w:tcW w:w="1585" w:type="dxa"/>
            <w:vAlign w:val="center"/>
          </w:tcPr>
          <w:p w14:paraId="46E46AD2" w14:textId="77777777" w:rsidR="00FF00B2" w:rsidRPr="00E928EF" w:rsidRDefault="00E928EF" w:rsidP="00462478">
            <w:pPr>
              <w:pStyle w:val="TableText0"/>
              <w:widowControl/>
              <w:jc w:val="center"/>
              <w:rPr>
                <w:b/>
                <w:bCs w:val="0"/>
                <w:szCs w:val="20"/>
                <w:highlight w:val="black"/>
              </w:rPr>
            </w:pPr>
            <w:r>
              <w:rPr>
                <w:b/>
                <w:bCs w:val="0"/>
                <w:noProof/>
                <w:color w:val="000000"/>
                <w:szCs w:val="20"/>
                <w:highlight w:val="black"/>
              </w:rPr>
              <w:t>''''''''''''''''''</w:t>
            </w:r>
          </w:p>
        </w:tc>
        <w:tc>
          <w:tcPr>
            <w:tcW w:w="1238" w:type="dxa"/>
            <w:vAlign w:val="center"/>
          </w:tcPr>
          <w:p w14:paraId="43E2DB65" w14:textId="77777777" w:rsidR="00FF00B2" w:rsidRPr="000B09B9" w:rsidRDefault="00FF00B2" w:rsidP="002B0564">
            <w:pPr>
              <w:pStyle w:val="TableText0"/>
              <w:widowControl/>
              <w:jc w:val="center"/>
              <w:rPr>
                <w:b/>
                <w:bCs w:val="0"/>
                <w:szCs w:val="20"/>
              </w:rPr>
            </w:pPr>
            <w:r w:rsidRPr="000B09B9">
              <w:rPr>
                <w:b/>
                <w:bCs w:val="0"/>
                <w:szCs w:val="20"/>
              </w:rPr>
              <w:t>4.239</w:t>
            </w:r>
          </w:p>
        </w:tc>
        <w:tc>
          <w:tcPr>
            <w:tcW w:w="1585" w:type="dxa"/>
            <w:vAlign w:val="center"/>
          </w:tcPr>
          <w:p w14:paraId="71079B1D" w14:textId="77777777" w:rsidR="00FF00B2" w:rsidRPr="00E928EF" w:rsidRDefault="00E928EF" w:rsidP="00462478">
            <w:pPr>
              <w:pStyle w:val="TableText0"/>
              <w:widowControl/>
              <w:jc w:val="center"/>
              <w:rPr>
                <w:b/>
                <w:bCs w:val="0"/>
                <w:szCs w:val="20"/>
                <w:vertAlign w:val="superscript"/>
              </w:rPr>
            </w:pPr>
            <w:r>
              <w:rPr>
                <w:b/>
                <w:bCs w:val="0"/>
                <w:noProof/>
                <w:color w:val="000000"/>
                <w:szCs w:val="20"/>
                <w:highlight w:val="black"/>
              </w:rPr>
              <w:t>''''''''''''''''''</w:t>
            </w:r>
            <w:r w:rsidR="00DC1CE0">
              <w:rPr>
                <w:b/>
                <w:bCs w:val="0"/>
                <w:szCs w:val="20"/>
                <w:vertAlign w:val="superscript"/>
              </w:rPr>
              <w:t>1</w:t>
            </w:r>
          </w:p>
        </w:tc>
        <w:tc>
          <w:tcPr>
            <w:tcW w:w="2056" w:type="dxa"/>
            <w:vAlign w:val="center"/>
          </w:tcPr>
          <w:p w14:paraId="4BD6972E" w14:textId="77777777" w:rsidR="00FF00B2" w:rsidRPr="000B09B9" w:rsidRDefault="00FF00B2" w:rsidP="002B0564">
            <w:pPr>
              <w:pStyle w:val="TableText0"/>
              <w:widowControl/>
              <w:jc w:val="center"/>
              <w:rPr>
                <w:b/>
                <w:bCs w:val="0"/>
                <w:szCs w:val="20"/>
              </w:rPr>
            </w:pPr>
          </w:p>
        </w:tc>
      </w:tr>
      <w:tr w:rsidR="00FF00B2" w:rsidRPr="000B09B9" w14:paraId="7215F918" w14:textId="77777777" w:rsidTr="00B01376">
        <w:tc>
          <w:tcPr>
            <w:tcW w:w="0" w:type="auto"/>
            <w:vMerge/>
            <w:vAlign w:val="center"/>
          </w:tcPr>
          <w:p w14:paraId="7F741F2B" w14:textId="77777777" w:rsidR="00FF00B2" w:rsidRPr="000B09B9" w:rsidRDefault="00FF00B2" w:rsidP="002B0564">
            <w:pPr>
              <w:pStyle w:val="TableText0"/>
              <w:widowControl/>
              <w:rPr>
                <w:szCs w:val="20"/>
              </w:rPr>
            </w:pPr>
          </w:p>
        </w:tc>
        <w:tc>
          <w:tcPr>
            <w:tcW w:w="2136" w:type="dxa"/>
            <w:vAlign w:val="center"/>
          </w:tcPr>
          <w:p w14:paraId="24DCC144" w14:textId="77777777" w:rsidR="00FF00B2" w:rsidRPr="000B09B9" w:rsidRDefault="00FF00B2" w:rsidP="002B0564">
            <w:pPr>
              <w:pStyle w:val="TableText0"/>
              <w:widowControl/>
              <w:rPr>
                <w:szCs w:val="20"/>
              </w:rPr>
            </w:pPr>
            <w:r w:rsidRPr="000B09B9">
              <w:rPr>
                <w:szCs w:val="20"/>
              </w:rPr>
              <w:t>Base case (with corrections during evaluation)</w:t>
            </w:r>
            <w:r w:rsidR="00961EBE" w:rsidRPr="000B09B9">
              <w:rPr>
                <w:szCs w:val="20"/>
                <w:vertAlign w:val="superscript"/>
              </w:rPr>
              <w:t>a</w:t>
            </w:r>
          </w:p>
        </w:tc>
        <w:tc>
          <w:tcPr>
            <w:tcW w:w="1585" w:type="dxa"/>
            <w:vAlign w:val="center"/>
          </w:tcPr>
          <w:p w14:paraId="43EF15DC" w14:textId="77777777" w:rsidR="00FF00B2" w:rsidRPr="00E928EF" w:rsidRDefault="00E928EF" w:rsidP="002B0564">
            <w:pPr>
              <w:pStyle w:val="TableText0"/>
              <w:widowControl/>
              <w:jc w:val="center"/>
              <w:rPr>
                <w:iCs/>
                <w:szCs w:val="20"/>
                <w:highlight w:val="black"/>
              </w:rPr>
            </w:pPr>
            <w:r>
              <w:rPr>
                <w:noProof/>
                <w:color w:val="000000"/>
                <w:szCs w:val="20"/>
                <w:highlight w:val="black"/>
              </w:rPr>
              <w:t>''''''''''''''''''''''</w:t>
            </w:r>
          </w:p>
        </w:tc>
        <w:tc>
          <w:tcPr>
            <w:tcW w:w="1238" w:type="dxa"/>
            <w:vAlign w:val="center"/>
          </w:tcPr>
          <w:p w14:paraId="46266FB0" w14:textId="77777777" w:rsidR="00FF00B2" w:rsidRPr="000B09B9" w:rsidRDefault="00FF00B2" w:rsidP="002B0564">
            <w:pPr>
              <w:pStyle w:val="TableText0"/>
              <w:widowControl/>
              <w:jc w:val="center"/>
              <w:rPr>
                <w:iCs/>
                <w:szCs w:val="20"/>
              </w:rPr>
            </w:pPr>
            <w:r w:rsidRPr="000B09B9">
              <w:rPr>
                <w:szCs w:val="20"/>
              </w:rPr>
              <w:t>4.226</w:t>
            </w:r>
          </w:p>
        </w:tc>
        <w:tc>
          <w:tcPr>
            <w:tcW w:w="1585" w:type="dxa"/>
            <w:vAlign w:val="center"/>
          </w:tcPr>
          <w:p w14:paraId="4B9799D0" w14:textId="77777777" w:rsidR="00FF00B2" w:rsidRPr="00E928EF" w:rsidRDefault="00E928EF" w:rsidP="002B0564">
            <w:pPr>
              <w:pStyle w:val="TableText0"/>
              <w:widowControl/>
              <w:jc w:val="center"/>
              <w:rPr>
                <w:iCs/>
                <w:szCs w:val="20"/>
              </w:rPr>
            </w:pPr>
            <w:r>
              <w:rPr>
                <w:noProof/>
                <w:color w:val="000000"/>
                <w:szCs w:val="20"/>
                <w:highlight w:val="black"/>
              </w:rPr>
              <w:t>'''''''''''''''''''''''</w:t>
            </w:r>
            <w:r w:rsidR="00DC1CE0">
              <w:rPr>
                <w:b/>
                <w:bCs w:val="0"/>
                <w:szCs w:val="20"/>
                <w:vertAlign w:val="superscript"/>
              </w:rPr>
              <w:t>1</w:t>
            </w:r>
          </w:p>
        </w:tc>
        <w:tc>
          <w:tcPr>
            <w:tcW w:w="2056" w:type="dxa"/>
            <w:vAlign w:val="center"/>
          </w:tcPr>
          <w:p w14:paraId="11F4A977" w14:textId="77777777" w:rsidR="00FF00B2" w:rsidRPr="000B09B9" w:rsidRDefault="00FF00B2" w:rsidP="002B0564">
            <w:pPr>
              <w:pStyle w:val="TableText0"/>
              <w:widowControl/>
              <w:jc w:val="center"/>
              <w:rPr>
                <w:szCs w:val="20"/>
              </w:rPr>
            </w:pPr>
          </w:p>
        </w:tc>
      </w:tr>
      <w:tr w:rsidR="00FF00B2" w:rsidRPr="000B09B9" w14:paraId="7A511A86" w14:textId="77777777" w:rsidTr="00B01376">
        <w:tc>
          <w:tcPr>
            <w:tcW w:w="0" w:type="auto"/>
            <w:vAlign w:val="center"/>
          </w:tcPr>
          <w:p w14:paraId="5001F6C4" w14:textId="77777777" w:rsidR="00FF00B2" w:rsidRPr="000B09B9" w:rsidRDefault="00FF00B2" w:rsidP="002B0564">
            <w:pPr>
              <w:pStyle w:val="TableText0"/>
              <w:widowControl/>
              <w:rPr>
                <w:szCs w:val="20"/>
              </w:rPr>
            </w:pPr>
            <w:r w:rsidRPr="000B09B9">
              <w:rPr>
                <w:szCs w:val="20"/>
              </w:rPr>
              <w:t>(1)</w:t>
            </w:r>
          </w:p>
        </w:tc>
        <w:tc>
          <w:tcPr>
            <w:tcW w:w="2136" w:type="dxa"/>
            <w:vAlign w:val="center"/>
          </w:tcPr>
          <w:p w14:paraId="7664B084" w14:textId="77777777" w:rsidR="00FF00B2" w:rsidRPr="000B09B9" w:rsidRDefault="00FF00B2" w:rsidP="002B0564">
            <w:pPr>
              <w:pStyle w:val="TableText0"/>
              <w:widowControl/>
              <w:rPr>
                <w:szCs w:val="20"/>
              </w:rPr>
            </w:pPr>
            <w:r w:rsidRPr="000B09B9">
              <w:rPr>
                <w:szCs w:val="20"/>
              </w:rPr>
              <w:t>Placebo cohort responder rate at 27.8%</w:t>
            </w:r>
          </w:p>
        </w:tc>
        <w:tc>
          <w:tcPr>
            <w:tcW w:w="1585" w:type="dxa"/>
            <w:vAlign w:val="center"/>
          </w:tcPr>
          <w:p w14:paraId="0FD4A6B3" w14:textId="77777777" w:rsidR="00FF00B2" w:rsidRPr="00E928EF" w:rsidRDefault="00E928EF" w:rsidP="002B0564">
            <w:pPr>
              <w:pStyle w:val="TableText0"/>
              <w:widowControl/>
              <w:jc w:val="center"/>
              <w:rPr>
                <w:szCs w:val="20"/>
                <w:highlight w:val="black"/>
              </w:rPr>
            </w:pPr>
            <w:r>
              <w:rPr>
                <w:noProof/>
                <w:color w:val="000000"/>
                <w:szCs w:val="20"/>
                <w:highlight w:val="black"/>
              </w:rPr>
              <w:t>'''''''''''''''''''''''</w:t>
            </w:r>
          </w:p>
        </w:tc>
        <w:tc>
          <w:tcPr>
            <w:tcW w:w="1238" w:type="dxa"/>
            <w:vAlign w:val="center"/>
          </w:tcPr>
          <w:p w14:paraId="6C0BE67C" w14:textId="77777777" w:rsidR="00FF00B2" w:rsidRPr="000B09B9" w:rsidRDefault="00FF00B2" w:rsidP="002B0564">
            <w:pPr>
              <w:pStyle w:val="TableText0"/>
              <w:widowControl/>
              <w:jc w:val="center"/>
              <w:rPr>
                <w:szCs w:val="20"/>
              </w:rPr>
            </w:pPr>
            <w:r w:rsidRPr="000B09B9">
              <w:rPr>
                <w:szCs w:val="20"/>
              </w:rPr>
              <w:t>3.390</w:t>
            </w:r>
          </w:p>
        </w:tc>
        <w:tc>
          <w:tcPr>
            <w:tcW w:w="1585" w:type="dxa"/>
            <w:vAlign w:val="center"/>
          </w:tcPr>
          <w:p w14:paraId="1F960B80" w14:textId="77777777" w:rsidR="00FF00B2" w:rsidRPr="00E928EF" w:rsidRDefault="00E928EF" w:rsidP="002B0564">
            <w:pPr>
              <w:pStyle w:val="TableText0"/>
              <w:widowControl/>
              <w:jc w:val="center"/>
              <w:rPr>
                <w:szCs w:val="20"/>
              </w:rPr>
            </w:pPr>
            <w:r>
              <w:rPr>
                <w:noProof/>
                <w:color w:val="000000"/>
                <w:szCs w:val="20"/>
                <w:highlight w:val="black"/>
              </w:rPr>
              <w:t>''''''''''''''''''''''</w:t>
            </w:r>
            <w:r w:rsidR="00DC1CE0">
              <w:rPr>
                <w:b/>
                <w:bCs w:val="0"/>
                <w:szCs w:val="20"/>
                <w:vertAlign w:val="superscript"/>
              </w:rPr>
              <w:t>2</w:t>
            </w:r>
          </w:p>
        </w:tc>
        <w:tc>
          <w:tcPr>
            <w:tcW w:w="2056" w:type="dxa"/>
            <w:vAlign w:val="center"/>
          </w:tcPr>
          <w:p w14:paraId="5A43E911" w14:textId="77777777" w:rsidR="00FF00B2" w:rsidRPr="000B09B9" w:rsidRDefault="00FF00B2" w:rsidP="002B0564">
            <w:pPr>
              <w:pStyle w:val="TableText0"/>
              <w:widowControl/>
              <w:jc w:val="center"/>
              <w:rPr>
                <w:szCs w:val="20"/>
              </w:rPr>
            </w:pPr>
            <w:r w:rsidRPr="000B09B9">
              <w:rPr>
                <w:szCs w:val="20"/>
              </w:rPr>
              <w:t>25%</w:t>
            </w:r>
          </w:p>
        </w:tc>
      </w:tr>
      <w:tr w:rsidR="00FF00B2" w:rsidRPr="000B09B9" w14:paraId="7355D09C" w14:textId="77777777" w:rsidTr="00B01376">
        <w:tc>
          <w:tcPr>
            <w:tcW w:w="0" w:type="auto"/>
            <w:vAlign w:val="center"/>
          </w:tcPr>
          <w:p w14:paraId="14736F5C" w14:textId="77777777" w:rsidR="00FF00B2" w:rsidRPr="000B09B9" w:rsidRDefault="00FF00B2" w:rsidP="002B0564">
            <w:pPr>
              <w:pStyle w:val="TableText0"/>
              <w:widowControl/>
              <w:rPr>
                <w:szCs w:val="20"/>
              </w:rPr>
            </w:pPr>
            <w:r w:rsidRPr="000B09B9">
              <w:rPr>
                <w:szCs w:val="20"/>
              </w:rPr>
              <w:t>(2)</w:t>
            </w:r>
          </w:p>
        </w:tc>
        <w:tc>
          <w:tcPr>
            <w:tcW w:w="2136" w:type="dxa"/>
            <w:vAlign w:val="center"/>
          </w:tcPr>
          <w:p w14:paraId="2B83C675" w14:textId="77777777" w:rsidR="00FF00B2" w:rsidRPr="000B09B9" w:rsidRDefault="00FF00B2" w:rsidP="002B0564">
            <w:pPr>
              <w:pStyle w:val="TableText0"/>
              <w:widowControl/>
              <w:rPr>
                <w:szCs w:val="20"/>
              </w:rPr>
            </w:pPr>
            <w:r w:rsidRPr="000B09B9">
              <w:rPr>
                <w:szCs w:val="20"/>
              </w:rPr>
              <w:t>Step 1 + Applying 0.31 (average utility of LEMS patients from Harms et al) to non-responders</w:t>
            </w:r>
          </w:p>
        </w:tc>
        <w:tc>
          <w:tcPr>
            <w:tcW w:w="1585" w:type="dxa"/>
            <w:vAlign w:val="center"/>
          </w:tcPr>
          <w:p w14:paraId="79614C85" w14:textId="77777777" w:rsidR="00FF00B2" w:rsidRPr="00E928EF" w:rsidRDefault="00E928EF" w:rsidP="002B0564">
            <w:pPr>
              <w:pStyle w:val="TableText0"/>
              <w:widowControl/>
              <w:jc w:val="center"/>
              <w:rPr>
                <w:szCs w:val="20"/>
                <w:highlight w:val="black"/>
              </w:rPr>
            </w:pPr>
            <w:r>
              <w:rPr>
                <w:noProof/>
                <w:color w:val="000000"/>
                <w:highlight w:val="black"/>
              </w:rPr>
              <w:t>''''''''''''''''''''''</w:t>
            </w:r>
          </w:p>
        </w:tc>
        <w:tc>
          <w:tcPr>
            <w:tcW w:w="1238" w:type="dxa"/>
            <w:vAlign w:val="center"/>
          </w:tcPr>
          <w:p w14:paraId="24C1783D" w14:textId="77777777" w:rsidR="00FF00B2" w:rsidRPr="000B09B9" w:rsidRDefault="00FF00B2" w:rsidP="002B0564">
            <w:pPr>
              <w:pStyle w:val="TableText0"/>
              <w:widowControl/>
              <w:jc w:val="center"/>
              <w:rPr>
                <w:szCs w:val="20"/>
              </w:rPr>
            </w:pPr>
            <w:r w:rsidRPr="000B09B9">
              <w:t>2.495</w:t>
            </w:r>
          </w:p>
        </w:tc>
        <w:tc>
          <w:tcPr>
            <w:tcW w:w="1585" w:type="dxa"/>
            <w:vAlign w:val="center"/>
          </w:tcPr>
          <w:p w14:paraId="2D2E819F" w14:textId="77777777" w:rsidR="00FF00B2" w:rsidRPr="00E928EF" w:rsidRDefault="00E928EF" w:rsidP="002B0564">
            <w:pPr>
              <w:pStyle w:val="TableText0"/>
              <w:widowControl/>
              <w:jc w:val="center"/>
              <w:rPr>
                <w:szCs w:val="20"/>
              </w:rPr>
            </w:pPr>
            <w:r>
              <w:rPr>
                <w:noProof/>
                <w:color w:val="000000"/>
                <w:highlight w:val="black"/>
              </w:rPr>
              <w:t>'''''''''''''''''''''''</w:t>
            </w:r>
            <w:r w:rsidR="00DC1CE0">
              <w:rPr>
                <w:b/>
                <w:bCs w:val="0"/>
                <w:szCs w:val="20"/>
                <w:vertAlign w:val="superscript"/>
              </w:rPr>
              <w:t>3</w:t>
            </w:r>
          </w:p>
        </w:tc>
        <w:tc>
          <w:tcPr>
            <w:tcW w:w="2056" w:type="dxa"/>
            <w:vAlign w:val="center"/>
          </w:tcPr>
          <w:p w14:paraId="6C2F72D9" w14:textId="77777777" w:rsidR="00FF00B2" w:rsidRPr="000B09B9" w:rsidRDefault="00FF00B2" w:rsidP="002B0564">
            <w:pPr>
              <w:pStyle w:val="TableText0"/>
              <w:widowControl/>
              <w:jc w:val="center"/>
              <w:rPr>
                <w:szCs w:val="20"/>
              </w:rPr>
            </w:pPr>
            <w:r w:rsidRPr="000B09B9">
              <w:t>69%</w:t>
            </w:r>
          </w:p>
        </w:tc>
      </w:tr>
      <w:tr w:rsidR="00FF00B2" w:rsidRPr="000B09B9" w14:paraId="02DF546E" w14:textId="77777777" w:rsidTr="00B01376">
        <w:tc>
          <w:tcPr>
            <w:tcW w:w="0" w:type="auto"/>
            <w:vAlign w:val="center"/>
          </w:tcPr>
          <w:p w14:paraId="3E30F286" w14:textId="77777777" w:rsidR="00FF00B2" w:rsidRPr="000B09B9" w:rsidRDefault="00FF00B2" w:rsidP="002B0564">
            <w:pPr>
              <w:pStyle w:val="TableText0"/>
              <w:widowControl/>
              <w:rPr>
                <w:szCs w:val="20"/>
              </w:rPr>
            </w:pPr>
            <w:r w:rsidRPr="000B09B9">
              <w:rPr>
                <w:szCs w:val="20"/>
              </w:rPr>
              <w:t>(3)</w:t>
            </w:r>
          </w:p>
        </w:tc>
        <w:tc>
          <w:tcPr>
            <w:tcW w:w="2136" w:type="dxa"/>
            <w:vAlign w:val="center"/>
          </w:tcPr>
          <w:p w14:paraId="76D4D046" w14:textId="77777777" w:rsidR="00FF00B2" w:rsidRPr="000B09B9" w:rsidRDefault="00FF00B2" w:rsidP="002B0564">
            <w:pPr>
              <w:pStyle w:val="TableText0"/>
              <w:widowControl/>
              <w:rPr>
                <w:szCs w:val="20"/>
              </w:rPr>
            </w:pPr>
            <w:r w:rsidRPr="000B09B9">
              <w:rPr>
                <w:szCs w:val="20"/>
              </w:rPr>
              <w:t xml:space="preserve">Step 2 + Dose escalation from 2.5 to 6.85 within a 3-month time frame </w:t>
            </w:r>
            <w:r w:rsidR="00961EBE" w:rsidRPr="000B09B9">
              <w:rPr>
                <w:szCs w:val="20"/>
              </w:rPr>
              <w:t xml:space="preserve">(remains constant thereafter) </w:t>
            </w:r>
            <w:r w:rsidR="00961EBE" w:rsidRPr="000B09B9">
              <w:rPr>
                <w:szCs w:val="20"/>
                <w:vertAlign w:val="superscript"/>
              </w:rPr>
              <w:t>b</w:t>
            </w:r>
          </w:p>
        </w:tc>
        <w:tc>
          <w:tcPr>
            <w:tcW w:w="1585" w:type="dxa"/>
            <w:vAlign w:val="center"/>
          </w:tcPr>
          <w:p w14:paraId="5D470636" w14:textId="77777777" w:rsidR="00FF00B2" w:rsidRPr="00E928EF" w:rsidRDefault="00E928EF" w:rsidP="002B0564">
            <w:pPr>
              <w:pStyle w:val="TableText0"/>
              <w:widowControl/>
              <w:jc w:val="center"/>
              <w:rPr>
                <w:szCs w:val="20"/>
                <w:highlight w:val="black"/>
              </w:rPr>
            </w:pPr>
            <w:r>
              <w:rPr>
                <w:noProof/>
                <w:color w:val="000000"/>
                <w:highlight w:val="black"/>
              </w:rPr>
              <w:t>'''''''''''''''''''''''</w:t>
            </w:r>
          </w:p>
        </w:tc>
        <w:tc>
          <w:tcPr>
            <w:tcW w:w="1238" w:type="dxa"/>
            <w:vAlign w:val="center"/>
          </w:tcPr>
          <w:p w14:paraId="08C63E55" w14:textId="77777777" w:rsidR="00FF00B2" w:rsidRPr="000B09B9" w:rsidRDefault="00FF00B2" w:rsidP="002B0564">
            <w:pPr>
              <w:pStyle w:val="TableText0"/>
              <w:widowControl/>
              <w:jc w:val="center"/>
              <w:rPr>
                <w:szCs w:val="20"/>
              </w:rPr>
            </w:pPr>
            <w:r w:rsidRPr="000B09B9">
              <w:t>2.495</w:t>
            </w:r>
          </w:p>
        </w:tc>
        <w:tc>
          <w:tcPr>
            <w:tcW w:w="1585" w:type="dxa"/>
            <w:vAlign w:val="center"/>
          </w:tcPr>
          <w:p w14:paraId="3851E7E5" w14:textId="77777777" w:rsidR="00FF00B2" w:rsidRPr="00E928EF" w:rsidRDefault="00E928EF" w:rsidP="002B0564">
            <w:pPr>
              <w:pStyle w:val="TableText0"/>
              <w:widowControl/>
              <w:jc w:val="center"/>
              <w:rPr>
                <w:szCs w:val="20"/>
              </w:rPr>
            </w:pPr>
            <w:r>
              <w:rPr>
                <w:noProof/>
                <w:color w:val="000000"/>
                <w:highlight w:val="black"/>
              </w:rPr>
              <w:t>''''''''''''''''''''''''</w:t>
            </w:r>
            <w:r w:rsidR="00DC1CE0">
              <w:rPr>
                <w:b/>
                <w:bCs w:val="0"/>
                <w:szCs w:val="20"/>
                <w:vertAlign w:val="superscript"/>
              </w:rPr>
              <w:t>4</w:t>
            </w:r>
          </w:p>
        </w:tc>
        <w:tc>
          <w:tcPr>
            <w:tcW w:w="2056" w:type="dxa"/>
            <w:vAlign w:val="center"/>
          </w:tcPr>
          <w:p w14:paraId="393A0BB1" w14:textId="77777777" w:rsidR="00FF00B2" w:rsidRPr="000B09B9" w:rsidRDefault="00FF00B2" w:rsidP="002B0564">
            <w:pPr>
              <w:pStyle w:val="TableText0"/>
              <w:widowControl/>
              <w:jc w:val="center"/>
              <w:rPr>
                <w:szCs w:val="20"/>
              </w:rPr>
            </w:pPr>
            <w:r w:rsidRPr="000B09B9">
              <w:t>115%</w:t>
            </w:r>
          </w:p>
        </w:tc>
      </w:tr>
      <w:tr w:rsidR="00FF00B2" w:rsidRPr="000B09B9" w14:paraId="5FC58560" w14:textId="77777777" w:rsidTr="00B01376">
        <w:tc>
          <w:tcPr>
            <w:tcW w:w="0" w:type="auto"/>
            <w:vAlign w:val="center"/>
          </w:tcPr>
          <w:p w14:paraId="4CB6AC3E" w14:textId="77777777" w:rsidR="00FF00B2" w:rsidRPr="000B09B9" w:rsidRDefault="00FF00B2" w:rsidP="002B0564">
            <w:pPr>
              <w:pStyle w:val="TableText0"/>
              <w:widowControl/>
              <w:rPr>
                <w:szCs w:val="20"/>
              </w:rPr>
            </w:pPr>
            <w:r w:rsidRPr="000B09B9">
              <w:rPr>
                <w:szCs w:val="20"/>
              </w:rPr>
              <w:t>(4)</w:t>
            </w:r>
          </w:p>
        </w:tc>
        <w:tc>
          <w:tcPr>
            <w:tcW w:w="2136" w:type="dxa"/>
            <w:vAlign w:val="center"/>
          </w:tcPr>
          <w:p w14:paraId="16FAADC8" w14:textId="77777777" w:rsidR="00FF00B2" w:rsidRPr="000B09B9" w:rsidRDefault="00FF00B2" w:rsidP="002B0564">
            <w:pPr>
              <w:pStyle w:val="TableText0"/>
              <w:widowControl/>
              <w:rPr>
                <w:szCs w:val="20"/>
              </w:rPr>
            </w:pPr>
            <w:r w:rsidRPr="000B09B9">
              <w:t>Step 3 + Responder rate of 89% (proxy for assumed discontinuation rate of 11%)</w:t>
            </w:r>
          </w:p>
        </w:tc>
        <w:tc>
          <w:tcPr>
            <w:tcW w:w="1585" w:type="dxa"/>
            <w:vAlign w:val="center"/>
          </w:tcPr>
          <w:p w14:paraId="29E98150" w14:textId="77777777" w:rsidR="00FF00B2" w:rsidRPr="00E928EF" w:rsidRDefault="00E928EF" w:rsidP="002B0564">
            <w:pPr>
              <w:pStyle w:val="TableText0"/>
              <w:widowControl/>
              <w:jc w:val="center"/>
              <w:rPr>
                <w:szCs w:val="20"/>
                <w:highlight w:val="black"/>
              </w:rPr>
            </w:pPr>
            <w:r>
              <w:rPr>
                <w:noProof/>
                <w:color w:val="000000"/>
                <w:highlight w:val="black"/>
              </w:rPr>
              <w:t>'''''''''''''''''''''''</w:t>
            </w:r>
          </w:p>
        </w:tc>
        <w:tc>
          <w:tcPr>
            <w:tcW w:w="1238" w:type="dxa"/>
            <w:vAlign w:val="center"/>
          </w:tcPr>
          <w:p w14:paraId="7E12A19E" w14:textId="77777777" w:rsidR="00FF00B2" w:rsidRPr="000B09B9" w:rsidRDefault="00FF00B2" w:rsidP="002B0564">
            <w:pPr>
              <w:pStyle w:val="TableText0"/>
              <w:widowControl/>
              <w:jc w:val="center"/>
              <w:rPr>
                <w:szCs w:val="20"/>
              </w:rPr>
            </w:pPr>
            <w:r w:rsidRPr="000B09B9">
              <w:t>2.115</w:t>
            </w:r>
          </w:p>
        </w:tc>
        <w:tc>
          <w:tcPr>
            <w:tcW w:w="1585" w:type="dxa"/>
            <w:vAlign w:val="center"/>
          </w:tcPr>
          <w:p w14:paraId="2BCF1626" w14:textId="77777777" w:rsidR="00FF00B2" w:rsidRPr="00E928EF" w:rsidRDefault="00E928EF" w:rsidP="002B0564">
            <w:pPr>
              <w:pStyle w:val="TableText0"/>
              <w:widowControl/>
              <w:jc w:val="center"/>
              <w:rPr>
                <w:szCs w:val="20"/>
              </w:rPr>
            </w:pPr>
            <w:r>
              <w:rPr>
                <w:noProof/>
                <w:color w:val="000000"/>
                <w:highlight w:val="black"/>
              </w:rPr>
              <w:t>'''''''''''''''''''''''</w:t>
            </w:r>
            <w:r w:rsidR="00DC1CE0">
              <w:rPr>
                <w:b/>
                <w:bCs w:val="0"/>
                <w:szCs w:val="20"/>
                <w:vertAlign w:val="superscript"/>
              </w:rPr>
              <w:t>4</w:t>
            </w:r>
          </w:p>
        </w:tc>
        <w:tc>
          <w:tcPr>
            <w:tcW w:w="2056" w:type="dxa"/>
            <w:vAlign w:val="center"/>
          </w:tcPr>
          <w:p w14:paraId="42916B13" w14:textId="77777777" w:rsidR="00FF00B2" w:rsidRPr="000B09B9" w:rsidRDefault="00FF00B2" w:rsidP="002B0564">
            <w:pPr>
              <w:pStyle w:val="TableText0"/>
              <w:widowControl/>
              <w:jc w:val="center"/>
              <w:rPr>
                <w:szCs w:val="20"/>
              </w:rPr>
            </w:pPr>
            <w:r w:rsidRPr="000B09B9">
              <w:t>154%</w:t>
            </w:r>
          </w:p>
        </w:tc>
      </w:tr>
      <w:tr w:rsidR="00C535A8" w:rsidRPr="000B09B9" w14:paraId="75940354" w14:textId="77777777" w:rsidTr="00B01376">
        <w:tc>
          <w:tcPr>
            <w:tcW w:w="0" w:type="auto"/>
            <w:vAlign w:val="center"/>
          </w:tcPr>
          <w:p w14:paraId="379AAD09" w14:textId="77777777" w:rsidR="00C535A8" w:rsidRPr="000B09B9" w:rsidRDefault="00C535A8" w:rsidP="002B0564">
            <w:pPr>
              <w:pStyle w:val="TableText0"/>
              <w:widowControl/>
              <w:rPr>
                <w:szCs w:val="20"/>
              </w:rPr>
            </w:pPr>
          </w:p>
        </w:tc>
        <w:tc>
          <w:tcPr>
            <w:tcW w:w="2136" w:type="dxa"/>
            <w:vAlign w:val="center"/>
          </w:tcPr>
          <w:p w14:paraId="43ED0118" w14:textId="77777777" w:rsidR="00C535A8" w:rsidRPr="000B09B9" w:rsidRDefault="00C535A8" w:rsidP="002B0564">
            <w:pPr>
              <w:pStyle w:val="TableText0"/>
              <w:widowControl/>
              <w:rPr>
                <w:szCs w:val="20"/>
              </w:rPr>
            </w:pPr>
            <w:r w:rsidRPr="000B09B9">
              <w:rPr>
                <w:b/>
                <w:szCs w:val="20"/>
              </w:rPr>
              <w:t>Proposed respecified base case applying all parameters (with submission price)</w:t>
            </w:r>
          </w:p>
        </w:tc>
        <w:tc>
          <w:tcPr>
            <w:tcW w:w="1585" w:type="dxa"/>
            <w:vAlign w:val="center"/>
          </w:tcPr>
          <w:p w14:paraId="764FD2DA" w14:textId="77777777" w:rsidR="00C535A8" w:rsidRPr="00E928EF" w:rsidRDefault="00E928EF" w:rsidP="002B0564">
            <w:pPr>
              <w:pStyle w:val="TableText0"/>
              <w:widowControl/>
              <w:jc w:val="center"/>
              <w:rPr>
                <w:b/>
                <w:bCs w:val="0"/>
                <w:szCs w:val="20"/>
                <w:highlight w:val="black"/>
              </w:rPr>
            </w:pPr>
            <w:r>
              <w:rPr>
                <w:b/>
                <w:noProof/>
                <w:color w:val="000000"/>
                <w:highlight w:val="black"/>
              </w:rPr>
              <w:t>'''''''''''''''''''</w:t>
            </w:r>
          </w:p>
        </w:tc>
        <w:tc>
          <w:tcPr>
            <w:tcW w:w="1238" w:type="dxa"/>
            <w:vAlign w:val="center"/>
          </w:tcPr>
          <w:p w14:paraId="6F58ECEE" w14:textId="77777777" w:rsidR="00C535A8" w:rsidRPr="000B09B9" w:rsidRDefault="00C535A8" w:rsidP="002B0564">
            <w:pPr>
              <w:pStyle w:val="TableText0"/>
              <w:widowControl/>
              <w:jc w:val="center"/>
              <w:rPr>
                <w:b/>
                <w:bCs w:val="0"/>
                <w:szCs w:val="20"/>
              </w:rPr>
            </w:pPr>
            <w:r w:rsidRPr="000B09B9">
              <w:rPr>
                <w:b/>
              </w:rPr>
              <w:t>2.115</w:t>
            </w:r>
          </w:p>
        </w:tc>
        <w:tc>
          <w:tcPr>
            <w:tcW w:w="1585" w:type="dxa"/>
            <w:vAlign w:val="center"/>
          </w:tcPr>
          <w:p w14:paraId="41864A7E" w14:textId="77777777" w:rsidR="00C535A8" w:rsidRPr="00E928EF" w:rsidRDefault="00E928EF" w:rsidP="002B0564">
            <w:pPr>
              <w:pStyle w:val="TableText0"/>
              <w:widowControl/>
              <w:jc w:val="center"/>
              <w:rPr>
                <w:b/>
                <w:bCs w:val="0"/>
                <w:szCs w:val="20"/>
              </w:rPr>
            </w:pPr>
            <w:r>
              <w:rPr>
                <w:b/>
                <w:noProof/>
                <w:color w:val="000000"/>
                <w:highlight w:val="black"/>
              </w:rPr>
              <w:t>''''''''''''''''</w:t>
            </w:r>
            <w:r w:rsidR="00DC1CE0">
              <w:rPr>
                <w:b/>
                <w:bCs w:val="0"/>
                <w:szCs w:val="20"/>
                <w:vertAlign w:val="superscript"/>
              </w:rPr>
              <w:t>4</w:t>
            </w:r>
          </w:p>
        </w:tc>
        <w:tc>
          <w:tcPr>
            <w:tcW w:w="2056" w:type="dxa"/>
            <w:vAlign w:val="center"/>
          </w:tcPr>
          <w:p w14:paraId="57E48A21" w14:textId="77777777" w:rsidR="00C535A8" w:rsidRPr="000B09B9" w:rsidRDefault="00C535A8" w:rsidP="002B0564">
            <w:pPr>
              <w:pStyle w:val="TableText0"/>
              <w:widowControl/>
              <w:jc w:val="center"/>
              <w:rPr>
                <w:b/>
                <w:bCs w:val="0"/>
                <w:szCs w:val="20"/>
              </w:rPr>
            </w:pPr>
            <w:r w:rsidRPr="000B09B9">
              <w:rPr>
                <w:b/>
              </w:rPr>
              <w:t>154%</w:t>
            </w:r>
          </w:p>
        </w:tc>
      </w:tr>
    </w:tbl>
    <w:p w14:paraId="4A50AA92" w14:textId="77777777" w:rsidR="00961EBE" w:rsidRPr="000B09B9" w:rsidRDefault="00B01376" w:rsidP="002B0564">
      <w:pPr>
        <w:pStyle w:val="TableFigureFooter"/>
        <w:rPr>
          <w:rFonts w:eastAsiaTheme="majorEastAsia"/>
        </w:rPr>
      </w:pPr>
      <w:r w:rsidRPr="000B09B9">
        <w:rPr>
          <w:rFonts w:eastAsiaTheme="majorEastAsia"/>
          <w:vertAlign w:val="superscript"/>
        </w:rPr>
        <w:t>a</w:t>
      </w:r>
      <w:r w:rsidRPr="000B09B9">
        <w:rPr>
          <w:rFonts w:eastAsiaTheme="majorEastAsia"/>
        </w:rPr>
        <w:t xml:space="preserve"> Corrections applied were described in Section 3.1 of the commentary </w:t>
      </w:r>
      <w:r w:rsidR="00961EBE" w:rsidRPr="000B09B9">
        <w:rPr>
          <w:rFonts w:eastAsiaTheme="majorEastAsia"/>
        </w:rPr>
        <w:t>and are applied to all steps</w:t>
      </w:r>
    </w:p>
    <w:p w14:paraId="13AC8306" w14:textId="77777777" w:rsidR="00FF00B2" w:rsidRPr="000B09B9" w:rsidRDefault="00961EBE" w:rsidP="002B0564">
      <w:pPr>
        <w:pStyle w:val="TableFigureFooter"/>
        <w:rPr>
          <w:rFonts w:eastAsiaTheme="majorEastAsia"/>
        </w:rPr>
      </w:pPr>
      <w:r w:rsidRPr="000B09B9">
        <w:rPr>
          <w:rFonts w:eastAsiaTheme="majorEastAsia"/>
          <w:vertAlign w:val="superscript"/>
        </w:rPr>
        <w:t xml:space="preserve">b </w:t>
      </w:r>
      <w:r w:rsidR="00FF00B2" w:rsidRPr="000B09B9">
        <w:rPr>
          <w:rFonts w:eastAsiaTheme="majorEastAsia"/>
        </w:rPr>
        <w:t>Escalation time frame similar to CADTH model assumption</w:t>
      </w:r>
    </w:p>
    <w:p w14:paraId="5C2B4ACE" w14:textId="77777777" w:rsidR="00FF00B2" w:rsidRPr="000B09B9" w:rsidRDefault="00FF00B2" w:rsidP="002B0564">
      <w:pPr>
        <w:pStyle w:val="TableFigureFooter"/>
        <w:rPr>
          <w:rFonts w:eastAsiaTheme="majorEastAsia"/>
        </w:rPr>
      </w:pPr>
      <w:r w:rsidRPr="000B09B9">
        <w:t>Source: Compiled during the evaluation evaluator corrected models</w:t>
      </w:r>
    </w:p>
    <w:p w14:paraId="03E1A193" w14:textId="77777777" w:rsidR="00FF00B2" w:rsidRPr="000B09B9" w:rsidRDefault="00FF00B2" w:rsidP="002B0564">
      <w:pPr>
        <w:pStyle w:val="TableFigureFooter"/>
        <w:rPr>
          <w:rFonts w:eastAsia="Arial Narrow" w:cs="Arial Narrow"/>
          <w:color w:val="000000" w:themeColor="text1"/>
          <w:szCs w:val="18"/>
        </w:rPr>
      </w:pPr>
      <w:r w:rsidRPr="000B09B9">
        <w:rPr>
          <w:szCs w:val="18"/>
        </w:rPr>
        <w:t xml:space="preserve">CADTH = Canadian Agency for Drugs and Technologies in Health; ICER = incremental cost-effectiveness ratio; </w:t>
      </w:r>
      <w:r w:rsidRPr="000B09B9">
        <w:rPr>
          <w:rFonts w:eastAsia="Arial Narrow"/>
        </w:rPr>
        <w:t xml:space="preserve">LEMS = Lambert-Eaton myasthenic syndrome; QALY = quality-adjusted life year; </w:t>
      </w:r>
      <w:r w:rsidRPr="000B09B9">
        <w:rPr>
          <w:rFonts w:eastAsia="Arial Narrow" w:cs="Arial Narrow"/>
          <w:color w:val="000000" w:themeColor="text1"/>
          <w:szCs w:val="18"/>
        </w:rPr>
        <w:t>SMC = Scottish Medicines Consortium</w:t>
      </w:r>
    </w:p>
    <w:p w14:paraId="020024A0" w14:textId="77777777" w:rsidR="00DC1CE0" w:rsidRPr="009A6D58" w:rsidRDefault="00DC1CE0" w:rsidP="00DC1CE0">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A89C5A5" w14:textId="77777777" w:rsidR="00DC1CE0" w:rsidRPr="009A6D58" w:rsidRDefault="00DC1CE0" w:rsidP="00DC1CE0">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F46A2D">
        <w:rPr>
          <w:rFonts w:ascii="Arial Narrow" w:hAnsi="Arial Narrow"/>
          <w:i/>
          <w:sz w:val="18"/>
          <w:szCs w:val="18"/>
        </w:rPr>
        <w:t>$115,000 to &lt; $135,000</w:t>
      </w:r>
    </w:p>
    <w:p w14:paraId="72703BA2" w14:textId="77777777" w:rsidR="00DC1CE0" w:rsidRPr="009A6D58" w:rsidRDefault="00DC1CE0" w:rsidP="00DC1CE0">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F46A2D">
        <w:rPr>
          <w:rFonts w:ascii="Arial Narrow" w:hAnsi="Arial Narrow"/>
          <w:i/>
          <w:sz w:val="18"/>
          <w:szCs w:val="18"/>
        </w:rPr>
        <w:t>$135,000 to &lt; $155,000</w:t>
      </w:r>
    </w:p>
    <w:p w14:paraId="56ACADE3" w14:textId="77777777" w:rsidR="00DC1CE0" w:rsidRDefault="00DC1CE0" w:rsidP="00DC1CE0">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F46A2D">
        <w:rPr>
          <w:rFonts w:ascii="Arial Narrow" w:hAnsi="Arial Narrow"/>
          <w:i/>
          <w:sz w:val="18"/>
          <w:szCs w:val="18"/>
        </w:rPr>
        <w:t>$155,000 to &lt; $255,000</w:t>
      </w:r>
    </w:p>
    <w:p w14:paraId="3997B701" w14:textId="77777777" w:rsidR="00DC1CE0" w:rsidRDefault="00DC1CE0" w:rsidP="00DC1CE0">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DC1CE0">
        <w:rPr>
          <w:rFonts w:ascii="Arial Narrow" w:hAnsi="Arial Narrow"/>
          <w:i/>
          <w:sz w:val="18"/>
          <w:szCs w:val="18"/>
        </w:rPr>
        <w:t>$255,000 to &lt; $355,000</w:t>
      </w:r>
    </w:p>
    <w:p w14:paraId="0C547D87" w14:textId="77777777" w:rsidR="00A92692" w:rsidRPr="000B09B9" w:rsidRDefault="00A92692" w:rsidP="00A92692">
      <w:pPr>
        <w:rPr>
          <w:rFonts w:eastAsia="Arial Narrow"/>
        </w:rPr>
      </w:pPr>
    </w:p>
    <w:p w14:paraId="2060678E" w14:textId="1E10A04D" w:rsidR="00A92692" w:rsidRPr="000B09B9" w:rsidRDefault="00A92692" w:rsidP="00A31BE8">
      <w:pPr>
        <w:pStyle w:val="3-BodyText"/>
      </w:pPr>
      <w:r w:rsidRPr="000B09B9">
        <w:t xml:space="preserve">The pre-PBAC response proposed an alternative base case as set out in Table </w:t>
      </w:r>
      <w:r w:rsidR="00B75C4F" w:rsidRPr="000B09B9">
        <w:t>13</w:t>
      </w:r>
      <w:r w:rsidRPr="000B09B9">
        <w:t xml:space="preserve"> below. </w:t>
      </w:r>
      <w:r w:rsidR="002A43D3" w:rsidRPr="000B09B9">
        <w:t>Incorporating these changes to the modelled economic evaluation resulted in an updated ICER of $</w:t>
      </w:r>
      <w:r w:rsidR="00A31BE8" w:rsidRPr="00A31BE8">
        <w:t>155,000 to &lt; $255,000</w:t>
      </w:r>
      <w:r w:rsidR="002A43D3" w:rsidRPr="000B09B9">
        <w:t xml:space="preserve"> per QALY gained. The pre-PBAC response proposed a price reduction of 21% to achieve an ICER equivalent to the submission ($</w:t>
      </w:r>
      <w:r w:rsidR="00A31BE8" w:rsidRPr="00A31BE8">
        <w:t>115,000 to &lt; $135,000</w:t>
      </w:r>
      <w:r w:rsidR="002A43D3" w:rsidRPr="000B09B9">
        <w:t>per QALY</w:t>
      </w:r>
      <w:r w:rsidR="00F435AB" w:rsidRPr="000B09B9">
        <w:t xml:space="preserve"> gained</w:t>
      </w:r>
      <w:r w:rsidR="002A43D3" w:rsidRPr="000B09B9">
        <w:t xml:space="preserve"> - base case corrected during evaluation). </w:t>
      </w:r>
      <w:r w:rsidRPr="000B09B9">
        <w:t>The proposed changes for the pre-PBAC response base case include:</w:t>
      </w:r>
    </w:p>
    <w:p w14:paraId="2D717F50" w14:textId="77777777" w:rsidR="00A92692" w:rsidRPr="000B09B9" w:rsidRDefault="00626BE3" w:rsidP="00A92692">
      <w:pPr>
        <w:pStyle w:val="ListParagraph"/>
        <w:numPr>
          <w:ilvl w:val="0"/>
          <w:numId w:val="40"/>
        </w:numPr>
        <w:spacing w:after="160" w:line="259" w:lineRule="auto"/>
        <w:contextualSpacing/>
      </w:pPr>
      <w:r w:rsidRPr="000B09B9">
        <w:t>Apply a</w:t>
      </w:r>
      <w:r w:rsidR="00A92692" w:rsidRPr="000B09B9">
        <w:t xml:space="preserve"> placebo response rate </w:t>
      </w:r>
      <w:r w:rsidRPr="000B09B9">
        <w:t>of</w:t>
      </w:r>
      <w:r w:rsidR="00A92692" w:rsidRPr="000B09B9">
        <w:t xml:space="preserve"> 18%</w:t>
      </w:r>
      <w:r w:rsidRPr="000B09B9">
        <w:t>;</w:t>
      </w:r>
      <w:r w:rsidR="00A92692" w:rsidRPr="000B09B9">
        <w:t xml:space="preserve"> </w:t>
      </w:r>
    </w:p>
    <w:p w14:paraId="762DF9E6" w14:textId="77777777" w:rsidR="00A92692" w:rsidRPr="000B09B9" w:rsidRDefault="00A92692" w:rsidP="00A92692">
      <w:pPr>
        <w:pStyle w:val="ListParagraph"/>
        <w:numPr>
          <w:ilvl w:val="0"/>
          <w:numId w:val="40"/>
        </w:numPr>
        <w:spacing w:after="160" w:line="259" w:lineRule="auto"/>
        <w:contextualSpacing/>
      </w:pPr>
      <w:r w:rsidRPr="000B09B9">
        <w:t>Apply utility value of 0.122 to the non-responder health state</w:t>
      </w:r>
      <w:r w:rsidR="00626BE3" w:rsidRPr="000B09B9">
        <w:t>;</w:t>
      </w:r>
      <w:r w:rsidRPr="000B09B9">
        <w:t xml:space="preserve"> </w:t>
      </w:r>
    </w:p>
    <w:p w14:paraId="5CD8E497" w14:textId="77777777" w:rsidR="00A92692" w:rsidRPr="000B09B9" w:rsidRDefault="00A92692" w:rsidP="00A92692">
      <w:pPr>
        <w:pStyle w:val="ListParagraph"/>
        <w:numPr>
          <w:ilvl w:val="0"/>
          <w:numId w:val="40"/>
        </w:numPr>
        <w:spacing w:after="160" w:line="259" w:lineRule="auto"/>
        <w:contextualSpacing/>
      </w:pPr>
      <w:r w:rsidRPr="000B09B9">
        <w:t>Apply dose escalation from 2.5 to 6.85 tablets per day over 66 cycles</w:t>
      </w:r>
      <w:r w:rsidR="00626BE3" w:rsidRPr="000B09B9">
        <w:t>;</w:t>
      </w:r>
      <w:r w:rsidRPr="000B09B9">
        <w:t xml:space="preserve"> </w:t>
      </w:r>
    </w:p>
    <w:p w14:paraId="07C64E66" w14:textId="77777777" w:rsidR="00A92692" w:rsidRPr="000B09B9" w:rsidRDefault="00A92692" w:rsidP="00A92692">
      <w:pPr>
        <w:pStyle w:val="ListParagraph"/>
        <w:numPr>
          <w:ilvl w:val="0"/>
          <w:numId w:val="40"/>
        </w:numPr>
        <w:spacing w:after="160" w:line="259" w:lineRule="auto"/>
        <w:contextualSpacing/>
      </w:pPr>
      <w:r w:rsidRPr="000B09B9">
        <w:t>Apply responder rate of 89% (proxy for assumed discontinuation rate of 11%).</w:t>
      </w:r>
    </w:p>
    <w:p w14:paraId="50561911" w14:textId="77777777" w:rsidR="00A92692" w:rsidRPr="000B09B9" w:rsidRDefault="00A92692" w:rsidP="00A92692">
      <w:pPr>
        <w:rPr>
          <w:rFonts w:eastAsia="Arial Narrow"/>
        </w:rPr>
      </w:pPr>
    </w:p>
    <w:p w14:paraId="120C9445" w14:textId="77777777" w:rsidR="00A92692" w:rsidRPr="000B09B9" w:rsidRDefault="002A43D3" w:rsidP="001D4E33">
      <w:pPr>
        <w:pStyle w:val="TableFigureHeading"/>
        <w:rPr>
          <w:rFonts w:eastAsia="Arial Narrow"/>
        </w:rPr>
      </w:pPr>
      <w:r w:rsidRPr="000B09B9">
        <w:t xml:space="preserve">Table </w:t>
      </w:r>
      <w:r w:rsidR="00B75C4F" w:rsidRPr="000B09B9">
        <w:t>13</w:t>
      </w:r>
      <w:r w:rsidRPr="000B09B9">
        <w:t xml:space="preserve">: </w:t>
      </w:r>
      <w:r w:rsidR="001D4E33" w:rsidRPr="000B09B9">
        <w:t xml:space="preserve">Comparison of inputs as discussed in </w:t>
      </w:r>
      <w:r w:rsidR="00784E08" w:rsidRPr="000B09B9">
        <w:t>p</w:t>
      </w:r>
      <w:r w:rsidR="001D4E33" w:rsidRPr="000B09B9">
        <w:t xml:space="preserve">re-PBAC response </w:t>
      </w:r>
    </w:p>
    <w:tbl>
      <w:tblPr>
        <w:tblStyle w:val="TableGrid"/>
        <w:tblW w:w="0" w:type="auto"/>
        <w:tblLook w:val="04A0" w:firstRow="1" w:lastRow="0" w:firstColumn="1" w:lastColumn="0" w:noHBand="0" w:noVBand="1"/>
        <w:tblCaption w:val="Table 13: Comparison of inputs as discussed in pre-PBAC response "/>
      </w:tblPr>
      <w:tblGrid>
        <w:gridCol w:w="1187"/>
        <w:gridCol w:w="908"/>
        <w:gridCol w:w="1305"/>
        <w:gridCol w:w="1080"/>
        <w:gridCol w:w="4537"/>
      </w:tblGrid>
      <w:tr w:rsidR="00761E92" w:rsidRPr="000B09B9" w14:paraId="32633FB0" w14:textId="77777777" w:rsidTr="00476940">
        <w:trPr>
          <w:tblHeader/>
        </w:trPr>
        <w:tc>
          <w:tcPr>
            <w:tcW w:w="0" w:type="auto"/>
          </w:tcPr>
          <w:p w14:paraId="07A0CE8C" w14:textId="77777777" w:rsidR="004F3186" w:rsidRPr="000B09B9" w:rsidRDefault="004F3186" w:rsidP="00A92692">
            <w:pPr>
              <w:rPr>
                <w:rFonts w:ascii="Arial Narrow" w:eastAsia="Arial Narrow" w:hAnsi="Arial Narrow"/>
                <w:sz w:val="20"/>
                <w:szCs w:val="20"/>
              </w:rPr>
            </w:pPr>
          </w:p>
        </w:tc>
        <w:tc>
          <w:tcPr>
            <w:tcW w:w="0" w:type="auto"/>
          </w:tcPr>
          <w:p w14:paraId="3F207C2B" w14:textId="77777777" w:rsidR="004F3186" w:rsidRPr="000B09B9" w:rsidRDefault="004F3186" w:rsidP="00A92692">
            <w:pPr>
              <w:rPr>
                <w:rFonts w:ascii="Arial Narrow" w:eastAsia="Arial Narrow" w:hAnsi="Arial Narrow"/>
                <w:b/>
                <w:sz w:val="20"/>
                <w:szCs w:val="20"/>
              </w:rPr>
            </w:pPr>
            <w:r w:rsidRPr="000B09B9">
              <w:rPr>
                <w:rFonts w:ascii="Arial Narrow" w:eastAsia="Arial Narrow" w:hAnsi="Arial Narrow"/>
                <w:b/>
                <w:sz w:val="20"/>
                <w:szCs w:val="20"/>
              </w:rPr>
              <w:t>Base Case</w:t>
            </w:r>
          </w:p>
        </w:tc>
        <w:tc>
          <w:tcPr>
            <w:tcW w:w="0" w:type="auto"/>
          </w:tcPr>
          <w:p w14:paraId="5C485702" w14:textId="77777777" w:rsidR="004F3186" w:rsidRPr="000B09B9" w:rsidRDefault="004F3186" w:rsidP="00B75C4F">
            <w:pPr>
              <w:jc w:val="left"/>
              <w:rPr>
                <w:rFonts w:ascii="Arial Narrow" w:eastAsia="Arial Narrow" w:hAnsi="Arial Narrow"/>
                <w:b/>
                <w:sz w:val="20"/>
                <w:szCs w:val="20"/>
              </w:rPr>
            </w:pPr>
            <w:r w:rsidRPr="000B09B9">
              <w:rPr>
                <w:rFonts w:ascii="Arial Narrow" w:eastAsia="Arial Narrow" w:hAnsi="Arial Narrow"/>
                <w:b/>
                <w:sz w:val="20"/>
                <w:szCs w:val="20"/>
              </w:rPr>
              <w:t>ESC re-specification</w:t>
            </w:r>
          </w:p>
        </w:tc>
        <w:tc>
          <w:tcPr>
            <w:tcW w:w="0" w:type="auto"/>
          </w:tcPr>
          <w:p w14:paraId="5E3EDC50" w14:textId="77777777" w:rsidR="004F3186" w:rsidRPr="000B09B9" w:rsidRDefault="004F3186" w:rsidP="00B75C4F">
            <w:pPr>
              <w:jc w:val="left"/>
              <w:rPr>
                <w:rFonts w:ascii="Arial Narrow" w:eastAsia="Arial Narrow" w:hAnsi="Arial Narrow"/>
                <w:b/>
                <w:sz w:val="20"/>
                <w:szCs w:val="20"/>
              </w:rPr>
            </w:pPr>
            <w:r w:rsidRPr="000B09B9">
              <w:rPr>
                <w:rFonts w:ascii="Arial Narrow" w:eastAsia="Arial Narrow" w:hAnsi="Arial Narrow"/>
                <w:b/>
                <w:sz w:val="20"/>
                <w:szCs w:val="20"/>
              </w:rPr>
              <w:t xml:space="preserve">Pre-PBAC response </w:t>
            </w:r>
          </w:p>
        </w:tc>
        <w:tc>
          <w:tcPr>
            <w:tcW w:w="0" w:type="auto"/>
          </w:tcPr>
          <w:p w14:paraId="2C96DB2E" w14:textId="77777777" w:rsidR="004F3186" w:rsidRPr="000B09B9" w:rsidRDefault="001D4E33" w:rsidP="00B75C4F">
            <w:pPr>
              <w:jc w:val="left"/>
              <w:rPr>
                <w:rFonts w:ascii="Arial Narrow" w:eastAsia="Arial Narrow" w:hAnsi="Arial Narrow"/>
                <w:b/>
                <w:sz w:val="20"/>
                <w:szCs w:val="20"/>
              </w:rPr>
            </w:pPr>
            <w:r w:rsidRPr="000B09B9">
              <w:rPr>
                <w:rFonts w:ascii="Arial Narrow" w:eastAsia="Arial Narrow" w:hAnsi="Arial Narrow"/>
                <w:b/>
                <w:sz w:val="20"/>
                <w:szCs w:val="20"/>
              </w:rPr>
              <w:t>Consideration</w:t>
            </w:r>
          </w:p>
        </w:tc>
      </w:tr>
      <w:tr w:rsidR="00761E92" w:rsidRPr="000B09B9" w14:paraId="7ACA4E70" w14:textId="77777777" w:rsidTr="00B75C4F">
        <w:tc>
          <w:tcPr>
            <w:tcW w:w="0" w:type="auto"/>
          </w:tcPr>
          <w:p w14:paraId="248F23D2" w14:textId="77777777" w:rsidR="004F3186" w:rsidRPr="000B09B9" w:rsidRDefault="004F3186" w:rsidP="00B75C4F">
            <w:pPr>
              <w:jc w:val="left"/>
              <w:rPr>
                <w:rFonts w:ascii="Arial Narrow" w:eastAsia="Arial Narrow" w:hAnsi="Arial Narrow"/>
                <w:sz w:val="20"/>
                <w:szCs w:val="20"/>
              </w:rPr>
            </w:pPr>
            <w:r w:rsidRPr="000B09B9">
              <w:rPr>
                <w:rFonts w:ascii="Arial Narrow" w:eastAsia="Arial Narrow" w:hAnsi="Arial Narrow"/>
                <w:sz w:val="20"/>
                <w:szCs w:val="20"/>
              </w:rPr>
              <w:t>Utility values – non-responders</w:t>
            </w:r>
          </w:p>
        </w:tc>
        <w:tc>
          <w:tcPr>
            <w:tcW w:w="0" w:type="auto"/>
          </w:tcPr>
          <w:p w14:paraId="225E03CF" w14:textId="77777777" w:rsidR="004F3186" w:rsidRPr="000B09B9" w:rsidRDefault="004F3186" w:rsidP="00A92692">
            <w:pPr>
              <w:rPr>
                <w:rFonts w:ascii="Arial Narrow" w:eastAsia="Arial Narrow" w:hAnsi="Arial Narrow"/>
                <w:sz w:val="20"/>
                <w:szCs w:val="20"/>
              </w:rPr>
            </w:pPr>
            <w:r w:rsidRPr="000B09B9">
              <w:rPr>
                <w:rFonts w:ascii="Arial Narrow" w:eastAsia="Arial Narrow" w:hAnsi="Arial Narrow"/>
                <w:sz w:val="20"/>
                <w:szCs w:val="20"/>
              </w:rPr>
              <w:t>0.122</w:t>
            </w:r>
          </w:p>
        </w:tc>
        <w:tc>
          <w:tcPr>
            <w:tcW w:w="0" w:type="auto"/>
          </w:tcPr>
          <w:p w14:paraId="0BC4F1D9" w14:textId="77777777" w:rsidR="004F3186" w:rsidRPr="000B09B9" w:rsidRDefault="004F3186" w:rsidP="00A92692">
            <w:pPr>
              <w:rPr>
                <w:rFonts w:ascii="Arial Narrow" w:eastAsia="Arial Narrow" w:hAnsi="Arial Narrow"/>
                <w:sz w:val="20"/>
                <w:szCs w:val="20"/>
              </w:rPr>
            </w:pPr>
            <w:r w:rsidRPr="000B09B9">
              <w:rPr>
                <w:rFonts w:ascii="Arial Narrow" w:eastAsia="Arial Narrow" w:hAnsi="Arial Narrow"/>
                <w:sz w:val="20"/>
                <w:szCs w:val="20"/>
              </w:rPr>
              <w:t>0.31</w:t>
            </w:r>
          </w:p>
        </w:tc>
        <w:tc>
          <w:tcPr>
            <w:tcW w:w="0" w:type="auto"/>
          </w:tcPr>
          <w:p w14:paraId="1D7EB68D" w14:textId="77777777" w:rsidR="004F3186" w:rsidRPr="000B09B9" w:rsidRDefault="004F3186" w:rsidP="00A92692">
            <w:pPr>
              <w:rPr>
                <w:rFonts w:ascii="Arial Narrow" w:eastAsia="Arial Narrow" w:hAnsi="Arial Narrow"/>
                <w:sz w:val="20"/>
                <w:szCs w:val="20"/>
              </w:rPr>
            </w:pPr>
            <w:r w:rsidRPr="000B09B9">
              <w:rPr>
                <w:rFonts w:ascii="Arial Narrow" w:eastAsia="Arial Narrow" w:hAnsi="Arial Narrow"/>
                <w:sz w:val="20"/>
                <w:szCs w:val="20"/>
              </w:rPr>
              <w:t>0.122</w:t>
            </w:r>
          </w:p>
        </w:tc>
        <w:tc>
          <w:tcPr>
            <w:tcW w:w="0" w:type="auto"/>
          </w:tcPr>
          <w:p w14:paraId="212DF2DA" w14:textId="77777777" w:rsidR="004F3186" w:rsidRPr="000B09B9" w:rsidRDefault="004F3186" w:rsidP="00EB16B9">
            <w:pPr>
              <w:jc w:val="left"/>
              <w:rPr>
                <w:rFonts w:ascii="Arial Narrow" w:eastAsia="Arial Narrow" w:hAnsi="Arial Narrow"/>
                <w:sz w:val="20"/>
                <w:szCs w:val="20"/>
              </w:rPr>
            </w:pPr>
            <w:r w:rsidRPr="000B09B9">
              <w:rPr>
                <w:rFonts w:ascii="Arial Narrow" w:eastAsia="Arial Narrow" w:hAnsi="Arial Narrow"/>
                <w:sz w:val="20"/>
                <w:szCs w:val="20"/>
              </w:rPr>
              <w:t>The pre-PBAC response acknowledged the limitations of the data sample informing the model, but stated that the utility score reported by Harms et al (2012) was not a suitable proxy for the non-responder health state because it did not reflect an untreated health state. The PBAC considered the utility gain associated with treatment remained uncertain.</w:t>
            </w:r>
          </w:p>
        </w:tc>
      </w:tr>
      <w:tr w:rsidR="00761E92" w:rsidRPr="000B09B9" w14:paraId="61DA844E" w14:textId="77777777" w:rsidTr="00B75C4F">
        <w:tc>
          <w:tcPr>
            <w:tcW w:w="0" w:type="auto"/>
          </w:tcPr>
          <w:p w14:paraId="3E301633" w14:textId="77777777" w:rsidR="004F3186" w:rsidRPr="000B09B9" w:rsidRDefault="004F3186" w:rsidP="00B75C4F">
            <w:pPr>
              <w:jc w:val="left"/>
              <w:rPr>
                <w:rFonts w:ascii="Arial Narrow" w:eastAsia="Arial Narrow" w:hAnsi="Arial Narrow"/>
                <w:sz w:val="20"/>
                <w:szCs w:val="20"/>
              </w:rPr>
            </w:pPr>
            <w:r w:rsidRPr="000B09B9">
              <w:rPr>
                <w:rFonts w:ascii="Arial Narrow" w:eastAsia="Arial Narrow" w:hAnsi="Arial Narrow"/>
                <w:sz w:val="20"/>
                <w:szCs w:val="20"/>
              </w:rPr>
              <w:t>Response rate – on treatment</w:t>
            </w:r>
          </w:p>
        </w:tc>
        <w:tc>
          <w:tcPr>
            <w:tcW w:w="0" w:type="auto"/>
          </w:tcPr>
          <w:p w14:paraId="55D07193" w14:textId="77777777" w:rsidR="004F3186" w:rsidRPr="000B09B9" w:rsidRDefault="004F3186" w:rsidP="00A92692">
            <w:pPr>
              <w:rPr>
                <w:rFonts w:ascii="Arial Narrow" w:eastAsia="Arial Narrow" w:hAnsi="Arial Narrow"/>
                <w:sz w:val="20"/>
                <w:szCs w:val="20"/>
              </w:rPr>
            </w:pPr>
            <w:r w:rsidRPr="000B09B9">
              <w:rPr>
                <w:rFonts w:ascii="Arial Narrow" w:eastAsia="Arial Narrow" w:hAnsi="Arial Narrow"/>
                <w:sz w:val="20"/>
                <w:szCs w:val="20"/>
              </w:rPr>
              <w:t>100%</w:t>
            </w:r>
          </w:p>
        </w:tc>
        <w:tc>
          <w:tcPr>
            <w:tcW w:w="0" w:type="auto"/>
          </w:tcPr>
          <w:p w14:paraId="38A20672" w14:textId="77777777" w:rsidR="004F3186" w:rsidRPr="000B09B9" w:rsidRDefault="004F3186" w:rsidP="00A92692">
            <w:pPr>
              <w:rPr>
                <w:rFonts w:ascii="Arial Narrow" w:eastAsia="Arial Narrow" w:hAnsi="Arial Narrow"/>
                <w:sz w:val="20"/>
                <w:szCs w:val="20"/>
              </w:rPr>
            </w:pPr>
            <w:r w:rsidRPr="000B09B9">
              <w:rPr>
                <w:rFonts w:ascii="Arial Narrow" w:eastAsia="Arial Narrow" w:hAnsi="Arial Narrow"/>
                <w:sz w:val="20"/>
                <w:szCs w:val="20"/>
              </w:rPr>
              <w:t>89%</w:t>
            </w:r>
          </w:p>
        </w:tc>
        <w:tc>
          <w:tcPr>
            <w:tcW w:w="0" w:type="auto"/>
          </w:tcPr>
          <w:p w14:paraId="3ADE086C" w14:textId="77777777" w:rsidR="004F3186" w:rsidRPr="000B09B9" w:rsidRDefault="004F3186" w:rsidP="00A92692">
            <w:pPr>
              <w:rPr>
                <w:rFonts w:ascii="Arial Narrow" w:eastAsia="Arial Narrow" w:hAnsi="Arial Narrow"/>
                <w:sz w:val="20"/>
                <w:szCs w:val="20"/>
              </w:rPr>
            </w:pPr>
            <w:r w:rsidRPr="000B09B9">
              <w:rPr>
                <w:rFonts w:ascii="Arial Narrow" w:eastAsia="Arial Narrow" w:hAnsi="Arial Narrow"/>
                <w:sz w:val="20"/>
                <w:szCs w:val="20"/>
              </w:rPr>
              <w:t>89%</w:t>
            </w:r>
          </w:p>
        </w:tc>
        <w:tc>
          <w:tcPr>
            <w:tcW w:w="0" w:type="auto"/>
          </w:tcPr>
          <w:p w14:paraId="72F5FC3C" w14:textId="77777777" w:rsidR="004F3186" w:rsidRPr="000B09B9" w:rsidRDefault="004F3186" w:rsidP="00EB16B9">
            <w:pPr>
              <w:jc w:val="left"/>
              <w:rPr>
                <w:rFonts w:ascii="Arial Narrow" w:eastAsia="Arial Narrow" w:hAnsi="Arial Narrow"/>
                <w:sz w:val="20"/>
                <w:szCs w:val="20"/>
              </w:rPr>
            </w:pPr>
            <w:r w:rsidRPr="000B09B9">
              <w:rPr>
                <w:rFonts w:ascii="Arial Narrow" w:eastAsia="Arial Narrow" w:hAnsi="Arial Narrow"/>
                <w:sz w:val="20"/>
                <w:szCs w:val="20"/>
              </w:rPr>
              <w:t>The pre-PBAC response accepted the ESC Advice with respect to applying a responder rate of 89% (proxy for assumed discontinuation rate of 11%), which the PBAC considered was reasonable.</w:t>
            </w:r>
          </w:p>
        </w:tc>
      </w:tr>
      <w:tr w:rsidR="00761E92" w:rsidRPr="000B09B9" w14:paraId="3A87B96A" w14:textId="77777777" w:rsidTr="00B75C4F">
        <w:tc>
          <w:tcPr>
            <w:tcW w:w="0" w:type="auto"/>
          </w:tcPr>
          <w:p w14:paraId="17127D94" w14:textId="77777777" w:rsidR="004F3186" w:rsidRPr="000B09B9" w:rsidRDefault="004F3186" w:rsidP="00B75C4F">
            <w:pPr>
              <w:jc w:val="left"/>
              <w:rPr>
                <w:rFonts w:ascii="Arial Narrow" w:eastAsia="Arial Narrow" w:hAnsi="Arial Narrow"/>
                <w:sz w:val="20"/>
                <w:szCs w:val="20"/>
              </w:rPr>
            </w:pPr>
            <w:r w:rsidRPr="000B09B9">
              <w:rPr>
                <w:rFonts w:ascii="Arial Narrow" w:eastAsia="Arial Narrow" w:hAnsi="Arial Narrow"/>
                <w:sz w:val="20"/>
                <w:szCs w:val="20"/>
              </w:rPr>
              <w:t>Response rate - placebo</w:t>
            </w:r>
          </w:p>
        </w:tc>
        <w:tc>
          <w:tcPr>
            <w:tcW w:w="0" w:type="auto"/>
          </w:tcPr>
          <w:p w14:paraId="3B68570E" w14:textId="77777777" w:rsidR="004F3186" w:rsidRPr="000B09B9" w:rsidRDefault="004F3186" w:rsidP="00A92692">
            <w:pPr>
              <w:rPr>
                <w:rFonts w:ascii="Arial Narrow" w:eastAsia="Arial Narrow" w:hAnsi="Arial Narrow"/>
                <w:sz w:val="20"/>
                <w:szCs w:val="20"/>
              </w:rPr>
            </w:pPr>
            <w:r w:rsidRPr="000B09B9">
              <w:rPr>
                <w:rFonts w:ascii="Arial Narrow" w:eastAsia="Arial Narrow" w:hAnsi="Arial Narrow"/>
                <w:sz w:val="20"/>
                <w:szCs w:val="20"/>
              </w:rPr>
              <w:t>10%</w:t>
            </w:r>
          </w:p>
        </w:tc>
        <w:tc>
          <w:tcPr>
            <w:tcW w:w="0" w:type="auto"/>
          </w:tcPr>
          <w:p w14:paraId="2CE08815" w14:textId="77777777" w:rsidR="004F3186" w:rsidRPr="000B09B9" w:rsidRDefault="004F3186" w:rsidP="00A92692">
            <w:pPr>
              <w:rPr>
                <w:rFonts w:ascii="Arial Narrow" w:eastAsia="Arial Narrow" w:hAnsi="Arial Narrow"/>
                <w:sz w:val="20"/>
                <w:szCs w:val="20"/>
              </w:rPr>
            </w:pPr>
            <w:r w:rsidRPr="000B09B9">
              <w:rPr>
                <w:rFonts w:ascii="Arial Narrow" w:eastAsia="Arial Narrow" w:hAnsi="Arial Narrow"/>
                <w:sz w:val="20"/>
                <w:szCs w:val="20"/>
              </w:rPr>
              <w:t>27.8%</w:t>
            </w:r>
          </w:p>
        </w:tc>
        <w:tc>
          <w:tcPr>
            <w:tcW w:w="0" w:type="auto"/>
          </w:tcPr>
          <w:p w14:paraId="3CD158DC" w14:textId="77777777" w:rsidR="004F3186" w:rsidRPr="000B09B9" w:rsidRDefault="004F3186" w:rsidP="00A92692">
            <w:pPr>
              <w:rPr>
                <w:rFonts w:ascii="Arial Narrow" w:eastAsia="Arial Narrow" w:hAnsi="Arial Narrow"/>
                <w:sz w:val="20"/>
                <w:szCs w:val="20"/>
              </w:rPr>
            </w:pPr>
            <w:r w:rsidRPr="000B09B9">
              <w:rPr>
                <w:rFonts w:ascii="Arial Narrow" w:eastAsia="Arial Narrow" w:hAnsi="Arial Narrow"/>
                <w:sz w:val="20"/>
                <w:szCs w:val="20"/>
              </w:rPr>
              <w:t>18%</w:t>
            </w:r>
          </w:p>
        </w:tc>
        <w:tc>
          <w:tcPr>
            <w:tcW w:w="0" w:type="auto"/>
          </w:tcPr>
          <w:p w14:paraId="464AB17C" w14:textId="77777777" w:rsidR="004F3186" w:rsidRPr="000B09B9" w:rsidRDefault="00A342E1" w:rsidP="00EB16B9">
            <w:pPr>
              <w:jc w:val="left"/>
              <w:rPr>
                <w:rFonts w:ascii="Arial Narrow" w:eastAsia="Arial Narrow" w:hAnsi="Arial Narrow"/>
                <w:sz w:val="20"/>
                <w:szCs w:val="20"/>
              </w:rPr>
            </w:pPr>
            <w:r w:rsidRPr="000B09B9">
              <w:rPr>
                <w:rFonts w:ascii="Arial Narrow" w:eastAsia="Arial Narrow" w:hAnsi="Arial Narrow"/>
                <w:sz w:val="20"/>
                <w:szCs w:val="20"/>
              </w:rPr>
              <w:t xml:space="preserve">The pre-PBAC response proposed that a placebo response rate of 18% would be more appropriate, and cited a supportive analysis from the DAPPER CSR in which the 3TUG result was treated as a continuous response, as compared with the primary analysis reported in the submission which was based on a “point in time” as stipulated by the study protocol. The PBAC </w:t>
            </w:r>
            <w:r w:rsidR="00542A90">
              <w:rPr>
                <w:rFonts w:ascii="Arial Narrow" w:eastAsia="Arial Narrow" w:hAnsi="Arial Narrow"/>
                <w:sz w:val="20"/>
                <w:szCs w:val="20"/>
              </w:rPr>
              <w:t xml:space="preserve">agreed with ESC </w:t>
            </w:r>
            <w:r w:rsidRPr="000B09B9">
              <w:rPr>
                <w:rFonts w:ascii="Arial Narrow" w:eastAsia="Arial Narrow" w:hAnsi="Arial Narrow"/>
                <w:sz w:val="20"/>
                <w:szCs w:val="20"/>
              </w:rPr>
              <w:t xml:space="preserve">that </w:t>
            </w:r>
            <w:r w:rsidR="00542A90">
              <w:rPr>
                <w:rFonts w:ascii="Arial Narrow" w:eastAsia="Arial Narrow" w:hAnsi="Arial Narrow"/>
                <w:sz w:val="20"/>
                <w:szCs w:val="20"/>
              </w:rPr>
              <w:t>a</w:t>
            </w:r>
            <w:r w:rsidR="00542A90" w:rsidRPr="000B09B9">
              <w:rPr>
                <w:rFonts w:ascii="Arial Narrow" w:eastAsia="Arial Narrow" w:hAnsi="Arial Narrow"/>
                <w:sz w:val="20"/>
                <w:szCs w:val="20"/>
              </w:rPr>
              <w:t xml:space="preserve"> </w:t>
            </w:r>
            <w:r w:rsidRPr="000B09B9">
              <w:rPr>
                <w:rFonts w:ascii="Arial Narrow" w:eastAsia="Arial Narrow" w:hAnsi="Arial Narrow"/>
                <w:sz w:val="20"/>
                <w:szCs w:val="20"/>
              </w:rPr>
              <w:t>placebo response rate of 27.8% reflected the primary analysis of the DAPPER study (</w:t>
            </w:r>
            <w:r w:rsidR="00761E92" w:rsidRPr="00796214">
              <w:rPr>
                <w:rFonts w:ascii="Arial Narrow" w:eastAsia="Arial Narrow" w:hAnsi="Arial Narrow"/>
                <w:sz w:val="20"/>
                <w:szCs w:val="20"/>
              </w:rPr>
              <w:t>paragraph 6.52</w:t>
            </w:r>
            <w:r w:rsidRPr="000B09B9">
              <w:rPr>
                <w:rFonts w:ascii="Arial Narrow" w:eastAsia="Arial Narrow" w:hAnsi="Arial Narrow"/>
                <w:sz w:val="20"/>
                <w:szCs w:val="20"/>
              </w:rPr>
              <w:t>)</w:t>
            </w:r>
            <w:r w:rsidR="00761E92" w:rsidRPr="000B09B9">
              <w:rPr>
                <w:rFonts w:ascii="Arial Narrow" w:eastAsia="Arial Narrow" w:hAnsi="Arial Narrow"/>
                <w:sz w:val="20"/>
                <w:szCs w:val="20"/>
              </w:rPr>
              <w:t>,</w:t>
            </w:r>
            <w:r w:rsidRPr="000B09B9">
              <w:rPr>
                <w:rFonts w:ascii="Arial Narrow" w:eastAsia="Arial Narrow" w:hAnsi="Arial Narrow"/>
                <w:sz w:val="20"/>
                <w:szCs w:val="20"/>
              </w:rPr>
              <w:t xml:space="preserve"> </w:t>
            </w:r>
            <w:r w:rsidR="00761E92" w:rsidRPr="000B09B9">
              <w:rPr>
                <w:rFonts w:ascii="Arial Narrow" w:eastAsia="Arial Narrow" w:hAnsi="Arial Narrow"/>
                <w:sz w:val="20"/>
                <w:szCs w:val="20"/>
              </w:rPr>
              <w:t xml:space="preserve">notwithstanding that </w:t>
            </w:r>
            <w:r w:rsidRPr="000B09B9">
              <w:rPr>
                <w:rFonts w:ascii="Arial Narrow" w:eastAsia="Arial Narrow" w:hAnsi="Arial Narrow"/>
                <w:sz w:val="20"/>
                <w:szCs w:val="20"/>
              </w:rPr>
              <w:t>DAPPER was a withdrawal study</w:t>
            </w:r>
            <w:r w:rsidR="00761E92" w:rsidRPr="000B09B9">
              <w:rPr>
                <w:rFonts w:ascii="Arial Narrow" w:eastAsia="Arial Narrow" w:hAnsi="Arial Narrow"/>
                <w:sz w:val="20"/>
                <w:szCs w:val="20"/>
              </w:rPr>
              <w:t xml:space="preserve"> and</w:t>
            </w:r>
            <w:r w:rsidRPr="000B09B9">
              <w:rPr>
                <w:rFonts w:ascii="Arial Narrow" w:eastAsia="Arial Narrow" w:hAnsi="Arial Narrow"/>
                <w:sz w:val="20"/>
                <w:szCs w:val="20"/>
              </w:rPr>
              <w:t xml:space="preserve"> there was limited evidence to determine a more accurate estimate of the incremental benefit.</w:t>
            </w:r>
          </w:p>
        </w:tc>
      </w:tr>
      <w:tr w:rsidR="00761E92" w:rsidRPr="000B09B9" w14:paraId="4EFF0C51" w14:textId="77777777" w:rsidTr="00B75C4F">
        <w:tc>
          <w:tcPr>
            <w:tcW w:w="0" w:type="auto"/>
          </w:tcPr>
          <w:p w14:paraId="03E0E969" w14:textId="77777777" w:rsidR="004F3186" w:rsidRPr="000B09B9" w:rsidRDefault="004F3186" w:rsidP="00B75C4F">
            <w:pPr>
              <w:jc w:val="left"/>
              <w:rPr>
                <w:rFonts w:ascii="Arial Narrow" w:eastAsia="Arial Narrow" w:hAnsi="Arial Narrow"/>
                <w:sz w:val="20"/>
                <w:szCs w:val="20"/>
              </w:rPr>
            </w:pPr>
            <w:r w:rsidRPr="000B09B9">
              <w:rPr>
                <w:rFonts w:ascii="Arial Narrow" w:eastAsia="Arial Narrow" w:hAnsi="Arial Narrow"/>
                <w:sz w:val="20"/>
                <w:szCs w:val="20"/>
              </w:rPr>
              <w:t>Dose escalation</w:t>
            </w:r>
          </w:p>
        </w:tc>
        <w:tc>
          <w:tcPr>
            <w:tcW w:w="0" w:type="auto"/>
          </w:tcPr>
          <w:p w14:paraId="666702B6" w14:textId="77777777" w:rsidR="004F3186" w:rsidRPr="000B09B9" w:rsidRDefault="004F3186" w:rsidP="00B75C4F">
            <w:pPr>
              <w:jc w:val="left"/>
              <w:rPr>
                <w:rFonts w:ascii="Arial Narrow" w:eastAsia="Arial Narrow" w:hAnsi="Arial Narrow"/>
                <w:sz w:val="20"/>
                <w:szCs w:val="20"/>
              </w:rPr>
            </w:pPr>
            <w:r w:rsidRPr="000B09B9">
              <w:rPr>
                <w:rFonts w:ascii="Arial Narrow" w:eastAsia="Arial Narrow" w:hAnsi="Arial Narrow"/>
                <w:sz w:val="20"/>
                <w:szCs w:val="20"/>
              </w:rPr>
              <w:t>Over 60 months (66 cycles)</w:t>
            </w:r>
          </w:p>
        </w:tc>
        <w:tc>
          <w:tcPr>
            <w:tcW w:w="0" w:type="auto"/>
          </w:tcPr>
          <w:p w14:paraId="18DFE858" w14:textId="77777777" w:rsidR="004F3186" w:rsidRPr="000B09B9" w:rsidRDefault="004F3186" w:rsidP="00B75C4F">
            <w:pPr>
              <w:jc w:val="left"/>
              <w:rPr>
                <w:rFonts w:ascii="Arial Narrow" w:eastAsia="Arial Narrow" w:hAnsi="Arial Narrow"/>
                <w:sz w:val="20"/>
                <w:szCs w:val="20"/>
              </w:rPr>
            </w:pPr>
            <w:r w:rsidRPr="000B09B9">
              <w:rPr>
                <w:rFonts w:ascii="Arial Narrow" w:eastAsia="Arial Narrow" w:hAnsi="Arial Narrow"/>
                <w:sz w:val="20"/>
                <w:szCs w:val="20"/>
              </w:rPr>
              <w:t>Over 3 months (4 cycles)</w:t>
            </w:r>
          </w:p>
        </w:tc>
        <w:tc>
          <w:tcPr>
            <w:tcW w:w="0" w:type="auto"/>
          </w:tcPr>
          <w:p w14:paraId="60E144D8" w14:textId="77777777" w:rsidR="004F3186" w:rsidRPr="000B09B9" w:rsidRDefault="004F3186" w:rsidP="00B75C4F">
            <w:pPr>
              <w:jc w:val="left"/>
              <w:rPr>
                <w:rFonts w:ascii="Arial Narrow" w:eastAsia="Arial Narrow" w:hAnsi="Arial Narrow"/>
                <w:sz w:val="20"/>
                <w:szCs w:val="20"/>
              </w:rPr>
            </w:pPr>
            <w:r w:rsidRPr="000B09B9">
              <w:rPr>
                <w:rFonts w:ascii="Arial Narrow" w:eastAsia="Arial Narrow" w:hAnsi="Arial Narrow"/>
                <w:sz w:val="20"/>
                <w:szCs w:val="20"/>
              </w:rPr>
              <w:t>Over 60 months (66 cycles)</w:t>
            </w:r>
          </w:p>
        </w:tc>
        <w:tc>
          <w:tcPr>
            <w:tcW w:w="0" w:type="auto"/>
          </w:tcPr>
          <w:p w14:paraId="3D1AFA3F" w14:textId="77777777" w:rsidR="004F3186" w:rsidRPr="000B09B9" w:rsidRDefault="00A342E1" w:rsidP="0043045A">
            <w:pPr>
              <w:jc w:val="left"/>
              <w:rPr>
                <w:rFonts w:ascii="Arial Narrow" w:eastAsia="Arial Narrow" w:hAnsi="Arial Narrow"/>
                <w:sz w:val="20"/>
                <w:szCs w:val="20"/>
              </w:rPr>
            </w:pPr>
            <w:r w:rsidRPr="000B09B9">
              <w:rPr>
                <w:rFonts w:ascii="Arial Narrow" w:eastAsia="Arial Narrow" w:hAnsi="Arial Narrow"/>
                <w:sz w:val="20"/>
                <w:szCs w:val="20"/>
              </w:rPr>
              <w:t>The pre-PBAC response (2) maintained that dose escalation occurs gradually in clinical practice, and stated that the escalation period in the submission was based on the results of a patient survey. The PBAC not</w:t>
            </w:r>
            <w:r w:rsidR="00761E92" w:rsidRPr="000B09B9">
              <w:rPr>
                <w:rFonts w:ascii="Arial Narrow" w:eastAsia="Arial Narrow" w:hAnsi="Arial Narrow"/>
                <w:sz w:val="20"/>
                <w:szCs w:val="20"/>
              </w:rPr>
              <w:t>ed</w:t>
            </w:r>
            <w:r w:rsidRPr="000B09B9">
              <w:rPr>
                <w:rFonts w:ascii="Arial Narrow" w:eastAsia="Arial Narrow" w:hAnsi="Arial Narrow"/>
                <w:sz w:val="20"/>
                <w:szCs w:val="20"/>
              </w:rPr>
              <w:t xml:space="preserve"> that the model assumed that benefits of amifampridine treatment would commence immediately</w:t>
            </w:r>
            <w:r w:rsidR="0007718B">
              <w:rPr>
                <w:rFonts w:ascii="Arial Narrow" w:eastAsia="Arial Narrow" w:hAnsi="Arial Narrow"/>
                <w:sz w:val="20"/>
                <w:szCs w:val="20"/>
              </w:rPr>
              <w:t>. The PBAC agreed with ESC that a 3 month escalation period would be approproi</w:t>
            </w:r>
            <w:r w:rsidR="009F7B9D">
              <w:rPr>
                <w:rFonts w:ascii="Arial Narrow" w:eastAsia="Arial Narrow" w:hAnsi="Arial Narrow"/>
                <w:sz w:val="20"/>
                <w:szCs w:val="20"/>
              </w:rPr>
              <w:t>a</w:t>
            </w:r>
            <w:r w:rsidR="0007718B">
              <w:rPr>
                <w:rFonts w:ascii="Arial Narrow" w:eastAsia="Arial Narrow" w:hAnsi="Arial Narrow"/>
                <w:sz w:val="20"/>
                <w:szCs w:val="20"/>
              </w:rPr>
              <w:t>te, and given th</w:t>
            </w:r>
            <w:r w:rsidR="0043045A">
              <w:rPr>
                <w:rFonts w:ascii="Arial Narrow" w:eastAsia="Arial Narrow" w:hAnsi="Arial Narrow"/>
                <w:sz w:val="20"/>
                <w:szCs w:val="20"/>
              </w:rPr>
              <w:t>e</w:t>
            </w:r>
            <w:r w:rsidR="0007718B">
              <w:rPr>
                <w:rFonts w:ascii="Arial Narrow" w:eastAsia="Arial Narrow" w:hAnsi="Arial Narrow"/>
                <w:sz w:val="20"/>
                <w:szCs w:val="20"/>
              </w:rPr>
              <w:t xml:space="preserve"> trial data, sh</w:t>
            </w:r>
            <w:r w:rsidR="009F7B9D">
              <w:rPr>
                <w:rFonts w:ascii="Arial Narrow" w:eastAsia="Arial Narrow" w:hAnsi="Arial Narrow"/>
                <w:sz w:val="20"/>
                <w:szCs w:val="20"/>
              </w:rPr>
              <w:t>ould</w:t>
            </w:r>
            <w:r w:rsidR="0007718B">
              <w:rPr>
                <w:rFonts w:ascii="Arial Narrow" w:eastAsia="Arial Narrow" w:hAnsi="Arial Narrow"/>
                <w:sz w:val="20"/>
                <w:szCs w:val="20"/>
              </w:rPr>
              <w:t xml:space="preserve"> not be more than 6 months. </w:t>
            </w:r>
            <w:r w:rsidRPr="000B09B9">
              <w:rPr>
                <w:rFonts w:ascii="Arial Narrow" w:eastAsia="Arial Narrow" w:hAnsi="Arial Narrow"/>
                <w:sz w:val="20"/>
                <w:szCs w:val="20"/>
              </w:rPr>
              <w:t xml:space="preserve"> </w:t>
            </w:r>
          </w:p>
        </w:tc>
      </w:tr>
    </w:tbl>
    <w:p w14:paraId="29885991" w14:textId="77777777" w:rsidR="00A92692" w:rsidRPr="000B09B9" w:rsidRDefault="001D4E33" w:rsidP="00A92692">
      <w:pPr>
        <w:rPr>
          <w:rFonts w:ascii="Arial Narrow" w:eastAsia="Arial Narrow" w:hAnsi="Arial Narrow"/>
          <w:sz w:val="18"/>
          <w:szCs w:val="18"/>
        </w:rPr>
      </w:pPr>
      <w:r w:rsidRPr="000B09B9">
        <w:rPr>
          <w:rFonts w:ascii="Arial Narrow" w:eastAsia="Arial Narrow" w:hAnsi="Arial Narrow"/>
          <w:sz w:val="18"/>
          <w:szCs w:val="18"/>
        </w:rPr>
        <w:t>Source: Modified from Table 1, Pre-PBAC response.</w:t>
      </w:r>
    </w:p>
    <w:p w14:paraId="6EE0D6DB" w14:textId="77777777" w:rsidR="001D4E33" w:rsidRPr="000B09B9" w:rsidRDefault="001D4E33" w:rsidP="00A92692">
      <w:pPr>
        <w:rPr>
          <w:rFonts w:eastAsia="Arial Narrow"/>
        </w:rPr>
      </w:pPr>
    </w:p>
    <w:p w14:paraId="429F7ED4" w14:textId="639C39E3" w:rsidR="001D4E33" w:rsidRPr="000B09B9" w:rsidRDefault="00C03E04" w:rsidP="00F9380F">
      <w:pPr>
        <w:pStyle w:val="3-BodyText"/>
      </w:pPr>
      <w:r w:rsidRPr="000B09B9">
        <w:t>While t</w:t>
      </w:r>
      <w:r w:rsidR="002A43D3" w:rsidRPr="000B09B9">
        <w:t xml:space="preserve">he PBAC </w:t>
      </w:r>
      <w:r w:rsidR="001D4E33" w:rsidRPr="000B09B9">
        <w:t>raised several concerns with the updated base case proposed in the pre</w:t>
      </w:r>
      <w:r w:rsidR="001D4E33" w:rsidRPr="000B09B9">
        <w:noBreakHyphen/>
        <w:t>PBAC response</w:t>
      </w:r>
      <w:r w:rsidRPr="000B09B9">
        <w:t>, as discussed in Table 13</w:t>
      </w:r>
      <w:r w:rsidR="001D4E33" w:rsidRPr="000B09B9">
        <w:t xml:space="preserve">, </w:t>
      </w:r>
      <w:r w:rsidRPr="000B09B9">
        <w:t xml:space="preserve">it </w:t>
      </w:r>
      <w:r w:rsidR="001D4E33" w:rsidRPr="000B09B9">
        <w:t xml:space="preserve">considered it </w:t>
      </w:r>
      <w:r w:rsidRPr="000B09B9">
        <w:t xml:space="preserve">to be </w:t>
      </w:r>
      <w:r w:rsidR="001D4E33" w:rsidRPr="000B09B9">
        <w:t xml:space="preserve">unlikely that further data would become available to reduce the uncertainty in the modelled inputs, </w:t>
      </w:r>
      <w:r w:rsidR="00903DA3" w:rsidRPr="000B09B9">
        <w:t>given</w:t>
      </w:r>
      <w:r w:rsidR="001D4E33" w:rsidRPr="000B09B9">
        <w:t xml:space="preserve"> the primary clinical evidence for amifampridine </w:t>
      </w:r>
      <w:r w:rsidR="00903DA3" w:rsidRPr="000B09B9">
        <w:t>is</w:t>
      </w:r>
      <w:r w:rsidR="001D4E33" w:rsidRPr="000B09B9">
        <w:t xml:space="preserve"> limited to two very small RCTs (n=32</w:t>
      </w:r>
      <w:r w:rsidR="00961166">
        <w:t> </w:t>
      </w:r>
      <w:r w:rsidR="001D4E33" w:rsidRPr="000B09B9">
        <w:t xml:space="preserve">and n=26), </w:t>
      </w:r>
      <w:r w:rsidR="00903DA3" w:rsidRPr="000B09B9">
        <w:t>and</w:t>
      </w:r>
      <w:r w:rsidR="001D4E33" w:rsidRPr="000B09B9">
        <w:t xml:space="preserve"> the drug </w:t>
      </w:r>
      <w:r w:rsidR="00903DA3" w:rsidRPr="000B09B9">
        <w:t>has been</w:t>
      </w:r>
      <w:r w:rsidR="001D4E33" w:rsidRPr="000B09B9">
        <w:t xml:space="preserve"> used in clinical practice for many years.</w:t>
      </w:r>
    </w:p>
    <w:p w14:paraId="7BD15AD0" w14:textId="77777777" w:rsidR="002A43D3" w:rsidRPr="000B09B9" w:rsidRDefault="002A43D3" w:rsidP="00C7172A"/>
    <w:p w14:paraId="2995C890" w14:textId="77777777" w:rsidR="002D7633" w:rsidRPr="000B09B9" w:rsidRDefault="002D7633" w:rsidP="002A43D3">
      <w:pPr>
        <w:pStyle w:val="ListParagraph"/>
        <w:numPr>
          <w:ilvl w:val="0"/>
          <w:numId w:val="0"/>
        </w:numPr>
        <w:spacing w:after="160" w:line="259" w:lineRule="auto"/>
        <w:ind w:left="720"/>
        <w:contextualSpacing/>
      </w:pPr>
    </w:p>
    <w:p w14:paraId="723BFE79" w14:textId="77777777" w:rsidR="00A92692" w:rsidRPr="000B09B9" w:rsidRDefault="00A92692" w:rsidP="00A92692">
      <w:pPr>
        <w:rPr>
          <w:rFonts w:eastAsia="Arial Narrow"/>
        </w:rPr>
      </w:pPr>
    </w:p>
    <w:p w14:paraId="029E50B6" w14:textId="77777777" w:rsidR="00A92692" w:rsidRPr="000B09B9" w:rsidRDefault="00A92692" w:rsidP="00A92692">
      <w:pPr>
        <w:rPr>
          <w:rFonts w:eastAsia="Arial Narrow"/>
        </w:rPr>
      </w:pPr>
    </w:p>
    <w:p w14:paraId="0E8B0733" w14:textId="77777777" w:rsidR="00FE1325" w:rsidRPr="000B09B9" w:rsidRDefault="00FE1325" w:rsidP="00C03E04">
      <w:pPr>
        <w:pStyle w:val="4-SubsectionHeading"/>
        <w:tabs>
          <w:tab w:val="left" w:pos="3684"/>
        </w:tabs>
      </w:pPr>
      <w:bookmarkStart w:id="46" w:name="_Toc22897646"/>
      <w:bookmarkStart w:id="47" w:name="_Toc22898858"/>
      <w:bookmarkStart w:id="48" w:name="_Toc82537454"/>
      <w:r w:rsidRPr="000B09B9">
        <w:t>Drug cost/patient/</w:t>
      </w:r>
      <w:bookmarkEnd w:id="46"/>
      <w:bookmarkEnd w:id="47"/>
      <w:r w:rsidRPr="000B09B9">
        <w:t>year</w:t>
      </w:r>
      <w:bookmarkEnd w:id="48"/>
      <w:r w:rsidR="00C03E04" w:rsidRPr="000B09B9">
        <w:tab/>
      </w:r>
    </w:p>
    <w:p w14:paraId="069FE209" w14:textId="77777777" w:rsidR="00FE1325" w:rsidRPr="000B09B9" w:rsidRDefault="00FE1325" w:rsidP="002B0564">
      <w:pPr>
        <w:pStyle w:val="TableFigureHeading"/>
        <w:rPr>
          <w:rStyle w:val="CommentReference"/>
          <w:b/>
          <w:szCs w:val="24"/>
        </w:rPr>
      </w:pPr>
      <w:r w:rsidRPr="000B09B9">
        <w:rPr>
          <w:rStyle w:val="CommentReference"/>
          <w:b/>
          <w:szCs w:val="24"/>
        </w:rPr>
        <w:t>Table 1</w:t>
      </w:r>
      <w:r w:rsidR="008807D2" w:rsidRPr="000B09B9">
        <w:rPr>
          <w:rStyle w:val="CommentReference"/>
          <w:b/>
          <w:szCs w:val="24"/>
        </w:rPr>
        <w:t>4</w:t>
      </w:r>
      <w:r w:rsidRPr="000B09B9">
        <w:rPr>
          <w:rStyle w:val="CommentReference"/>
          <w:b/>
          <w:szCs w:val="24"/>
        </w:rPr>
        <w:t>: Drug cost per patient for amifampridine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8"/>
        <w:gridCol w:w="2393"/>
        <w:gridCol w:w="2393"/>
        <w:gridCol w:w="2393"/>
      </w:tblGrid>
      <w:tr w:rsidR="00FE1325" w:rsidRPr="000B09B9" w14:paraId="3B74B96E" w14:textId="77777777" w:rsidTr="009F56FD">
        <w:trPr>
          <w:cantSplit/>
          <w:tblHeader/>
          <w:jc w:val="center"/>
        </w:trPr>
        <w:tc>
          <w:tcPr>
            <w:tcW w:w="1019" w:type="pct"/>
            <w:shd w:val="clear" w:color="auto" w:fill="auto"/>
            <w:vAlign w:val="center"/>
          </w:tcPr>
          <w:p w14:paraId="3EAF27B8" w14:textId="77777777" w:rsidR="00FE1325" w:rsidRPr="000B09B9" w:rsidRDefault="00FE1325" w:rsidP="002B0564">
            <w:pPr>
              <w:pStyle w:val="In-tableHeading"/>
              <w:jc w:val="center"/>
              <w:rPr>
                <w:lang w:val="en-AU"/>
              </w:rPr>
            </w:pPr>
          </w:p>
        </w:tc>
        <w:tc>
          <w:tcPr>
            <w:tcW w:w="1327" w:type="pct"/>
            <w:shd w:val="clear" w:color="auto" w:fill="auto"/>
            <w:vAlign w:val="center"/>
          </w:tcPr>
          <w:p w14:paraId="60939D60" w14:textId="77777777" w:rsidR="00FE1325" w:rsidRPr="000B09B9" w:rsidRDefault="00FE1325" w:rsidP="002B0564">
            <w:pPr>
              <w:pStyle w:val="In-tableHeading"/>
              <w:jc w:val="center"/>
              <w:rPr>
                <w:lang w:val="en-AU"/>
              </w:rPr>
            </w:pPr>
            <w:r w:rsidRPr="000B09B9">
              <w:rPr>
                <w:lang w:val="en-AU"/>
              </w:rPr>
              <w:t>Trial dose and duration</w:t>
            </w:r>
          </w:p>
        </w:tc>
        <w:tc>
          <w:tcPr>
            <w:tcW w:w="1327" w:type="pct"/>
            <w:shd w:val="clear" w:color="auto" w:fill="auto"/>
            <w:vAlign w:val="center"/>
          </w:tcPr>
          <w:p w14:paraId="1A095C6C" w14:textId="77777777" w:rsidR="00FE1325" w:rsidRPr="000B09B9" w:rsidRDefault="00FE1325" w:rsidP="002B0564">
            <w:pPr>
              <w:pStyle w:val="In-tableHeading"/>
              <w:jc w:val="center"/>
              <w:rPr>
                <w:lang w:val="en-AU"/>
              </w:rPr>
            </w:pPr>
            <w:r w:rsidRPr="000B09B9">
              <w:rPr>
                <w:lang w:val="en-AU"/>
              </w:rPr>
              <w:t>Model</w:t>
            </w:r>
          </w:p>
        </w:tc>
        <w:tc>
          <w:tcPr>
            <w:tcW w:w="1327" w:type="pct"/>
            <w:shd w:val="clear" w:color="auto" w:fill="auto"/>
            <w:vAlign w:val="center"/>
          </w:tcPr>
          <w:p w14:paraId="742B47F7" w14:textId="77777777" w:rsidR="00FE1325" w:rsidRPr="000B09B9" w:rsidRDefault="00FE1325" w:rsidP="002B0564">
            <w:pPr>
              <w:pStyle w:val="In-tableHeading"/>
              <w:jc w:val="center"/>
              <w:rPr>
                <w:lang w:val="en-AU"/>
              </w:rPr>
            </w:pPr>
            <w:r w:rsidRPr="000B09B9">
              <w:rPr>
                <w:lang w:val="en-AU"/>
              </w:rPr>
              <w:t>Financial estimates</w:t>
            </w:r>
          </w:p>
        </w:tc>
      </w:tr>
      <w:tr w:rsidR="00FE1325" w:rsidRPr="000B09B9" w14:paraId="5B440A1E" w14:textId="77777777" w:rsidTr="009F56FD">
        <w:trPr>
          <w:cantSplit/>
          <w:jc w:val="center"/>
        </w:trPr>
        <w:tc>
          <w:tcPr>
            <w:tcW w:w="1019" w:type="pct"/>
            <w:shd w:val="clear" w:color="auto" w:fill="auto"/>
            <w:vAlign w:val="center"/>
          </w:tcPr>
          <w:p w14:paraId="07FA7D9E" w14:textId="77777777" w:rsidR="00FE1325" w:rsidRPr="000B09B9" w:rsidRDefault="00FE1325" w:rsidP="002B0564">
            <w:pPr>
              <w:pStyle w:val="TableText0"/>
              <w:widowControl/>
            </w:pPr>
            <w:r w:rsidRPr="000B09B9">
              <w:t>Mean dose per day</w:t>
            </w:r>
          </w:p>
        </w:tc>
        <w:tc>
          <w:tcPr>
            <w:tcW w:w="1327" w:type="pct"/>
            <w:shd w:val="clear" w:color="auto" w:fill="auto"/>
            <w:vAlign w:val="center"/>
          </w:tcPr>
          <w:p w14:paraId="2FB1C2E8" w14:textId="77777777" w:rsidR="00FE1325" w:rsidRPr="000B09B9" w:rsidRDefault="00FE1325" w:rsidP="002B0564">
            <w:pPr>
              <w:pStyle w:val="TableText0"/>
              <w:widowControl/>
              <w:jc w:val="center"/>
              <w:rPr>
                <w:iCs/>
                <w:vertAlign w:val="superscript"/>
              </w:rPr>
            </w:pPr>
            <w:r w:rsidRPr="000B09B9">
              <w:rPr>
                <w:iCs/>
              </w:rPr>
              <w:t>67.85</w:t>
            </w:r>
            <w:r w:rsidR="00606420" w:rsidRPr="000B09B9">
              <w:rPr>
                <w:iCs/>
              </w:rPr>
              <w:t xml:space="preserve"> </w:t>
            </w:r>
            <w:r w:rsidRPr="000B09B9">
              <w:rPr>
                <w:iCs/>
              </w:rPr>
              <w:t>mg</w:t>
            </w:r>
          </w:p>
        </w:tc>
        <w:tc>
          <w:tcPr>
            <w:tcW w:w="1327" w:type="pct"/>
            <w:shd w:val="clear" w:color="auto" w:fill="auto"/>
            <w:vAlign w:val="center"/>
          </w:tcPr>
          <w:p w14:paraId="518F1413" w14:textId="77777777" w:rsidR="00FE1325" w:rsidRPr="000B09B9" w:rsidRDefault="00FE1325" w:rsidP="002B0564">
            <w:pPr>
              <w:pStyle w:val="TableText0"/>
              <w:widowControl/>
              <w:jc w:val="center"/>
              <w:rPr>
                <w:iCs/>
              </w:rPr>
            </w:pPr>
            <w:r w:rsidRPr="000B09B9">
              <w:rPr>
                <w:iCs/>
              </w:rPr>
              <w:t>55</w:t>
            </w:r>
            <w:r w:rsidR="00606420" w:rsidRPr="000B09B9">
              <w:rPr>
                <w:iCs/>
              </w:rPr>
              <w:t xml:space="preserve"> </w:t>
            </w:r>
            <w:r w:rsidRPr="000B09B9">
              <w:rPr>
                <w:iCs/>
              </w:rPr>
              <w:t>mg</w:t>
            </w:r>
            <w:r w:rsidRPr="000B09B9">
              <w:rPr>
                <w:iCs/>
                <w:vertAlign w:val="superscript"/>
              </w:rPr>
              <w:t>b</w:t>
            </w:r>
          </w:p>
        </w:tc>
        <w:tc>
          <w:tcPr>
            <w:tcW w:w="1327" w:type="pct"/>
            <w:shd w:val="clear" w:color="auto" w:fill="auto"/>
            <w:vAlign w:val="center"/>
          </w:tcPr>
          <w:p w14:paraId="7901F5EA" w14:textId="77777777" w:rsidR="00FE1325" w:rsidRPr="000B09B9" w:rsidRDefault="00FE1325" w:rsidP="002B0564">
            <w:pPr>
              <w:pStyle w:val="TableText0"/>
              <w:widowControl/>
              <w:jc w:val="center"/>
              <w:rPr>
                <w:iCs/>
              </w:rPr>
            </w:pPr>
            <w:r w:rsidRPr="000B09B9">
              <w:rPr>
                <w:iCs/>
              </w:rPr>
              <w:t>60.9</w:t>
            </w:r>
            <w:r w:rsidR="00606420" w:rsidRPr="000B09B9">
              <w:rPr>
                <w:iCs/>
              </w:rPr>
              <w:t xml:space="preserve"> </w:t>
            </w:r>
            <w:r w:rsidRPr="000B09B9">
              <w:rPr>
                <w:iCs/>
              </w:rPr>
              <w:t>mg</w:t>
            </w:r>
          </w:p>
        </w:tc>
      </w:tr>
      <w:tr w:rsidR="00FE1325" w:rsidRPr="000B09B9" w14:paraId="6AF11678" w14:textId="77777777" w:rsidTr="009F56FD">
        <w:trPr>
          <w:cantSplit/>
          <w:jc w:val="center"/>
        </w:trPr>
        <w:tc>
          <w:tcPr>
            <w:tcW w:w="1019" w:type="pct"/>
            <w:shd w:val="clear" w:color="auto" w:fill="auto"/>
            <w:vAlign w:val="center"/>
          </w:tcPr>
          <w:p w14:paraId="5C450154" w14:textId="77777777" w:rsidR="00FE1325" w:rsidRPr="000B09B9" w:rsidRDefault="00FE1325" w:rsidP="002B0564">
            <w:pPr>
              <w:pStyle w:val="TableText0"/>
              <w:widowControl/>
            </w:pPr>
            <w:r w:rsidRPr="000B09B9">
              <w:t>Mean duration</w:t>
            </w:r>
          </w:p>
        </w:tc>
        <w:tc>
          <w:tcPr>
            <w:tcW w:w="1327" w:type="pct"/>
            <w:shd w:val="clear" w:color="auto" w:fill="auto"/>
            <w:vAlign w:val="center"/>
          </w:tcPr>
          <w:p w14:paraId="5E50EAF3" w14:textId="77777777" w:rsidR="00FE1325" w:rsidRPr="000B09B9" w:rsidRDefault="00FE1325" w:rsidP="002B0564">
            <w:pPr>
              <w:pStyle w:val="TableText0"/>
              <w:widowControl/>
              <w:jc w:val="center"/>
              <w:rPr>
                <w:iCs/>
              </w:rPr>
            </w:pPr>
            <w:r w:rsidRPr="000B09B9">
              <w:rPr>
                <w:iCs/>
              </w:rPr>
              <w:t>6 days</w:t>
            </w:r>
            <w:r w:rsidRPr="000B09B9">
              <w:rPr>
                <w:iCs/>
                <w:vertAlign w:val="superscript"/>
              </w:rPr>
              <w:t>a</w:t>
            </w:r>
          </w:p>
        </w:tc>
        <w:tc>
          <w:tcPr>
            <w:tcW w:w="1327" w:type="pct"/>
            <w:shd w:val="clear" w:color="auto" w:fill="auto"/>
            <w:vAlign w:val="center"/>
          </w:tcPr>
          <w:p w14:paraId="61525AA5" w14:textId="77777777" w:rsidR="00FE1325" w:rsidRPr="000B09B9" w:rsidRDefault="00FE1325" w:rsidP="002B0564">
            <w:pPr>
              <w:pStyle w:val="TableText0"/>
              <w:widowControl/>
              <w:jc w:val="center"/>
              <w:rPr>
                <w:iCs/>
              </w:rPr>
            </w:pPr>
            <w:r w:rsidRPr="000B09B9">
              <w:rPr>
                <w:iCs/>
              </w:rPr>
              <w:t>Daily for 8 years, no discontinuation or dose change</w:t>
            </w:r>
          </w:p>
        </w:tc>
        <w:tc>
          <w:tcPr>
            <w:tcW w:w="1327" w:type="pct"/>
            <w:shd w:val="clear" w:color="auto" w:fill="auto"/>
            <w:vAlign w:val="center"/>
          </w:tcPr>
          <w:p w14:paraId="2F6C5B23" w14:textId="77777777" w:rsidR="00FE1325" w:rsidRPr="000B09B9" w:rsidRDefault="00FE1325" w:rsidP="002B0564">
            <w:pPr>
              <w:pStyle w:val="TableText0"/>
              <w:widowControl/>
              <w:jc w:val="center"/>
              <w:rPr>
                <w:iCs/>
              </w:rPr>
            </w:pPr>
            <w:r w:rsidRPr="000B09B9">
              <w:rPr>
                <w:iCs/>
              </w:rPr>
              <w:t>Daily, no discontinuation or dose change</w:t>
            </w:r>
          </w:p>
        </w:tc>
      </w:tr>
      <w:tr w:rsidR="00FE1325" w:rsidRPr="000B09B9" w14:paraId="5EE22B01" w14:textId="77777777" w:rsidTr="009F56FD">
        <w:trPr>
          <w:cantSplit/>
          <w:jc w:val="center"/>
        </w:trPr>
        <w:tc>
          <w:tcPr>
            <w:tcW w:w="1019" w:type="pct"/>
            <w:shd w:val="clear" w:color="auto" w:fill="auto"/>
            <w:vAlign w:val="center"/>
          </w:tcPr>
          <w:p w14:paraId="3DF7E1BF" w14:textId="77777777" w:rsidR="00FE1325" w:rsidRPr="000B09B9" w:rsidRDefault="00FE1325" w:rsidP="002B0564">
            <w:pPr>
              <w:pStyle w:val="TableText0"/>
              <w:widowControl/>
            </w:pPr>
            <w:r w:rsidRPr="000B09B9">
              <w:t>Cost/patient/month</w:t>
            </w:r>
            <w:r w:rsidR="00467789">
              <w:t xml:space="preserve"> ($)</w:t>
            </w:r>
          </w:p>
        </w:tc>
        <w:tc>
          <w:tcPr>
            <w:tcW w:w="1327" w:type="pct"/>
            <w:shd w:val="clear" w:color="auto" w:fill="auto"/>
            <w:vAlign w:val="center"/>
          </w:tcPr>
          <w:p w14:paraId="699C2271" w14:textId="77777777" w:rsidR="00FE1325" w:rsidRPr="00E928EF" w:rsidRDefault="00E928EF" w:rsidP="002B0564">
            <w:pPr>
              <w:pStyle w:val="TableText0"/>
              <w:widowControl/>
              <w:jc w:val="center"/>
              <w:rPr>
                <w:iCs/>
                <w:highlight w:val="black"/>
              </w:rPr>
            </w:pPr>
            <w:r>
              <w:rPr>
                <w:iCs/>
                <w:noProof/>
                <w:color w:val="000000"/>
                <w:highlight w:val="black"/>
              </w:rPr>
              <w:t>'''''''''''''''</w:t>
            </w:r>
          </w:p>
          <w:p w14:paraId="25E242E3" w14:textId="77777777" w:rsidR="00FE1325" w:rsidRPr="000B09B9" w:rsidRDefault="00E928EF" w:rsidP="002B0564">
            <w:pPr>
              <w:pStyle w:val="TableText0"/>
              <w:widowControl/>
              <w:jc w:val="center"/>
              <w:rPr>
                <w:iCs/>
              </w:rPr>
            </w:pPr>
            <w:r>
              <w:rPr>
                <w:iCs/>
                <w:noProof/>
                <w:color w:val="000000"/>
                <w:highlight w:val="black"/>
              </w:rPr>
              <w:t>'''''''''''''''''''</w:t>
            </w:r>
            <w:r w:rsidR="00FE1325" w:rsidRPr="000B09B9">
              <w:rPr>
                <w:iCs/>
                <w:vertAlign w:val="superscript"/>
              </w:rPr>
              <w:t xml:space="preserve"> c</w:t>
            </w:r>
          </w:p>
        </w:tc>
        <w:tc>
          <w:tcPr>
            <w:tcW w:w="1327" w:type="pct"/>
            <w:shd w:val="clear" w:color="auto" w:fill="auto"/>
            <w:vAlign w:val="center"/>
          </w:tcPr>
          <w:p w14:paraId="742CBF46" w14:textId="77777777" w:rsidR="00FE1325" w:rsidRPr="00E928EF" w:rsidRDefault="00E928EF" w:rsidP="002B0564">
            <w:pPr>
              <w:pStyle w:val="TableText0"/>
              <w:widowControl/>
              <w:jc w:val="center"/>
              <w:rPr>
                <w:iCs/>
                <w:highlight w:val="black"/>
              </w:rPr>
            </w:pPr>
            <w:r>
              <w:rPr>
                <w:iCs/>
                <w:noProof/>
                <w:color w:val="000000"/>
                <w:highlight w:val="black"/>
              </w:rPr>
              <w:t>''''''''''''''''</w:t>
            </w:r>
          </w:p>
          <w:p w14:paraId="73B2E533" w14:textId="77777777" w:rsidR="00FE1325" w:rsidRPr="000B09B9" w:rsidRDefault="00E928EF" w:rsidP="002B0564">
            <w:pPr>
              <w:pStyle w:val="TableText0"/>
              <w:widowControl/>
              <w:jc w:val="center"/>
              <w:rPr>
                <w:iCs/>
              </w:rPr>
            </w:pPr>
            <w:r>
              <w:rPr>
                <w:iCs/>
                <w:noProof/>
                <w:color w:val="000000"/>
                <w:highlight w:val="black"/>
              </w:rPr>
              <w:t>'''''''''''''''''''</w:t>
            </w:r>
            <w:r w:rsidR="00FE1325" w:rsidRPr="000B09B9">
              <w:rPr>
                <w:iCs/>
                <w:vertAlign w:val="superscript"/>
              </w:rPr>
              <w:t xml:space="preserve"> c</w:t>
            </w:r>
          </w:p>
        </w:tc>
        <w:tc>
          <w:tcPr>
            <w:tcW w:w="1327" w:type="pct"/>
            <w:shd w:val="clear" w:color="auto" w:fill="auto"/>
            <w:vAlign w:val="center"/>
          </w:tcPr>
          <w:p w14:paraId="310FD0A3" w14:textId="77777777" w:rsidR="00FE1325" w:rsidRPr="00E928EF" w:rsidRDefault="00E928EF" w:rsidP="002B0564">
            <w:pPr>
              <w:pStyle w:val="TableText0"/>
              <w:widowControl/>
              <w:jc w:val="center"/>
              <w:rPr>
                <w:iCs/>
                <w:highlight w:val="black"/>
              </w:rPr>
            </w:pPr>
            <w:r>
              <w:rPr>
                <w:iCs/>
                <w:noProof/>
                <w:color w:val="000000"/>
                <w:highlight w:val="black"/>
              </w:rPr>
              <w:t>'''''''''''''''</w:t>
            </w:r>
          </w:p>
          <w:p w14:paraId="46C3C179" w14:textId="77777777" w:rsidR="00FE1325" w:rsidRPr="000B09B9" w:rsidRDefault="00E928EF" w:rsidP="002B0564">
            <w:pPr>
              <w:pStyle w:val="TableText0"/>
              <w:widowControl/>
              <w:jc w:val="center"/>
              <w:rPr>
                <w:iCs/>
              </w:rPr>
            </w:pPr>
            <w:r>
              <w:rPr>
                <w:iCs/>
                <w:noProof/>
                <w:color w:val="000000"/>
                <w:highlight w:val="black"/>
              </w:rPr>
              <w:t>''''''''''''''''''''''</w:t>
            </w:r>
            <w:r w:rsidR="00FE1325" w:rsidRPr="000B09B9">
              <w:rPr>
                <w:iCs/>
                <w:vertAlign w:val="superscript"/>
              </w:rPr>
              <w:t xml:space="preserve"> c</w:t>
            </w:r>
          </w:p>
        </w:tc>
      </w:tr>
      <w:tr w:rsidR="00FE1325" w:rsidRPr="000B09B9" w14:paraId="4721A7E4" w14:textId="77777777" w:rsidTr="009F56FD">
        <w:trPr>
          <w:cantSplit/>
          <w:jc w:val="center"/>
        </w:trPr>
        <w:tc>
          <w:tcPr>
            <w:tcW w:w="1019" w:type="pct"/>
            <w:shd w:val="clear" w:color="auto" w:fill="auto"/>
            <w:vAlign w:val="center"/>
          </w:tcPr>
          <w:p w14:paraId="25989C5B" w14:textId="77777777" w:rsidR="00FE1325" w:rsidRPr="000B09B9" w:rsidRDefault="00FE1325" w:rsidP="002B0564">
            <w:pPr>
              <w:pStyle w:val="TableText0"/>
              <w:widowControl/>
            </w:pPr>
            <w:r w:rsidRPr="000B09B9">
              <w:t>Cost/patient/year</w:t>
            </w:r>
            <w:r w:rsidR="00467789">
              <w:t xml:space="preserve"> ($)</w:t>
            </w:r>
          </w:p>
        </w:tc>
        <w:tc>
          <w:tcPr>
            <w:tcW w:w="1327" w:type="pct"/>
            <w:shd w:val="clear" w:color="auto" w:fill="auto"/>
            <w:vAlign w:val="center"/>
          </w:tcPr>
          <w:p w14:paraId="6AB32479" w14:textId="77777777" w:rsidR="00FE1325" w:rsidRPr="00E928EF" w:rsidRDefault="00E928EF" w:rsidP="002B0564">
            <w:pPr>
              <w:pStyle w:val="TableText0"/>
              <w:widowControl/>
              <w:jc w:val="center"/>
              <w:rPr>
                <w:iCs/>
                <w:highlight w:val="black"/>
              </w:rPr>
            </w:pPr>
            <w:r>
              <w:rPr>
                <w:iCs/>
                <w:noProof/>
                <w:color w:val="000000"/>
                <w:highlight w:val="black"/>
              </w:rPr>
              <w:t xml:space="preserve">''''''''''''''''''''''' </w:t>
            </w:r>
          </w:p>
          <w:p w14:paraId="758B38DB" w14:textId="77777777" w:rsidR="00FE1325" w:rsidRPr="000B09B9" w:rsidRDefault="00E928EF" w:rsidP="002B0564">
            <w:pPr>
              <w:pStyle w:val="TableText0"/>
              <w:widowControl/>
              <w:jc w:val="center"/>
              <w:rPr>
                <w:iCs/>
                <w:vertAlign w:val="superscript"/>
              </w:rPr>
            </w:pPr>
            <w:r>
              <w:rPr>
                <w:iCs/>
                <w:noProof/>
                <w:color w:val="000000"/>
                <w:highlight w:val="black"/>
              </w:rPr>
              <w:t>'''''''''''''''''''''''</w:t>
            </w:r>
            <w:r w:rsidR="00FE1325" w:rsidRPr="000B09B9">
              <w:rPr>
                <w:iCs/>
                <w:vertAlign w:val="superscript"/>
              </w:rPr>
              <w:t xml:space="preserve"> c</w:t>
            </w:r>
          </w:p>
        </w:tc>
        <w:tc>
          <w:tcPr>
            <w:tcW w:w="1327" w:type="pct"/>
            <w:shd w:val="clear" w:color="auto" w:fill="auto"/>
            <w:vAlign w:val="center"/>
          </w:tcPr>
          <w:p w14:paraId="79110FE8" w14:textId="77777777" w:rsidR="00FE1325" w:rsidRPr="00E928EF" w:rsidRDefault="00E928EF" w:rsidP="002B0564">
            <w:pPr>
              <w:pStyle w:val="TableText0"/>
              <w:widowControl/>
              <w:jc w:val="center"/>
              <w:rPr>
                <w:iCs/>
                <w:highlight w:val="black"/>
              </w:rPr>
            </w:pPr>
            <w:r>
              <w:rPr>
                <w:iCs/>
                <w:noProof/>
                <w:color w:val="000000"/>
                <w:highlight w:val="black"/>
              </w:rPr>
              <w:t>''''''''''''''''''</w:t>
            </w:r>
          </w:p>
          <w:p w14:paraId="1E9C3C48" w14:textId="77777777" w:rsidR="00FE1325" w:rsidRPr="000B09B9" w:rsidRDefault="00E928EF" w:rsidP="002B0564">
            <w:pPr>
              <w:pStyle w:val="TableText0"/>
              <w:widowControl/>
              <w:jc w:val="center"/>
              <w:rPr>
                <w:iCs/>
              </w:rPr>
            </w:pPr>
            <w:r>
              <w:rPr>
                <w:iCs/>
                <w:noProof/>
                <w:color w:val="000000"/>
                <w:highlight w:val="black"/>
              </w:rPr>
              <w:t>'''''''''''''''''''''''</w:t>
            </w:r>
            <w:r w:rsidR="00FE1325" w:rsidRPr="000B09B9">
              <w:rPr>
                <w:iCs/>
                <w:vertAlign w:val="superscript"/>
              </w:rPr>
              <w:t xml:space="preserve"> c</w:t>
            </w:r>
          </w:p>
        </w:tc>
        <w:tc>
          <w:tcPr>
            <w:tcW w:w="1327" w:type="pct"/>
            <w:shd w:val="clear" w:color="auto" w:fill="auto"/>
            <w:vAlign w:val="center"/>
          </w:tcPr>
          <w:p w14:paraId="6AC15984" w14:textId="77777777" w:rsidR="00FE1325" w:rsidRPr="00E928EF" w:rsidRDefault="00E928EF" w:rsidP="002B0564">
            <w:pPr>
              <w:pStyle w:val="TableText0"/>
              <w:widowControl/>
              <w:jc w:val="center"/>
              <w:rPr>
                <w:iCs/>
                <w:highlight w:val="black"/>
              </w:rPr>
            </w:pPr>
            <w:r>
              <w:rPr>
                <w:iCs/>
                <w:noProof/>
                <w:color w:val="000000"/>
                <w:highlight w:val="black"/>
              </w:rPr>
              <w:t>''''''''''''''''''</w:t>
            </w:r>
          </w:p>
          <w:p w14:paraId="1694021C" w14:textId="77777777" w:rsidR="00FE1325" w:rsidRPr="000B09B9" w:rsidRDefault="00E928EF" w:rsidP="002B0564">
            <w:pPr>
              <w:pStyle w:val="TableText0"/>
              <w:widowControl/>
              <w:jc w:val="center"/>
              <w:rPr>
                <w:iCs/>
              </w:rPr>
            </w:pPr>
            <w:r>
              <w:rPr>
                <w:iCs/>
                <w:noProof/>
                <w:color w:val="000000"/>
                <w:highlight w:val="black"/>
              </w:rPr>
              <w:t>''''''''''''''''''''</w:t>
            </w:r>
            <w:r w:rsidR="00FE1325" w:rsidRPr="000B09B9">
              <w:rPr>
                <w:iCs/>
                <w:vertAlign w:val="superscript"/>
              </w:rPr>
              <w:t xml:space="preserve"> c</w:t>
            </w:r>
          </w:p>
        </w:tc>
      </w:tr>
    </w:tbl>
    <w:p w14:paraId="7132A6BF" w14:textId="77777777" w:rsidR="00FE1325" w:rsidRPr="000B09B9" w:rsidRDefault="00FE1325" w:rsidP="002B0564">
      <w:pPr>
        <w:pStyle w:val="TableFigureFooter"/>
      </w:pPr>
      <w:r w:rsidRPr="000B09B9">
        <w:t>Source: Table 26, pp 156-157 of the trial report, Section 3 workbook, sheet 3a of the utilisation-and-cost-model. Italicised values have been calculated.</w:t>
      </w:r>
    </w:p>
    <w:p w14:paraId="3F33F42F" w14:textId="77777777" w:rsidR="00FE1325" w:rsidRPr="000B09B9" w:rsidRDefault="00FE1325" w:rsidP="002B0564">
      <w:pPr>
        <w:pStyle w:val="TableFigureFooter"/>
      </w:pPr>
      <w:r w:rsidRPr="000B09B9">
        <w:rPr>
          <w:vertAlign w:val="superscript"/>
        </w:rPr>
        <w:t xml:space="preserve">a </w:t>
      </w:r>
      <w:r w:rsidRPr="000B09B9">
        <w:t>Due to nature of the study design (drug withdrawal study)</w:t>
      </w:r>
    </w:p>
    <w:p w14:paraId="472B8039" w14:textId="77777777" w:rsidR="00FE1325" w:rsidRPr="000B09B9" w:rsidRDefault="00FE1325" w:rsidP="002B0564">
      <w:pPr>
        <w:pStyle w:val="TableFigureFooter"/>
      </w:pPr>
      <w:r w:rsidRPr="000B09B9">
        <w:rPr>
          <w:vertAlign w:val="superscript"/>
        </w:rPr>
        <w:t xml:space="preserve">b </w:t>
      </w:r>
      <w:r w:rsidRPr="000B09B9">
        <w:t>Cumulative prescribed dose during treatment period divided by treatment duration (105 cycles)</w:t>
      </w:r>
    </w:p>
    <w:p w14:paraId="6AE2D9AE" w14:textId="77777777" w:rsidR="00FE1325" w:rsidRPr="000B09B9" w:rsidRDefault="00FE1325" w:rsidP="002B0564">
      <w:pPr>
        <w:pStyle w:val="TableFigureFooter"/>
        <w:rPr>
          <w:rStyle w:val="CommentReference"/>
          <w:iCs/>
        </w:rPr>
      </w:pPr>
      <w:r w:rsidRPr="000B09B9">
        <w:rPr>
          <w:vertAlign w:val="superscript"/>
        </w:rPr>
        <w:t xml:space="preserve">c </w:t>
      </w:r>
      <w:r w:rsidR="0057598A" w:rsidRPr="000B09B9">
        <w:t xml:space="preserve">DPMQ </w:t>
      </w:r>
      <w:r w:rsidR="0057598A" w:rsidRPr="000B09B9">
        <w:rPr>
          <w:iCs/>
        </w:rPr>
        <w:t>c</w:t>
      </w:r>
      <w:r w:rsidRPr="000B09B9">
        <w:rPr>
          <w:iCs/>
        </w:rPr>
        <w:t xml:space="preserve">orrected during the evaluation </w:t>
      </w:r>
    </w:p>
    <w:p w14:paraId="1BC5D349" w14:textId="77777777" w:rsidR="00FE1325" w:rsidRPr="000B09B9" w:rsidRDefault="00FE1325" w:rsidP="002B0564">
      <w:pPr>
        <w:pStyle w:val="4-SubsectionHeading"/>
      </w:pPr>
      <w:bookmarkStart w:id="49" w:name="_Toc22897647"/>
      <w:bookmarkStart w:id="50" w:name="_Toc22898859"/>
      <w:bookmarkStart w:id="51" w:name="_Toc82537455"/>
      <w:r w:rsidRPr="000B09B9">
        <w:t>Estimated PBS usage &amp; financial implications</w:t>
      </w:r>
      <w:bookmarkEnd w:id="49"/>
      <w:bookmarkEnd w:id="50"/>
      <w:bookmarkEnd w:id="51"/>
    </w:p>
    <w:p w14:paraId="0F4760BA" w14:textId="77777777" w:rsidR="00F2533B" w:rsidRPr="000B09B9" w:rsidRDefault="00F2533B" w:rsidP="00F2533B">
      <w:pPr>
        <w:pStyle w:val="3-BodyText"/>
        <w:numPr>
          <w:ilvl w:val="1"/>
          <w:numId w:val="9"/>
        </w:numPr>
        <w:rPr>
          <w:iCs/>
          <w:color w:val="0066FF"/>
        </w:rPr>
      </w:pPr>
      <w:r w:rsidRPr="000B09B9">
        <w:t xml:space="preserve">This submission </w:t>
      </w:r>
      <w:r w:rsidR="000E0FAB" w:rsidRPr="000B09B9">
        <w:t>was</w:t>
      </w:r>
      <w:r w:rsidRPr="000B09B9">
        <w:t xml:space="preserve"> considered by DUSC</w:t>
      </w:r>
      <w:r w:rsidRPr="000B09B9">
        <w:rPr>
          <w:color w:val="0070C0"/>
        </w:rPr>
        <w:t xml:space="preserve">. </w:t>
      </w:r>
      <w:r w:rsidRPr="000B09B9">
        <w:rPr>
          <w:rFonts w:cstheme="minorBidi"/>
        </w:rPr>
        <w:t xml:space="preserve">The submission presented an analysis based on historical patient sales data to inform on the current patients on hospital/privately funded amifampridine treatment to estimate the financial implications to the Australian Government. </w:t>
      </w:r>
      <w:r w:rsidRPr="000B09B9">
        <w:rPr>
          <w:rFonts w:cstheme="minorBidi"/>
          <w:iCs/>
        </w:rPr>
        <w:t>Given that LEMS is a rare disease and that there is limited data available on the Australian LEMS population, the approach applied is reasonable.</w:t>
      </w:r>
    </w:p>
    <w:p w14:paraId="405684CE" w14:textId="77777777" w:rsidR="00F2533B" w:rsidRPr="000B09B9" w:rsidRDefault="00F2533B" w:rsidP="00F2533B">
      <w:pPr>
        <w:pStyle w:val="3-BodyText"/>
        <w:numPr>
          <w:ilvl w:val="1"/>
          <w:numId w:val="9"/>
        </w:numPr>
        <w:rPr>
          <w:color w:val="0066FF"/>
        </w:rPr>
      </w:pPr>
      <w:r w:rsidRPr="000B09B9">
        <w:rPr>
          <w:rFonts w:cstheme="minorBidi"/>
        </w:rPr>
        <w:t>Table 1</w:t>
      </w:r>
      <w:r w:rsidR="008807D2" w:rsidRPr="000B09B9">
        <w:rPr>
          <w:rFonts w:cstheme="minorBidi"/>
        </w:rPr>
        <w:t>5</w:t>
      </w:r>
      <w:r w:rsidRPr="000B09B9">
        <w:rPr>
          <w:rFonts w:cstheme="minorBidi"/>
        </w:rPr>
        <w:t xml:space="preserve"> summarises the key inputs and issues for financial estimates. </w:t>
      </w:r>
    </w:p>
    <w:p w14:paraId="5231A661" w14:textId="77777777" w:rsidR="00F2533B" w:rsidRPr="000B09B9" w:rsidRDefault="00F2533B" w:rsidP="00F2533B">
      <w:pPr>
        <w:pStyle w:val="3-BodyText"/>
        <w:keepNext/>
        <w:keepLines/>
        <w:numPr>
          <w:ilvl w:val="1"/>
          <w:numId w:val="0"/>
        </w:numPr>
        <w:spacing w:after="0"/>
        <w:rPr>
          <w:rStyle w:val="CommentReference"/>
        </w:rPr>
      </w:pPr>
      <w:r w:rsidRPr="000B09B9">
        <w:rPr>
          <w:rStyle w:val="CommentReference"/>
        </w:rPr>
        <w:t>Table 1</w:t>
      </w:r>
      <w:r w:rsidR="008807D2" w:rsidRPr="000B09B9">
        <w:rPr>
          <w:rStyle w:val="CommentReference"/>
        </w:rPr>
        <w:t>5</w:t>
      </w:r>
      <w:r w:rsidRPr="000B09B9">
        <w:rPr>
          <w:rStyle w:val="CommentReference"/>
        </w:rPr>
        <w:t>: Key inputs for financial estimates</w:t>
      </w:r>
    </w:p>
    <w:tbl>
      <w:tblPr>
        <w:tblStyle w:val="TableGrid"/>
        <w:tblW w:w="0" w:type="auto"/>
        <w:tblLook w:val="04A0" w:firstRow="1" w:lastRow="0" w:firstColumn="1" w:lastColumn="0" w:noHBand="0" w:noVBand="1"/>
        <w:tblCaption w:val="Table 15: Key inputs for financial estimates"/>
      </w:tblPr>
      <w:tblGrid>
        <w:gridCol w:w="2122"/>
        <w:gridCol w:w="3447"/>
        <w:gridCol w:w="3448"/>
      </w:tblGrid>
      <w:tr w:rsidR="00F2533B" w:rsidRPr="000B09B9" w14:paraId="2EB537F1" w14:textId="77777777" w:rsidTr="00476940">
        <w:trPr>
          <w:tblHeader/>
        </w:trPr>
        <w:tc>
          <w:tcPr>
            <w:tcW w:w="2122" w:type="dxa"/>
          </w:tcPr>
          <w:p w14:paraId="55C8C562" w14:textId="77777777" w:rsidR="00F2533B" w:rsidRPr="000B09B9" w:rsidRDefault="00F2533B" w:rsidP="00301D22">
            <w:pPr>
              <w:pStyle w:val="TableFigureHeading"/>
              <w:keepLines/>
              <w:rPr>
                <w:rStyle w:val="CommentReference"/>
                <w:b/>
                <w:szCs w:val="24"/>
              </w:rPr>
            </w:pPr>
            <w:r w:rsidRPr="000B09B9">
              <w:rPr>
                <w:rStyle w:val="CommentReference"/>
                <w:b/>
                <w:szCs w:val="24"/>
              </w:rPr>
              <w:t>Parameter</w:t>
            </w:r>
          </w:p>
        </w:tc>
        <w:tc>
          <w:tcPr>
            <w:tcW w:w="3447" w:type="dxa"/>
          </w:tcPr>
          <w:p w14:paraId="12491AE5" w14:textId="77777777" w:rsidR="00F2533B" w:rsidRPr="000B09B9" w:rsidRDefault="00F2533B" w:rsidP="00301D22">
            <w:pPr>
              <w:pStyle w:val="TableFigureHeading"/>
              <w:keepLines/>
              <w:rPr>
                <w:rStyle w:val="CommentReference"/>
                <w:b/>
                <w:szCs w:val="24"/>
              </w:rPr>
            </w:pPr>
            <w:r w:rsidRPr="000B09B9">
              <w:rPr>
                <w:rStyle w:val="CommentReference"/>
                <w:b/>
                <w:szCs w:val="24"/>
              </w:rPr>
              <w:t>Value applied and source</w:t>
            </w:r>
          </w:p>
        </w:tc>
        <w:tc>
          <w:tcPr>
            <w:tcW w:w="3448" w:type="dxa"/>
          </w:tcPr>
          <w:p w14:paraId="199971F3" w14:textId="77777777" w:rsidR="00F2533B" w:rsidRPr="000B09B9" w:rsidRDefault="00F2533B" w:rsidP="00301D22">
            <w:pPr>
              <w:pStyle w:val="TableFigureHeading"/>
              <w:keepLines/>
              <w:rPr>
                <w:rStyle w:val="CommentReference"/>
                <w:b/>
                <w:szCs w:val="24"/>
              </w:rPr>
            </w:pPr>
            <w:r w:rsidRPr="000B09B9">
              <w:rPr>
                <w:rStyle w:val="CommentReference"/>
                <w:b/>
                <w:szCs w:val="24"/>
              </w:rPr>
              <w:t>Comment</w:t>
            </w:r>
          </w:p>
        </w:tc>
      </w:tr>
      <w:tr w:rsidR="00F2533B" w:rsidRPr="000B09B9" w14:paraId="05A6CE15" w14:textId="77777777" w:rsidTr="00301D22">
        <w:tc>
          <w:tcPr>
            <w:tcW w:w="2122" w:type="dxa"/>
            <w:vAlign w:val="center"/>
          </w:tcPr>
          <w:p w14:paraId="792FE905" w14:textId="77777777" w:rsidR="00F2533B" w:rsidRPr="000B09B9" w:rsidRDefault="00F2533B" w:rsidP="00301D22">
            <w:pPr>
              <w:pStyle w:val="PBACTableText"/>
              <w:keepNext/>
              <w:keepLines/>
              <w:rPr>
                <w:rStyle w:val="CommentReference"/>
                <w:b w:val="0"/>
                <w:szCs w:val="20"/>
              </w:rPr>
            </w:pPr>
            <w:r w:rsidRPr="000B09B9">
              <w:t>Incident patients</w:t>
            </w:r>
          </w:p>
        </w:tc>
        <w:tc>
          <w:tcPr>
            <w:tcW w:w="3447" w:type="dxa"/>
            <w:vAlign w:val="center"/>
          </w:tcPr>
          <w:p w14:paraId="3E0B682B" w14:textId="77777777" w:rsidR="00F2533B" w:rsidRPr="000B09B9" w:rsidRDefault="00F2533B" w:rsidP="00301D22">
            <w:pPr>
              <w:pStyle w:val="PBACTableText"/>
              <w:keepNext/>
              <w:keepLines/>
              <w:rPr>
                <w:rStyle w:val="CommentReference"/>
                <w:b w:val="0"/>
                <w:bCs w:val="0"/>
                <w:iCs/>
              </w:rPr>
            </w:pPr>
            <w:r w:rsidRPr="000B09B9">
              <w:rPr>
                <w:iCs/>
              </w:rPr>
              <w:t>This was not provided in the submission and assumed to be 0.</w:t>
            </w:r>
          </w:p>
        </w:tc>
        <w:tc>
          <w:tcPr>
            <w:tcW w:w="3448" w:type="dxa"/>
            <w:vAlign w:val="center"/>
          </w:tcPr>
          <w:p w14:paraId="56A7FD21" w14:textId="77777777" w:rsidR="00F2533B" w:rsidRPr="000B09B9" w:rsidRDefault="00F2533B" w:rsidP="00301D22">
            <w:pPr>
              <w:pStyle w:val="PBACTableText"/>
              <w:keepNext/>
              <w:keepLines/>
              <w:rPr>
                <w:rStyle w:val="CommentReference"/>
                <w:b w:val="0"/>
                <w:iCs/>
                <w:szCs w:val="20"/>
              </w:rPr>
            </w:pPr>
            <w:r w:rsidRPr="000B09B9">
              <w:rPr>
                <w:iCs/>
              </w:rPr>
              <w:t>The submission assumed all LEMS patients were already on amifampridine treatment (all patients would be grandfathered). This is not appropriate and may be an underestimate. Current treatment is not universally subsidised thus limiting access. Although LEMS is a rare condition, new patients will be diagnosed over time.</w:t>
            </w:r>
          </w:p>
        </w:tc>
      </w:tr>
      <w:tr w:rsidR="00F2533B" w:rsidRPr="000B09B9" w14:paraId="6CBFF486" w14:textId="77777777" w:rsidTr="00301D22">
        <w:tc>
          <w:tcPr>
            <w:tcW w:w="2122" w:type="dxa"/>
            <w:vAlign w:val="center"/>
          </w:tcPr>
          <w:p w14:paraId="6B3CAF1A" w14:textId="77777777" w:rsidR="00F2533B" w:rsidRPr="000B09B9" w:rsidRDefault="00F2533B" w:rsidP="00301D22">
            <w:pPr>
              <w:pStyle w:val="PBACTableText"/>
              <w:keepNext/>
              <w:keepLines/>
              <w:rPr>
                <w:rStyle w:val="CommentReference"/>
                <w:b w:val="0"/>
                <w:szCs w:val="20"/>
              </w:rPr>
            </w:pPr>
            <w:r w:rsidRPr="000B09B9">
              <w:t>Number of patients currently treated with amifampridine</w:t>
            </w:r>
          </w:p>
        </w:tc>
        <w:tc>
          <w:tcPr>
            <w:tcW w:w="3447" w:type="dxa"/>
            <w:vAlign w:val="center"/>
          </w:tcPr>
          <w:p w14:paraId="1216707C" w14:textId="77777777" w:rsidR="00F2533B" w:rsidRPr="000B09B9" w:rsidRDefault="00F2533B" w:rsidP="00301D22">
            <w:pPr>
              <w:pStyle w:val="PBACTableText"/>
              <w:keepNext/>
              <w:keepLines/>
            </w:pPr>
            <w:r w:rsidRPr="000B09B9">
              <w:t>Ranging from 51 (Year 1) to 55 (Year 6). Estimated based on historical sales data for amifampridine use under SAS and average dose estimated from sponsor-initiated survey</w:t>
            </w:r>
          </w:p>
          <w:p w14:paraId="01E5F83A" w14:textId="77777777" w:rsidR="00F2533B" w:rsidRPr="000B09B9" w:rsidRDefault="00F2533B" w:rsidP="00301D22">
            <w:pPr>
              <w:pStyle w:val="PBACTableText"/>
              <w:keepNext/>
              <w:keepLines/>
              <w:rPr>
                <w:rStyle w:val="CommentReference"/>
                <w:b w:val="0"/>
                <w:szCs w:val="20"/>
              </w:rPr>
            </w:pPr>
            <w:r w:rsidRPr="000B09B9">
              <w:t>(Patients = Units sold / Average dose)</w:t>
            </w:r>
          </w:p>
        </w:tc>
        <w:tc>
          <w:tcPr>
            <w:tcW w:w="3448" w:type="dxa"/>
            <w:vAlign w:val="center"/>
          </w:tcPr>
          <w:p w14:paraId="6E707EDE" w14:textId="77777777" w:rsidR="00F2533B" w:rsidRPr="000B09B9" w:rsidRDefault="00F2533B" w:rsidP="00301D22">
            <w:pPr>
              <w:pStyle w:val="PBACTableText"/>
              <w:keepNext/>
              <w:keepLines/>
              <w:rPr>
                <w:rStyle w:val="CommentReference"/>
                <w:b w:val="0"/>
                <w:iCs/>
                <w:szCs w:val="20"/>
              </w:rPr>
            </w:pPr>
            <w:r w:rsidRPr="000B09B9">
              <w:rPr>
                <w:iCs/>
              </w:rPr>
              <w:t>These were lower than estimates from global prevalence literature (ranging between 44 and 269 patients). The upper estimate is based on reported crude prevalence of 10.9 per million from Abenroth et al (2017). The prevalence has a wide range and remains very uncertain.</w:t>
            </w:r>
          </w:p>
        </w:tc>
      </w:tr>
      <w:tr w:rsidR="00F2533B" w:rsidRPr="000B09B9" w14:paraId="7C6ED8B0" w14:textId="77777777" w:rsidTr="00301D22">
        <w:tc>
          <w:tcPr>
            <w:tcW w:w="2122" w:type="dxa"/>
            <w:vAlign w:val="center"/>
          </w:tcPr>
          <w:p w14:paraId="1B149C69" w14:textId="77777777" w:rsidR="00F2533B" w:rsidRPr="000B09B9" w:rsidRDefault="00F2533B" w:rsidP="00301D22">
            <w:pPr>
              <w:pStyle w:val="PBACTableText"/>
              <w:keepNext/>
              <w:keepLines/>
              <w:rPr>
                <w:rStyle w:val="CommentReference"/>
                <w:b w:val="0"/>
                <w:szCs w:val="20"/>
              </w:rPr>
            </w:pPr>
            <w:r w:rsidRPr="000B09B9">
              <w:t xml:space="preserve">Grandfathered patients </w:t>
            </w:r>
          </w:p>
        </w:tc>
        <w:tc>
          <w:tcPr>
            <w:tcW w:w="3447" w:type="dxa"/>
            <w:vAlign w:val="center"/>
          </w:tcPr>
          <w:p w14:paraId="00C138FF" w14:textId="77777777" w:rsidR="00F2533B" w:rsidRPr="000B09B9" w:rsidRDefault="00F2533B" w:rsidP="00301D22">
            <w:pPr>
              <w:pStyle w:val="PBACTableText"/>
              <w:keepNext/>
              <w:keepLines/>
            </w:pPr>
            <w:r w:rsidRPr="000B09B9">
              <w:t xml:space="preserve">All LEMS patients. </w:t>
            </w:r>
          </w:p>
          <w:p w14:paraId="0FB441BE" w14:textId="77777777" w:rsidR="00F2533B" w:rsidRPr="000B09B9" w:rsidRDefault="00F2533B" w:rsidP="00301D22">
            <w:pPr>
              <w:pStyle w:val="PBACTableText"/>
              <w:keepNext/>
              <w:keepLines/>
              <w:rPr>
                <w:rStyle w:val="CommentReference"/>
                <w:b w:val="0"/>
                <w:szCs w:val="20"/>
              </w:rPr>
            </w:pPr>
            <w:r w:rsidRPr="000B09B9">
              <w:t>Source: Assumption</w:t>
            </w:r>
          </w:p>
        </w:tc>
        <w:tc>
          <w:tcPr>
            <w:tcW w:w="3448" w:type="dxa"/>
            <w:vAlign w:val="center"/>
          </w:tcPr>
          <w:p w14:paraId="114AC4DC" w14:textId="77777777" w:rsidR="00F2533B" w:rsidRPr="000B09B9" w:rsidRDefault="00F2533B" w:rsidP="00301D22">
            <w:pPr>
              <w:pStyle w:val="PBACTableText"/>
              <w:keepNext/>
              <w:keepLines/>
              <w:rPr>
                <w:rStyle w:val="CommentReference"/>
                <w:b w:val="0"/>
                <w:iCs/>
                <w:szCs w:val="20"/>
              </w:rPr>
            </w:pPr>
            <w:r w:rsidRPr="000B09B9">
              <w:rPr>
                <w:iCs/>
              </w:rPr>
              <w:t xml:space="preserve">The submission assumed that all LEMS patients are currently already on amifampridine therefore all patients would be grandfathered. This aligns with the assumption that 100% will meet proposed restriction and 100% will take up treatment as applied in the economic model. This appears reasonable. </w:t>
            </w:r>
          </w:p>
        </w:tc>
      </w:tr>
      <w:tr w:rsidR="00F2533B" w:rsidRPr="000B09B9" w14:paraId="25ACB3CA" w14:textId="77777777" w:rsidTr="00301D22">
        <w:tc>
          <w:tcPr>
            <w:tcW w:w="2122" w:type="dxa"/>
            <w:vAlign w:val="center"/>
          </w:tcPr>
          <w:p w14:paraId="437BD94D" w14:textId="77777777" w:rsidR="00F2533B" w:rsidRPr="000B09B9" w:rsidRDefault="00F2533B" w:rsidP="00301D22">
            <w:pPr>
              <w:pStyle w:val="PBACTableText"/>
              <w:keepNext/>
              <w:keepLines/>
              <w:rPr>
                <w:rStyle w:val="CommentReference"/>
                <w:b w:val="0"/>
                <w:szCs w:val="20"/>
              </w:rPr>
            </w:pPr>
            <w:r w:rsidRPr="000B09B9">
              <w:t xml:space="preserve">Dose </w:t>
            </w:r>
          </w:p>
        </w:tc>
        <w:tc>
          <w:tcPr>
            <w:tcW w:w="3447" w:type="dxa"/>
            <w:vAlign w:val="center"/>
          </w:tcPr>
          <w:p w14:paraId="014C3CDD" w14:textId="77777777" w:rsidR="00F2533B" w:rsidRPr="000B09B9" w:rsidRDefault="00F2533B" w:rsidP="00301D22">
            <w:pPr>
              <w:pStyle w:val="PBACTableText"/>
              <w:keepNext/>
              <w:keepLines/>
              <w:rPr>
                <w:rStyle w:val="CommentReference"/>
                <w:b w:val="0"/>
                <w:szCs w:val="20"/>
              </w:rPr>
            </w:pPr>
            <w:r w:rsidRPr="000B09B9">
              <w:t xml:space="preserve">An average dose of 6.09 tablets (60.9mg) daily based on sponsor-initiated survey. </w:t>
            </w:r>
          </w:p>
        </w:tc>
        <w:tc>
          <w:tcPr>
            <w:tcW w:w="3448" w:type="dxa"/>
            <w:vAlign w:val="center"/>
          </w:tcPr>
          <w:p w14:paraId="64C78E40" w14:textId="77777777" w:rsidR="00F2533B" w:rsidRPr="000B09B9" w:rsidRDefault="00F2533B" w:rsidP="00301D22">
            <w:pPr>
              <w:pStyle w:val="PBACTableText"/>
              <w:keepNext/>
              <w:keepLines/>
              <w:rPr>
                <w:iCs/>
              </w:rPr>
            </w:pPr>
            <w:r w:rsidRPr="000B09B9">
              <w:rPr>
                <w:iCs/>
              </w:rPr>
              <w:t>The evidence base used to estimate the average daily dose was based on small patient numbers (N=11) through a survey initiated by the sponsor.</w:t>
            </w:r>
            <w:r w:rsidRPr="000B09B9" w:rsidDel="00186F79">
              <w:rPr>
                <w:iCs/>
              </w:rPr>
              <w:t xml:space="preserve"> </w:t>
            </w:r>
          </w:p>
          <w:p w14:paraId="56A90E48" w14:textId="77777777" w:rsidR="00F2533B" w:rsidRPr="000B09B9" w:rsidRDefault="00F2533B" w:rsidP="00301D22">
            <w:pPr>
              <w:pStyle w:val="PBACTableText"/>
              <w:keepNext/>
              <w:keepLines/>
              <w:rPr>
                <w:iCs/>
              </w:rPr>
            </w:pPr>
            <w:r w:rsidRPr="000B09B9">
              <w:rPr>
                <w:iCs/>
              </w:rPr>
              <w:t>This input was applied in two key calculations – (i) To estimate the number of LEMS patients from historical sales data; and (ii) To calculate the expected cost and scripts to inform financial estimates.</w:t>
            </w:r>
          </w:p>
          <w:p w14:paraId="2E95CE14" w14:textId="77777777" w:rsidR="00F2533B" w:rsidRPr="000B09B9" w:rsidRDefault="00F2533B" w:rsidP="00301D22">
            <w:pPr>
              <w:pStyle w:val="PBACTableText"/>
              <w:keepNext/>
              <w:keepLines/>
              <w:rPr>
                <w:iCs/>
              </w:rPr>
            </w:pPr>
            <w:r w:rsidRPr="000B09B9">
              <w:rPr>
                <w:iCs/>
              </w:rPr>
              <w:t>The doses reported from patients’ responses in the survey ranged from 2.5 (25 mg) to 10 (100 mg) tablets daily. The mean daily dose of amifampridine reported at randomisation in the DAPPER trial was 75.7 mg, range 30-100 mg. This is also inconsistent with the maximum dose applied in the economic model in Section 3.</w:t>
            </w:r>
          </w:p>
          <w:p w14:paraId="440F9AA6" w14:textId="77777777" w:rsidR="00F2533B" w:rsidRPr="000B09B9" w:rsidRDefault="00F2533B" w:rsidP="00301D22">
            <w:pPr>
              <w:pStyle w:val="PBACTableText"/>
              <w:keepNext/>
              <w:keepLines/>
              <w:rPr>
                <w:rStyle w:val="CommentReference"/>
                <w:b w:val="0"/>
                <w:iCs/>
                <w:szCs w:val="20"/>
              </w:rPr>
            </w:pPr>
            <w:r w:rsidRPr="000B09B9">
              <w:rPr>
                <w:iCs/>
              </w:rPr>
              <w:t>The financial estimates were highly sensitive to this change.</w:t>
            </w:r>
          </w:p>
        </w:tc>
      </w:tr>
    </w:tbl>
    <w:p w14:paraId="6D7A0BEB" w14:textId="77777777" w:rsidR="00F2533B" w:rsidRPr="000B09B9" w:rsidRDefault="00F2533B" w:rsidP="00F2533B">
      <w:pPr>
        <w:pStyle w:val="TableFigureFooter"/>
        <w:keepNext/>
        <w:keepLines/>
      </w:pPr>
      <w:r w:rsidRPr="000B09B9">
        <w:t xml:space="preserve">Source: Compiled during the evaluation based on information presented in p151-153 of the submission. </w:t>
      </w:r>
    </w:p>
    <w:p w14:paraId="7E2837C5" w14:textId="77777777" w:rsidR="00F2533B" w:rsidRPr="000B09B9" w:rsidRDefault="00F2533B" w:rsidP="00F2533B">
      <w:pPr>
        <w:pStyle w:val="TableFigureFooter"/>
        <w:keepNext/>
        <w:keepLines/>
      </w:pPr>
      <w:r w:rsidRPr="000B09B9">
        <w:rPr>
          <w:rFonts w:eastAsia="Arial Narrow"/>
        </w:rPr>
        <w:t>LEMS = Lambert-Eaton myasthenic syndrome; SAS = Special Access Scheme</w:t>
      </w:r>
    </w:p>
    <w:p w14:paraId="67F07514" w14:textId="77777777" w:rsidR="00F2533B" w:rsidRPr="000B09B9" w:rsidRDefault="00F2533B" w:rsidP="00F2533B">
      <w:pPr>
        <w:pStyle w:val="3-BodyText"/>
        <w:numPr>
          <w:ilvl w:val="1"/>
          <w:numId w:val="9"/>
        </w:numPr>
      </w:pPr>
      <w:r w:rsidRPr="000B09B9">
        <w:t xml:space="preserve">The submission stated that there is no PBS listed medicines that are expected to be substituted/replaced by the listing of amifampridine. </w:t>
      </w:r>
      <w:r w:rsidRPr="000B09B9">
        <w:rPr>
          <w:iCs/>
        </w:rPr>
        <w:t xml:space="preserve">This is uncertain as </w:t>
      </w:r>
      <w:r w:rsidRPr="000B09B9">
        <w:rPr>
          <w:rFonts w:eastAsia="Calibri" w:cs="Calibri"/>
          <w:iCs/>
          <w:color w:val="000000" w:themeColor="text1"/>
        </w:rPr>
        <w:t xml:space="preserve">the following PBS-listed medicines may be considered alternative therapies: pyridostigmine, azathioprine, mycophenolate mofetil, ciclosporin, and prednisolone. </w:t>
      </w:r>
      <w:r w:rsidRPr="000B09B9">
        <w:rPr>
          <w:iCs/>
        </w:rPr>
        <w:t>It is uncertain if treatment with amifampridine would result in an increase or decrease in use of these concurrent medications. These medications are PBS listed and can be used to manage LEMS symptoms as these are general schedule medications with no authority required. These were also not considered in the economic model in Section 3.</w:t>
      </w:r>
    </w:p>
    <w:p w14:paraId="0EC86B7E" w14:textId="06184340" w:rsidR="00F2533B" w:rsidRPr="000B09B9" w:rsidRDefault="00F2533B" w:rsidP="00F2533B">
      <w:pPr>
        <w:pStyle w:val="3-BodyText"/>
        <w:numPr>
          <w:ilvl w:val="1"/>
          <w:numId w:val="9"/>
        </w:numPr>
      </w:pPr>
      <w:r w:rsidRPr="000B09B9">
        <w:t>The submission indicated that patients on treatment with amifampridine have a 50%</w:t>
      </w:r>
      <w:r w:rsidR="00961166">
        <w:t> </w:t>
      </w:r>
      <w:r w:rsidRPr="000B09B9">
        <w:t xml:space="preserve">reduction of IVIg use, but did not include this reduction in IVIg use in the economic model or financial implication estimates. </w:t>
      </w:r>
      <w:r w:rsidRPr="000B09B9">
        <w:rPr>
          <w:iCs/>
        </w:rPr>
        <w:t>This claim could not be verified</w:t>
      </w:r>
      <w:r w:rsidRPr="000B09B9">
        <w:t xml:space="preserve">. </w:t>
      </w:r>
      <w:r w:rsidRPr="000B09B9">
        <w:rPr>
          <w:iCs/>
        </w:rPr>
        <w:t xml:space="preserve">Data on IVIg use from the National Blood Authority showed that IVIg was supplied to 24 patients in 2017/2018 as additional therapy for LEMS where symptomatic therapy is insufficient. There is uncertainty whether and how IVIg could be displaced or may be added to therapy. </w:t>
      </w:r>
    </w:p>
    <w:p w14:paraId="39D0717A" w14:textId="77777777" w:rsidR="00F2533B" w:rsidRPr="000B09B9" w:rsidRDefault="00F2533B" w:rsidP="00F2533B">
      <w:pPr>
        <w:pStyle w:val="3-BodyText"/>
        <w:numPr>
          <w:ilvl w:val="1"/>
          <w:numId w:val="9"/>
        </w:numPr>
      </w:pPr>
      <w:r w:rsidRPr="000B09B9">
        <w:t>The estimated financial implications of listing amifampridine for the treatment of LEMS are presented in Table 1</w:t>
      </w:r>
      <w:r w:rsidR="008807D2" w:rsidRPr="000B09B9">
        <w:t>6</w:t>
      </w:r>
      <w:r w:rsidRPr="000B09B9">
        <w:t xml:space="preserve">. </w:t>
      </w:r>
    </w:p>
    <w:p w14:paraId="0C9E31B6" w14:textId="77777777" w:rsidR="00F2533B" w:rsidRPr="000B09B9" w:rsidRDefault="00F2533B" w:rsidP="00F2533B">
      <w:pPr>
        <w:pStyle w:val="TableFigureHeading"/>
      </w:pPr>
      <w:r w:rsidRPr="000B09B9">
        <w:rPr>
          <w:rStyle w:val="CommentReference"/>
          <w:b/>
          <w:szCs w:val="24"/>
        </w:rPr>
        <w:t>Table 1</w:t>
      </w:r>
      <w:r w:rsidR="008807D2" w:rsidRPr="000B09B9">
        <w:rPr>
          <w:rStyle w:val="CommentReference"/>
          <w:b/>
          <w:szCs w:val="24"/>
        </w:rPr>
        <w:t>6</w:t>
      </w:r>
      <w:r w:rsidRPr="000B09B9">
        <w:rPr>
          <w:rStyle w:val="CommentReference"/>
          <w:b/>
          <w:szCs w:val="24"/>
        </w:rPr>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2"/>
        <w:gridCol w:w="1167"/>
        <w:gridCol w:w="1167"/>
        <w:gridCol w:w="1167"/>
        <w:gridCol w:w="1167"/>
        <w:gridCol w:w="1167"/>
        <w:gridCol w:w="1170"/>
      </w:tblGrid>
      <w:tr w:rsidR="00F2533B" w:rsidRPr="000B09B9" w14:paraId="6DE88A7C" w14:textId="77777777" w:rsidTr="00301D22">
        <w:trPr>
          <w:tblHeader/>
        </w:trPr>
        <w:tc>
          <w:tcPr>
            <w:tcW w:w="1116" w:type="pct"/>
            <w:shd w:val="clear" w:color="auto" w:fill="auto"/>
            <w:vAlign w:val="center"/>
          </w:tcPr>
          <w:p w14:paraId="2BE5C52C" w14:textId="77777777" w:rsidR="00F2533B" w:rsidRPr="000B09B9" w:rsidRDefault="00F2533B" w:rsidP="00301D22">
            <w:pPr>
              <w:pStyle w:val="In-tableHeading"/>
              <w:jc w:val="center"/>
              <w:rPr>
                <w:lang w:val="en-AU"/>
              </w:rPr>
            </w:pPr>
          </w:p>
        </w:tc>
        <w:tc>
          <w:tcPr>
            <w:tcW w:w="647" w:type="pct"/>
            <w:shd w:val="clear" w:color="auto" w:fill="auto"/>
            <w:vAlign w:val="center"/>
          </w:tcPr>
          <w:p w14:paraId="28C9E959" w14:textId="77777777" w:rsidR="00F2533B" w:rsidRPr="000B09B9" w:rsidRDefault="00F2533B" w:rsidP="00301D22">
            <w:pPr>
              <w:pStyle w:val="In-tableHeading"/>
              <w:jc w:val="center"/>
              <w:rPr>
                <w:lang w:val="en-AU"/>
              </w:rPr>
            </w:pPr>
            <w:r w:rsidRPr="000B09B9">
              <w:rPr>
                <w:lang w:val="en-AU"/>
              </w:rPr>
              <w:t>Year 1</w:t>
            </w:r>
          </w:p>
        </w:tc>
        <w:tc>
          <w:tcPr>
            <w:tcW w:w="647" w:type="pct"/>
            <w:shd w:val="clear" w:color="auto" w:fill="auto"/>
            <w:vAlign w:val="center"/>
          </w:tcPr>
          <w:p w14:paraId="6509D64B" w14:textId="77777777" w:rsidR="00F2533B" w:rsidRPr="000B09B9" w:rsidRDefault="00F2533B" w:rsidP="00301D22">
            <w:pPr>
              <w:pStyle w:val="In-tableHeading"/>
              <w:jc w:val="center"/>
              <w:rPr>
                <w:lang w:val="en-AU"/>
              </w:rPr>
            </w:pPr>
            <w:r w:rsidRPr="000B09B9">
              <w:rPr>
                <w:lang w:val="en-AU"/>
              </w:rPr>
              <w:t>Year 2</w:t>
            </w:r>
          </w:p>
        </w:tc>
        <w:tc>
          <w:tcPr>
            <w:tcW w:w="647" w:type="pct"/>
            <w:shd w:val="clear" w:color="auto" w:fill="auto"/>
            <w:vAlign w:val="center"/>
          </w:tcPr>
          <w:p w14:paraId="456EE8B7" w14:textId="77777777" w:rsidR="00F2533B" w:rsidRPr="000B09B9" w:rsidRDefault="00F2533B" w:rsidP="00301D22">
            <w:pPr>
              <w:pStyle w:val="In-tableHeading"/>
              <w:jc w:val="center"/>
              <w:rPr>
                <w:lang w:val="en-AU"/>
              </w:rPr>
            </w:pPr>
            <w:r w:rsidRPr="000B09B9">
              <w:rPr>
                <w:lang w:val="en-AU"/>
              </w:rPr>
              <w:t>Year 3</w:t>
            </w:r>
          </w:p>
        </w:tc>
        <w:tc>
          <w:tcPr>
            <w:tcW w:w="647" w:type="pct"/>
            <w:shd w:val="clear" w:color="auto" w:fill="auto"/>
            <w:vAlign w:val="center"/>
          </w:tcPr>
          <w:p w14:paraId="4AE29CC8" w14:textId="77777777" w:rsidR="00F2533B" w:rsidRPr="000B09B9" w:rsidRDefault="00F2533B" w:rsidP="00301D22">
            <w:pPr>
              <w:pStyle w:val="In-tableHeading"/>
              <w:jc w:val="center"/>
              <w:rPr>
                <w:lang w:val="en-AU"/>
              </w:rPr>
            </w:pPr>
            <w:r w:rsidRPr="000B09B9">
              <w:rPr>
                <w:lang w:val="en-AU"/>
              </w:rPr>
              <w:t>Year 4</w:t>
            </w:r>
          </w:p>
        </w:tc>
        <w:tc>
          <w:tcPr>
            <w:tcW w:w="647" w:type="pct"/>
            <w:shd w:val="clear" w:color="auto" w:fill="auto"/>
            <w:vAlign w:val="center"/>
          </w:tcPr>
          <w:p w14:paraId="72A57880" w14:textId="77777777" w:rsidR="00F2533B" w:rsidRPr="000B09B9" w:rsidRDefault="00F2533B" w:rsidP="00301D22">
            <w:pPr>
              <w:pStyle w:val="In-tableHeading"/>
              <w:jc w:val="center"/>
              <w:rPr>
                <w:lang w:val="en-AU"/>
              </w:rPr>
            </w:pPr>
            <w:r w:rsidRPr="000B09B9">
              <w:rPr>
                <w:lang w:val="en-AU"/>
              </w:rPr>
              <w:t>Year 5</w:t>
            </w:r>
          </w:p>
        </w:tc>
        <w:tc>
          <w:tcPr>
            <w:tcW w:w="649" w:type="pct"/>
          </w:tcPr>
          <w:p w14:paraId="510CAA27" w14:textId="77777777" w:rsidR="00F2533B" w:rsidRPr="000B09B9" w:rsidRDefault="00F2533B" w:rsidP="00301D22">
            <w:pPr>
              <w:pStyle w:val="In-tableHeading"/>
              <w:jc w:val="center"/>
              <w:rPr>
                <w:lang w:val="en-AU"/>
              </w:rPr>
            </w:pPr>
            <w:r w:rsidRPr="000B09B9">
              <w:rPr>
                <w:lang w:val="en-AU"/>
              </w:rPr>
              <w:t>Year 6</w:t>
            </w:r>
          </w:p>
        </w:tc>
      </w:tr>
      <w:tr w:rsidR="00F2533B" w:rsidRPr="000B09B9" w14:paraId="10FF33CC" w14:textId="77777777" w:rsidTr="00301D22">
        <w:tc>
          <w:tcPr>
            <w:tcW w:w="5000" w:type="pct"/>
            <w:gridSpan w:val="7"/>
            <w:shd w:val="clear" w:color="auto" w:fill="auto"/>
            <w:vAlign w:val="center"/>
          </w:tcPr>
          <w:p w14:paraId="0D159B9B" w14:textId="77777777" w:rsidR="00F2533B" w:rsidRPr="000B09B9" w:rsidRDefault="00F2533B" w:rsidP="00301D22">
            <w:pPr>
              <w:pStyle w:val="In-tableHeading"/>
              <w:rPr>
                <w:bCs/>
                <w:color w:val="000000"/>
                <w:lang w:val="en-AU"/>
              </w:rPr>
            </w:pPr>
            <w:r w:rsidRPr="000B09B9">
              <w:rPr>
                <w:bCs/>
                <w:color w:val="000000"/>
                <w:lang w:val="en-AU"/>
              </w:rPr>
              <w:t>Estimated extent of use</w:t>
            </w:r>
          </w:p>
        </w:tc>
      </w:tr>
      <w:tr w:rsidR="00F2533B" w:rsidRPr="000B09B9" w14:paraId="63BE92BF" w14:textId="77777777" w:rsidTr="00301D22">
        <w:tc>
          <w:tcPr>
            <w:tcW w:w="1116" w:type="pct"/>
            <w:shd w:val="clear" w:color="auto" w:fill="auto"/>
            <w:vAlign w:val="center"/>
          </w:tcPr>
          <w:p w14:paraId="2972CC36" w14:textId="77777777" w:rsidR="00F2533B" w:rsidRPr="000B09B9" w:rsidRDefault="00F2533B" w:rsidP="00301D22">
            <w:pPr>
              <w:pStyle w:val="TableText0"/>
              <w:rPr>
                <w:rFonts w:ascii="Times" w:hAnsi="Times"/>
              </w:rPr>
            </w:pPr>
            <w:r w:rsidRPr="000B09B9">
              <w:t>Number of patients treated</w:t>
            </w:r>
          </w:p>
        </w:tc>
        <w:tc>
          <w:tcPr>
            <w:tcW w:w="647" w:type="pct"/>
            <w:shd w:val="clear" w:color="auto" w:fill="auto"/>
            <w:vAlign w:val="center"/>
          </w:tcPr>
          <w:p w14:paraId="341108D0" w14:textId="77777777" w:rsidR="00F2533B" w:rsidRPr="00E928EF" w:rsidRDefault="00E928EF" w:rsidP="00301D22">
            <w:pPr>
              <w:pStyle w:val="TableText0"/>
              <w:jc w:val="center"/>
              <w:rPr>
                <w:color w:val="000000"/>
                <w:vertAlign w:val="superscript"/>
              </w:rPr>
            </w:pPr>
            <w:r>
              <w:rPr>
                <w:noProof/>
                <w:color w:val="000000"/>
                <w:highlight w:val="black"/>
              </w:rPr>
              <w:t>'''''''</w:t>
            </w:r>
            <w:r w:rsidR="00B318CF" w:rsidRPr="00B318CF">
              <w:rPr>
                <w:vertAlign w:val="superscript"/>
              </w:rPr>
              <w:t>1</w:t>
            </w:r>
          </w:p>
        </w:tc>
        <w:tc>
          <w:tcPr>
            <w:tcW w:w="647" w:type="pct"/>
            <w:shd w:val="clear" w:color="auto" w:fill="auto"/>
            <w:vAlign w:val="center"/>
          </w:tcPr>
          <w:p w14:paraId="0C8BDB33" w14:textId="77777777" w:rsidR="00F2533B" w:rsidRPr="00E928EF" w:rsidRDefault="00E928EF" w:rsidP="00301D22">
            <w:pPr>
              <w:pStyle w:val="TableText0"/>
              <w:jc w:val="center"/>
              <w:rPr>
                <w:color w:val="000000"/>
              </w:rPr>
            </w:pPr>
            <w:r>
              <w:rPr>
                <w:noProof/>
                <w:color w:val="000000"/>
                <w:highlight w:val="black"/>
              </w:rPr>
              <w:t>'''''''</w:t>
            </w:r>
            <w:r w:rsidR="00B318CF" w:rsidRPr="00B318CF">
              <w:rPr>
                <w:vertAlign w:val="superscript"/>
              </w:rPr>
              <w:t>1</w:t>
            </w:r>
          </w:p>
        </w:tc>
        <w:tc>
          <w:tcPr>
            <w:tcW w:w="647" w:type="pct"/>
            <w:shd w:val="clear" w:color="auto" w:fill="auto"/>
            <w:vAlign w:val="center"/>
          </w:tcPr>
          <w:p w14:paraId="6C64D983" w14:textId="77777777" w:rsidR="00F2533B" w:rsidRPr="00E928EF" w:rsidRDefault="00E928EF" w:rsidP="00301D22">
            <w:pPr>
              <w:pStyle w:val="TableText0"/>
              <w:jc w:val="center"/>
              <w:rPr>
                <w:color w:val="000000"/>
              </w:rPr>
            </w:pPr>
            <w:r>
              <w:rPr>
                <w:noProof/>
                <w:color w:val="000000"/>
                <w:highlight w:val="black"/>
              </w:rPr>
              <w:t>''''''</w:t>
            </w:r>
            <w:r w:rsidR="00B318CF" w:rsidRPr="00B318CF">
              <w:rPr>
                <w:vertAlign w:val="superscript"/>
              </w:rPr>
              <w:t>1</w:t>
            </w:r>
          </w:p>
        </w:tc>
        <w:tc>
          <w:tcPr>
            <w:tcW w:w="647" w:type="pct"/>
            <w:shd w:val="clear" w:color="auto" w:fill="auto"/>
            <w:vAlign w:val="center"/>
          </w:tcPr>
          <w:p w14:paraId="73F97A50" w14:textId="77777777" w:rsidR="00F2533B" w:rsidRPr="00E928EF" w:rsidRDefault="00E928EF" w:rsidP="00301D22">
            <w:pPr>
              <w:pStyle w:val="TableText0"/>
              <w:jc w:val="center"/>
              <w:rPr>
                <w:color w:val="000000"/>
              </w:rPr>
            </w:pPr>
            <w:r>
              <w:rPr>
                <w:noProof/>
                <w:color w:val="000000"/>
                <w:highlight w:val="black"/>
              </w:rPr>
              <w:t>''''''</w:t>
            </w:r>
            <w:r w:rsidR="00B318CF" w:rsidRPr="00B318CF">
              <w:rPr>
                <w:vertAlign w:val="superscript"/>
              </w:rPr>
              <w:t>1</w:t>
            </w:r>
          </w:p>
        </w:tc>
        <w:tc>
          <w:tcPr>
            <w:tcW w:w="647" w:type="pct"/>
            <w:shd w:val="clear" w:color="auto" w:fill="auto"/>
            <w:vAlign w:val="center"/>
          </w:tcPr>
          <w:p w14:paraId="44D6357D" w14:textId="77777777" w:rsidR="00F2533B" w:rsidRPr="00E928EF" w:rsidRDefault="00E928EF" w:rsidP="00301D22">
            <w:pPr>
              <w:pStyle w:val="TableText0"/>
              <w:jc w:val="center"/>
              <w:rPr>
                <w:color w:val="000000"/>
              </w:rPr>
            </w:pPr>
            <w:r>
              <w:rPr>
                <w:noProof/>
                <w:color w:val="000000"/>
                <w:highlight w:val="black"/>
              </w:rPr>
              <w:t>'''''''</w:t>
            </w:r>
            <w:r w:rsidR="00B318CF" w:rsidRPr="00B318CF">
              <w:rPr>
                <w:vertAlign w:val="superscript"/>
              </w:rPr>
              <w:t>1</w:t>
            </w:r>
          </w:p>
        </w:tc>
        <w:tc>
          <w:tcPr>
            <w:tcW w:w="649" w:type="pct"/>
            <w:vAlign w:val="center"/>
          </w:tcPr>
          <w:p w14:paraId="68CEE1F0" w14:textId="77777777" w:rsidR="00F2533B" w:rsidRPr="00E928EF" w:rsidRDefault="00E928EF" w:rsidP="00301D22">
            <w:pPr>
              <w:pStyle w:val="TableText0"/>
              <w:jc w:val="center"/>
              <w:rPr>
                <w:color w:val="000000"/>
              </w:rPr>
            </w:pPr>
            <w:r>
              <w:rPr>
                <w:noProof/>
                <w:color w:val="000000"/>
                <w:highlight w:val="black"/>
              </w:rPr>
              <w:t>''''''</w:t>
            </w:r>
            <w:r w:rsidR="00B318CF" w:rsidRPr="00B318CF">
              <w:rPr>
                <w:vertAlign w:val="superscript"/>
              </w:rPr>
              <w:t>1</w:t>
            </w:r>
          </w:p>
        </w:tc>
      </w:tr>
      <w:tr w:rsidR="00F2533B" w:rsidRPr="000B09B9" w14:paraId="29038C17" w14:textId="77777777" w:rsidTr="00301D22">
        <w:tc>
          <w:tcPr>
            <w:tcW w:w="1116" w:type="pct"/>
            <w:shd w:val="clear" w:color="auto" w:fill="auto"/>
            <w:vAlign w:val="center"/>
          </w:tcPr>
          <w:p w14:paraId="21108C12" w14:textId="77777777" w:rsidR="00F2533B" w:rsidRPr="000B09B9" w:rsidRDefault="00F2533B" w:rsidP="00301D22">
            <w:pPr>
              <w:pStyle w:val="TableText0"/>
              <w:rPr>
                <w:rFonts w:ascii="Times" w:hAnsi="Times"/>
              </w:rPr>
            </w:pPr>
            <w:r w:rsidRPr="000B09B9">
              <w:t>Number of scripts dispensed</w:t>
            </w:r>
            <w:r w:rsidRPr="000B09B9">
              <w:rPr>
                <w:vertAlign w:val="superscript"/>
              </w:rPr>
              <w:t>a</w:t>
            </w:r>
          </w:p>
        </w:tc>
        <w:tc>
          <w:tcPr>
            <w:tcW w:w="647" w:type="pct"/>
            <w:shd w:val="clear" w:color="auto" w:fill="auto"/>
            <w:vAlign w:val="center"/>
          </w:tcPr>
          <w:p w14:paraId="12DA4A7C" w14:textId="77777777" w:rsidR="00F2533B" w:rsidRPr="00E928EF" w:rsidRDefault="00E928EF" w:rsidP="00301D22">
            <w:pPr>
              <w:pStyle w:val="TableText0"/>
              <w:jc w:val="center"/>
              <w:rPr>
                <w:color w:val="000000"/>
              </w:rPr>
            </w:pPr>
            <w:r>
              <w:rPr>
                <w:noProof/>
                <w:color w:val="000000"/>
                <w:highlight w:val="black"/>
              </w:rPr>
              <w:t>''''''''''</w:t>
            </w:r>
            <w:r w:rsidR="00B318CF">
              <w:rPr>
                <w:vertAlign w:val="superscript"/>
              </w:rPr>
              <w:t>2</w:t>
            </w:r>
          </w:p>
        </w:tc>
        <w:tc>
          <w:tcPr>
            <w:tcW w:w="647" w:type="pct"/>
            <w:shd w:val="clear" w:color="auto" w:fill="auto"/>
            <w:vAlign w:val="center"/>
          </w:tcPr>
          <w:p w14:paraId="5B683683" w14:textId="77777777" w:rsidR="00F2533B" w:rsidRPr="00E928EF" w:rsidRDefault="00E928EF" w:rsidP="00301D22">
            <w:pPr>
              <w:pStyle w:val="TableText0"/>
              <w:jc w:val="center"/>
              <w:rPr>
                <w:color w:val="000000"/>
              </w:rPr>
            </w:pPr>
            <w:r>
              <w:rPr>
                <w:noProof/>
                <w:color w:val="000000"/>
                <w:highlight w:val="black"/>
              </w:rPr>
              <w:t>''''''''''</w:t>
            </w:r>
            <w:r w:rsidR="00B318CF">
              <w:rPr>
                <w:vertAlign w:val="superscript"/>
              </w:rPr>
              <w:t>2</w:t>
            </w:r>
          </w:p>
        </w:tc>
        <w:tc>
          <w:tcPr>
            <w:tcW w:w="647" w:type="pct"/>
            <w:shd w:val="clear" w:color="auto" w:fill="auto"/>
            <w:vAlign w:val="center"/>
          </w:tcPr>
          <w:p w14:paraId="480013A9" w14:textId="77777777" w:rsidR="00F2533B" w:rsidRPr="00E928EF" w:rsidRDefault="00E928EF" w:rsidP="00301D22">
            <w:pPr>
              <w:pStyle w:val="TableText0"/>
              <w:jc w:val="center"/>
              <w:rPr>
                <w:color w:val="000000"/>
              </w:rPr>
            </w:pPr>
            <w:r>
              <w:rPr>
                <w:noProof/>
                <w:color w:val="000000"/>
                <w:highlight w:val="black"/>
              </w:rPr>
              <w:t>'''''''''</w:t>
            </w:r>
            <w:r w:rsidR="00B318CF">
              <w:rPr>
                <w:vertAlign w:val="superscript"/>
              </w:rPr>
              <w:t>2</w:t>
            </w:r>
          </w:p>
        </w:tc>
        <w:tc>
          <w:tcPr>
            <w:tcW w:w="647" w:type="pct"/>
            <w:shd w:val="clear" w:color="auto" w:fill="auto"/>
            <w:vAlign w:val="center"/>
          </w:tcPr>
          <w:p w14:paraId="45FF0C97" w14:textId="77777777" w:rsidR="00F2533B" w:rsidRPr="00E928EF" w:rsidRDefault="00E928EF" w:rsidP="00301D22">
            <w:pPr>
              <w:pStyle w:val="TableText0"/>
              <w:jc w:val="center"/>
              <w:rPr>
                <w:color w:val="000000"/>
              </w:rPr>
            </w:pPr>
            <w:r>
              <w:rPr>
                <w:noProof/>
                <w:color w:val="000000"/>
                <w:highlight w:val="black"/>
              </w:rPr>
              <w:t>'''''''''</w:t>
            </w:r>
            <w:r w:rsidR="00B318CF">
              <w:rPr>
                <w:vertAlign w:val="superscript"/>
              </w:rPr>
              <w:t>2</w:t>
            </w:r>
          </w:p>
        </w:tc>
        <w:tc>
          <w:tcPr>
            <w:tcW w:w="647" w:type="pct"/>
            <w:shd w:val="clear" w:color="auto" w:fill="auto"/>
            <w:vAlign w:val="center"/>
          </w:tcPr>
          <w:p w14:paraId="6492E0A8" w14:textId="77777777" w:rsidR="00F2533B" w:rsidRPr="00E928EF" w:rsidRDefault="00E928EF" w:rsidP="00301D22">
            <w:pPr>
              <w:pStyle w:val="TableText0"/>
              <w:jc w:val="center"/>
              <w:rPr>
                <w:color w:val="000000"/>
              </w:rPr>
            </w:pPr>
            <w:r>
              <w:rPr>
                <w:noProof/>
                <w:color w:val="000000"/>
                <w:highlight w:val="black"/>
              </w:rPr>
              <w:t>''''''''''</w:t>
            </w:r>
            <w:r w:rsidR="00B318CF">
              <w:rPr>
                <w:vertAlign w:val="superscript"/>
              </w:rPr>
              <w:t>2</w:t>
            </w:r>
          </w:p>
        </w:tc>
        <w:tc>
          <w:tcPr>
            <w:tcW w:w="649" w:type="pct"/>
            <w:vAlign w:val="center"/>
          </w:tcPr>
          <w:p w14:paraId="71C18B22" w14:textId="77777777" w:rsidR="00F2533B" w:rsidRPr="00E928EF" w:rsidRDefault="00E928EF" w:rsidP="00301D22">
            <w:pPr>
              <w:pStyle w:val="TableText0"/>
              <w:jc w:val="center"/>
              <w:rPr>
                <w:color w:val="000000"/>
              </w:rPr>
            </w:pPr>
            <w:r>
              <w:rPr>
                <w:noProof/>
                <w:color w:val="000000"/>
                <w:highlight w:val="black"/>
              </w:rPr>
              <w:t>''''''''''</w:t>
            </w:r>
            <w:r w:rsidR="00B318CF">
              <w:rPr>
                <w:vertAlign w:val="superscript"/>
              </w:rPr>
              <w:t>2</w:t>
            </w:r>
          </w:p>
        </w:tc>
      </w:tr>
      <w:tr w:rsidR="00F2533B" w:rsidRPr="000B09B9" w14:paraId="216CD7D7" w14:textId="77777777" w:rsidTr="00301D22">
        <w:tc>
          <w:tcPr>
            <w:tcW w:w="5000" w:type="pct"/>
            <w:gridSpan w:val="7"/>
            <w:shd w:val="clear" w:color="auto" w:fill="auto"/>
            <w:vAlign w:val="center"/>
          </w:tcPr>
          <w:p w14:paraId="08222833" w14:textId="77777777" w:rsidR="00F2533B" w:rsidRPr="000B09B9" w:rsidRDefault="00F2533B" w:rsidP="00301D22">
            <w:pPr>
              <w:pStyle w:val="In-tableHeading"/>
              <w:rPr>
                <w:lang w:val="en-AU"/>
              </w:rPr>
            </w:pPr>
            <w:r w:rsidRPr="000B09B9">
              <w:rPr>
                <w:lang w:val="en-AU"/>
              </w:rPr>
              <w:t>Estimated financial implications of amifampridine</w:t>
            </w:r>
          </w:p>
        </w:tc>
      </w:tr>
      <w:tr w:rsidR="00F2533B" w:rsidRPr="000B09B9" w14:paraId="5E98EEDA" w14:textId="77777777" w:rsidTr="00301D22">
        <w:tc>
          <w:tcPr>
            <w:tcW w:w="1116" w:type="pct"/>
            <w:shd w:val="clear" w:color="auto" w:fill="auto"/>
            <w:vAlign w:val="center"/>
          </w:tcPr>
          <w:p w14:paraId="67A10621" w14:textId="77777777" w:rsidR="00F2533B" w:rsidRPr="000B09B9" w:rsidRDefault="00F2533B" w:rsidP="00301D22">
            <w:pPr>
              <w:pStyle w:val="TableText0"/>
              <w:rPr>
                <w:sz w:val="19"/>
                <w:szCs w:val="19"/>
              </w:rPr>
            </w:pPr>
            <w:r w:rsidRPr="000B09B9">
              <w:rPr>
                <w:sz w:val="19"/>
                <w:szCs w:val="19"/>
              </w:rPr>
              <w:t>Cost to PBS/RPBS less copayments</w:t>
            </w:r>
          </w:p>
        </w:tc>
        <w:tc>
          <w:tcPr>
            <w:tcW w:w="647" w:type="pct"/>
            <w:shd w:val="clear" w:color="auto" w:fill="auto"/>
          </w:tcPr>
          <w:p w14:paraId="27751494" w14:textId="77777777" w:rsidR="00F2533B" w:rsidRPr="00E928EF" w:rsidRDefault="00E928EF" w:rsidP="00301D22">
            <w:pPr>
              <w:pStyle w:val="TableText0"/>
              <w:jc w:val="center"/>
            </w:pPr>
            <w:r>
              <w:rPr>
                <w:noProof/>
                <w:color w:val="000000"/>
                <w:highlight w:val="black"/>
              </w:rPr>
              <w:t>''''''''''''''''''''''''''''</w:t>
            </w:r>
            <w:r w:rsidR="00B318CF">
              <w:rPr>
                <w:vertAlign w:val="superscript"/>
              </w:rPr>
              <w:t>3</w:t>
            </w:r>
          </w:p>
        </w:tc>
        <w:tc>
          <w:tcPr>
            <w:tcW w:w="647" w:type="pct"/>
            <w:shd w:val="clear" w:color="auto" w:fill="auto"/>
          </w:tcPr>
          <w:p w14:paraId="51A33D84" w14:textId="77777777" w:rsidR="00F2533B" w:rsidRPr="00E928EF" w:rsidRDefault="00E928EF" w:rsidP="00301D22">
            <w:pPr>
              <w:pStyle w:val="TableText0"/>
              <w:jc w:val="center"/>
            </w:pPr>
            <w:r>
              <w:rPr>
                <w:noProof/>
                <w:color w:val="000000"/>
                <w:highlight w:val="black"/>
              </w:rPr>
              <w:t>'''''''''''''''''''''''''''''</w:t>
            </w:r>
            <w:r w:rsidR="00B318CF">
              <w:rPr>
                <w:vertAlign w:val="superscript"/>
              </w:rPr>
              <w:t>3</w:t>
            </w:r>
          </w:p>
        </w:tc>
        <w:tc>
          <w:tcPr>
            <w:tcW w:w="647" w:type="pct"/>
            <w:shd w:val="clear" w:color="auto" w:fill="auto"/>
          </w:tcPr>
          <w:p w14:paraId="7E7BE34A" w14:textId="77777777" w:rsidR="00F2533B" w:rsidRPr="00E928EF" w:rsidRDefault="00E928EF" w:rsidP="00301D22">
            <w:pPr>
              <w:pStyle w:val="TableText0"/>
              <w:jc w:val="center"/>
            </w:pPr>
            <w:r>
              <w:rPr>
                <w:noProof/>
                <w:color w:val="000000"/>
                <w:highlight w:val="black"/>
              </w:rPr>
              <w:t>'''''''''''''''''''''''''</w:t>
            </w:r>
            <w:r w:rsidR="00B318CF">
              <w:rPr>
                <w:vertAlign w:val="superscript"/>
              </w:rPr>
              <w:t>3</w:t>
            </w:r>
          </w:p>
        </w:tc>
        <w:tc>
          <w:tcPr>
            <w:tcW w:w="647" w:type="pct"/>
            <w:shd w:val="clear" w:color="auto" w:fill="auto"/>
          </w:tcPr>
          <w:p w14:paraId="71CB9520" w14:textId="77777777" w:rsidR="00F2533B" w:rsidRPr="00E928EF" w:rsidRDefault="00E928EF" w:rsidP="00301D22">
            <w:pPr>
              <w:pStyle w:val="TableText0"/>
              <w:jc w:val="center"/>
            </w:pPr>
            <w:r>
              <w:rPr>
                <w:noProof/>
                <w:color w:val="000000"/>
                <w:highlight w:val="black"/>
              </w:rPr>
              <w:t>''''''''''''''''''''''''''</w:t>
            </w:r>
            <w:r w:rsidR="00B318CF">
              <w:rPr>
                <w:vertAlign w:val="superscript"/>
              </w:rPr>
              <w:t>3</w:t>
            </w:r>
          </w:p>
        </w:tc>
        <w:tc>
          <w:tcPr>
            <w:tcW w:w="647" w:type="pct"/>
            <w:shd w:val="clear" w:color="auto" w:fill="auto"/>
          </w:tcPr>
          <w:p w14:paraId="2A24E796" w14:textId="77777777" w:rsidR="00F2533B" w:rsidRPr="00E928EF" w:rsidRDefault="00E928EF" w:rsidP="00301D22">
            <w:pPr>
              <w:pStyle w:val="TableText0"/>
              <w:jc w:val="center"/>
            </w:pPr>
            <w:r>
              <w:rPr>
                <w:noProof/>
                <w:color w:val="000000"/>
                <w:highlight w:val="black"/>
              </w:rPr>
              <w:t>''''''''''''''''''''''''''''</w:t>
            </w:r>
            <w:r w:rsidR="00B318CF">
              <w:rPr>
                <w:vertAlign w:val="superscript"/>
              </w:rPr>
              <w:t>3</w:t>
            </w:r>
          </w:p>
        </w:tc>
        <w:tc>
          <w:tcPr>
            <w:tcW w:w="649" w:type="pct"/>
          </w:tcPr>
          <w:p w14:paraId="64D51BD0" w14:textId="77777777" w:rsidR="00F2533B" w:rsidRPr="00E928EF" w:rsidRDefault="00E928EF" w:rsidP="00301D22">
            <w:pPr>
              <w:pStyle w:val="TableText0"/>
              <w:jc w:val="center"/>
            </w:pPr>
            <w:r>
              <w:rPr>
                <w:noProof/>
                <w:color w:val="000000"/>
                <w:highlight w:val="black"/>
              </w:rPr>
              <w:t>'''''''''''''''''''''''''''''</w:t>
            </w:r>
            <w:r w:rsidR="00B318CF">
              <w:rPr>
                <w:vertAlign w:val="superscript"/>
              </w:rPr>
              <w:t>3</w:t>
            </w:r>
          </w:p>
        </w:tc>
      </w:tr>
      <w:tr w:rsidR="00F2533B" w:rsidRPr="000B09B9" w14:paraId="4EE7F734" w14:textId="77777777" w:rsidTr="00301D22">
        <w:tc>
          <w:tcPr>
            <w:tcW w:w="1116" w:type="pct"/>
            <w:shd w:val="clear" w:color="auto" w:fill="auto"/>
            <w:vAlign w:val="center"/>
          </w:tcPr>
          <w:p w14:paraId="2C0FF770" w14:textId="77777777" w:rsidR="00F2533B" w:rsidRPr="000B09B9" w:rsidRDefault="00F2533B" w:rsidP="00301D22">
            <w:pPr>
              <w:pStyle w:val="TableText0"/>
              <w:rPr>
                <w:sz w:val="19"/>
                <w:szCs w:val="19"/>
              </w:rPr>
            </w:pPr>
            <w:r w:rsidRPr="000B09B9">
              <w:rPr>
                <w:sz w:val="19"/>
                <w:szCs w:val="19"/>
              </w:rPr>
              <w:t>Net cost to PBS/RPBS</w:t>
            </w:r>
          </w:p>
        </w:tc>
        <w:tc>
          <w:tcPr>
            <w:tcW w:w="647" w:type="pct"/>
            <w:shd w:val="clear" w:color="auto" w:fill="auto"/>
          </w:tcPr>
          <w:p w14:paraId="7B946025" w14:textId="77777777" w:rsidR="00F2533B" w:rsidRPr="00E928EF" w:rsidRDefault="00E928EF" w:rsidP="00301D22">
            <w:pPr>
              <w:pStyle w:val="TableText0"/>
              <w:jc w:val="center"/>
            </w:pPr>
            <w:r>
              <w:rPr>
                <w:noProof/>
                <w:color w:val="000000"/>
                <w:highlight w:val="black"/>
              </w:rPr>
              <w:t>''''''''''''''''''''''''''''</w:t>
            </w:r>
            <w:r w:rsidR="00B318CF">
              <w:rPr>
                <w:vertAlign w:val="superscript"/>
              </w:rPr>
              <w:t>3</w:t>
            </w:r>
          </w:p>
        </w:tc>
        <w:tc>
          <w:tcPr>
            <w:tcW w:w="647" w:type="pct"/>
            <w:shd w:val="clear" w:color="auto" w:fill="auto"/>
          </w:tcPr>
          <w:p w14:paraId="06397131" w14:textId="77777777" w:rsidR="00F2533B" w:rsidRPr="00E928EF" w:rsidRDefault="00E928EF" w:rsidP="00301D22">
            <w:pPr>
              <w:pStyle w:val="TableText0"/>
              <w:jc w:val="center"/>
            </w:pPr>
            <w:r>
              <w:rPr>
                <w:noProof/>
                <w:color w:val="000000"/>
                <w:highlight w:val="black"/>
              </w:rPr>
              <w:t>''''''''''''''''''''''''</w:t>
            </w:r>
            <w:r w:rsidR="00B318CF">
              <w:rPr>
                <w:vertAlign w:val="superscript"/>
              </w:rPr>
              <w:t>3</w:t>
            </w:r>
          </w:p>
        </w:tc>
        <w:tc>
          <w:tcPr>
            <w:tcW w:w="647" w:type="pct"/>
            <w:shd w:val="clear" w:color="auto" w:fill="auto"/>
          </w:tcPr>
          <w:p w14:paraId="64B8211E" w14:textId="77777777" w:rsidR="00F2533B" w:rsidRPr="00E928EF" w:rsidRDefault="00E928EF" w:rsidP="00301D22">
            <w:pPr>
              <w:pStyle w:val="TableText0"/>
              <w:jc w:val="center"/>
            </w:pPr>
            <w:r>
              <w:rPr>
                <w:noProof/>
                <w:color w:val="000000"/>
                <w:highlight w:val="black"/>
              </w:rPr>
              <w:t>''''''''''''''''''''''''''</w:t>
            </w:r>
            <w:r w:rsidR="00B318CF">
              <w:rPr>
                <w:vertAlign w:val="superscript"/>
              </w:rPr>
              <w:t>3</w:t>
            </w:r>
          </w:p>
        </w:tc>
        <w:tc>
          <w:tcPr>
            <w:tcW w:w="647" w:type="pct"/>
            <w:shd w:val="clear" w:color="auto" w:fill="auto"/>
          </w:tcPr>
          <w:p w14:paraId="06DB5E35" w14:textId="77777777" w:rsidR="00F2533B" w:rsidRPr="00E928EF" w:rsidRDefault="00E928EF" w:rsidP="00301D22">
            <w:pPr>
              <w:pStyle w:val="TableText0"/>
              <w:jc w:val="center"/>
            </w:pPr>
            <w:r>
              <w:rPr>
                <w:noProof/>
                <w:color w:val="000000"/>
                <w:highlight w:val="black"/>
              </w:rPr>
              <w:t>'''''''''''''''''''''''''''</w:t>
            </w:r>
            <w:r w:rsidR="00B318CF">
              <w:rPr>
                <w:vertAlign w:val="superscript"/>
              </w:rPr>
              <w:t>3</w:t>
            </w:r>
          </w:p>
        </w:tc>
        <w:tc>
          <w:tcPr>
            <w:tcW w:w="647" w:type="pct"/>
            <w:shd w:val="clear" w:color="auto" w:fill="auto"/>
          </w:tcPr>
          <w:p w14:paraId="28B9D6B8" w14:textId="77777777" w:rsidR="00F2533B" w:rsidRPr="00E928EF" w:rsidRDefault="00E928EF" w:rsidP="00301D22">
            <w:pPr>
              <w:pStyle w:val="TableText0"/>
              <w:jc w:val="center"/>
            </w:pPr>
            <w:r>
              <w:rPr>
                <w:noProof/>
                <w:color w:val="000000"/>
                <w:highlight w:val="black"/>
              </w:rPr>
              <w:t>'''''''''''''''''''''''''</w:t>
            </w:r>
            <w:r w:rsidR="00B318CF">
              <w:rPr>
                <w:vertAlign w:val="superscript"/>
              </w:rPr>
              <w:t>3</w:t>
            </w:r>
          </w:p>
        </w:tc>
        <w:tc>
          <w:tcPr>
            <w:tcW w:w="649" w:type="pct"/>
          </w:tcPr>
          <w:p w14:paraId="7C6F24E9" w14:textId="77777777" w:rsidR="00F2533B" w:rsidRPr="00E928EF" w:rsidRDefault="00E928EF" w:rsidP="00301D22">
            <w:pPr>
              <w:pStyle w:val="TableText0"/>
              <w:jc w:val="center"/>
            </w:pPr>
            <w:r>
              <w:rPr>
                <w:noProof/>
                <w:color w:val="000000"/>
                <w:highlight w:val="black"/>
              </w:rPr>
              <w:t>'''''''''''''''''''''''''''''</w:t>
            </w:r>
            <w:r w:rsidR="00B318CF">
              <w:rPr>
                <w:vertAlign w:val="superscript"/>
              </w:rPr>
              <w:t>3</w:t>
            </w:r>
          </w:p>
        </w:tc>
      </w:tr>
      <w:tr w:rsidR="00F2533B" w:rsidRPr="000B09B9" w14:paraId="24190776" w14:textId="77777777" w:rsidTr="00301D22">
        <w:tc>
          <w:tcPr>
            <w:tcW w:w="1116" w:type="pct"/>
            <w:shd w:val="clear" w:color="auto" w:fill="auto"/>
            <w:vAlign w:val="center"/>
          </w:tcPr>
          <w:p w14:paraId="340369C5" w14:textId="77777777" w:rsidR="00F2533B" w:rsidRPr="000B09B9" w:rsidRDefault="00F2533B" w:rsidP="00301D22">
            <w:pPr>
              <w:pStyle w:val="TableText0"/>
              <w:rPr>
                <w:sz w:val="19"/>
                <w:szCs w:val="19"/>
              </w:rPr>
            </w:pPr>
            <w:r w:rsidRPr="000B09B9">
              <w:rPr>
                <w:sz w:val="19"/>
                <w:szCs w:val="19"/>
              </w:rPr>
              <w:t xml:space="preserve">Net cost to PBS/RPBS </w:t>
            </w:r>
          </w:p>
          <w:p w14:paraId="01FD8948" w14:textId="77777777" w:rsidR="00F2533B" w:rsidRPr="000B09B9" w:rsidRDefault="00F2533B" w:rsidP="00301D22">
            <w:pPr>
              <w:pStyle w:val="TableText0"/>
              <w:rPr>
                <w:sz w:val="19"/>
                <w:szCs w:val="19"/>
                <w:vertAlign w:val="superscript"/>
              </w:rPr>
            </w:pPr>
            <w:r w:rsidRPr="000B09B9">
              <w:rPr>
                <w:sz w:val="19"/>
                <w:szCs w:val="19"/>
              </w:rPr>
              <w:t xml:space="preserve">(corrected DPMQ) </w:t>
            </w:r>
            <w:r w:rsidRPr="000B09B9">
              <w:rPr>
                <w:sz w:val="19"/>
                <w:szCs w:val="19"/>
                <w:vertAlign w:val="superscript"/>
              </w:rPr>
              <w:t>b</w:t>
            </w:r>
          </w:p>
        </w:tc>
        <w:tc>
          <w:tcPr>
            <w:tcW w:w="647" w:type="pct"/>
            <w:shd w:val="clear" w:color="auto" w:fill="auto"/>
          </w:tcPr>
          <w:p w14:paraId="7688330B" w14:textId="77777777" w:rsidR="00F2533B" w:rsidRPr="00E928EF" w:rsidRDefault="00E928EF" w:rsidP="00301D22">
            <w:pPr>
              <w:pStyle w:val="TableText0"/>
              <w:jc w:val="center"/>
            </w:pPr>
            <w:r>
              <w:rPr>
                <w:noProof/>
                <w:color w:val="000000"/>
                <w:highlight w:val="black"/>
              </w:rPr>
              <w:t>''''''''''''''''''''''''''''</w:t>
            </w:r>
            <w:r w:rsidR="00B318CF">
              <w:rPr>
                <w:vertAlign w:val="superscript"/>
              </w:rPr>
              <w:t>3</w:t>
            </w:r>
          </w:p>
        </w:tc>
        <w:tc>
          <w:tcPr>
            <w:tcW w:w="647" w:type="pct"/>
            <w:shd w:val="clear" w:color="auto" w:fill="auto"/>
          </w:tcPr>
          <w:p w14:paraId="621B2D6C" w14:textId="77777777" w:rsidR="00F2533B" w:rsidRPr="00E928EF" w:rsidRDefault="00E928EF" w:rsidP="00301D22">
            <w:pPr>
              <w:pStyle w:val="TableText0"/>
              <w:jc w:val="center"/>
            </w:pPr>
            <w:r>
              <w:rPr>
                <w:noProof/>
                <w:color w:val="000000"/>
                <w:highlight w:val="black"/>
              </w:rPr>
              <w:t>''''''''''''''''''''''''</w:t>
            </w:r>
            <w:r w:rsidR="00B318CF">
              <w:rPr>
                <w:vertAlign w:val="superscript"/>
              </w:rPr>
              <w:t>3</w:t>
            </w:r>
          </w:p>
        </w:tc>
        <w:tc>
          <w:tcPr>
            <w:tcW w:w="647" w:type="pct"/>
            <w:shd w:val="clear" w:color="auto" w:fill="auto"/>
          </w:tcPr>
          <w:p w14:paraId="47AA85E4" w14:textId="77777777" w:rsidR="00F2533B" w:rsidRPr="00E928EF" w:rsidRDefault="00E928EF" w:rsidP="00301D22">
            <w:pPr>
              <w:pStyle w:val="TableText0"/>
              <w:jc w:val="center"/>
            </w:pPr>
            <w:r>
              <w:rPr>
                <w:noProof/>
                <w:color w:val="000000"/>
                <w:highlight w:val="black"/>
              </w:rPr>
              <w:t>'''''''''''''''''''''''''''</w:t>
            </w:r>
            <w:r w:rsidR="00B318CF">
              <w:rPr>
                <w:vertAlign w:val="superscript"/>
              </w:rPr>
              <w:t>3</w:t>
            </w:r>
          </w:p>
        </w:tc>
        <w:tc>
          <w:tcPr>
            <w:tcW w:w="647" w:type="pct"/>
            <w:shd w:val="clear" w:color="auto" w:fill="auto"/>
          </w:tcPr>
          <w:p w14:paraId="73DF46C1" w14:textId="77777777" w:rsidR="00F2533B" w:rsidRPr="00E928EF" w:rsidRDefault="00E928EF" w:rsidP="00301D22">
            <w:pPr>
              <w:pStyle w:val="TableText0"/>
              <w:jc w:val="center"/>
            </w:pPr>
            <w:r>
              <w:rPr>
                <w:noProof/>
                <w:color w:val="000000"/>
                <w:highlight w:val="black"/>
              </w:rPr>
              <w:t>''''''''''''''''''''''''''</w:t>
            </w:r>
            <w:r w:rsidR="00B318CF">
              <w:rPr>
                <w:vertAlign w:val="superscript"/>
              </w:rPr>
              <w:t>3</w:t>
            </w:r>
          </w:p>
        </w:tc>
        <w:tc>
          <w:tcPr>
            <w:tcW w:w="647" w:type="pct"/>
            <w:shd w:val="clear" w:color="auto" w:fill="auto"/>
          </w:tcPr>
          <w:p w14:paraId="57AA4C87" w14:textId="77777777" w:rsidR="00F2533B" w:rsidRPr="00E928EF" w:rsidRDefault="00E928EF" w:rsidP="00301D22">
            <w:pPr>
              <w:pStyle w:val="TableText0"/>
              <w:jc w:val="center"/>
            </w:pPr>
            <w:r>
              <w:rPr>
                <w:noProof/>
                <w:color w:val="000000"/>
                <w:highlight w:val="black"/>
              </w:rPr>
              <w:t>'''''''''''''''''''''''''''</w:t>
            </w:r>
            <w:r w:rsidR="00B318CF">
              <w:rPr>
                <w:vertAlign w:val="superscript"/>
              </w:rPr>
              <w:t>3</w:t>
            </w:r>
          </w:p>
        </w:tc>
        <w:tc>
          <w:tcPr>
            <w:tcW w:w="649" w:type="pct"/>
          </w:tcPr>
          <w:p w14:paraId="3B46BEF8" w14:textId="77777777" w:rsidR="00F2533B" w:rsidRPr="00E928EF" w:rsidRDefault="00E928EF" w:rsidP="00301D22">
            <w:pPr>
              <w:pStyle w:val="TableText0"/>
              <w:jc w:val="center"/>
            </w:pPr>
            <w:r>
              <w:rPr>
                <w:noProof/>
                <w:color w:val="000000"/>
                <w:highlight w:val="black"/>
              </w:rPr>
              <w:t>'''''''''''''''''''''''''</w:t>
            </w:r>
            <w:r w:rsidR="00B318CF">
              <w:rPr>
                <w:vertAlign w:val="superscript"/>
              </w:rPr>
              <w:t>3</w:t>
            </w:r>
          </w:p>
        </w:tc>
      </w:tr>
    </w:tbl>
    <w:p w14:paraId="6F400BC3" w14:textId="77777777" w:rsidR="00F2533B" w:rsidRPr="000B09B9" w:rsidRDefault="00F2533B" w:rsidP="00F2533B">
      <w:pPr>
        <w:pStyle w:val="TableFigureFooter"/>
      </w:pPr>
      <w:r w:rsidRPr="000B09B9">
        <w:t>Source: Table 4.6, p153 of the submission</w:t>
      </w:r>
    </w:p>
    <w:p w14:paraId="07102623" w14:textId="77777777" w:rsidR="00F2533B" w:rsidRPr="000B09B9" w:rsidRDefault="00F2533B" w:rsidP="00F2533B">
      <w:pPr>
        <w:pStyle w:val="TableFigureFooter"/>
        <w:rPr>
          <w:sz w:val="20"/>
        </w:rPr>
      </w:pPr>
      <w:r w:rsidRPr="000B09B9">
        <w:t xml:space="preserve">DPMQ = dispensed price for maximum quantity </w:t>
      </w:r>
    </w:p>
    <w:p w14:paraId="1193CE94" w14:textId="77777777" w:rsidR="00F2533B" w:rsidRPr="000B09B9" w:rsidRDefault="00F2533B" w:rsidP="00F2533B">
      <w:pPr>
        <w:pStyle w:val="TableFigureFooter"/>
      </w:pPr>
      <w:r w:rsidRPr="000B09B9">
        <w:rPr>
          <w:vertAlign w:val="superscript"/>
        </w:rPr>
        <w:t>a</w:t>
      </w:r>
      <w:r w:rsidRPr="000B09B9">
        <w:t xml:space="preserve"> Assuming 11.12 scripts per year as estimated by the submission.</w:t>
      </w:r>
    </w:p>
    <w:p w14:paraId="6E68D0A4" w14:textId="77777777" w:rsidR="00F2533B" w:rsidRDefault="00F2533B" w:rsidP="00F2533B">
      <w:pPr>
        <w:pStyle w:val="TableFigureFooter"/>
      </w:pPr>
      <w:r w:rsidRPr="000B09B9">
        <w:rPr>
          <w:vertAlign w:val="superscript"/>
        </w:rPr>
        <w:t xml:space="preserve">b </w:t>
      </w:r>
      <w:r w:rsidRPr="000B09B9">
        <w:t xml:space="preserve">Calculated during the evaluation using the corrected DPMQ </w:t>
      </w:r>
    </w:p>
    <w:p w14:paraId="46190B5B" w14:textId="77777777" w:rsidR="00B318CF" w:rsidRPr="009A6D58" w:rsidRDefault="00B318CF" w:rsidP="00B318CF">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49D56B90" w14:textId="77777777" w:rsidR="00B318CF" w:rsidRPr="009A6D58" w:rsidRDefault="00B318CF" w:rsidP="00B318CF">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B318CF">
        <w:rPr>
          <w:rFonts w:ascii="Arial Narrow" w:hAnsi="Arial Narrow"/>
          <w:i/>
          <w:sz w:val="18"/>
          <w:szCs w:val="18"/>
        </w:rPr>
        <w:t>&lt; 500</w:t>
      </w:r>
    </w:p>
    <w:p w14:paraId="1B8C546C" w14:textId="77777777" w:rsidR="00B318CF" w:rsidRPr="009A6D58" w:rsidRDefault="00B318CF" w:rsidP="00B318CF">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B318CF">
        <w:rPr>
          <w:rFonts w:ascii="Arial Narrow" w:hAnsi="Arial Narrow"/>
          <w:i/>
          <w:sz w:val="18"/>
          <w:szCs w:val="18"/>
        </w:rPr>
        <w:t>500 to &lt; 5,000</w:t>
      </w:r>
    </w:p>
    <w:p w14:paraId="718F764B" w14:textId="77777777" w:rsidR="00B318CF" w:rsidRDefault="00B318CF" w:rsidP="00B318CF">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B318CF">
        <w:rPr>
          <w:rFonts w:ascii="Arial Narrow" w:hAnsi="Arial Narrow"/>
          <w:i/>
          <w:sz w:val="18"/>
          <w:szCs w:val="18"/>
        </w:rPr>
        <w:t>$0 to &lt; $10 million</w:t>
      </w:r>
    </w:p>
    <w:p w14:paraId="27BA0AE4" w14:textId="77777777" w:rsidR="00B318CF" w:rsidRPr="000B09B9" w:rsidRDefault="00B318CF" w:rsidP="00F2533B">
      <w:pPr>
        <w:pStyle w:val="TableFigureFooter"/>
      </w:pPr>
    </w:p>
    <w:p w14:paraId="2740992F" w14:textId="702B8644" w:rsidR="00F2533B" w:rsidRPr="000B09B9" w:rsidRDefault="00F2533B" w:rsidP="00C17B29">
      <w:pPr>
        <w:pStyle w:val="3-BodyText"/>
        <w:numPr>
          <w:ilvl w:val="1"/>
          <w:numId w:val="9"/>
        </w:numPr>
      </w:pPr>
      <w:r w:rsidRPr="000B09B9">
        <w:t>The total cost to the PBS/RPBS of listing amifampridine was estimated to be $</w:t>
      </w:r>
      <w:r w:rsidR="00C17B29">
        <w:t>0 to &lt; </w:t>
      </w:r>
      <w:r w:rsidR="00C17B29" w:rsidRPr="00C17B29">
        <w:t>$10 million</w:t>
      </w:r>
      <w:r w:rsidRPr="000B09B9">
        <w:t xml:space="preserve"> in Year 6, and a total of $</w:t>
      </w:r>
      <w:r w:rsidR="00C17B29" w:rsidRPr="00C17B29">
        <w:t>20 million to &lt; $30 million</w:t>
      </w:r>
      <w:r w:rsidR="00621B0D">
        <w:t xml:space="preserve"> </w:t>
      </w:r>
      <w:r w:rsidRPr="000B09B9">
        <w:t>in the first 6 years of listing</w:t>
      </w:r>
      <w:r w:rsidRPr="00C17B29">
        <w:rPr>
          <w:color w:val="3366FF"/>
        </w:rPr>
        <w:t xml:space="preserve">. </w:t>
      </w:r>
    </w:p>
    <w:p w14:paraId="74415712" w14:textId="77777777" w:rsidR="00F2533B" w:rsidRPr="000B09B9" w:rsidRDefault="00F2533B" w:rsidP="00F2533B">
      <w:pPr>
        <w:pStyle w:val="3-BodyText"/>
        <w:numPr>
          <w:ilvl w:val="1"/>
          <w:numId w:val="9"/>
        </w:numPr>
        <w:rPr>
          <w:iCs/>
        </w:rPr>
      </w:pPr>
      <w:r w:rsidRPr="000B09B9">
        <w:rPr>
          <w:iCs/>
        </w:rPr>
        <w:t xml:space="preserve">The net cost to the PBS/RPBS may be underestimated because: </w:t>
      </w:r>
    </w:p>
    <w:p w14:paraId="09B633D2" w14:textId="6BD89356" w:rsidR="00F2533B" w:rsidRPr="000B09B9" w:rsidRDefault="00F2533B" w:rsidP="00BD4881">
      <w:pPr>
        <w:pStyle w:val="ListParagraph"/>
        <w:numPr>
          <w:ilvl w:val="0"/>
          <w:numId w:val="24"/>
        </w:numPr>
        <w:ind w:left="1080"/>
        <w:rPr>
          <w:iCs/>
        </w:rPr>
      </w:pPr>
      <w:bookmarkStart w:id="52" w:name="_Hlk80859522"/>
      <w:r w:rsidRPr="000B09B9">
        <w:rPr>
          <w:iCs/>
        </w:rPr>
        <w:t>Current patient numbers on amifampridine appears to be lower than global prevalence estimates from literature (e.g., estimates from global prevalence literature (Abenroth, 2017) report a crude prevalence of 10.9 million, translating to about 269 patients in Australia</w:t>
      </w:r>
    </w:p>
    <w:bookmarkEnd w:id="52"/>
    <w:p w14:paraId="2DEEB085" w14:textId="6E994712" w:rsidR="00F2533B" w:rsidRPr="000B09B9" w:rsidRDefault="00F2533B" w:rsidP="00BD4881">
      <w:pPr>
        <w:pStyle w:val="ListParagraph"/>
        <w:numPr>
          <w:ilvl w:val="0"/>
          <w:numId w:val="24"/>
        </w:numPr>
        <w:ind w:left="1080"/>
        <w:rPr>
          <w:iCs/>
        </w:rPr>
      </w:pPr>
      <w:r w:rsidRPr="000B09B9">
        <w:rPr>
          <w:iCs/>
        </w:rPr>
        <w:t>Estimated patient numbers reflect LEMS patients that are already on amifampridine treatment (grandfathered from SAS access), therefore omits possible uptake by new LEMS patients</w:t>
      </w:r>
    </w:p>
    <w:p w14:paraId="38F69EC1" w14:textId="09486F0F" w:rsidR="00F2533B" w:rsidRPr="000B09B9" w:rsidRDefault="00F2533B" w:rsidP="00BD4881">
      <w:pPr>
        <w:pStyle w:val="ListParagraph"/>
        <w:keepNext/>
        <w:keepLines/>
        <w:numPr>
          <w:ilvl w:val="0"/>
          <w:numId w:val="24"/>
        </w:numPr>
        <w:ind w:left="1077" w:hanging="357"/>
        <w:rPr>
          <w:iCs/>
        </w:rPr>
      </w:pPr>
      <w:r w:rsidRPr="000B09B9">
        <w:rPr>
          <w:iCs/>
        </w:rPr>
        <w:t>There is potential for use outside the requested restriction</w:t>
      </w:r>
      <w:r w:rsidR="0089290E" w:rsidRPr="000B09B9">
        <w:rPr>
          <w:iCs/>
        </w:rPr>
        <w:t>,</w:t>
      </w:r>
      <w:r w:rsidRPr="000B09B9">
        <w:rPr>
          <w:iCs/>
        </w:rPr>
        <w:t xml:space="preserve"> </w:t>
      </w:r>
      <w:r w:rsidR="00462478" w:rsidRPr="000B09B9">
        <w:rPr>
          <w:iCs/>
        </w:rPr>
        <w:t xml:space="preserve">such as disorders caused by </w:t>
      </w:r>
      <w:r w:rsidRPr="000B09B9">
        <w:rPr>
          <w:iCs/>
        </w:rPr>
        <w:t>paraneoplastic syndrome, which covers a range of conditions including LEMS</w:t>
      </w:r>
    </w:p>
    <w:p w14:paraId="6835340B" w14:textId="77777777" w:rsidR="00F2533B" w:rsidRPr="000B09B9" w:rsidRDefault="00F2533B" w:rsidP="00BD4881">
      <w:pPr>
        <w:pStyle w:val="ListParagraph"/>
        <w:keepNext/>
        <w:keepLines/>
        <w:numPr>
          <w:ilvl w:val="0"/>
          <w:numId w:val="24"/>
        </w:numPr>
        <w:ind w:left="1077" w:hanging="357"/>
        <w:rPr>
          <w:iCs/>
        </w:rPr>
      </w:pPr>
      <w:r w:rsidRPr="000B09B9">
        <w:rPr>
          <w:iCs/>
        </w:rPr>
        <w:t>Costs related to management of AEs from amifampridine use were not considered.</w:t>
      </w:r>
    </w:p>
    <w:p w14:paraId="5C1A7358" w14:textId="77777777" w:rsidR="00F2533B" w:rsidRPr="000B09B9" w:rsidRDefault="00F2533B" w:rsidP="00F2533B">
      <w:pPr>
        <w:pStyle w:val="3-BodyText"/>
        <w:numPr>
          <w:ilvl w:val="1"/>
          <w:numId w:val="9"/>
        </w:numPr>
        <w:rPr>
          <w:color w:val="0066FF"/>
        </w:rPr>
      </w:pPr>
      <w:bookmarkStart w:id="53" w:name="_Hlk80859527"/>
      <w:r w:rsidRPr="000B09B9">
        <w:rPr>
          <w:iCs/>
        </w:rPr>
        <w:t>The financial estimates were most sensitive to the underlying number of patients expected to be on amifampridine and the expected dose which will drive the number of prescriptions and cost.</w:t>
      </w:r>
    </w:p>
    <w:bookmarkEnd w:id="53"/>
    <w:p w14:paraId="7DC7DFA4" w14:textId="77777777" w:rsidR="00F2533B" w:rsidRPr="000B09B9" w:rsidRDefault="00F2533B" w:rsidP="00F2533B">
      <w:pPr>
        <w:pStyle w:val="3-BodyText"/>
        <w:numPr>
          <w:ilvl w:val="1"/>
          <w:numId w:val="9"/>
        </w:numPr>
      </w:pPr>
      <w:r w:rsidRPr="000B09B9">
        <w:t xml:space="preserve">The submission indicated that all LEMS patients are currently already on amifampridine through the Special Assess Scheme (SAS) and would be grandfathered. </w:t>
      </w:r>
      <w:r w:rsidRPr="000B09B9">
        <w:rPr>
          <w:iCs/>
        </w:rPr>
        <w:t xml:space="preserve">The current financial estimates only reflect grandfathered patients and have not accounted for uptake by new LEMS patients, i.e. the submission assumes that PBS listing will have no impact on access to amifampridine because all patients currently have access via SAS. </w:t>
      </w:r>
    </w:p>
    <w:p w14:paraId="77DB8D43" w14:textId="77777777" w:rsidR="00956E77" w:rsidRPr="000B09B9" w:rsidRDefault="00956E77" w:rsidP="00956E77">
      <w:pPr>
        <w:pStyle w:val="3-BodyText"/>
        <w:numPr>
          <w:ilvl w:val="1"/>
          <w:numId w:val="9"/>
        </w:numPr>
      </w:pPr>
      <w:r w:rsidRPr="000B09B9">
        <w:t>The DUSC noted that there is a risk that the SAS application numbers highlight an equity issue due to regional variability in accessing the SAS scheme</w:t>
      </w:r>
      <w:r w:rsidR="0089290E" w:rsidRPr="000B09B9">
        <w:t>,</w:t>
      </w:r>
      <w:r w:rsidRPr="000B09B9">
        <w:t xml:space="preserve"> and also pricing arrangements between patients and hospitals</w:t>
      </w:r>
      <w:r w:rsidR="0089290E" w:rsidRPr="000B09B9">
        <w:t xml:space="preserve"> that may</w:t>
      </w:r>
      <w:r w:rsidRPr="000B09B9">
        <w:t xml:space="preserve"> impact affordability. In addition, the SAS data would not</w:t>
      </w:r>
      <w:r w:rsidR="0089290E" w:rsidRPr="000B09B9">
        <w:t xml:space="preserve"> include</w:t>
      </w:r>
      <w:r w:rsidRPr="000B09B9">
        <w:t xml:space="preserve"> patients who are unable to access the SAS scheme but would be able to access amifampridine if listed on the PBS.</w:t>
      </w:r>
    </w:p>
    <w:p w14:paraId="3CC738C1" w14:textId="77777777" w:rsidR="00F2533B" w:rsidRPr="00C17B29" w:rsidRDefault="00F2533B" w:rsidP="00C17B29">
      <w:pPr>
        <w:pStyle w:val="3-BodyText"/>
        <w:numPr>
          <w:ilvl w:val="1"/>
          <w:numId w:val="9"/>
        </w:numPr>
        <w:rPr>
          <w:iCs/>
          <w:color w:val="0066FF"/>
        </w:rPr>
      </w:pPr>
      <w:r w:rsidRPr="000B09B9">
        <w:t>The results of the sensitivity analyses are presented in Table 1</w:t>
      </w:r>
      <w:r w:rsidR="008807D2" w:rsidRPr="000B09B9">
        <w:t>7</w:t>
      </w:r>
      <w:r w:rsidRPr="000B09B9">
        <w:t xml:space="preserve">. </w:t>
      </w:r>
      <w:r w:rsidRPr="00C17B29">
        <w:rPr>
          <w:iCs/>
        </w:rPr>
        <w:t>The financial estimates increased significantly up to $</w:t>
      </w:r>
      <w:r w:rsidR="00C17B29" w:rsidRPr="00C17B29">
        <w:rPr>
          <w:iCs/>
        </w:rPr>
        <w:t>100 million to &lt; $200 million</w:t>
      </w:r>
      <w:r w:rsidRPr="00C17B29">
        <w:rPr>
          <w:iCs/>
        </w:rPr>
        <w:t xml:space="preserve"> over 6 years (increased by 426% from base case) when the prevalence of LEMS was increased substantially to 10.9 per million.</w:t>
      </w:r>
    </w:p>
    <w:p w14:paraId="41D90FDE" w14:textId="77777777" w:rsidR="00F2533B" w:rsidRPr="000B09B9" w:rsidRDefault="00F2533B" w:rsidP="00F2533B">
      <w:pPr>
        <w:rPr>
          <w:rStyle w:val="CommentReference"/>
        </w:rPr>
      </w:pPr>
      <w:r w:rsidRPr="000B09B9">
        <w:rPr>
          <w:rStyle w:val="CommentReference"/>
        </w:rPr>
        <w:t>Table 1</w:t>
      </w:r>
      <w:r w:rsidR="008807D2" w:rsidRPr="000B09B9">
        <w:rPr>
          <w:rStyle w:val="CommentReference"/>
        </w:rPr>
        <w:t>7</w:t>
      </w:r>
      <w:r w:rsidRPr="000B09B9">
        <w:rPr>
          <w:rStyle w:val="CommentReference"/>
        </w:rPr>
        <w:t xml:space="preserve">: Results of the sensitivity analyses </w:t>
      </w:r>
    </w:p>
    <w:tbl>
      <w:tblPr>
        <w:tblStyle w:val="newstyle12"/>
        <w:tblW w:w="0" w:type="auto"/>
        <w:tblLayout w:type="fixed"/>
        <w:tblLook w:val="04A0" w:firstRow="1" w:lastRow="0" w:firstColumn="1" w:lastColumn="0" w:noHBand="0" w:noVBand="1"/>
        <w:tblCaption w:val="Table 17: Results of the sensitivity analyses "/>
      </w:tblPr>
      <w:tblGrid>
        <w:gridCol w:w="1555"/>
        <w:gridCol w:w="1243"/>
        <w:gridCol w:w="1244"/>
        <w:gridCol w:w="1244"/>
        <w:gridCol w:w="1243"/>
        <w:gridCol w:w="1244"/>
        <w:gridCol w:w="1244"/>
      </w:tblGrid>
      <w:tr w:rsidR="00F2533B" w:rsidRPr="000B09B9" w14:paraId="0C0A72FC" w14:textId="77777777" w:rsidTr="00476940">
        <w:trPr>
          <w:tblHeader/>
        </w:trPr>
        <w:tc>
          <w:tcPr>
            <w:tcW w:w="1555" w:type="dxa"/>
          </w:tcPr>
          <w:p w14:paraId="3F4283A0" w14:textId="77777777" w:rsidR="00F2533B" w:rsidRPr="000B09B9" w:rsidRDefault="00F2533B" w:rsidP="00301D22">
            <w:pPr>
              <w:widowControl w:val="0"/>
              <w:jc w:val="left"/>
              <w:rPr>
                <w:rFonts w:ascii="Arial Narrow" w:eastAsiaTheme="majorEastAsia" w:hAnsi="Arial Narrow" w:cs="Times New Roman"/>
                <w:b/>
                <w:sz w:val="20"/>
                <w:szCs w:val="20"/>
                <w:lang w:eastAsia="en-AU"/>
              </w:rPr>
            </w:pPr>
            <w:r w:rsidRPr="000B09B9">
              <w:rPr>
                <w:rFonts w:ascii="Arial Narrow" w:eastAsiaTheme="majorEastAsia" w:hAnsi="Arial Narrow" w:cs="Times New Roman"/>
                <w:b/>
                <w:sz w:val="20"/>
                <w:szCs w:val="20"/>
                <w:lang w:eastAsia="en-AU"/>
              </w:rPr>
              <w:t>Year</w:t>
            </w:r>
          </w:p>
        </w:tc>
        <w:tc>
          <w:tcPr>
            <w:tcW w:w="1243" w:type="dxa"/>
            <w:vAlign w:val="center"/>
          </w:tcPr>
          <w:p w14:paraId="75C07201" w14:textId="77777777" w:rsidR="00F2533B" w:rsidRPr="000B09B9" w:rsidRDefault="00F2533B" w:rsidP="00301D22">
            <w:pPr>
              <w:widowControl w:val="0"/>
              <w:jc w:val="center"/>
              <w:rPr>
                <w:rFonts w:ascii="Arial Narrow" w:eastAsiaTheme="majorEastAsia" w:hAnsi="Arial Narrow" w:cs="Times New Roman"/>
                <w:b/>
                <w:sz w:val="20"/>
                <w:szCs w:val="20"/>
                <w:lang w:eastAsia="en-AU"/>
              </w:rPr>
            </w:pPr>
            <w:r w:rsidRPr="000B09B9">
              <w:rPr>
                <w:rFonts w:ascii="Arial Narrow" w:eastAsiaTheme="majorEastAsia" w:hAnsi="Arial Narrow" w:cs="Times New Roman"/>
                <w:b/>
                <w:sz w:val="20"/>
                <w:szCs w:val="20"/>
                <w:lang w:eastAsia="en-AU"/>
              </w:rPr>
              <w:t>2022</w:t>
            </w:r>
          </w:p>
        </w:tc>
        <w:tc>
          <w:tcPr>
            <w:tcW w:w="1244" w:type="dxa"/>
            <w:vAlign w:val="center"/>
          </w:tcPr>
          <w:p w14:paraId="72E28B3E" w14:textId="77777777" w:rsidR="00F2533B" w:rsidRPr="000B09B9" w:rsidRDefault="00F2533B" w:rsidP="00301D22">
            <w:pPr>
              <w:widowControl w:val="0"/>
              <w:jc w:val="center"/>
              <w:rPr>
                <w:rFonts w:ascii="Arial Narrow" w:eastAsiaTheme="majorEastAsia" w:hAnsi="Arial Narrow" w:cs="Times New Roman"/>
                <w:b/>
                <w:sz w:val="20"/>
                <w:szCs w:val="20"/>
                <w:lang w:eastAsia="en-AU"/>
              </w:rPr>
            </w:pPr>
            <w:r w:rsidRPr="000B09B9">
              <w:rPr>
                <w:rFonts w:ascii="Arial Narrow" w:eastAsiaTheme="majorEastAsia" w:hAnsi="Arial Narrow" w:cs="Times New Roman"/>
                <w:b/>
                <w:sz w:val="20"/>
                <w:szCs w:val="20"/>
                <w:lang w:eastAsia="en-AU"/>
              </w:rPr>
              <w:t>2023</w:t>
            </w:r>
          </w:p>
        </w:tc>
        <w:tc>
          <w:tcPr>
            <w:tcW w:w="1244" w:type="dxa"/>
            <w:vAlign w:val="center"/>
          </w:tcPr>
          <w:p w14:paraId="7804C587" w14:textId="77777777" w:rsidR="00F2533B" w:rsidRPr="000B09B9" w:rsidRDefault="00F2533B" w:rsidP="00301D22">
            <w:pPr>
              <w:widowControl w:val="0"/>
              <w:jc w:val="center"/>
              <w:rPr>
                <w:rFonts w:ascii="Arial Narrow" w:eastAsiaTheme="majorEastAsia" w:hAnsi="Arial Narrow" w:cs="Times New Roman"/>
                <w:b/>
                <w:sz w:val="20"/>
                <w:szCs w:val="20"/>
                <w:lang w:eastAsia="en-AU"/>
              </w:rPr>
            </w:pPr>
            <w:r w:rsidRPr="000B09B9">
              <w:rPr>
                <w:rFonts w:ascii="Arial Narrow" w:eastAsiaTheme="majorEastAsia" w:hAnsi="Arial Narrow" w:cs="Times New Roman"/>
                <w:b/>
                <w:sz w:val="20"/>
                <w:szCs w:val="20"/>
                <w:lang w:eastAsia="en-AU"/>
              </w:rPr>
              <w:t>2024</w:t>
            </w:r>
          </w:p>
        </w:tc>
        <w:tc>
          <w:tcPr>
            <w:tcW w:w="1243" w:type="dxa"/>
            <w:vAlign w:val="center"/>
          </w:tcPr>
          <w:p w14:paraId="6A1ABD8F" w14:textId="77777777" w:rsidR="00F2533B" w:rsidRPr="000B09B9" w:rsidRDefault="00F2533B" w:rsidP="00301D22">
            <w:pPr>
              <w:widowControl w:val="0"/>
              <w:jc w:val="center"/>
              <w:rPr>
                <w:rFonts w:ascii="Arial Narrow" w:eastAsiaTheme="majorEastAsia" w:hAnsi="Arial Narrow" w:cs="Times New Roman"/>
                <w:b/>
                <w:sz w:val="20"/>
                <w:szCs w:val="20"/>
                <w:lang w:eastAsia="en-AU"/>
              </w:rPr>
            </w:pPr>
            <w:r w:rsidRPr="000B09B9">
              <w:rPr>
                <w:rFonts w:ascii="Arial Narrow" w:eastAsiaTheme="majorEastAsia" w:hAnsi="Arial Narrow" w:cs="Times New Roman"/>
                <w:b/>
                <w:sz w:val="20"/>
                <w:szCs w:val="20"/>
                <w:lang w:eastAsia="en-AU"/>
              </w:rPr>
              <w:t>2025</w:t>
            </w:r>
          </w:p>
        </w:tc>
        <w:tc>
          <w:tcPr>
            <w:tcW w:w="1244" w:type="dxa"/>
            <w:vAlign w:val="center"/>
          </w:tcPr>
          <w:p w14:paraId="1EE6F7FC" w14:textId="77777777" w:rsidR="00F2533B" w:rsidRPr="000B09B9" w:rsidRDefault="00F2533B" w:rsidP="00301D22">
            <w:pPr>
              <w:widowControl w:val="0"/>
              <w:jc w:val="center"/>
              <w:rPr>
                <w:rFonts w:ascii="Arial Narrow" w:eastAsiaTheme="majorEastAsia" w:hAnsi="Arial Narrow" w:cs="Times New Roman"/>
                <w:b/>
                <w:sz w:val="20"/>
                <w:szCs w:val="20"/>
                <w:lang w:eastAsia="en-AU"/>
              </w:rPr>
            </w:pPr>
            <w:r w:rsidRPr="000B09B9">
              <w:rPr>
                <w:rFonts w:ascii="Arial Narrow" w:eastAsiaTheme="majorEastAsia" w:hAnsi="Arial Narrow" w:cs="Times New Roman"/>
                <w:b/>
                <w:sz w:val="20"/>
                <w:szCs w:val="20"/>
                <w:lang w:eastAsia="en-AU"/>
              </w:rPr>
              <w:t>2026</w:t>
            </w:r>
          </w:p>
        </w:tc>
        <w:tc>
          <w:tcPr>
            <w:tcW w:w="1244" w:type="dxa"/>
            <w:vAlign w:val="center"/>
          </w:tcPr>
          <w:p w14:paraId="1DC43AA4" w14:textId="77777777" w:rsidR="00F2533B" w:rsidRPr="000B09B9" w:rsidRDefault="00F2533B" w:rsidP="00301D22">
            <w:pPr>
              <w:widowControl w:val="0"/>
              <w:jc w:val="center"/>
              <w:rPr>
                <w:rFonts w:ascii="Arial Narrow" w:eastAsiaTheme="majorEastAsia" w:hAnsi="Arial Narrow" w:cs="Times New Roman"/>
                <w:b/>
                <w:sz w:val="20"/>
                <w:szCs w:val="20"/>
                <w:lang w:eastAsia="en-AU"/>
              </w:rPr>
            </w:pPr>
            <w:r w:rsidRPr="000B09B9">
              <w:rPr>
                <w:rFonts w:ascii="Arial Narrow" w:eastAsiaTheme="majorEastAsia" w:hAnsi="Arial Narrow" w:cs="Times New Roman"/>
                <w:b/>
                <w:sz w:val="20"/>
                <w:szCs w:val="20"/>
                <w:lang w:eastAsia="en-AU"/>
              </w:rPr>
              <w:t>2027</w:t>
            </w:r>
          </w:p>
        </w:tc>
      </w:tr>
      <w:tr w:rsidR="00F2533B" w:rsidRPr="000B09B9" w14:paraId="3050ED09" w14:textId="77777777" w:rsidTr="00301D22">
        <w:tc>
          <w:tcPr>
            <w:tcW w:w="9017" w:type="dxa"/>
            <w:gridSpan w:val="7"/>
          </w:tcPr>
          <w:p w14:paraId="07E9D304" w14:textId="77777777" w:rsidR="00F2533B" w:rsidRPr="000B09B9" w:rsidRDefault="00F2533B" w:rsidP="00301D22">
            <w:pPr>
              <w:widowControl w:val="0"/>
              <w:jc w:val="left"/>
              <w:rPr>
                <w:rFonts w:ascii="Arial Narrow" w:eastAsiaTheme="majorEastAsia" w:hAnsi="Arial Narrow" w:cstheme="majorBidi"/>
                <w:b/>
                <w:sz w:val="20"/>
                <w:szCs w:val="20"/>
                <w:lang w:eastAsia="en-AU"/>
              </w:rPr>
            </w:pPr>
            <w:r w:rsidRPr="000B09B9">
              <w:rPr>
                <w:rFonts w:ascii="Arial Narrow" w:eastAsiaTheme="majorEastAsia" w:hAnsi="Arial Narrow" w:cstheme="majorBidi"/>
                <w:b/>
                <w:sz w:val="20"/>
                <w:szCs w:val="20"/>
                <w:lang w:eastAsia="en-AU"/>
              </w:rPr>
              <w:t>Net cost to PBS/RPBS</w:t>
            </w:r>
          </w:p>
        </w:tc>
      </w:tr>
      <w:tr w:rsidR="00F2533B" w:rsidRPr="000B09B9" w14:paraId="7D2067B3" w14:textId="77777777" w:rsidTr="00301D22">
        <w:tc>
          <w:tcPr>
            <w:tcW w:w="1555" w:type="dxa"/>
          </w:tcPr>
          <w:p w14:paraId="2BA24F08" w14:textId="77777777" w:rsidR="00F2533B" w:rsidRPr="000B09B9" w:rsidRDefault="00F2533B" w:rsidP="00301D22">
            <w:pPr>
              <w:pStyle w:val="TableText0"/>
              <w:rPr>
                <w:sz w:val="20"/>
                <w:szCs w:val="22"/>
              </w:rPr>
            </w:pPr>
            <w:r w:rsidRPr="000B09B9">
              <w:rPr>
                <w:sz w:val="20"/>
                <w:szCs w:val="22"/>
              </w:rPr>
              <w:t>Base case</w:t>
            </w:r>
          </w:p>
        </w:tc>
        <w:tc>
          <w:tcPr>
            <w:tcW w:w="1243" w:type="dxa"/>
          </w:tcPr>
          <w:p w14:paraId="0CBEBACE" w14:textId="77777777" w:rsidR="00F2533B" w:rsidRPr="00E928EF" w:rsidRDefault="00E928EF" w:rsidP="00301D22">
            <w:pPr>
              <w:pStyle w:val="TableText0"/>
              <w:rPr>
                <w:sz w:val="20"/>
                <w:szCs w:val="22"/>
                <w:vertAlign w:val="superscript"/>
              </w:rPr>
            </w:pPr>
            <w:r>
              <w:rPr>
                <w:noProof/>
                <w:color w:val="000000"/>
                <w:sz w:val="20"/>
                <w:szCs w:val="22"/>
                <w:highlight w:val="black"/>
              </w:rPr>
              <w:t>''''''''''''''''''''''''''''</w:t>
            </w:r>
            <w:r w:rsidR="002F2EE0" w:rsidRPr="002F2EE0">
              <w:rPr>
                <w:sz w:val="20"/>
                <w:szCs w:val="22"/>
                <w:vertAlign w:val="superscript"/>
              </w:rPr>
              <w:t>1</w:t>
            </w:r>
          </w:p>
        </w:tc>
        <w:tc>
          <w:tcPr>
            <w:tcW w:w="1244" w:type="dxa"/>
          </w:tcPr>
          <w:p w14:paraId="0C111C99" w14:textId="77777777" w:rsidR="00F2533B" w:rsidRPr="00E928EF" w:rsidRDefault="00E928EF" w:rsidP="00301D22">
            <w:pPr>
              <w:pStyle w:val="TableText0"/>
              <w:rPr>
                <w:sz w:val="20"/>
                <w:szCs w:val="22"/>
              </w:rPr>
            </w:pPr>
            <w:r>
              <w:rPr>
                <w:noProof/>
                <w:color w:val="000000"/>
                <w:sz w:val="20"/>
                <w:szCs w:val="22"/>
                <w:highlight w:val="black"/>
              </w:rPr>
              <w:t>''''''''''''''''''''''''</w:t>
            </w:r>
            <w:r w:rsidR="002F2EE0" w:rsidRPr="002F2EE0">
              <w:rPr>
                <w:sz w:val="20"/>
                <w:szCs w:val="22"/>
                <w:vertAlign w:val="superscript"/>
              </w:rPr>
              <w:t>1</w:t>
            </w:r>
          </w:p>
        </w:tc>
        <w:tc>
          <w:tcPr>
            <w:tcW w:w="1244" w:type="dxa"/>
          </w:tcPr>
          <w:p w14:paraId="0782D00F" w14:textId="77777777" w:rsidR="00F2533B" w:rsidRPr="00E928EF" w:rsidRDefault="00E928EF" w:rsidP="00301D22">
            <w:pPr>
              <w:pStyle w:val="TableText0"/>
              <w:rPr>
                <w:sz w:val="20"/>
                <w:szCs w:val="22"/>
              </w:rPr>
            </w:pPr>
            <w:r>
              <w:rPr>
                <w:noProof/>
                <w:color w:val="000000"/>
                <w:sz w:val="20"/>
                <w:szCs w:val="22"/>
                <w:highlight w:val="black"/>
              </w:rPr>
              <w:t>'''''''''''''''''''''''''</w:t>
            </w:r>
            <w:r w:rsidR="002F2EE0" w:rsidRPr="002F2EE0">
              <w:rPr>
                <w:sz w:val="20"/>
                <w:szCs w:val="22"/>
                <w:vertAlign w:val="superscript"/>
              </w:rPr>
              <w:t>1</w:t>
            </w:r>
          </w:p>
        </w:tc>
        <w:tc>
          <w:tcPr>
            <w:tcW w:w="1243" w:type="dxa"/>
          </w:tcPr>
          <w:p w14:paraId="407484F3" w14:textId="77777777" w:rsidR="00F2533B" w:rsidRPr="00E928EF" w:rsidRDefault="00E928EF" w:rsidP="00301D22">
            <w:pPr>
              <w:pStyle w:val="TableText0"/>
              <w:rPr>
                <w:sz w:val="20"/>
                <w:szCs w:val="22"/>
              </w:rPr>
            </w:pPr>
            <w:r>
              <w:rPr>
                <w:noProof/>
                <w:color w:val="000000"/>
                <w:sz w:val="20"/>
                <w:szCs w:val="22"/>
                <w:highlight w:val="black"/>
              </w:rPr>
              <w:t>'''''''''''''''''''''''''''</w:t>
            </w:r>
            <w:r w:rsidR="002F2EE0" w:rsidRPr="002F2EE0">
              <w:rPr>
                <w:sz w:val="20"/>
                <w:szCs w:val="22"/>
                <w:vertAlign w:val="superscript"/>
              </w:rPr>
              <w:t>1</w:t>
            </w:r>
          </w:p>
        </w:tc>
        <w:tc>
          <w:tcPr>
            <w:tcW w:w="1244" w:type="dxa"/>
          </w:tcPr>
          <w:p w14:paraId="511D2C47" w14:textId="77777777" w:rsidR="00F2533B" w:rsidRPr="00E928EF" w:rsidRDefault="00E928EF" w:rsidP="00301D22">
            <w:pPr>
              <w:pStyle w:val="TableText0"/>
              <w:rPr>
                <w:sz w:val="20"/>
                <w:szCs w:val="22"/>
              </w:rPr>
            </w:pPr>
            <w:r>
              <w:rPr>
                <w:noProof/>
                <w:color w:val="000000"/>
                <w:sz w:val="20"/>
                <w:szCs w:val="22"/>
                <w:highlight w:val="black"/>
              </w:rPr>
              <w:t>''''''''''''''''''''''''</w:t>
            </w:r>
            <w:r w:rsidR="002F2EE0" w:rsidRPr="002F2EE0">
              <w:rPr>
                <w:sz w:val="20"/>
                <w:szCs w:val="22"/>
                <w:vertAlign w:val="superscript"/>
              </w:rPr>
              <w:t>1</w:t>
            </w:r>
          </w:p>
        </w:tc>
        <w:tc>
          <w:tcPr>
            <w:tcW w:w="1244" w:type="dxa"/>
          </w:tcPr>
          <w:p w14:paraId="67387D00" w14:textId="77777777" w:rsidR="00F2533B" w:rsidRPr="00E928EF" w:rsidRDefault="00E928EF" w:rsidP="00301D22">
            <w:pPr>
              <w:pStyle w:val="TableText0"/>
              <w:rPr>
                <w:sz w:val="20"/>
                <w:szCs w:val="22"/>
              </w:rPr>
            </w:pPr>
            <w:r>
              <w:rPr>
                <w:noProof/>
                <w:color w:val="000000"/>
                <w:sz w:val="20"/>
                <w:szCs w:val="22"/>
                <w:highlight w:val="black"/>
              </w:rPr>
              <w:t>'''''''''''''''''''''''''''''</w:t>
            </w:r>
            <w:r w:rsidR="002F2EE0" w:rsidRPr="002F2EE0">
              <w:rPr>
                <w:sz w:val="20"/>
                <w:szCs w:val="22"/>
                <w:vertAlign w:val="superscript"/>
              </w:rPr>
              <w:t>1</w:t>
            </w:r>
          </w:p>
        </w:tc>
      </w:tr>
      <w:tr w:rsidR="00F2533B" w:rsidRPr="000B09B9" w14:paraId="663E4509" w14:textId="77777777" w:rsidTr="00301D22">
        <w:tc>
          <w:tcPr>
            <w:tcW w:w="9017" w:type="dxa"/>
            <w:gridSpan w:val="7"/>
          </w:tcPr>
          <w:p w14:paraId="5F374426" w14:textId="77777777" w:rsidR="00F2533B" w:rsidRPr="000B09B9" w:rsidRDefault="00F2533B" w:rsidP="00301D22">
            <w:pPr>
              <w:pStyle w:val="TableText0"/>
              <w:rPr>
                <w:sz w:val="20"/>
                <w:szCs w:val="22"/>
              </w:rPr>
            </w:pPr>
            <w:r w:rsidRPr="000B09B9">
              <w:rPr>
                <w:sz w:val="20"/>
                <w:szCs w:val="22"/>
              </w:rPr>
              <w:t>Number of patients on amifampridine</w:t>
            </w:r>
          </w:p>
        </w:tc>
      </w:tr>
      <w:tr w:rsidR="00F2533B" w:rsidRPr="000B09B9" w14:paraId="7EC7E78A" w14:textId="77777777" w:rsidTr="00301D22">
        <w:tc>
          <w:tcPr>
            <w:tcW w:w="1555" w:type="dxa"/>
          </w:tcPr>
          <w:p w14:paraId="7DEB654C" w14:textId="77777777" w:rsidR="00F2533B" w:rsidRPr="000B09B9" w:rsidRDefault="00F2533B" w:rsidP="00301D22">
            <w:pPr>
              <w:pStyle w:val="TableText0"/>
              <w:rPr>
                <w:sz w:val="20"/>
                <w:szCs w:val="22"/>
                <w:vertAlign w:val="superscript"/>
              </w:rPr>
            </w:pPr>
            <w:r w:rsidRPr="000B09B9">
              <w:rPr>
                <w:sz w:val="20"/>
                <w:szCs w:val="22"/>
              </w:rPr>
              <w:t>Prevalence of LEMS = 1 in 291,650</w:t>
            </w:r>
            <w:r w:rsidRPr="000B09B9">
              <w:rPr>
                <w:sz w:val="20"/>
                <w:szCs w:val="22"/>
                <w:vertAlign w:val="superscript"/>
              </w:rPr>
              <w:t>a</w:t>
            </w:r>
          </w:p>
        </w:tc>
        <w:tc>
          <w:tcPr>
            <w:tcW w:w="1243" w:type="dxa"/>
          </w:tcPr>
          <w:p w14:paraId="4A9A1E8D" w14:textId="77777777" w:rsidR="00F2533B" w:rsidRPr="00E928EF" w:rsidRDefault="00E928EF" w:rsidP="00301D22">
            <w:pPr>
              <w:pStyle w:val="TableText0"/>
              <w:rPr>
                <w:sz w:val="20"/>
                <w:szCs w:val="22"/>
              </w:rPr>
            </w:pPr>
            <w:r>
              <w:rPr>
                <w:noProof/>
                <w:color w:val="000000"/>
                <w:sz w:val="20"/>
                <w:szCs w:val="22"/>
                <w:highlight w:val="black"/>
              </w:rPr>
              <w:t>'''''''''''''''''''''''''''''</w:t>
            </w:r>
            <w:r w:rsidR="002F2EE0" w:rsidRPr="002F2EE0">
              <w:rPr>
                <w:sz w:val="20"/>
                <w:szCs w:val="22"/>
                <w:vertAlign w:val="superscript"/>
              </w:rPr>
              <w:t>1</w:t>
            </w:r>
          </w:p>
        </w:tc>
        <w:tc>
          <w:tcPr>
            <w:tcW w:w="1244" w:type="dxa"/>
          </w:tcPr>
          <w:p w14:paraId="1592F080" w14:textId="77777777" w:rsidR="00F2533B" w:rsidRPr="00E928EF" w:rsidRDefault="00E928EF" w:rsidP="00301D22">
            <w:pPr>
              <w:pStyle w:val="TableText0"/>
              <w:rPr>
                <w:sz w:val="20"/>
                <w:szCs w:val="22"/>
              </w:rPr>
            </w:pPr>
            <w:r>
              <w:rPr>
                <w:noProof/>
                <w:color w:val="000000"/>
                <w:sz w:val="20"/>
                <w:szCs w:val="22"/>
                <w:highlight w:val="black"/>
              </w:rPr>
              <w:t>'''''''''''''''''''''''''''''</w:t>
            </w:r>
            <w:r w:rsidR="002F2EE0" w:rsidRPr="002F2EE0">
              <w:rPr>
                <w:sz w:val="20"/>
                <w:szCs w:val="22"/>
                <w:vertAlign w:val="superscript"/>
              </w:rPr>
              <w:t>1</w:t>
            </w:r>
          </w:p>
        </w:tc>
        <w:tc>
          <w:tcPr>
            <w:tcW w:w="1244" w:type="dxa"/>
          </w:tcPr>
          <w:p w14:paraId="412119D8" w14:textId="77777777" w:rsidR="00F2533B" w:rsidRPr="00E928EF" w:rsidRDefault="00E928EF" w:rsidP="00301D22">
            <w:pPr>
              <w:pStyle w:val="TableText0"/>
              <w:rPr>
                <w:sz w:val="20"/>
                <w:szCs w:val="22"/>
              </w:rPr>
            </w:pPr>
            <w:r>
              <w:rPr>
                <w:noProof/>
                <w:color w:val="000000"/>
                <w:sz w:val="20"/>
                <w:szCs w:val="22"/>
                <w:highlight w:val="black"/>
              </w:rPr>
              <w:t>'''''''''''''''''''''''''</w:t>
            </w:r>
            <w:r w:rsidR="002F2EE0" w:rsidRPr="002F2EE0">
              <w:rPr>
                <w:sz w:val="20"/>
                <w:szCs w:val="22"/>
                <w:vertAlign w:val="superscript"/>
              </w:rPr>
              <w:t>1</w:t>
            </w:r>
          </w:p>
        </w:tc>
        <w:tc>
          <w:tcPr>
            <w:tcW w:w="1243" w:type="dxa"/>
          </w:tcPr>
          <w:p w14:paraId="2DE947EA" w14:textId="77777777" w:rsidR="00F2533B" w:rsidRPr="00E928EF" w:rsidRDefault="00E928EF" w:rsidP="00301D22">
            <w:pPr>
              <w:pStyle w:val="TableText0"/>
              <w:rPr>
                <w:sz w:val="20"/>
                <w:szCs w:val="22"/>
              </w:rPr>
            </w:pPr>
            <w:r>
              <w:rPr>
                <w:noProof/>
                <w:color w:val="000000"/>
                <w:sz w:val="20"/>
                <w:szCs w:val="22"/>
                <w:highlight w:val="black"/>
              </w:rPr>
              <w:t>''''''''''''''''''''''''</w:t>
            </w:r>
            <w:r w:rsidR="002F2EE0" w:rsidRPr="002F2EE0">
              <w:rPr>
                <w:sz w:val="20"/>
                <w:szCs w:val="22"/>
                <w:vertAlign w:val="superscript"/>
              </w:rPr>
              <w:t>1</w:t>
            </w:r>
          </w:p>
        </w:tc>
        <w:tc>
          <w:tcPr>
            <w:tcW w:w="1244" w:type="dxa"/>
          </w:tcPr>
          <w:p w14:paraId="6978AAAE" w14:textId="77777777" w:rsidR="00F2533B" w:rsidRPr="00E928EF" w:rsidRDefault="00E928EF" w:rsidP="00301D22">
            <w:pPr>
              <w:pStyle w:val="TableText0"/>
              <w:rPr>
                <w:sz w:val="20"/>
                <w:szCs w:val="22"/>
              </w:rPr>
            </w:pPr>
            <w:r>
              <w:rPr>
                <w:noProof/>
                <w:color w:val="000000"/>
                <w:sz w:val="20"/>
                <w:szCs w:val="22"/>
                <w:highlight w:val="black"/>
              </w:rPr>
              <w:t>''''''''''''''''''''''''''</w:t>
            </w:r>
            <w:r w:rsidR="002F2EE0" w:rsidRPr="002F2EE0">
              <w:rPr>
                <w:sz w:val="20"/>
                <w:szCs w:val="22"/>
                <w:vertAlign w:val="superscript"/>
              </w:rPr>
              <w:t>1</w:t>
            </w:r>
          </w:p>
        </w:tc>
        <w:tc>
          <w:tcPr>
            <w:tcW w:w="1244" w:type="dxa"/>
          </w:tcPr>
          <w:p w14:paraId="5538CAC6" w14:textId="77777777" w:rsidR="00F2533B" w:rsidRPr="00E928EF" w:rsidRDefault="00E928EF" w:rsidP="00301D22">
            <w:pPr>
              <w:pStyle w:val="TableText0"/>
              <w:rPr>
                <w:sz w:val="20"/>
                <w:szCs w:val="22"/>
              </w:rPr>
            </w:pPr>
            <w:r>
              <w:rPr>
                <w:noProof/>
                <w:color w:val="000000"/>
                <w:sz w:val="20"/>
                <w:szCs w:val="22"/>
                <w:highlight w:val="black"/>
              </w:rPr>
              <w:t>'''''''''''''''''''''''''</w:t>
            </w:r>
            <w:r w:rsidR="002F2EE0" w:rsidRPr="002F2EE0">
              <w:rPr>
                <w:sz w:val="20"/>
                <w:szCs w:val="22"/>
                <w:vertAlign w:val="superscript"/>
              </w:rPr>
              <w:t>1</w:t>
            </w:r>
          </w:p>
        </w:tc>
      </w:tr>
      <w:tr w:rsidR="00F2533B" w:rsidRPr="000B09B9" w14:paraId="030E7CD2" w14:textId="77777777" w:rsidTr="00301D22">
        <w:tc>
          <w:tcPr>
            <w:tcW w:w="1555" w:type="dxa"/>
          </w:tcPr>
          <w:p w14:paraId="560AA2A0" w14:textId="77777777" w:rsidR="00F2533B" w:rsidRPr="000B09B9" w:rsidRDefault="00F2533B" w:rsidP="00301D22">
            <w:pPr>
              <w:pStyle w:val="TableText0"/>
              <w:rPr>
                <w:iCs/>
                <w:sz w:val="20"/>
                <w:szCs w:val="22"/>
                <w:vertAlign w:val="superscript"/>
              </w:rPr>
            </w:pPr>
            <w:r w:rsidRPr="000B09B9">
              <w:rPr>
                <w:iCs/>
                <w:sz w:val="20"/>
                <w:szCs w:val="22"/>
              </w:rPr>
              <w:t>Prevalence of LEMS = 10.9 per million</w:t>
            </w:r>
            <w:r w:rsidRPr="000B09B9">
              <w:rPr>
                <w:iCs/>
                <w:sz w:val="20"/>
                <w:szCs w:val="22"/>
                <w:vertAlign w:val="superscript"/>
              </w:rPr>
              <w:t>b</w:t>
            </w:r>
          </w:p>
        </w:tc>
        <w:tc>
          <w:tcPr>
            <w:tcW w:w="1243" w:type="dxa"/>
          </w:tcPr>
          <w:p w14:paraId="710DB9F3" w14:textId="77777777" w:rsidR="00F2533B" w:rsidRPr="00E928EF" w:rsidRDefault="00E928EF" w:rsidP="00301D22">
            <w:pPr>
              <w:pStyle w:val="TableText0"/>
              <w:rPr>
                <w:iCs/>
                <w:sz w:val="20"/>
                <w:szCs w:val="22"/>
              </w:rPr>
            </w:pPr>
            <w:r>
              <w:rPr>
                <w:iCs/>
                <w:noProof/>
                <w:color w:val="000000"/>
                <w:sz w:val="20"/>
                <w:szCs w:val="22"/>
                <w:highlight w:val="black"/>
              </w:rPr>
              <w:t>''''''''''''''''''''''''''''</w:t>
            </w:r>
            <w:r w:rsidR="002F2EE0">
              <w:rPr>
                <w:sz w:val="20"/>
                <w:szCs w:val="22"/>
                <w:vertAlign w:val="superscript"/>
              </w:rPr>
              <w:t>2</w:t>
            </w:r>
          </w:p>
        </w:tc>
        <w:tc>
          <w:tcPr>
            <w:tcW w:w="1244" w:type="dxa"/>
          </w:tcPr>
          <w:p w14:paraId="36A399B6" w14:textId="77777777" w:rsidR="00F2533B" w:rsidRPr="00E928EF" w:rsidRDefault="00E928EF" w:rsidP="00301D22">
            <w:pPr>
              <w:pStyle w:val="TableText0"/>
              <w:rPr>
                <w:iCs/>
                <w:sz w:val="20"/>
                <w:szCs w:val="22"/>
              </w:rPr>
            </w:pPr>
            <w:r>
              <w:rPr>
                <w:iCs/>
                <w:noProof/>
                <w:color w:val="000000"/>
                <w:sz w:val="20"/>
                <w:szCs w:val="22"/>
                <w:highlight w:val="black"/>
              </w:rPr>
              <w:t>'''''''''''''''''''''''''''''</w:t>
            </w:r>
            <w:r w:rsidR="002F2EE0">
              <w:rPr>
                <w:sz w:val="20"/>
                <w:szCs w:val="22"/>
                <w:vertAlign w:val="superscript"/>
              </w:rPr>
              <w:t>2</w:t>
            </w:r>
          </w:p>
        </w:tc>
        <w:tc>
          <w:tcPr>
            <w:tcW w:w="1244" w:type="dxa"/>
          </w:tcPr>
          <w:p w14:paraId="3D4CAD77" w14:textId="77777777" w:rsidR="00F2533B" w:rsidRPr="00E928EF" w:rsidRDefault="00E928EF" w:rsidP="00301D22">
            <w:pPr>
              <w:pStyle w:val="TableText0"/>
              <w:rPr>
                <w:iCs/>
                <w:sz w:val="20"/>
                <w:szCs w:val="22"/>
              </w:rPr>
            </w:pPr>
            <w:r>
              <w:rPr>
                <w:iCs/>
                <w:noProof/>
                <w:color w:val="000000"/>
                <w:sz w:val="20"/>
                <w:szCs w:val="22"/>
                <w:highlight w:val="black"/>
              </w:rPr>
              <w:t>''''''''''''''''''''''''''''</w:t>
            </w:r>
            <w:r w:rsidR="002F2EE0">
              <w:rPr>
                <w:sz w:val="20"/>
                <w:szCs w:val="22"/>
                <w:vertAlign w:val="superscript"/>
              </w:rPr>
              <w:t>2</w:t>
            </w:r>
          </w:p>
        </w:tc>
        <w:tc>
          <w:tcPr>
            <w:tcW w:w="1243" w:type="dxa"/>
          </w:tcPr>
          <w:p w14:paraId="41A7799C" w14:textId="77777777" w:rsidR="00F2533B" w:rsidRPr="00E928EF" w:rsidRDefault="00E928EF" w:rsidP="00301D22">
            <w:pPr>
              <w:pStyle w:val="TableText0"/>
              <w:rPr>
                <w:iCs/>
                <w:sz w:val="20"/>
                <w:szCs w:val="22"/>
              </w:rPr>
            </w:pPr>
            <w:r>
              <w:rPr>
                <w:iCs/>
                <w:noProof/>
                <w:color w:val="000000"/>
                <w:sz w:val="20"/>
                <w:szCs w:val="22"/>
                <w:highlight w:val="black"/>
              </w:rPr>
              <w:t>''''''''''''''''''''''''''''''</w:t>
            </w:r>
            <w:r w:rsidR="002F2EE0">
              <w:rPr>
                <w:sz w:val="20"/>
                <w:szCs w:val="22"/>
                <w:vertAlign w:val="superscript"/>
              </w:rPr>
              <w:t>2</w:t>
            </w:r>
          </w:p>
        </w:tc>
        <w:tc>
          <w:tcPr>
            <w:tcW w:w="1244" w:type="dxa"/>
          </w:tcPr>
          <w:p w14:paraId="50F1252C" w14:textId="77777777" w:rsidR="00F2533B" w:rsidRPr="00E928EF" w:rsidRDefault="00E928EF" w:rsidP="00301D22">
            <w:pPr>
              <w:pStyle w:val="TableText0"/>
              <w:rPr>
                <w:iCs/>
                <w:sz w:val="20"/>
                <w:szCs w:val="22"/>
              </w:rPr>
            </w:pPr>
            <w:r>
              <w:rPr>
                <w:iCs/>
                <w:noProof/>
                <w:color w:val="000000"/>
                <w:sz w:val="20"/>
                <w:szCs w:val="22"/>
                <w:highlight w:val="black"/>
              </w:rPr>
              <w:t>'''''''''''''''''''''''''''''</w:t>
            </w:r>
            <w:r w:rsidR="002F2EE0">
              <w:rPr>
                <w:sz w:val="20"/>
                <w:szCs w:val="22"/>
                <w:vertAlign w:val="superscript"/>
              </w:rPr>
              <w:t>2</w:t>
            </w:r>
          </w:p>
        </w:tc>
        <w:tc>
          <w:tcPr>
            <w:tcW w:w="1244" w:type="dxa"/>
          </w:tcPr>
          <w:p w14:paraId="4E2BD81C" w14:textId="77777777" w:rsidR="00F2533B" w:rsidRPr="00E928EF" w:rsidRDefault="00E928EF" w:rsidP="00301D22">
            <w:pPr>
              <w:pStyle w:val="TableText0"/>
              <w:rPr>
                <w:iCs/>
                <w:sz w:val="20"/>
                <w:szCs w:val="22"/>
              </w:rPr>
            </w:pPr>
            <w:r>
              <w:rPr>
                <w:iCs/>
                <w:noProof/>
                <w:color w:val="000000"/>
                <w:sz w:val="20"/>
                <w:szCs w:val="22"/>
                <w:highlight w:val="black"/>
              </w:rPr>
              <w:t>''''''''''''''''''''''''''''</w:t>
            </w:r>
            <w:r w:rsidR="002F2EE0">
              <w:rPr>
                <w:sz w:val="20"/>
                <w:szCs w:val="22"/>
                <w:vertAlign w:val="superscript"/>
              </w:rPr>
              <w:t>2</w:t>
            </w:r>
          </w:p>
        </w:tc>
      </w:tr>
      <w:tr w:rsidR="00F2533B" w:rsidRPr="000B09B9" w14:paraId="2685B4BB" w14:textId="77777777" w:rsidTr="00301D22">
        <w:tc>
          <w:tcPr>
            <w:tcW w:w="9017" w:type="dxa"/>
            <w:gridSpan w:val="7"/>
          </w:tcPr>
          <w:p w14:paraId="5DD7452D" w14:textId="77777777" w:rsidR="00F2533B" w:rsidRPr="000B09B9" w:rsidRDefault="00F2533B" w:rsidP="00301D22">
            <w:pPr>
              <w:pStyle w:val="TableText0"/>
              <w:rPr>
                <w:sz w:val="20"/>
                <w:szCs w:val="22"/>
              </w:rPr>
            </w:pPr>
            <w:r w:rsidRPr="000B09B9">
              <w:rPr>
                <w:sz w:val="20"/>
                <w:szCs w:val="22"/>
              </w:rPr>
              <w:t>Average dose in practice</w:t>
            </w:r>
          </w:p>
        </w:tc>
      </w:tr>
      <w:tr w:rsidR="00F2533B" w:rsidRPr="000B09B9" w14:paraId="539E6E16" w14:textId="77777777" w:rsidTr="00301D22">
        <w:tc>
          <w:tcPr>
            <w:tcW w:w="1555" w:type="dxa"/>
          </w:tcPr>
          <w:p w14:paraId="72732B32" w14:textId="77777777" w:rsidR="00F2533B" w:rsidRPr="000B09B9" w:rsidRDefault="00F2533B" w:rsidP="00301D22">
            <w:pPr>
              <w:pStyle w:val="TableText0"/>
              <w:rPr>
                <w:sz w:val="20"/>
                <w:szCs w:val="22"/>
                <w:vertAlign w:val="superscript"/>
              </w:rPr>
            </w:pPr>
            <w:r w:rsidRPr="000B09B9">
              <w:rPr>
                <w:sz w:val="20"/>
                <w:szCs w:val="22"/>
              </w:rPr>
              <w:t>10 tablets daily</w:t>
            </w:r>
            <w:r w:rsidRPr="000B09B9">
              <w:rPr>
                <w:sz w:val="20"/>
                <w:szCs w:val="22"/>
                <w:vertAlign w:val="superscript"/>
              </w:rPr>
              <w:t>c</w:t>
            </w:r>
          </w:p>
        </w:tc>
        <w:tc>
          <w:tcPr>
            <w:tcW w:w="1243" w:type="dxa"/>
          </w:tcPr>
          <w:p w14:paraId="474CFF05" w14:textId="77777777" w:rsidR="00F2533B" w:rsidRPr="00E928EF" w:rsidRDefault="00E928EF" w:rsidP="00301D22">
            <w:pPr>
              <w:pStyle w:val="TableText0"/>
              <w:rPr>
                <w:sz w:val="20"/>
                <w:szCs w:val="22"/>
              </w:rPr>
            </w:pPr>
            <w:r>
              <w:rPr>
                <w:noProof/>
                <w:color w:val="000000"/>
                <w:sz w:val="20"/>
                <w:szCs w:val="22"/>
                <w:highlight w:val="black"/>
              </w:rPr>
              <w:t>''''''''''''''''''''''''</w:t>
            </w:r>
            <w:r w:rsidR="002F2EE0" w:rsidRPr="002F2EE0">
              <w:rPr>
                <w:sz w:val="20"/>
                <w:szCs w:val="22"/>
                <w:vertAlign w:val="superscript"/>
              </w:rPr>
              <w:t>1</w:t>
            </w:r>
          </w:p>
        </w:tc>
        <w:tc>
          <w:tcPr>
            <w:tcW w:w="1244" w:type="dxa"/>
          </w:tcPr>
          <w:p w14:paraId="6FE04558" w14:textId="77777777" w:rsidR="00F2533B" w:rsidRPr="00E928EF" w:rsidRDefault="00E928EF" w:rsidP="00301D22">
            <w:pPr>
              <w:pStyle w:val="TableText0"/>
              <w:rPr>
                <w:sz w:val="20"/>
                <w:szCs w:val="22"/>
              </w:rPr>
            </w:pPr>
            <w:r>
              <w:rPr>
                <w:noProof/>
                <w:color w:val="000000"/>
                <w:sz w:val="20"/>
                <w:szCs w:val="22"/>
                <w:highlight w:val="black"/>
              </w:rPr>
              <w:t>'''''''''''''''''''''''''''''</w:t>
            </w:r>
            <w:r w:rsidR="002F2EE0" w:rsidRPr="002F2EE0">
              <w:rPr>
                <w:sz w:val="20"/>
                <w:szCs w:val="22"/>
                <w:vertAlign w:val="superscript"/>
              </w:rPr>
              <w:t>1</w:t>
            </w:r>
          </w:p>
        </w:tc>
        <w:tc>
          <w:tcPr>
            <w:tcW w:w="1244" w:type="dxa"/>
          </w:tcPr>
          <w:p w14:paraId="09D13BB4" w14:textId="77777777" w:rsidR="00F2533B" w:rsidRPr="00E928EF" w:rsidRDefault="00E928EF" w:rsidP="00301D22">
            <w:pPr>
              <w:pStyle w:val="TableText0"/>
              <w:rPr>
                <w:sz w:val="20"/>
                <w:szCs w:val="22"/>
              </w:rPr>
            </w:pPr>
            <w:r>
              <w:rPr>
                <w:noProof/>
                <w:color w:val="000000"/>
                <w:sz w:val="20"/>
                <w:szCs w:val="22"/>
                <w:highlight w:val="black"/>
              </w:rPr>
              <w:t>'''''''''''''''''''''''''</w:t>
            </w:r>
            <w:r w:rsidR="002F2EE0" w:rsidRPr="002F2EE0">
              <w:rPr>
                <w:sz w:val="20"/>
                <w:szCs w:val="22"/>
                <w:vertAlign w:val="superscript"/>
              </w:rPr>
              <w:t>1</w:t>
            </w:r>
          </w:p>
        </w:tc>
        <w:tc>
          <w:tcPr>
            <w:tcW w:w="1243" w:type="dxa"/>
          </w:tcPr>
          <w:p w14:paraId="3AEC303F" w14:textId="77777777" w:rsidR="00F2533B" w:rsidRPr="00E928EF" w:rsidRDefault="00E928EF" w:rsidP="00301D22">
            <w:pPr>
              <w:pStyle w:val="TableText0"/>
              <w:rPr>
                <w:sz w:val="20"/>
                <w:szCs w:val="22"/>
              </w:rPr>
            </w:pPr>
            <w:r>
              <w:rPr>
                <w:noProof/>
                <w:color w:val="000000"/>
                <w:sz w:val="20"/>
                <w:szCs w:val="22"/>
                <w:highlight w:val="black"/>
              </w:rPr>
              <w:t>''''''''''''''''''''''''''</w:t>
            </w:r>
            <w:r w:rsidR="002F2EE0" w:rsidRPr="002F2EE0">
              <w:rPr>
                <w:sz w:val="20"/>
                <w:szCs w:val="22"/>
                <w:vertAlign w:val="superscript"/>
              </w:rPr>
              <w:t>1</w:t>
            </w:r>
          </w:p>
        </w:tc>
        <w:tc>
          <w:tcPr>
            <w:tcW w:w="1244" w:type="dxa"/>
          </w:tcPr>
          <w:p w14:paraId="1203C226" w14:textId="77777777" w:rsidR="00F2533B" w:rsidRPr="00E928EF" w:rsidRDefault="00E928EF" w:rsidP="00301D22">
            <w:pPr>
              <w:pStyle w:val="TableText0"/>
              <w:rPr>
                <w:sz w:val="20"/>
                <w:szCs w:val="22"/>
              </w:rPr>
            </w:pPr>
            <w:r>
              <w:rPr>
                <w:noProof/>
                <w:color w:val="000000"/>
                <w:sz w:val="20"/>
                <w:szCs w:val="22"/>
                <w:highlight w:val="black"/>
              </w:rPr>
              <w:t>''''''''''''''''''''''''''</w:t>
            </w:r>
            <w:r w:rsidR="002F2EE0" w:rsidRPr="002F2EE0">
              <w:rPr>
                <w:sz w:val="20"/>
                <w:szCs w:val="22"/>
                <w:vertAlign w:val="superscript"/>
              </w:rPr>
              <w:t>1</w:t>
            </w:r>
          </w:p>
        </w:tc>
        <w:tc>
          <w:tcPr>
            <w:tcW w:w="1244" w:type="dxa"/>
          </w:tcPr>
          <w:p w14:paraId="353BD671" w14:textId="77777777" w:rsidR="00F2533B" w:rsidRPr="00E928EF" w:rsidRDefault="00E928EF" w:rsidP="00301D22">
            <w:pPr>
              <w:pStyle w:val="TableText0"/>
              <w:rPr>
                <w:sz w:val="20"/>
                <w:szCs w:val="22"/>
              </w:rPr>
            </w:pPr>
            <w:r>
              <w:rPr>
                <w:noProof/>
                <w:color w:val="000000"/>
                <w:sz w:val="20"/>
                <w:szCs w:val="22"/>
                <w:highlight w:val="black"/>
              </w:rPr>
              <w:t>'''''''''''''''''''''''''''</w:t>
            </w:r>
            <w:r w:rsidR="002F2EE0" w:rsidRPr="002F2EE0">
              <w:rPr>
                <w:sz w:val="20"/>
                <w:szCs w:val="22"/>
                <w:vertAlign w:val="superscript"/>
              </w:rPr>
              <w:t>1</w:t>
            </w:r>
          </w:p>
        </w:tc>
      </w:tr>
    </w:tbl>
    <w:p w14:paraId="7FF2354E" w14:textId="77777777" w:rsidR="00F2533B" w:rsidRPr="000B09B9" w:rsidRDefault="00F2533B" w:rsidP="00F2533B">
      <w:pPr>
        <w:pStyle w:val="TableFigureFooter"/>
      </w:pPr>
      <w:r w:rsidRPr="000B09B9">
        <w:t>* These estimates were based on a DPMQ of $8,215.30 as presented in the submission.</w:t>
      </w:r>
    </w:p>
    <w:p w14:paraId="09F3E015" w14:textId="77777777" w:rsidR="00F2533B" w:rsidRPr="000B09B9" w:rsidRDefault="00F2533B" w:rsidP="00F2533B">
      <w:pPr>
        <w:pStyle w:val="TableFigureFooter"/>
        <w:rPr>
          <w:iCs/>
        </w:rPr>
      </w:pPr>
      <w:r w:rsidRPr="000B09B9">
        <w:t xml:space="preserve">Source: Tables 4.9 to 4.14, p157-159 of the submission </w:t>
      </w:r>
      <w:r w:rsidRPr="000B09B9">
        <w:rPr>
          <w:iCs/>
        </w:rPr>
        <w:t>and calculated during evaluation</w:t>
      </w:r>
    </w:p>
    <w:p w14:paraId="6BE84B16" w14:textId="77777777" w:rsidR="00F2533B" w:rsidRPr="000B09B9" w:rsidRDefault="00F2533B" w:rsidP="00F2533B">
      <w:pPr>
        <w:pStyle w:val="TableFigureFooter"/>
      </w:pPr>
      <w:r w:rsidRPr="000B09B9">
        <w:rPr>
          <w:vertAlign w:val="superscript"/>
        </w:rPr>
        <w:t xml:space="preserve">a </w:t>
      </w:r>
      <w:r w:rsidRPr="000B09B9">
        <w:t>Based on mid-point estimate from Titulaer (2013); patient numbers range from 85 to 91</w:t>
      </w:r>
    </w:p>
    <w:p w14:paraId="49957371" w14:textId="77777777" w:rsidR="00F2533B" w:rsidRPr="000B09B9" w:rsidRDefault="00F2533B" w:rsidP="00F2533B">
      <w:pPr>
        <w:pStyle w:val="TableFigureFooter"/>
      </w:pPr>
      <w:r w:rsidRPr="000B09B9">
        <w:rPr>
          <w:vertAlign w:val="superscript"/>
        </w:rPr>
        <w:t>b</w:t>
      </w:r>
      <w:r w:rsidRPr="000B09B9">
        <w:t xml:space="preserve"> Based on crude prevalence reported in Abenroth (2017); patient numbers range from 269 to 290</w:t>
      </w:r>
    </w:p>
    <w:p w14:paraId="057A97FC" w14:textId="77777777" w:rsidR="004A7D96" w:rsidRDefault="00F2533B" w:rsidP="00D31E50">
      <w:pPr>
        <w:pStyle w:val="TableFigureFooter"/>
      </w:pPr>
      <w:r w:rsidRPr="000B09B9">
        <w:rPr>
          <w:vertAlign w:val="superscript"/>
        </w:rPr>
        <w:t>c</w:t>
      </w:r>
      <w:r w:rsidRPr="000B09B9">
        <w:t xml:space="preserve"> Maximum dose allowed</w:t>
      </w:r>
    </w:p>
    <w:p w14:paraId="4B256188" w14:textId="77777777" w:rsidR="002F2EE0" w:rsidRPr="009A6D58" w:rsidRDefault="002F2EE0" w:rsidP="002F2EE0">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741B8714" w14:textId="77777777" w:rsidR="002F2EE0" w:rsidRPr="009A6D58" w:rsidRDefault="002F2EE0" w:rsidP="002F2EE0">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2F2EE0">
        <w:rPr>
          <w:rFonts w:ascii="Arial Narrow" w:hAnsi="Arial Narrow"/>
          <w:i/>
          <w:sz w:val="18"/>
          <w:szCs w:val="18"/>
        </w:rPr>
        <w:t>$0 to &lt; $10 million</w:t>
      </w:r>
    </w:p>
    <w:p w14:paraId="5F1A00F3" w14:textId="77777777" w:rsidR="002F2EE0" w:rsidRPr="009A6D58" w:rsidRDefault="002F2EE0" w:rsidP="002F2EE0">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2F2EE0">
        <w:rPr>
          <w:rFonts w:ascii="Arial Narrow" w:hAnsi="Arial Narrow"/>
          <w:i/>
          <w:sz w:val="18"/>
          <w:szCs w:val="18"/>
        </w:rPr>
        <w:t>$20 million to &lt; $30 million</w:t>
      </w:r>
    </w:p>
    <w:p w14:paraId="03A35FB2" w14:textId="77777777" w:rsidR="002F2EE0" w:rsidRPr="000B09B9" w:rsidRDefault="002F2EE0" w:rsidP="00D31E50">
      <w:pPr>
        <w:pStyle w:val="TableFigureFooter"/>
      </w:pPr>
    </w:p>
    <w:p w14:paraId="2D9AD4FB" w14:textId="77777777" w:rsidR="00FE1325" w:rsidRPr="000B09B9" w:rsidRDefault="00FE1325" w:rsidP="002B0564">
      <w:pPr>
        <w:pStyle w:val="4-SubsectionHeading"/>
      </w:pPr>
      <w:bookmarkStart w:id="54" w:name="_Toc22897649"/>
      <w:bookmarkStart w:id="55" w:name="_Toc22898861"/>
      <w:bookmarkStart w:id="56" w:name="_Toc82537457"/>
      <w:r w:rsidRPr="000B09B9">
        <w:t>Financial Management – Risk Sharing Arrangements</w:t>
      </w:r>
      <w:bookmarkEnd w:id="54"/>
      <w:bookmarkEnd w:id="55"/>
      <w:bookmarkEnd w:id="56"/>
    </w:p>
    <w:p w14:paraId="27E96632" w14:textId="77777777" w:rsidR="001743D2" w:rsidRPr="000B09B9" w:rsidRDefault="00FE1325" w:rsidP="002B0564">
      <w:pPr>
        <w:pStyle w:val="ListParagraph"/>
        <w:numPr>
          <w:ilvl w:val="1"/>
          <w:numId w:val="1"/>
        </w:numPr>
      </w:pPr>
      <w:r w:rsidRPr="000B09B9">
        <w:t>No risk sharing arrangements were proposed in the submission, however the submission indicated a willingness to discuss to ensure the listing of amifampridine in a timely manner.</w:t>
      </w:r>
    </w:p>
    <w:p w14:paraId="40024ACE" w14:textId="77777777" w:rsidR="002A1991" w:rsidRPr="000B09B9" w:rsidRDefault="002A1991" w:rsidP="00163431">
      <w:pPr>
        <w:pStyle w:val="4-SubsectionHeading"/>
      </w:pPr>
      <w:bookmarkStart w:id="57" w:name="_Toc62040435"/>
      <w:r w:rsidRPr="000B09B9">
        <w:t>Quality Use of Medicines</w:t>
      </w:r>
      <w:bookmarkEnd w:id="57"/>
    </w:p>
    <w:p w14:paraId="32FC94FB" w14:textId="77777777" w:rsidR="002A1991" w:rsidRPr="000B09B9" w:rsidRDefault="002A1991" w:rsidP="002A1991">
      <w:pPr>
        <w:pStyle w:val="3-BodyText"/>
        <w:rPr>
          <w:b/>
          <w:bCs/>
          <w:iCs/>
        </w:rPr>
      </w:pPr>
      <w:r w:rsidRPr="000B09B9">
        <w:t xml:space="preserve">No quality use of medicines (QUM) information was provided in the submission. </w:t>
      </w:r>
    </w:p>
    <w:p w14:paraId="1EEC3A5A" w14:textId="77777777" w:rsidR="002A1991" w:rsidRPr="000B09B9" w:rsidRDefault="002A1991" w:rsidP="002A1991">
      <w:pPr>
        <w:pStyle w:val="ListParagraph"/>
        <w:keepNext/>
        <w:numPr>
          <w:ilvl w:val="1"/>
          <w:numId w:val="1"/>
        </w:numPr>
        <w:spacing w:after="160"/>
      </w:pPr>
      <w:r w:rsidRPr="000B09B9">
        <w:t>The DUSC agreed with the commentary that education of health practitioners would be advisable, particularly relating to optimising patient doses.</w:t>
      </w:r>
    </w:p>
    <w:p w14:paraId="67874803" w14:textId="77777777" w:rsidR="00FE1325" w:rsidRPr="000B09B9" w:rsidRDefault="001743D2" w:rsidP="001743D2">
      <w:pPr>
        <w:pStyle w:val="ListParagraph"/>
        <w:numPr>
          <w:ilvl w:val="0"/>
          <w:numId w:val="0"/>
        </w:numPr>
        <w:ind w:left="720"/>
      </w:pPr>
      <w:r w:rsidRPr="000B09B9">
        <w:rPr>
          <w:i/>
        </w:rPr>
        <w:t>For more detail on PBAC’s view, see section 7 PBAC outcome.</w:t>
      </w:r>
      <w:r w:rsidR="00FE1325" w:rsidRPr="000B09B9">
        <w:t xml:space="preserve"> </w:t>
      </w:r>
    </w:p>
    <w:p w14:paraId="4BE29992" w14:textId="77777777" w:rsidR="00BD4881" w:rsidRPr="000B09B9" w:rsidRDefault="00BD4881" w:rsidP="00A92343">
      <w:pPr>
        <w:pStyle w:val="2-SectionHeading"/>
      </w:pPr>
      <w:bookmarkStart w:id="58" w:name="_Hlk76381249"/>
      <w:bookmarkStart w:id="59" w:name="_Hlk76377955"/>
      <w:r w:rsidRPr="000B09B9">
        <w:t>PBAC Outcome</w:t>
      </w:r>
    </w:p>
    <w:p w14:paraId="4F2A40E4" w14:textId="77777777" w:rsidR="00071476" w:rsidRPr="000B09B9" w:rsidRDefault="00071476" w:rsidP="00071476">
      <w:pPr>
        <w:pStyle w:val="3-BodyText"/>
      </w:pPr>
      <w:r w:rsidRPr="000B09B9">
        <w:t xml:space="preserve">The PBAC did not recommend the listing of amifampridine for the treatment of Lambert-Eaton myasthenic syndrome in adults and children aged 6 years and above. The PBAC noted the high clinical need for effective treatments for these patients. The PBAC considered the </w:t>
      </w:r>
      <w:r w:rsidR="00F32D50" w:rsidRPr="000B09B9">
        <w:t>clinical</w:t>
      </w:r>
      <w:r w:rsidRPr="000B09B9">
        <w:t xml:space="preserve"> evidence </w:t>
      </w:r>
      <w:r w:rsidR="00F32D50" w:rsidRPr="000B09B9">
        <w:t>informing the cost-effectiv</w:t>
      </w:r>
      <w:r w:rsidR="00295677">
        <w:t>e</w:t>
      </w:r>
      <w:r w:rsidR="00F32D50" w:rsidRPr="000B09B9">
        <w:t xml:space="preserve">ness evaluation </w:t>
      </w:r>
      <w:r w:rsidRPr="000B09B9">
        <w:t>ha</w:t>
      </w:r>
      <w:r w:rsidR="00F32D50" w:rsidRPr="000B09B9">
        <w:t>d</w:t>
      </w:r>
      <w:r w:rsidRPr="000B09B9">
        <w:t xml:space="preserve"> a high risk of bias, and that the incremental benefit </w:t>
      </w:r>
      <w:r w:rsidR="00F32D50" w:rsidRPr="000B09B9">
        <w:t>was</w:t>
      </w:r>
      <w:r w:rsidRPr="000B09B9">
        <w:t xml:space="preserve"> </w:t>
      </w:r>
      <w:r w:rsidR="00B02227" w:rsidRPr="000B09B9">
        <w:t>uncertain due to limitations of the available clinical evidence</w:t>
      </w:r>
      <w:r w:rsidRPr="000B09B9">
        <w:t xml:space="preserve">. The PBAC considered the ICER was unacceptably high and uncertain at the proposed price.  </w:t>
      </w:r>
    </w:p>
    <w:p w14:paraId="23085647" w14:textId="77777777" w:rsidR="00114712" w:rsidRPr="000B09B9" w:rsidRDefault="00114712" w:rsidP="001B5945">
      <w:pPr>
        <w:pStyle w:val="3-BodyText"/>
      </w:pPr>
      <w:r w:rsidRPr="000B09B9">
        <w:t xml:space="preserve">The PBAC noted the input from individuals, health care professionals and organisations which highlighted the </w:t>
      </w:r>
      <w:r w:rsidRPr="000B09B9">
        <w:rPr>
          <w:color w:val="000000" w:themeColor="text1"/>
        </w:rPr>
        <w:t>positive impact that amifampridine has on muscle strength and quality of life. In addition, the PBAC noted comments supporting the proposed PBS listing of amifampridine on the basis this would improve access for patients compared with current SAS arrangements.</w:t>
      </w:r>
    </w:p>
    <w:p w14:paraId="11E2A768" w14:textId="77777777" w:rsidR="00C46A7A" w:rsidRPr="000B09B9" w:rsidRDefault="00C46A7A" w:rsidP="001B5945">
      <w:pPr>
        <w:pStyle w:val="3-BodyText"/>
      </w:pPr>
      <w:r w:rsidRPr="000B09B9">
        <w:rPr>
          <w:color w:val="000000" w:themeColor="text1"/>
        </w:rPr>
        <w:t>The P</w:t>
      </w:r>
      <w:r w:rsidR="003D1B36" w:rsidRPr="000B09B9">
        <w:rPr>
          <w:color w:val="000000" w:themeColor="text1"/>
        </w:rPr>
        <w:t>BAC considered that the requested</w:t>
      </w:r>
      <w:r w:rsidRPr="000B09B9">
        <w:rPr>
          <w:color w:val="000000" w:themeColor="text1"/>
        </w:rPr>
        <w:t xml:space="preserve"> written authority </w:t>
      </w:r>
      <w:r w:rsidR="00BC54DE" w:rsidRPr="000B09B9">
        <w:rPr>
          <w:color w:val="000000" w:themeColor="text1"/>
        </w:rPr>
        <w:t>listing for amifampridine</w:t>
      </w:r>
      <w:r w:rsidRPr="000B09B9">
        <w:rPr>
          <w:color w:val="000000" w:themeColor="text1"/>
        </w:rPr>
        <w:t xml:space="preserve"> was not required, and that</w:t>
      </w:r>
      <w:r w:rsidR="00BC54DE" w:rsidRPr="000B09B9">
        <w:rPr>
          <w:color w:val="000000" w:themeColor="text1"/>
        </w:rPr>
        <w:t xml:space="preserve"> in the context of amifampridine being prescribed by a neurologist or immunologist, a telephone/online PBS authority would be appropriate.</w:t>
      </w:r>
    </w:p>
    <w:p w14:paraId="3F3CEA71" w14:textId="77777777" w:rsidR="00114712" w:rsidRPr="000B09B9" w:rsidRDefault="00114712" w:rsidP="00114712">
      <w:pPr>
        <w:widowControl w:val="0"/>
        <w:numPr>
          <w:ilvl w:val="1"/>
          <w:numId w:val="1"/>
        </w:numPr>
        <w:spacing w:after="120"/>
        <w:rPr>
          <w:rFonts w:asciiTheme="minorHAnsi" w:hAnsiTheme="minorHAnsi"/>
          <w:snapToGrid w:val="0"/>
        </w:rPr>
      </w:pPr>
      <w:r w:rsidRPr="000B09B9">
        <w:rPr>
          <w:iCs/>
        </w:rPr>
        <w:t xml:space="preserve">The PBAC considered that the nomination of placebo (‘standard medical management’) as </w:t>
      </w:r>
      <w:r w:rsidR="00C46A7A" w:rsidRPr="000B09B9">
        <w:rPr>
          <w:iCs/>
        </w:rPr>
        <w:t xml:space="preserve">the </w:t>
      </w:r>
      <w:r w:rsidRPr="000B09B9">
        <w:rPr>
          <w:iCs/>
        </w:rPr>
        <w:t>main comparator was appropriate.</w:t>
      </w:r>
    </w:p>
    <w:p w14:paraId="1EFACA98" w14:textId="77777777" w:rsidR="00F32D50" w:rsidRPr="000B09B9" w:rsidRDefault="00F32D50" w:rsidP="001B5945">
      <w:pPr>
        <w:pStyle w:val="3-BodyText"/>
        <w:rPr>
          <w:rFonts w:eastAsia="Calibri"/>
        </w:rPr>
      </w:pPr>
      <w:r w:rsidRPr="000B09B9">
        <w:t>The PBAC noted that the submission was based on two small randomised, double-blind, placebo-controlled, trials: DAPPER (</w:t>
      </w:r>
      <w:r w:rsidR="00677407" w:rsidRPr="000B09B9">
        <w:rPr>
          <w:rFonts w:ascii="Calibri" w:hAnsi="Calibri"/>
          <w:color w:val="000000" w:themeColor="text1"/>
        </w:rPr>
        <w:t xml:space="preserve">a randomised, double-blind, placebo-controlled, withdrawal study in patients who had been on a stable dose of amifampridine for at least three continuous months, </w:t>
      </w:r>
      <w:r w:rsidR="00DB3B19" w:rsidRPr="000B09B9">
        <w:rPr>
          <w:rFonts w:ascii="Calibri" w:hAnsi="Calibri"/>
          <w:color w:val="000000" w:themeColor="text1"/>
        </w:rPr>
        <w:t>N</w:t>
      </w:r>
      <w:r w:rsidR="00677407" w:rsidRPr="000B09B9">
        <w:rPr>
          <w:rFonts w:ascii="Calibri" w:hAnsi="Calibri"/>
          <w:color w:val="000000" w:themeColor="text1"/>
        </w:rPr>
        <w:t>=32) and D</w:t>
      </w:r>
      <w:r w:rsidRPr="000B09B9">
        <w:t>UKE (</w:t>
      </w:r>
      <w:r w:rsidR="00677407" w:rsidRPr="000B09B9">
        <w:rPr>
          <w:rFonts w:ascii="Calibri" w:hAnsi="Calibri"/>
          <w:color w:val="000000" w:themeColor="text1"/>
        </w:rPr>
        <w:t xml:space="preserve">a randomised, double-blind, placebo-controlled study in treatment-naïve patients, </w:t>
      </w:r>
      <w:r w:rsidR="00DB3B19" w:rsidRPr="000B09B9">
        <w:rPr>
          <w:rFonts w:ascii="Calibri" w:hAnsi="Calibri"/>
          <w:color w:val="000000" w:themeColor="text1"/>
        </w:rPr>
        <w:t>N</w:t>
      </w:r>
      <w:r w:rsidR="00677407" w:rsidRPr="000B09B9">
        <w:rPr>
          <w:rFonts w:ascii="Calibri" w:hAnsi="Calibri"/>
          <w:color w:val="000000" w:themeColor="text1"/>
        </w:rPr>
        <w:t xml:space="preserve">=26). The </w:t>
      </w:r>
      <w:r w:rsidRPr="000B09B9">
        <w:t>PBAC</w:t>
      </w:r>
      <w:r w:rsidRPr="000B09B9">
        <w:rPr>
          <w:rFonts w:eastAsia="Calibri"/>
        </w:rPr>
        <w:t xml:space="preserve"> noted that both randomised trials had a </w:t>
      </w:r>
      <w:r w:rsidR="00677407" w:rsidRPr="000B09B9">
        <w:rPr>
          <w:rFonts w:eastAsia="Calibri"/>
        </w:rPr>
        <w:t xml:space="preserve">substantial </w:t>
      </w:r>
      <w:r w:rsidRPr="000B09B9">
        <w:rPr>
          <w:rFonts w:eastAsia="Calibri"/>
        </w:rPr>
        <w:t>risk of bias (high risk of bias for DAPPER</w:t>
      </w:r>
      <w:r w:rsidR="00DB3B19" w:rsidRPr="000B09B9">
        <w:rPr>
          <w:rFonts w:eastAsia="Calibri"/>
        </w:rPr>
        <w:t xml:space="preserve"> due to </w:t>
      </w:r>
      <w:r w:rsidR="00DB3B19" w:rsidRPr="000B09B9">
        <w:rPr>
          <w:rFonts w:eastAsia="Calibri"/>
          <w:iCs/>
        </w:rPr>
        <w:t>eligible patients having successfully responded to amifampr</w:t>
      </w:r>
      <w:r w:rsidR="00001179" w:rsidRPr="000B09B9">
        <w:rPr>
          <w:rFonts w:eastAsia="Calibri"/>
          <w:iCs/>
        </w:rPr>
        <w:t>idine</w:t>
      </w:r>
      <w:r w:rsidR="00DB3B19" w:rsidRPr="000B09B9">
        <w:rPr>
          <w:rFonts w:eastAsia="Calibri"/>
          <w:iCs/>
        </w:rPr>
        <w:t xml:space="preserve"> before randomisation</w:t>
      </w:r>
      <w:r w:rsidRPr="000B09B9">
        <w:rPr>
          <w:rFonts w:eastAsia="Calibri"/>
        </w:rPr>
        <w:t>, and medium risk of bias for DUKE</w:t>
      </w:r>
      <w:r w:rsidR="00EB2212" w:rsidRPr="000B09B9">
        <w:rPr>
          <w:rFonts w:eastAsia="Calibri"/>
        </w:rPr>
        <w:t xml:space="preserve"> due to a lack of information provided in the submission and publication</w:t>
      </w:r>
      <w:r w:rsidRPr="000B09B9">
        <w:rPr>
          <w:rFonts w:eastAsia="Calibri"/>
        </w:rPr>
        <w:t>).</w:t>
      </w:r>
    </w:p>
    <w:p w14:paraId="163ADF05" w14:textId="30400809" w:rsidR="00D05471" w:rsidRPr="000B09B9" w:rsidRDefault="00677407" w:rsidP="001B5945">
      <w:pPr>
        <w:pStyle w:val="3-BodyText"/>
      </w:pPr>
      <w:r w:rsidRPr="000B09B9">
        <w:t xml:space="preserve">The PBAC noted </w:t>
      </w:r>
      <w:r w:rsidR="00D05471" w:rsidRPr="000B09B9">
        <w:t>the results of the DAPPER and DUKE trials which demonstrated the efficacy of amifampridine compared with placebo. In the DAPPER trial, 72% of patients (13/18) randomised to</w:t>
      </w:r>
      <w:r w:rsidR="00FB0613" w:rsidRPr="000B09B9">
        <w:t xml:space="preserve"> the taper-to-</w:t>
      </w:r>
      <w:r w:rsidR="00D05471" w:rsidRPr="000B09B9">
        <w:t>placebo</w:t>
      </w:r>
      <w:r w:rsidR="00FB0613" w:rsidRPr="000B09B9">
        <w:t xml:space="preserve"> arm</w:t>
      </w:r>
      <w:r w:rsidR="00D05471" w:rsidRPr="000B09B9">
        <w:t xml:space="preserve"> experienced a greater than 30%</w:t>
      </w:r>
      <w:r w:rsidR="00C10EAB">
        <w:t> </w:t>
      </w:r>
      <w:r w:rsidR="00D05471" w:rsidRPr="000B09B9">
        <w:t>deterioration in the final 3TUG test, while none of the patients randomised to amifampridine experienced this deterioration</w:t>
      </w:r>
      <w:r w:rsidR="003D7914" w:rsidRPr="000B09B9">
        <w:t xml:space="preserve"> (p &lt;0.05)</w:t>
      </w:r>
      <w:r w:rsidR="00D05471" w:rsidRPr="000B09B9">
        <w:t xml:space="preserve">. </w:t>
      </w:r>
      <w:r w:rsidR="00D05471" w:rsidRPr="000B09B9">
        <w:rPr>
          <w:rFonts w:eastAsia="Calibri"/>
        </w:rPr>
        <w:t xml:space="preserve">In the DUKE trial, </w:t>
      </w:r>
      <w:r w:rsidR="00D05471" w:rsidRPr="000B09B9">
        <w:rPr>
          <w:rFonts w:eastAsia="Calibri"/>
          <w:iCs/>
        </w:rPr>
        <w:t>the QMG score improved at least two points in 58% of patients (7/12) randomised to amifampridine, but none of the patients taking placebo</w:t>
      </w:r>
      <w:r w:rsidR="003D7914" w:rsidRPr="000B09B9">
        <w:rPr>
          <w:rFonts w:eastAsia="Calibri"/>
          <w:iCs/>
        </w:rPr>
        <w:t xml:space="preserve"> (p &lt;0.05)</w:t>
      </w:r>
      <w:r w:rsidR="00D05471" w:rsidRPr="000B09B9">
        <w:rPr>
          <w:rFonts w:eastAsia="Calibri"/>
          <w:iCs/>
        </w:rPr>
        <w:t>.</w:t>
      </w:r>
      <w:r w:rsidR="00A07819" w:rsidRPr="000B09B9">
        <w:rPr>
          <w:rFonts w:eastAsia="Calibri"/>
          <w:iCs/>
        </w:rPr>
        <w:t xml:space="preserve"> The PBAC noted </w:t>
      </w:r>
      <w:r w:rsidR="00784E08" w:rsidRPr="000B09B9">
        <w:rPr>
          <w:rFonts w:eastAsia="Calibri"/>
        </w:rPr>
        <w:t xml:space="preserve">the conclusion of the </w:t>
      </w:r>
      <w:r w:rsidR="00784E08" w:rsidRPr="000B09B9">
        <w:rPr>
          <w:rFonts w:eastAsia="Calibri"/>
          <w:iCs/>
        </w:rPr>
        <w:t>TGA Clinical Evaluation Report which stated that the QMG results of the DUKE trial were statistically significant and clinically relevant in patients treated with amifampridine.</w:t>
      </w:r>
    </w:p>
    <w:p w14:paraId="6B8A8653" w14:textId="77777777" w:rsidR="00A84378" w:rsidRPr="000B09B9" w:rsidRDefault="00D05471" w:rsidP="001B5945">
      <w:pPr>
        <w:pStyle w:val="3-BodyText"/>
        <w:rPr>
          <w:rFonts w:ascii="Calibri" w:hAnsi="Calibri"/>
        </w:rPr>
      </w:pPr>
      <w:r w:rsidRPr="000B09B9">
        <w:rPr>
          <w:rFonts w:ascii="Calibri" w:hAnsi="Calibri"/>
        </w:rPr>
        <w:t>The PBAC noted the evidence of adverse events related to amifampridine from clinical trials and post-marketing surveillance.</w:t>
      </w:r>
      <w:r w:rsidR="00A84378" w:rsidRPr="000B09B9">
        <w:rPr>
          <w:rFonts w:ascii="Calibri" w:hAnsi="Calibri"/>
        </w:rPr>
        <w:t xml:space="preserve"> The PBAC noted that </w:t>
      </w:r>
      <w:r w:rsidR="00A84378" w:rsidRPr="000B09B9">
        <w:t xml:space="preserve">amifampridine is reported to have a narrow therapeutic index, and that </w:t>
      </w:r>
      <w:r w:rsidR="00A84378" w:rsidRPr="000B09B9">
        <w:rPr>
          <w:rFonts w:ascii="Calibri" w:hAnsi="Calibri"/>
        </w:rPr>
        <w:t xml:space="preserve">severe adverse events have been reported to be related to amifampridine including convulsions, loss of consciousness, tremor, atrial fibrillation, anxiety, chest pain, fall, </w:t>
      </w:r>
      <w:r w:rsidR="00F9305D" w:rsidRPr="000B09B9">
        <w:rPr>
          <w:rFonts w:ascii="Calibri" w:hAnsi="Calibri"/>
        </w:rPr>
        <w:t xml:space="preserve">and </w:t>
      </w:r>
      <w:r w:rsidR="00A84378" w:rsidRPr="000B09B9">
        <w:rPr>
          <w:rFonts w:ascii="Calibri" w:hAnsi="Calibri"/>
        </w:rPr>
        <w:t xml:space="preserve">accidental overdose.  </w:t>
      </w:r>
    </w:p>
    <w:p w14:paraId="3C50113E" w14:textId="4EEE0204" w:rsidR="00013B55" w:rsidRPr="000B09B9" w:rsidRDefault="00013B55" w:rsidP="00013B55">
      <w:pPr>
        <w:pStyle w:val="3-BodyText"/>
      </w:pPr>
      <w:r w:rsidRPr="000B09B9">
        <w:rPr>
          <w:iCs/>
        </w:rPr>
        <w:t>The</w:t>
      </w:r>
      <w:r w:rsidRPr="000B09B9">
        <w:t xml:space="preserve"> PBAC considered that a claim of superior comparative effectiveness was reasonable</w:t>
      </w:r>
      <w:r w:rsidR="00E52BA8" w:rsidRPr="000B09B9">
        <w:t xml:space="preserve"> for amifampridine compared with placebo</w:t>
      </w:r>
      <w:r w:rsidRPr="000B09B9">
        <w:t>, however the magnitude of the effect was uncertain due to the limitations of the available clinical evidence.</w:t>
      </w:r>
      <w:r w:rsidR="00E52BA8" w:rsidRPr="000B09B9">
        <w:t xml:space="preserve"> The PBAC considered that amifampridine was inferior to placebo in terms of comparative safety. </w:t>
      </w:r>
    </w:p>
    <w:p w14:paraId="66B2515C" w14:textId="77777777" w:rsidR="00A84378" w:rsidRPr="000B09B9" w:rsidRDefault="00A84378" w:rsidP="00A84378">
      <w:pPr>
        <w:pStyle w:val="3-BodyText"/>
      </w:pPr>
      <w:r w:rsidRPr="000B09B9">
        <w:t>The submission presented a modelled cost-utility analysis based on the DAPPER trial and data from a sponsor-initiated survey. The PBAC considered there is inherent uncertainty in the modelled estimates due to lack of available data on the response rates and long term quality of life and mortality outcomes of the proposed population.</w:t>
      </w:r>
    </w:p>
    <w:p w14:paraId="61E82E75" w14:textId="1C7D66E3" w:rsidR="00A84378" w:rsidRPr="000B09B9" w:rsidRDefault="00A84378" w:rsidP="00B44966">
      <w:pPr>
        <w:pStyle w:val="3-BodyText"/>
      </w:pPr>
      <w:r w:rsidRPr="000B09B9">
        <w:t xml:space="preserve">The PBAC noted the updated base case proposed in the pre-PBAC response, which increased the ICER to </w:t>
      </w:r>
      <w:r w:rsidR="00B44966" w:rsidRPr="00B44966">
        <w:t>$155,000 to &lt; $255,000</w:t>
      </w:r>
      <w:r w:rsidR="0089290E" w:rsidRPr="000B09B9">
        <w:t xml:space="preserve">per </w:t>
      </w:r>
      <w:r w:rsidRPr="000B09B9">
        <w:t>QALY</w:t>
      </w:r>
      <w:r w:rsidR="0089290E" w:rsidRPr="000B09B9">
        <w:t xml:space="preserve"> gained</w:t>
      </w:r>
      <w:r w:rsidRPr="000B09B9">
        <w:t>. The PBAC also noted the price reduction of 21% proposed in the pre-PBAC response, which would result in the same ICER as submitted (</w:t>
      </w:r>
      <w:r w:rsidR="00B44966" w:rsidRPr="00B44966">
        <w:t>$115,000 to &lt; $135,000</w:t>
      </w:r>
      <w:r w:rsidR="00C13012" w:rsidRPr="000B09B9">
        <w:t>per QALY gained</w:t>
      </w:r>
      <w:r w:rsidRPr="000B09B9">
        <w:t xml:space="preserve"> – base case corrected during evaluation). The PBAC reviewed the rationale for the updated base case proposed in the pre-PBAC response and considered that, in the context of the limited clinical evidence available, it was reasonable to accept the inputs as specified in the pre-PBAC response, however the PBAC considered that </w:t>
      </w:r>
      <w:r w:rsidR="00A92343" w:rsidRPr="000B09B9">
        <w:t xml:space="preserve">the presented </w:t>
      </w:r>
      <w:r w:rsidRPr="000B09B9">
        <w:t>ICER</w:t>
      </w:r>
      <w:r w:rsidR="005027B9" w:rsidRPr="000B09B9">
        <w:t xml:space="preserve"> of </w:t>
      </w:r>
      <w:r w:rsidR="00B44966" w:rsidRPr="00B44966">
        <w:t>$115,000 to &lt; $135,000</w:t>
      </w:r>
      <w:r w:rsidR="005027B9" w:rsidRPr="000B09B9">
        <w:t>per QALY gained</w:t>
      </w:r>
      <w:r w:rsidRPr="000B09B9">
        <w:t xml:space="preserve"> </w:t>
      </w:r>
      <w:r w:rsidR="005027B9" w:rsidRPr="000B09B9">
        <w:t>was</w:t>
      </w:r>
      <w:r w:rsidRPr="000B09B9">
        <w:t xml:space="preserve"> high and uncertain. The PBAC considered that the cost-effectiveness of amifampridine would be considered acceptable if the pre-PBAC response assumptions were used, and the price was reduced to reflect an ICER less than $85,000/QALY.  </w:t>
      </w:r>
    </w:p>
    <w:p w14:paraId="234B17E5" w14:textId="77777777" w:rsidR="00013B55" w:rsidRPr="000B09B9" w:rsidRDefault="00BB2288" w:rsidP="00DF3A12">
      <w:pPr>
        <w:widowControl w:val="0"/>
        <w:numPr>
          <w:ilvl w:val="1"/>
          <w:numId w:val="1"/>
        </w:numPr>
        <w:spacing w:after="120"/>
      </w:pPr>
      <w:r w:rsidRPr="000B09B9">
        <w:t xml:space="preserve">The </w:t>
      </w:r>
      <w:r w:rsidR="002A1991" w:rsidRPr="000B09B9">
        <w:t xml:space="preserve">PBAC noted that the financial implications analysis was based on historical patient sales data. </w:t>
      </w:r>
      <w:r w:rsidRPr="000B09B9">
        <w:t xml:space="preserve">The </w:t>
      </w:r>
      <w:r w:rsidR="002A1991" w:rsidRPr="000B09B9">
        <w:t>PBAC considered that given that LEMS is a rare disease and that there is limited data available on the Australian LEMS population, the approach applied was reasonable.</w:t>
      </w:r>
    </w:p>
    <w:p w14:paraId="12E07A6B" w14:textId="77777777" w:rsidR="0045426D" w:rsidRPr="000B09B9" w:rsidRDefault="0045426D" w:rsidP="00013B55">
      <w:pPr>
        <w:widowControl w:val="0"/>
        <w:numPr>
          <w:ilvl w:val="1"/>
          <w:numId w:val="1"/>
        </w:numPr>
      </w:pPr>
      <w:r w:rsidRPr="000B09B9">
        <w:t xml:space="preserve">The PBAC considered the outstanding issues could be easily resolved in a simple resubmission for </w:t>
      </w:r>
      <w:r w:rsidR="005E65F8" w:rsidRPr="000B09B9">
        <w:t>amifampridine</w:t>
      </w:r>
      <w:r w:rsidRPr="000B09B9">
        <w:t xml:space="preserve"> using the early re-entry pathway. If the sponsor accepts this pathway, the following changes may address these outstanding issues without requiring further re-evaluation. </w:t>
      </w:r>
    </w:p>
    <w:p w14:paraId="48C526A0" w14:textId="77777777" w:rsidR="008E2F54" w:rsidRPr="000B09B9" w:rsidRDefault="008E2F54" w:rsidP="002F523F">
      <w:pPr>
        <w:pStyle w:val="ListParagraph"/>
        <w:widowControl w:val="0"/>
        <w:numPr>
          <w:ilvl w:val="0"/>
          <w:numId w:val="39"/>
        </w:numPr>
        <w:spacing w:after="160"/>
        <w:ind w:left="1134" w:hanging="425"/>
      </w:pPr>
      <w:r w:rsidRPr="000B09B9">
        <w:t xml:space="preserve">A price reduction to achieve an ICER of </w:t>
      </w:r>
      <w:r w:rsidR="00F9380F" w:rsidRPr="000B09B9">
        <w:t xml:space="preserve">less than </w:t>
      </w:r>
      <w:r w:rsidRPr="00796214">
        <w:t>$</w:t>
      </w:r>
      <w:r w:rsidR="00F9380F" w:rsidRPr="00796214">
        <w:t>85,000</w:t>
      </w:r>
      <w:r w:rsidRPr="00796214">
        <w:t>/QALY</w:t>
      </w:r>
      <w:r w:rsidR="009C0686" w:rsidRPr="000B09B9">
        <w:t xml:space="preserve"> gained</w:t>
      </w:r>
      <w:r w:rsidRPr="000B09B9">
        <w:t xml:space="preserve"> based on the scenario outlined </w:t>
      </w:r>
      <w:r w:rsidRPr="00796214">
        <w:t>in paragraph 7.</w:t>
      </w:r>
      <w:r w:rsidR="00D75621" w:rsidRPr="00796214">
        <w:t>10</w:t>
      </w:r>
      <w:r w:rsidRPr="00796214">
        <w:t>.</w:t>
      </w:r>
      <w:r w:rsidRPr="000B09B9">
        <w:t xml:space="preserve"> </w:t>
      </w:r>
    </w:p>
    <w:p w14:paraId="4E67941A" w14:textId="77777777" w:rsidR="008E2F54" w:rsidRPr="000B09B9" w:rsidRDefault="00117864" w:rsidP="008E2F54">
      <w:pPr>
        <w:pStyle w:val="ListParagraph"/>
        <w:widowControl w:val="0"/>
        <w:numPr>
          <w:ilvl w:val="0"/>
          <w:numId w:val="39"/>
        </w:numPr>
        <w:spacing w:after="160"/>
        <w:ind w:left="1134" w:hanging="425"/>
      </w:pPr>
      <w:r w:rsidRPr="000B09B9">
        <w:t>R</w:t>
      </w:r>
      <w:r w:rsidR="008E2F54" w:rsidRPr="000B09B9">
        <w:t xml:space="preserve">ecalculation of the financial implications using the revised </w:t>
      </w:r>
      <w:r w:rsidRPr="000B09B9">
        <w:t>amifampridine</w:t>
      </w:r>
      <w:r w:rsidR="008E2F54" w:rsidRPr="000B09B9">
        <w:t xml:space="preserve"> price. </w:t>
      </w:r>
    </w:p>
    <w:p w14:paraId="76A98A53" w14:textId="77777777" w:rsidR="0045426D" w:rsidRPr="000B09B9" w:rsidRDefault="0045426D" w:rsidP="0045426D">
      <w:pPr>
        <w:pStyle w:val="3-BodyText"/>
        <w:numPr>
          <w:ilvl w:val="0"/>
          <w:numId w:val="0"/>
        </w:numPr>
        <w:ind w:left="720"/>
      </w:pPr>
      <w:r w:rsidRPr="000B09B9">
        <w:t>The early re-entry resubmission must be lodged by week 7 of the current PBAC cycle or the next cycle. If the issues cannot be addressed by the sponsor in a simple resubmission and the early re-entry timing is not acceptable, a standard re-entry pathway is available.</w:t>
      </w:r>
    </w:p>
    <w:p w14:paraId="612C8D08" w14:textId="77777777" w:rsidR="00BD4881" w:rsidRPr="000B09B9" w:rsidRDefault="00BD4881" w:rsidP="00A84378">
      <w:pPr>
        <w:widowControl w:val="0"/>
        <w:numPr>
          <w:ilvl w:val="1"/>
          <w:numId w:val="1"/>
        </w:numPr>
        <w:spacing w:after="120"/>
        <w:rPr>
          <w:rFonts w:asciiTheme="minorHAnsi" w:hAnsiTheme="minorHAnsi"/>
          <w:bCs/>
          <w:snapToGrid w:val="0"/>
        </w:rPr>
      </w:pPr>
      <w:r w:rsidRPr="000B09B9">
        <w:rPr>
          <w:rFonts w:asciiTheme="minorHAnsi" w:hAnsiTheme="minorHAnsi"/>
          <w:bCs/>
          <w:snapToGrid w:val="0"/>
        </w:rPr>
        <w:t xml:space="preserve">The </w:t>
      </w:r>
      <w:r w:rsidR="00A84378" w:rsidRPr="000B09B9">
        <w:rPr>
          <w:rFonts w:asciiTheme="minorHAnsi" w:hAnsiTheme="minorHAnsi"/>
          <w:bCs/>
          <w:snapToGrid w:val="0"/>
        </w:rPr>
        <w:t>PBAC noted that this submission is eligible for an Independent Review.</w:t>
      </w:r>
    </w:p>
    <w:p w14:paraId="052B67EB" w14:textId="77777777" w:rsidR="00BD4881" w:rsidRPr="000B09B9" w:rsidRDefault="00BD4881" w:rsidP="00BD4881">
      <w:pPr>
        <w:spacing w:before="240"/>
        <w:rPr>
          <w:rFonts w:asciiTheme="minorHAnsi" w:hAnsiTheme="minorHAnsi"/>
          <w:b/>
          <w:bCs/>
          <w:snapToGrid w:val="0"/>
        </w:rPr>
      </w:pPr>
      <w:r w:rsidRPr="000B09B9">
        <w:rPr>
          <w:rFonts w:asciiTheme="minorHAnsi" w:hAnsiTheme="minorHAnsi"/>
          <w:b/>
          <w:bCs/>
          <w:snapToGrid w:val="0"/>
        </w:rPr>
        <w:t>Outcome:</w:t>
      </w:r>
    </w:p>
    <w:p w14:paraId="6D3E4715" w14:textId="77777777" w:rsidR="0004596A" w:rsidRDefault="0004596A" w:rsidP="00BD4881">
      <w:pPr>
        <w:rPr>
          <w:rFonts w:asciiTheme="minorHAnsi" w:hAnsiTheme="minorHAnsi"/>
          <w:bCs/>
          <w:snapToGrid w:val="0"/>
        </w:rPr>
      </w:pPr>
      <w:r w:rsidRPr="000B09B9">
        <w:rPr>
          <w:rFonts w:asciiTheme="minorHAnsi" w:hAnsiTheme="minorHAnsi"/>
          <w:bCs/>
          <w:snapToGrid w:val="0"/>
        </w:rPr>
        <w:t>Not recommended</w:t>
      </w:r>
      <w:bookmarkEnd w:id="58"/>
      <w:bookmarkEnd w:id="59"/>
    </w:p>
    <w:p w14:paraId="0EDEACDF" w14:textId="77777777" w:rsidR="00686188" w:rsidRDefault="00686188" w:rsidP="00686188">
      <w:pPr>
        <w:pStyle w:val="2-SectionHeading"/>
        <w:rPr>
          <w:bCs/>
          <w:lang w:val="en-GB"/>
        </w:rPr>
      </w:pPr>
      <w:r w:rsidRPr="00C07617">
        <w:t>Context for Decision</w:t>
      </w:r>
    </w:p>
    <w:p w14:paraId="0F9A98C4" w14:textId="77777777" w:rsidR="00686188" w:rsidRPr="007129F2" w:rsidRDefault="00686188" w:rsidP="00686188">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8E3620F" w14:textId="77777777" w:rsidR="00686188" w:rsidRPr="00C07617" w:rsidRDefault="00686188" w:rsidP="00686188">
      <w:pPr>
        <w:pStyle w:val="2-SectionHeading"/>
        <w:rPr>
          <w:b w:val="0"/>
        </w:rPr>
      </w:pPr>
      <w:r>
        <w:t>Sponsor’s Comment</w:t>
      </w:r>
    </w:p>
    <w:p w14:paraId="06359E89" w14:textId="77777777" w:rsidR="00686188" w:rsidRPr="001179AC" w:rsidRDefault="00686188" w:rsidP="00686188">
      <w:pPr>
        <w:spacing w:after="120"/>
        <w:ind w:left="426" w:firstLine="294"/>
        <w:rPr>
          <w:rFonts w:asciiTheme="minorHAnsi" w:hAnsiTheme="minorHAnsi"/>
          <w:bCs/>
        </w:rPr>
      </w:pPr>
      <w:r w:rsidRPr="00C07617">
        <w:rPr>
          <w:rFonts w:asciiTheme="minorHAnsi" w:hAnsiTheme="minorHAnsi"/>
          <w:bCs/>
        </w:rPr>
        <w:t>The sponsor had no comment.</w:t>
      </w:r>
    </w:p>
    <w:p w14:paraId="520FB361" w14:textId="77777777" w:rsidR="00686188" w:rsidRPr="00E0308E" w:rsidRDefault="00686188" w:rsidP="00BD4881">
      <w:pPr>
        <w:rPr>
          <w:rFonts w:asciiTheme="minorHAnsi" w:hAnsiTheme="minorHAnsi"/>
          <w:bCs/>
          <w:snapToGrid w:val="0"/>
        </w:rPr>
      </w:pPr>
    </w:p>
    <w:sectPr w:rsidR="00686188" w:rsidRPr="00E0308E" w:rsidSect="00D2024F">
      <w:headerReference w:type="default" r:id="rId10"/>
      <w:footerReference w:type="default" r:id="rId11"/>
      <w:footnotePr>
        <w:numFmt w:val="lowerLetter"/>
      </w:footnotePr>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772BC" w14:textId="77777777" w:rsidR="00BA0DFF" w:rsidRDefault="00BA0DFF" w:rsidP="00124A51">
      <w:r>
        <w:separator/>
      </w:r>
    </w:p>
    <w:p w14:paraId="0BB94595" w14:textId="77777777" w:rsidR="00BA0DFF" w:rsidRDefault="00BA0DFF"/>
  </w:endnote>
  <w:endnote w:type="continuationSeparator" w:id="0">
    <w:p w14:paraId="20D2B99C" w14:textId="77777777" w:rsidR="00BA0DFF" w:rsidRDefault="00BA0DFF" w:rsidP="00124A51">
      <w:r>
        <w:continuationSeparator/>
      </w:r>
    </w:p>
    <w:p w14:paraId="4F274F5E" w14:textId="77777777" w:rsidR="00BA0DFF" w:rsidRDefault="00BA0DFF"/>
  </w:endnote>
  <w:endnote w:type="continuationNotice" w:id="1">
    <w:p w14:paraId="0EDC5EA3" w14:textId="77777777" w:rsidR="00BA0DFF" w:rsidRDefault="00BA0D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Times">
    <w:altName w:val="﷽﷽﷽﷽﷽﷽桀頺ȷ"/>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D3485" w14:textId="77777777" w:rsidR="00BA0DFF" w:rsidRDefault="00BA0DFF">
    <w:pPr>
      <w:pStyle w:val="Footer"/>
      <w:jc w:val="center"/>
    </w:pPr>
  </w:p>
  <w:p w14:paraId="40748B30" w14:textId="40419577" w:rsidR="00BA0DFF" w:rsidRPr="007C1CD9" w:rsidRDefault="000868D1" w:rsidP="00E0308E">
    <w:pPr>
      <w:pStyle w:val="Footer"/>
      <w:jc w:val="center"/>
    </w:pPr>
    <w:sdt>
      <w:sdtPr>
        <w:id w:val="-1462417271"/>
        <w:docPartObj>
          <w:docPartGallery w:val="Page Numbers (Bottom of Page)"/>
          <w:docPartUnique/>
        </w:docPartObj>
      </w:sdtPr>
      <w:sdtEndPr>
        <w:rPr>
          <w:noProof/>
        </w:rPr>
      </w:sdtEndPr>
      <w:sdtContent>
        <w:r w:rsidR="00BA0DFF" w:rsidRPr="00BC2023">
          <w:rPr>
            <w:b/>
          </w:rPr>
          <w:fldChar w:fldCharType="begin"/>
        </w:r>
        <w:r w:rsidR="00BA0DFF" w:rsidRPr="00BC2023">
          <w:rPr>
            <w:b/>
          </w:rPr>
          <w:instrText xml:space="preserve"> PAGE   \* MERGEFORMAT </w:instrText>
        </w:r>
        <w:r w:rsidR="00BA0DFF" w:rsidRPr="00BC2023">
          <w:rPr>
            <w:b/>
          </w:rPr>
          <w:fldChar w:fldCharType="separate"/>
        </w:r>
        <w:r>
          <w:rPr>
            <w:b/>
            <w:noProof/>
          </w:rPr>
          <w:t>8</w:t>
        </w:r>
        <w:r w:rsidR="00BA0DFF" w:rsidRPr="00BC2023">
          <w:rPr>
            <w:b/>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BBFB0" w14:textId="77777777" w:rsidR="00BA0DFF" w:rsidRDefault="00BA0DFF" w:rsidP="00124A51">
      <w:r>
        <w:separator/>
      </w:r>
    </w:p>
    <w:p w14:paraId="35B59CC7" w14:textId="77777777" w:rsidR="00BA0DFF" w:rsidRDefault="00BA0DFF"/>
  </w:footnote>
  <w:footnote w:type="continuationSeparator" w:id="0">
    <w:p w14:paraId="71A4901E" w14:textId="77777777" w:rsidR="00BA0DFF" w:rsidRDefault="00BA0DFF" w:rsidP="00124A51">
      <w:r>
        <w:continuationSeparator/>
      </w:r>
    </w:p>
    <w:p w14:paraId="5139C37C" w14:textId="77777777" w:rsidR="00BA0DFF" w:rsidRDefault="00BA0DFF"/>
  </w:footnote>
  <w:footnote w:type="continuationNotice" w:id="1">
    <w:p w14:paraId="0BE23D3D" w14:textId="77777777" w:rsidR="00BA0DFF" w:rsidRDefault="00BA0DFF"/>
  </w:footnote>
  <w:footnote w:id="2">
    <w:p w14:paraId="1DB16E99" w14:textId="77777777" w:rsidR="00BA0DFF" w:rsidRPr="000B7E3C" w:rsidRDefault="00BA0DFF" w:rsidP="0002346E">
      <w:pPr>
        <w:pStyle w:val="FootnoteText"/>
      </w:pPr>
      <w:r w:rsidRPr="000B7E3C">
        <w:rPr>
          <w:rStyle w:val="FootnoteReference"/>
        </w:rPr>
        <w:footnoteRef/>
      </w:r>
      <w:r w:rsidRPr="000B7E3C">
        <w:rPr>
          <w:rFonts w:eastAsia="Calibri"/>
          <w:iCs/>
        </w:rPr>
        <w:t>Weinberg (2021). Lambert-Eaton myasthenic syndrome: treatment and prognosis. UpToDate, Inc., accessed 20 September 2021.</w:t>
      </w:r>
    </w:p>
  </w:footnote>
  <w:footnote w:id="3">
    <w:p w14:paraId="3AECB268" w14:textId="77777777" w:rsidR="00BA0DFF" w:rsidRPr="008B0A7B" w:rsidRDefault="00BA0DFF">
      <w:pPr>
        <w:pStyle w:val="FootnoteText"/>
      </w:pPr>
      <w:r w:rsidRPr="008B0A7B">
        <w:rPr>
          <w:rStyle w:val="FootnoteReference"/>
        </w:rPr>
        <w:footnoteRef/>
      </w:r>
      <w:r w:rsidRPr="008B0A7B">
        <w:t>National Blood Authority (2018). Criteria for Clinical Use of Immunoglobulin in Australia: (Lambert-Eaton Myasthenic Syndrome). In National Blood Authority Australia (Vol. 3).</w:t>
      </w:r>
    </w:p>
  </w:footnote>
  <w:footnote w:id="4">
    <w:p w14:paraId="25851CEB" w14:textId="77777777" w:rsidR="00BA0DFF" w:rsidRDefault="00BA0DFF">
      <w:pPr>
        <w:pStyle w:val="FootnoteText"/>
      </w:pPr>
      <w:r>
        <w:rPr>
          <w:rStyle w:val="FootnoteReference"/>
        </w:rPr>
        <w:footnoteRef/>
      </w:r>
      <w:r>
        <w:t xml:space="preserve"> Huang SL, Hsieh CL, Wu RM, Tai CH, Lin CH, Lu WS. Minimal detectable change of the timed "up &amp;amp; go" test and the dynamic gait index in people with Parkinson disease.</w:t>
      </w:r>
      <w:r w:rsidRPr="00245287">
        <w:t xml:space="preserve"> </w:t>
      </w:r>
      <w:r>
        <w:t>Phys Ther. 2011 Jan; 91(1):114-21.</w:t>
      </w:r>
    </w:p>
  </w:footnote>
  <w:footnote w:id="5">
    <w:p w14:paraId="7EB334BD" w14:textId="77777777" w:rsidR="00BA0DFF" w:rsidRPr="000610B6" w:rsidRDefault="00BA0DFF" w:rsidP="000610B6">
      <w:pPr>
        <w:pStyle w:val="CaptionFootnote"/>
        <w:rPr>
          <w:rFonts w:eastAsia="Calibri"/>
          <w:snapToGrid w:val="0"/>
          <w:sz w:val="20"/>
          <w:szCs w:val="20"/>
        </w:rPr>
      </w:pPr>
      <w:r w:rsidRPr="000610B6">
        <w:rPr>
          <w:rStyle w:val="FootnoteReference"/>
          <w:sz w:val="20"/>
          <w:szCs w:val="20"/>
        </w:rPr>
        <w:footnoteRef/>
      </w:r>
      <w:r w:rsidRPr="000610B6">
        <w:rPr>
          <w:sz w:val="20"/>
          <w:szCs w:val="20"/>
        </w:rPr>
        <w:t xml:space="preserve"> </w:t>
      </w:r>
      <w:r>
        <w:rPr>
          <w:sz w:val="20"/>
          <w:szCs w:val="20"/>
        </w:rPr>
        <w:t xml:space="preserve">Barnett C, Katzberg H, Nabavi M, Vril V, </w:t>
      </w:r>
      <w:r w:rsidRPr="000610B6">
        <w:rPr>
          <w:rFonts w:eastAsia="Calibri"/>
          <w:snapToGrid w:val="0"/>
          <w:sz w:val="20"/>
          <w:szCs w:val="20"/>
        </w:rPr>
        <w:t xml:space="preserve">The Quantitative Myasthenia Gravis Score Comparison </w:t>
      </w:r>
      <w:r>
        <w:rPr>
          <w:rFonts w:eastAsia="Calibri"/>
          <w:snapToGrid w:val="0"/>
          <w:sz w:val="20"/>
          <w:szCs w:val="20"/>
        </w:rPr>
        <w:t>w</w:t>
      </w:r>
      <w:r w:rsidRPr="000610B6">
        <w:rPr>
          <w:rFonts w:eastAsia="Calibri"/>
          <w:snapToGrid w:val="0"/>
          <w:sz w:val="20"/>
          <w:szCs w:val="20"/>
        </w:rPr>
        <w:t>ith Clinical, Electrophysiological, and Laboratory Markers</w:t>
      </w:r>
      <w:r>
        <w:rPr>
          <w:rFonts w:eastAsia="Calibri"/>
          <w:snapToGrid w:val="0"/>
          <w:sz w:val="20"/>
          <w:szCs w:val="20"/>
        </w:rPr>
        <w:t xml:space="preserve">. </w:t>
      </w:r>
      <w:r w:rsidRPr="000610B6">
        <w:rPr>
          <w:rFonts w:eastAsia="Calibri"/>
          <w:snapToGrid w:val="0"/>
          <w:sz w:val="20"/>
          <w:szCs w:val="20"/>
        </w:rPr>
        <w:t>Journal of Clinical Neuromuscular Disease: </w:t>
      </w:r>
      <w:hyperlink r:id="rId1" w:history="1">
        <w:r w:rsidRPr="000610B6">
          <w:rPr>
            <w:rFonts w:eastAsia="Calibri"/>
            <w:snapToGrid w:val="0"/>
            <w:sz w:val="20"/>
            <w:szCs w:val="20"/>
          </w:rPr>
          <w:t>June 2012 - Volume 13 - Issue 4 - p 201-205</w:t>
        </w:r>
      </w:hyperlink>
      <w:r>
        <w:rPr>
          <w:rFonts w:eastAsia="Calibri"/>
          <w:snapToGrid w:val="0"/>
          <w:sz w:val="20"/>
          <w:szCs w:val="20"/>
        </w:rPr>
        <w:t>.</w:t>
      </w:r>
    </w:p>
    <w:p w14:paraId="3BFB40E7" w14:textId="77777777" w:rsidR="00BA0DFF" w:rsidRDefault="00BA0DFF">
      <w:pPr>
        <w:pStyle w:val="FootnoteText"/>
      </w:pPr>
    </w:p>
  </w:footnote>
  <w:footnote w:id="6">
    <w:p w14:paraId="30F5BCB4" w14:textId="77777777" w:rsidR="00BA0DFF" w:rsidRDefault="00BA0DFF">
      <w:pPr>
        <w:pStyle w:val="FootnoteText"/>
      </w:pPr>
      <w:r>
        <w:rPr>
          <w:rStyle w:val="FootnoteReference"/>
        </w:rPr>
        <w:footnoteRef/>
      </w:r>
      <w:r>
        <w:t xml:space="preserve"> </w:t>
      </w:r>
      <w:r w:rsidRPr="005A3F03">
        <w:t>https://www.scottishmedicines.org.uk/medicines-advice/amifampridine-firdapse-fullsubmission-66010/</w:t>
      </w:r>
    </w:p>
  </w:footnote>
  <w:footnote w:id="7">
    <w:p w14:paraId="5E55169D" w14:textId="77777777" w:rsidR="00BA0DFF" w:rsidRDefault="00BA0DFF">
      <w:pPr>
        <w:pStyle w:val="FootnoteText"/>
      </w:pPr>
      <w:r>
        <w:rPr>
          <w:rStyle w:val="FootnoteReference"/>
        </w:rPr>
        <w:footnoteRef/>
      </w:r>
      <w:r>
        <w:t xml:space="preserve"> </w:t>
      </w:r>
      <w:r w:rsidRPr="00E96847">
        <w:t>https://www.cadth.ca/amifampridine</w:t>
      </w:r>
    </w:p>
  </w:footnote>
  <w:footnote w:id="8">
    <w:p w14:paraId="01515AFB" w14:textId="77777777" w:rsidR="00BA0DFF" w:rsidRDefault="00BA0DFF" w:rsidP="00612830">
      <w:pPr>
        <w:pStyle w:val="FootnoteText"/>
      </w:pPr>
      <w:r>
        <w:rPr>
          <w:rStyle w:val="FootnoteReference"/>
        </w:rPr>
        <w:footnoteRef/>
      </w:r>
      <w:r>
        <w:t xml:space="preserve"> Lutz Harms, Jörn-Peter Sieb, Angela E. Williams, Ryan Graham, Rita Shlaen, Volker Claus &amp; Carmen Pfiffner (2012) Long-term disease history, clinical symptoms, health status, and healthcare utilization in patients suffering from Lambert Eaton myasthenic syndrome: Results of a patient interview survey in Germany, Journal of Medical Economics, 15:3, 521-530, DOI: 10.3111/13696998.2012.660897</w:t>
      </w:r>
    </w:p>
  </w:footnote>
  <w:footnote w:id="9">
    <w:p w14:paraId="291C0FC6" w14:textId="77777777" w:rsidR="00BA0DFF" w:rsidRDefault="00BA0DFF">
      <w:pPr>
        <w:pStyle w:val="FootnoteText"/>
      </w:pPr>
      <w:r>
        <w:rPr>
          <w:rStyle w:val="FootnoteReference"/>
        </w:rPr>
        <w:footnoteRef/>
      </w:r>
      <w:r>
        <w:t xml:space="preserve"> </w:t>
      </w:r>
      <w:r w:rsidRPr="005A3F03">
        <w:t>https://www.cadth.ca/amifampridine</w:t>
      </w:r>
    </w:p>
  </w:footnote>
  <w:footnote w:id="10">
    <w:p w14:paraId="3495E870" w14:textId="77777777" w:rsidR="00BA0DFF" w:rsidRDefault="00BA0DFF">
      <w:pPr>
        <w:pStyle w:val="FootnoteText"/>
      </w:pPr>
      <w:r>
        <w:rPr>
          <w:rStyle w:val="FootnoteReference"/>
        </w:rPr>
        <w:footnoteRef/>
      </w:r>
      <w:r>
        <w:t xml:space="preserve"> </w:t>
      </w:r>
      <w:r w:rsidRPr="005A3F03">
        <w:t>https://www.scottishmedicines.org.uk/medicines-advice/amifampridine-firdapse-fullsubmission-66010/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059DB" w14:textId="77777777" w:rsidR="00BA0DFF" w:rsidRPr="00056684" w:rsidRDefault="00BA0DFF" w:rsidP="00BC2023">
    <w:pPr>
      <w:pStyle w:val="Header"/>
      <w:ind w:left="360"/>
      <w:rPr>
        <w:rFonts w:asciiTheme="minorHAnsi" w:hAnsiTheme="minorHAnsi"/>
        <w:i/>
        <w:color w:val="808080"/>
      </w:rPr>
    </w:pPr>
    <w:r>
      <w:rPr>
        <w:rFonts w:asciiTheme="minorHAnsi" w:hAnsi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November 2021</w:t>
    </w:r>
    <w:r w:rsidRPr="00056684">
      <w:rPr>
        <w:rFonts w:asciiTheme="minorHAnsi" w:hAnsiTheme="minorHAnsi"/>
        <w:i/>
        <w:color w:val="808080"/>
      </w:rPr>
      <w:t xml:space="preserve"> PBAC Meeting</w:t>
    </w:r>
  </w:p>
  <w:p w14:paraId="76D3D802" w14:textId="77777777" w:rsidR="00BA0DFF" w:rsidRDefault="00BA0DF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1C8A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905787"/>
    <w:multiLevelType w:val="hybridMultilevel"/>
    <w:tmpl w:val="DC16B808"/>
    <w:lvl w:ilvl="0" w:tplc="7CE4C8B4">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535FF3"/>
    <w:multiLevelType w:val="hybridMultilevel"/>
    <w:tmpl w:val="4BB857B0"/>
    <w:lvl w:ilvl="0" w:tplc="CD245B7C">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721607"/>
    <w:multiLevelType w:val="hybridMultilevel"/>
    <w:tmpl w:val="745C4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60BDE"/>
    <w:multiLevelType w:val="hybridMultilevel"/>
    <w:tmpl w:val="71485BF0"/>
    <w:lvl w:ilvl="0" w:tplc="DC2E7B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6B7DE6"/>
    <w:multiLevelType w:val="hybridMultilevel"/>
    <w:tmpl w:val="0396DC68"/>
    <w:lvl w:ilvl="0" w:tplc="CD245B7C">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2764C9"/>
    <w:multiLevelType w:val="hybridMultilevel"/>
    <w:tmpl w:val="CF1016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3954FF"/>
    <w:multiLevelType w:val="hybridMultilevel"/>
    <w:tmpl w:val="F3826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AC0CB4"/>
    <w:multiLevelType w:val="hybridMultilevel"/>
    <w:tmpl w:val="F64E9C7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2F47733"/>
    <w:multiLevelType w:val="hybridMultilevel"/>
    <w:tmpl w:val="86C22F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85F5808"/>
    <w:multiLevelType w:val="hybridMultilevel"/>
    <w:tmpl w:val="ED1A8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682AD5"/>
    <w:multiLevelType w:val="hybridMultilevel"/>
    <w:tmpl w:val="4B7C21A0"/>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6037AE"/>
    <w:multiLevelType w:val="hybridMultilevel"/>
    <w:tmpl w:val="BAE6A5BC"/>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8D67A6"/>
    <w:multiLevelType w:val="hybridMultilevel"/>
    <w:tmpl w:val="48EAC5B0"/>
    <w:lvl w:ilvl="0" w:tplc="04090001">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C010A71"/>
    <w:multiLevelType w:val="hybridMultilevel"/>
    <w:tmpl w:val="9DC28188"/>
    <w:lvl w:ilvl="0" w:tplc="04090001">
      <w:start w:val="1"/>
      <w:numFmt w:val="bullet"/>
      <w:pStyle w:val="Table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6C0BD9"/>
    <w:multiLevelType w:val="hybridMultilevel"/>
    <w:tmpl w:val="71485BF0"/>
    <w:lvl w:ilvl="0" w:tplc="DC2E7B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3C267DE"/>
    <w:multiLevelType w:val="hybridMultilevel"/>
    <w:tmpl w:val="139CA17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9496CCC"/>
    <w:multiLevelType w:val="hybridMultilevel"/>
    <w:tmpl w:val="2D14A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244399"/>
    <w:multiLevelType w:val="hybridMultilevel"/>
    <w:tmpl w:val="0DE2D9B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A05864"/>
    <w:multiLevelType w:val="hybridMultilevel"/>
    <w:tmpl w:val="965A8B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84D033C"/>
    <w:multiLevelType w:val="multilevel"/>
    <w:tmpl w:val="398AEDA2"/>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8D305CC"/>
    <w:multiLevelType w:val="hybridMultilevel"/>
    <w:tmpl w:val="2E108C2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18"/>
  </w:num>
  <w:num w:numId="3">
    <w:abstractNumId w:val="20"/>
  </w:num>
  <w:num w:numId="4">
    <w:abstractNumId w:val="0"/>
  </w:num>
  <w:num w:numId="5">
    <w:abstractNumId w:val="33"/>
  </w:num>
  <w:num w:numId="6">
    <w:abstractNumId w:val="21"/>
  </w:num>
  <w:num w:numId="7">
    <w:abstractNumId w:val="15"/>
  </w:num>
  <w:num w:numId="8">
    <w:abstractNumId w:val="26"/>
  </w:num>
  <w:num w:numId="9">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28"/>
  </w:num>
  <w:num w:numId="17">
    <w:abstractNumId w:val="14"/>
  </w:num>
  <w:num w:numId="18">
    <w:abstractNumId w:val="17"/>
  </w:num>
  <w:num w:numId="19">
    <w:abstractNumId w:val="29"/>
  </w:num>
  <w:num w:numId="20">
    <w:abstractNumId w:val="4"/>
  </w:num>
  <w:num w:numId="21">
    <w:abstractNumId w:val="22"/>
  </w:num>
  <w:num w:numId="22">
    <w:abstractNumId w:val="19"/>
  </w:num>
  <w:num w:numId="23">
    <w:abstractNumId w:val="2"/>
  </w:num>
  <w:num w:numId="24">
    <w:abstractNumId w:val="12"/>
  </w:num>
  <w:num w:numId="25">
    <w:abstractNumId w:val="16"/>
  </w:num>
  <w:num w:numId="26">
    <w:abstractNumId w:val="27"/>
  </w:num>
  <w:num w:numId="27">
    <w:abstractNumId w:val="8"/>
  </w:num>
  <w:num w:numId="28">
    <w:abstractNumId w:val="5"/>
  </w:num>
  <w:num w:numId="29">
    <w:abstractNumId w:val="23"/>
  </w:num>
  <w:num w:numId="30">
    <w:abstractNumId w:val="24"/>
  </w:num>
  <w:num w:numId="31">
    <w:abstractNumId w:val="3"/>
  </w:num>
  <w:num w:numId="32">
    <w:abstractNumId w:val="1"/>
  </w:num>
  <w:num w:numId="33">
    <w:abstractNumId w:val="11"/>
  </w:num>
  <w:num w:numId="34">
    <w:abstractNumId w:val="13"/>
  </w:num>
  <w:num w:numId="35">
    <w:abstractNumId w:val="10"/>
  </w:num>
  <w:num w:numId="3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9"/>
  </w:num>
  <w:num w:numId="39">
    <w:abstractNumId w:val="6"/>
  </w:num>
  <w:num w:numId="40">
    <w:abstractNumId w:val="7"/>
  </w:num>
  <w:num w:numId="41">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31"/>
  </w:num>
  <w:num w:numId="44">
    <w:abstractNumId w:val="31"/>
  </w:num>
  <w:num w:numId="45">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removePersonalInformation/>
  <w:removeDateAndTime/>
  <w:hideSpellingErrors/>
  <w:activeWritingStyle w:appName="MSWord" w:lang="es-ES" w:vendorID="64" w:dllVersion="6" w:nlCheck="1" w:checkStyle="0"/>
  <w:activeWritingStyle w:appName="MSWord" w:lang="en-AU" w:vendorID="64" w:dllVersion="6" w:nlCheck="1" w:checkStyle="1"/>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6145"/>
  </w:hdrShapeDefaults>
  <w:footnotePr>
    <w:numFmt w:val="lowerLette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0BD"/>
    <w:rsid w:val="00000282"/>
    <w:rsid w:val="00000790"/>
    <w:rsid w:val="0000110B"/>
    <w:rsid w:val="00001179"/>
    <w:rsid w:val="000026C4"/>
    <w:rsid w:val="0000305D"/>
    <w:rsid w:val="00003499"/>
    <w:rsid w:val="000039B7"/>
    <w:rsid w:val="0000433A"/>
    <w:rsid w:val="00004644"/>
    <w:rsid w:val="00004F4D"/>
    <w:rsid w:val="0000639A"/>
    <w:rsid w:val="00006F68"/>
    <w:rsid w:val="00010313"/>
    <w:rsid w:val="00010465"/>
    <w:rsid w:val="000118CE"/>
    <w:rsid w:val="00011D18"/>
    <w:rsid w:val="000125F6"/>
    <w:rsid w:val="000129F4"/>
    <w:rsid w:val="00013247"/>
    <w:rsid w:val="00013B55"/>
    <w:rsid w:val="00015220"/>
    <w:rsid w:val="00015886"/>
    <w:rsid w:val="00015EA5"/>
    <w:rsid w:val="00016266"/>
    <w:rsid w:val="000162EF"/>
    <w:rsid w:val="00020471"/>
    <w:rsid w:val="0002049A"/>
    <w:rsid w:val="000207C9"/>
    <w:rsid w:val="00020955"/>
    <w:rsid w:val="00020D98"/>
    <w:rsid w:val="00021189"/>
    <w:rsid w:val="00021DE8"/>
    <w:rsid w:val="0002225F"/>
    <w:rsid w:val="00022A7F"/>
    <w:rsid w:val="00022C47"/>
    <w:rsid w:val="000230F6"/>
    <w:rsid w:val="0002343F"/>
    <w:rsid w:val="0002346E"/>
    <w:rsid w:val="00023763"/>
    <w:rsid w:val="0002393D"/>
    <w:rsid w:val="000271FA"/>
    <w:rsid w:val="000274B8"/>
    <w:rsid w:val="00027A76"/>
    <w:rsid w:val="00031509"/>
    <w:rsid w:val="000317CC"/>
    <w:rsid w:val="00032BFA"/>
    <w:rsid w:val="00033249"/>
    <w:rsid w:val="00033863"/>
    <w:rsid w:val="00033EEE"/>
    <w:rsid w:val="00035365"/>
    <w:rsid w:val="00035437"/>
    <w:rsid w:val="00035DC0"/>
    <w:rsid w:val="00036829"/>
    <w:rsid w:val="000372B3"/>
    <w:rsid w:val="00040895"/>
    <w:rsid w:val="00040F8C"/>
    <w:rsid w:val="00041F23"/>
    <w:rsid w:val="000434E4"/>
    <w:rsid w:val="000435EE"/>
    <w:rsid w:val="00043C37"/>
    <w:rsid w:val="000441B1"/>
    <w:rsid w:val="00044BD5"/>
    <w:rsid w:val="00044C40"/>
    <w:rsid w:val="00045017"/>
    <w:rsid w:val="0004596A"/>
    <w:rsid w:val="00045A2B"/>
    <w:rsid w:val="00045F09"/>
    <w:rsid w:val="00046426"/>
    <w:rsid w:val="0004698F"/>
    <w:rsid w:val="00046A8A"/>
    <w:rsid w:val="00046E4C"/>
    <w:rsid w:val="00047AE2"/>
    <w:rsid w:val="000500A4"/>
    <w:rsid w:val="000501D5"/>
    <w:rsid w:val="00051691"/>
    <w:rsid w:val="00051B10"/>
    <w:rsid w:val="00051CCF"/>
    <w:rsid w:val="0005279F"/>
    <w:rsid w:val="0005293D"/>
    <w:rsid w:val="00052DC2"/>
    <w:rsid w:val="000539D0"/>
    <w:rsid w:val="00053FE0"/>
    <w:rsid w:val="000542A8"/>
    <w:rsid w:val="000543EA"/>
    <w:rsid w:val="00054621"/>
    <w:rsid w:val="000546D7"/>
    <w:rsid w:val="000552AF"/>
    <w:rsid w:val="00056ECF"/>
    <w:rsid w:val="000604DF"/>
    <w:rsid w:val="00060ABB"/>
    <w:rsid w:val="000610B6"/>
    <w:rsid w:val="000626F4"/>
    <w:rsid w:val="000637F9"/>
    <w:rsid w:val="00063F5F"/>
    <w:rsid w:val="00064DE2"/>
    <w:rsid w:val="000653B5"/>
    <w:rsid w:val="00065E66"/>
    <w:rsid w:val="00066360"/>
    <w:rsid w:val="00066AF8"/>
    <w:rsid w:val="00070029"/>
    <w:rsid w:val="00071248"/>
    <w:rsid w:val="00071476"/>
    <w:rsid w:val="0007148C"/>
    <w:rsid w:val="000717C8"/>
    <w:rsid w:val="000720B9"/>
    <w:rsid w:val="00072D8E"/>
    <w:rsid w:val="000737F7"/>
    <w:rsid w:val="00073D12"/>
    <w:rsid w:val="00074169"/>
    <w:rsid w:val="00074C6F"/>
    <w:rsid w:val="00074EDA"/>
    <w:rsid w:val="0007672F"/>
    <w:rsid w:val="00076B54"/>
    <w:rsid w:val="0007718B"/>
    <w:rsid w:val="000774F0"/>
    <w:rsid w:val="00080501"/>
    <w:rsid w:val="00080909"/>
    <w:rsid w:val="00080B7E"/>
    <w:rsid w:val="00080F01"/>
    <w:rsid w:val="000812CA"/>
    <w:rsid w:val="00081E63"/>
    <w:rsid w:val="00082295"/>
    <w:rsid w:val="0008258D"/>
    <w:rsid w:val="00083C23"/>
    <w:rsid w:val="00083E99"/>
    <w:rsid w:val="00083FA1"/>
    <w:rsid w:val="00084FA8"/>
    <w:rsid w:val="000856C5"/>
    <w:rsid w:val="0008595D"/>
    <w:rsid w:val="00085C31"/>
    <w:rsid w:val="000868D1"/>
    <w:rsid w:val="00086A9B"/>
    <w:rsid w:val="00087BE1"/>
    <w:rsid w:val="00087F9B"/>
    <w:rsid w:val="000902D9"/>
    <w:rsid w:val="0009038B"/>
    <w:rsid w:val="00090C7E"/>
    <w:rsid w:val="00091413"/>
    <w:rsid w:val="00092600"/>
    <w:rsid w:val="0009262B"/>
    <w:rsid w:val="00093310"/>
    <w:rsid w:val="00093D2A"/>
    <w:rsid w:val="0009445C"/>
    <w:rsid w:val="00094F67"/>
    <w:rsid w:val="00095200"/>
    <w:rsid w:val="00095FE5"/>
    <w:rsid w:val="00096284"/>
    <w:rsid w:val="00096D36"/>
    <w:rsid w:val="00097ED8"/>
    <w:rsid w:val="000A00F5"/>
    <w:rsid w:val="000A1ADF"/>
    <w:rsid w:val="000A1BC0"/>
    <w:rsid w:val="000A208D"/>
    <w:rsid w:val="000A2CE2"/>
    <w:rsid w:val="000A31FB"/>
    <w:rsid w:val="000A50A6"/>
    <w:rsid w:val="000A5254"/>
    <w:rsid w:val="000A6039"/>
    <w:rsid w:val="000A651B"/>
    <w:rsid w:val="000A6D23"/>
    <w:rsid w:val="000A7453"/>
    <w:rsid w:val="000A7C5A"/>
    <w:rsid w:val="000A7D08"/>
    <w:rsid w:val="000B0121"/>
    <w:rsid w:val="000B0670"/>
    <w:rsid w:val="000B09B9"/>
    <w:rsid w:val="000B09BD"/>
    <w:rsid w:val="000B0E75"/>
    <w:rsid w:val="000B2DCB"/>
    <w:rsid w:val="000B3419"/>
    <w:rsid w:val="000B5CE0"/>
    <w:rsid w:val="000B6B65"/>
    <w:rsid w:val="000B6CAC"/>
    <w:rsid w:val="000B6DA9"/>
    <w:rsid w:val="000B72B5"/>
    <w:rsid w:val="000B7612"/>
    <w:rsid w:val="000B78AE"/>
    <w:rsid w:val="000B7E3C"/>
    <w:rsid w:val="000C0ACF"/>
    <w:rsid w:val="000C0B55"/>
    <w:rsid w:val="000C12C6"/>
    <w:rsid w:val="000C315B"/>
    <w:rsid w:val="000C3DF9"/>
    <w:rsid w:val="000C42E8"/>
    <w:rsid w:val="000C4753"/>
    <w:rsid w:val="000C5020"/>
    <w:rsid w:val="000C5C71"/>
    <w:rsid w:val="000C6713"/>
    <w:rsid w:val="000C6D46"/>
    <w:rsid w:val="000C766E"/>
    <w:rsid w:val="000C79BD"/>
    <w:rsid w:val="000D0625"/>
    <w:rsid w:val="000D077F"/>
    <w:rsid w:val="000D0D40"/>
    <w:rsid w:val="000D1BFC"/>
    <w:rsid w:val="000D1C82"/>
    <w:rsid w:val="000D1D5D"/>
    <w:rsid w:val="000D2530"/>
    <w:rsid w:val="000D281A"/>
    <w:rsid w:val="000D2848"/>
    <w:rsid w:val="000D326A"/>
    <w:rsid w:val="000D46B4"/>
    <w:rsid w:val="000D4889"/>
    <w:rsid w:val="000D4BBA"/>
    <w:rsid w:val="000D4CC4"/>
    <w:rsid w:val="000D51FB"/>
    <w:rsid w:val="000D53C2"/>
    <w:rsid w:val="000D574C"/>
    <w:rsid w:val="000D6277"/>
    <w:rsid w:val="000D6384"/>
    <w:rsid w:val="000D6C9C"/>
    <w:rsid w:val="000D7D0F"/>
    <w:rsid w:val="000E01FC"/>
    <w:rsid w:val="000E0451"/>
    <w:rsid w:val="000E0640"/>
    <w:rsid w:val="000E0FAB"/>
    <w:rsid w:val="000E135D"/>
    <w:rsid w:val="000E144A"/>
    <w:rsid w:val="000E145A"/>
    <w:rsid w:val="000E28F2"/>
    <w:rsid w:val="000E2DCF"/>
    <w:rsid w:val="000E2E29"/>
    <w:rsid w:val="000E2E62"/>
    <w:rsid w:val="000E39A6"/>
    <w:rsid w:val="000E3A0E"/>
    <w:rsid w:val="000E3DF8"/>
    <w:rsid w:val="000E40DD"/>
    <w:rsid w:val="000E4A49"/>
    <w:rsid w:val="000E6FF2"/>
    <w:rsid w:val="000E766A"/>
    <w:rsid w:val="000E7BCE"/>
    <w:rsid w:val="000F00BA"/>
    <w:rsid w:val="000F12C4"/>
    <w:rsid w:val="000F13AA"/>
    <w:rsid w:val="000F19BA"/>
    <w:rsid w:val="000F1AF5"/>
    <w:rsid w:val="000F2984"/>
    <w:rsid w:val="000F316A"/>
    <w:rsid w:val="000F3344"/>
    <w:rsid w:val="000F3C74"/>
    <w:rsid w:val="000F3E03"/>
    <w:rsid w:val="000F4899"/>
    <w:rsid w:val="000F4BB8"/>
    <w:rsid w:val="000F4C3A"/>
    <w:rsid w:val="000F4E6D"/>
    <w:rsid w:val="000F4FA9"/>
    <w:rsid w:val="000F53FB"/>
    <w:rsid w:val="000F6F20"/>
    <w:rsid w:val="000F7127"/>
    <w:rsid w:val="000F7A39"/>
    <w:rsid w:val="000F7B54"/>
    <w:rsid w:val="001000EE"/>
    <w:rsid w:val="00100383"/>
    <w:rsid w:val="001006BF"/>
    <w:rsid w:val="00100F8A"/>
    <w:rsid w:val="00102630"/>
    <w:rsid w:val="00102B2C"/>
    <w:rsid w:val="00102DAC"/>
    <w:rsid w:val="00103B3B"/>
    <w:rsid w:val="0010452E"/>
    <w:rsid w:val="001048B1"/>
    <w:rsid w:val="00105444"/>
    <w:rsid w:val="00105AE2"/>
    <w:rsid w:val="001060C6"/>
    <w:rsid w:val="00106B80"/>
    <w:rsid w:val="001077E9"/>
    <w:rsid w:val="001078C6"/>
    <w:rsid w:val="0011009A"/>
    <w:rsid w:val="0011028E"/>
    <w:rsid w:val="0011032E"/>
    <w:rsid w:val="00110413"/>
    <w:rsid w:val="00111173"/>
    <w:rsid w:val="00112113"/>
    <w:rsid w:val="00112209"/>
    <w:rsid w:val="0011348B"/>
    <w:rsid w:val="00114712"/>
    <w:rsid w:val="00115982"/>
    <w:rsid w:val="00116C53"/>
    <w:rsid w:val="00117864"/>
    <w:rsid w:val="00121799"/>
    <w:rsid w:val="001222FC"/>
    <w:rsid w:val="001226DF"/>
    <w:rsid w:val="00122CC2"/>
    <w:rsid w:val="00123902"/>
    <w:rsid w:val="00123F71"/>
    <w:rsid w:val="00124A51"/>
    <w:rsid w:val="00124EEE"/>
    <w:rsid w:val="00126621"/>
    <w:rsid w:val="00126B1D"/>
    <w:rsid w:val="001271F5"/>
    <w:rsid w:val="001301E9"/>
    <w:rsid w:val="00130D70"/>
    <w:rsid w:val="00131582"/>
    <w:rsid w:val="00131D82"/>
    <w:rsid w:val="00131F53"/>
    <w:rsid w:val="001320A1"/>
    <w:rsid w:val="00132B22"/>
    <w:rsid w:val="00132D3C"/>
    <w:rsid w:val="00133D36"/>
    <w:rsid w:val="00134F4E"/>
    <w:rsid w:val="00135FFE"/>
    <w:rsid w:val="00137645"/>
    <w:rsid w:val="0014015A"/>
    <w:rsid w:val="00140989"/>
    <w:rsid w:val="00140E99"/>
    <w:rsid w:val="00141359"/>
    <w:rsid w:val="001417A8"/>
    <w:rsid w:val="00143F67"/>
    <w:rsid w:val="00144058"/>
    <w:rsid w:val="001442F3"/>
    <w:rsid w:val="00144867"/>
    <w:rsid w:val="00145380"/>
    <w:rsid w:val="00145540"/>
    <w:rsid w:val="001456B0"/>
    <w:rsid w:val="0015089E"/>
    <w:rsid w:val="00151E3C"/>
    <w:rsid w:val="00153024"/>
    <w:rsid w:val="00153EC0"/>
    <w:rsid w:val="00153ED2"/>
    <w:rsid w:val="001542FD"/>
    <w:rsid w:val="001559E7"/>
    <w:rsid w:val="00156A27"/>
    <w:rsid w:val="00156F10"/>
    <w:rsid w:val="00156F8F"/>
    <w:rsid w:val="00157130"/>
    <w:rsid w:val="001576B1"/>
    <w:rsid w:val="00160165"/>
    <w:rsid w:val="0016047B"/>
    <w:rsid w:val="00160528"/>
    <w:rsid w:val="001607BE"/>
    <w:rsid w:val="00160A4C"/>
    <w:rsid w:val="001619E1"/>
    <w:rsid w:val="00161B02"/>
    <w:rsid w:val="00162913"/>
    <w:rsid w:val="00162FE9"/>
    <w:rsid w:val="00163121"/>
    <w:rsid w:val="00163241"/>
    <w:rsid w:val="00163431"/>
    <w:rsid w:val="00163432"/>
    <w:rsid w:val="00163EFF"/>
    <w:rsid w:val="00163F66"/>
    <w:rsid w:val="00164F3F"/>
    <w:rsid w:val="0016526F"/>
    <w:rsid w:val="001655E9"/>
    <w:rsid w:val="00165B56"/>
    <w:rsid w:val="00165CBF"/>
    <w:rsid w:val="00165CC5"/>
    <w:rsid w:val="00165D12"/>
    <w:rsid w:val="001660D9"/>
    <w:rsid w:val="001661FB"/>
    <w:rsid w:val="001671A0"/>
    <w:rsid w:val="0016767F"/>
    <w:rsid w:val="0016793D"/>
    <w:rsid w:val="00171D9D"/>
    <w:rsid w:val="00171F36"/>
    <w:rsid w:val="001728A1"/>
    <w:rsid w:val="0017327A"/>
    <w:rsid w:val="00173565"/>
    <w:rsid w:val="00173B07"/>
    <w:rsid w:val="00173E90"/>
    <w:rsid w:val="001743D2"/>
    <w:rsid w:val="00174638"/>
    <w:rsid w:val="001751FA"/>
    <w:rsid w:val="00175B85"/>
    <w:rsid w:val="00175CDD"/>
    <w:rsid w:val="001761F3"/>
    <w:rsid w:val="0017717D"/>
    <w:rsid w:val="00177CE7"/>
    <w:rsid w:val="00180047"/>
    <w:rsid w:val="00180673"/>
    <w:rsid w:val="00180D93"/>
    <w:rsid w:val="00181D9C"/>
    <w:rsid w:val="00182DC4"/>
    <w:rsid w:val="00182FE7"/>
    <w:rsid w:val="00184B0E"/>
    <w:rsid w:val="001851D5"/>
    <w:rsid w:val="00185699"/>
    <w:rsid w:val="001869D0"/>
    <w:rsid w:val="0018752F"/>
    <w:rsid w:val="001901ED"/>
    <w:rsid w:val="00190268"/>
    <w:rsid w:val="00190B6A"/>
    <w:rsid w:val="00190C39"/>
    <w:rsid w:val="00191E50"/>
    <w:rsid w:val="0019287C"/>
    <w:rsid w:val="00192D0D"/>
    <w:rsid w:val="00193132"/>
    <w:rsid w:val="00193838"/>
    <w:rsid w:val="00193C1F"/>
    <w:rsid w:val="001949BD"/>
    <w:rsid w:val="00194AD8"/>
    <w:rsid w:val="00195146"/>
    <w:rsid w:val="00195222"/>
    <w:rsid w:val="00195F9D"/>
    <w:rsid w:val="001965B4"/>
    <w:rsid w:val="001966FF"/>
    <w:rsid w:val="00196986"/>
    <w:rsid w:val="001975D8"/>
    <w:rsid w:val="001A02B3"/>
    <w:rsid w:val="001A16D2"/>
    <w:rsid w:val="001A178E"/>
    <w:rsid w:val="001A20C6"/>
    <w:rsid w:val="001A2B9A"/>
    <w:rsid w:val="001A40BE"/>
    <w:rsid w:val="001A43FA"/>
    <w:rsid w:val="001A47C5"/>
    <w:rsid w:val="001A5031"/>
    <w:rsid w:val="001A5182"/>
    <w:rsid w:val="001A59FB"/>
    <w:rsid w:val="001A5E9E"/>
    <w:rsid w:val="001A6354"/>
    <w:rsid w:val="001A6366"/>
    <w:rsid w:val="001A7221"/>
    <w:rsid w:val="001A7458"/>
    <w:rsid w:val="001A7AE8"/>
    <w:rsid w:val="001A7C65"/>
    <w:rsid w:val="001B00D1"/>
    <w:rsid w:val="001B1AD5"/>
    <w:rsid w:val="001B204E"/>
    <w:rsid w:val="001B2372"/>
    <w:rsid w:val="001B3443"/>
    <w:rsid w:val="001B4ABC"/>
    <w:rsid w:val="001B4D20"/>
    <w:rsid w:val="001B4E26"/>
    <w:rsid w:val="001B535C"/>
    <w:rsid w:val="001B5945"/>
    <w:rsid w:val="001B64FC"/>
    <w:rsid w:val="001B690A"/>
    <w:rsid w:val="001B706A"/>
    <w:rsid w:val="001C065E"/>
    <w:rsid w:val="001C1734"/>
    <w:rsid w:val="001C1FFD"/>
    <w:rsid w:val="001C2A9B"/>
    <w:rsid w:val="001C4299"/>
    <w:rsid w:val="001C42E9"/>
    <w:rsid w:val="001C4874"/>
    <w:rsid w:val="001C4EDA"/>
    <w:rsid w:val="001C5CF2"/>
    <w:rsid w:val="001C5F94"/>
    <w:rsid w:val="001C6B56"/>
    <w:rsid w:val="001C6E66"/>
    <w:rsid w:val="001C7425"/>
    <w:rsid w:val="001C7CA9"/>
    <w:rsid w:val="001D0309"/>
    <w:rsid w:val="001D0CE7"/>
    <w:rsid w:val="001D1100"/>
    <w:rsid w:val="001D1391"/>
    <w:rsid w:val="001D18CD"/>
    <w:rsid w:val="001D1B6A"/>
    <w:rsid w:val="001D25D7"/>
    <w:rsid w:val="001D4E33"/>
    <w:rsid w:val="001D4EB5"/>
    <w:rsid w:val="001D50B2"/>
    <w:rsid w:val="001D5656"/>
    <w:rsid w:val="001D669B"/>
    <w:rsid w:val="001D7645"/>
    <w:rsid w:val="001E0019"/>
    <w:rsid w:val="001E01D8"/>
    <w:rsid w:val="001E16C9"/>
    <w:rsid w:val="001E1A6C"/>
    <w:rsid w:val="001E1E86"/>
    <w:rsid w:val="001E238E"/>
    <w:rsid w:val="001E2483"/>
    <w:rsid w:val="001E2B1E"/>
    <w:rsid w:val="001E2CFF"/>
    <w:rsid w:val="001E2F24"/>
    <w:rsid w:val="001E30D4"/>
    <w:rsid w:val="001E34DF"/>
    <w:rsid w:val="001E426A"/>
    <w:rsid w:val="001E514C"/>
    <w:rsid w:val="001E52EB"/>
    <w:rsid w:val="001E61D2"/>
    <w:rsid w:val="001E740C"/>
    <w:rsid w:val="001F07D8"/>
    <w:rsid w:val="001F1235"/>
    <w:rsid w:val="001F1377"/>
    <w:rsid w:val="001F1715"/>
    <w:rsid w:val="001F1B5C"/>
    <w:rsid w:val="001F1CB3"/>
    <w:rsid w:val="001F1E23"/>
    <w:rsid w:val="001F38B5"/>
    <w:rsid w:val="001F4081"/>
    <w:rsid w:val="001F5511"/>
    <w:rsid w:val="001F59F6"/>
    <w:rsid w:val="001F620D"/>
    <w:rsid w:val="001F691B"/>
    <w:rsid w:val="001F6F79"/>
    <w:rsid w:val="001F7361"/>
    <w:rsid w:val="001F7981"/>
    <w:rsid w:val="00200F12"/>
    <w:rsid w:val="002010B5"/>
    <w:rsid w:val="002011B0"/>
    <w:rsid w:val="002015F9"/>
    <w:rsid w:val="00202237"/>
    <w:rsid w:val="0020240A"/>
    <w:rsid w:val="0020275E"/>
    <w:rsid w:val="00202EE6"/>
    <w:rsid w:val="00203181"/>
    <w:rsid w:val="0020357A"/>
    <w:rsid w:val="00203783"/>
    <w:rsid w:val="0020385F"/>
    <w:rsid w:val="00204564"/>
    <w:rsid w:val="002057A3"/>
    <w:rsid w:val="00205E62"/>
    <w:rsid w:val="002068A0"/>
    <w:rsid w:val="002069A5"/>
    <w:rsid w:val="00207021"/>
    <w:rsid w:val="0020732F"/>
    <w:rsid w:val="002073E0"/>
    <w:rsid w:val="00207D00"/>
    <w:rsid w:val="002105C1"/>
    <w:rsid w:val="00210924"/>
    <w:rsid w:val="00210B6A"/>
    <w:rsid w:val="00210BA3"/>
    <w:rsid w:val="00210EA1"/>
    <w:rsid w:val="00212FD3"/>
    <w:rsid w:val="00213638"/>
    <w:rsid w:val="00213EF5"/>
    <w:rsid w:val="002146FF"/>
    <w:rsid w:val="00214DF7"/>
    <w:rsid w:val="00214F51"/>
    <w:rsid w:val="0021518C"/>
    <w:rsid w:val="00216BF5"/>
    <w:rsid w:val="00216F48"/>
    <w:rsid w:val="00220330"/>
    <w:rsid w:val="0022092B"/>
    <w:rsid w:val="00221EBD"/>
    <w:rsid w:val="002222BF"/>
    <w:rsid w:val="00222546"/>
    <w:rsid w:val="00223B49"/>
    <w:rsid w:val="00223D5A"/>
    <w:rsid w:val="0022465F"/>
    <w:rsid w:val="00224DD4"/>
    <w:rsid w:val="00225932"/>
    <w:rsid w:val="00226285"/>
    <w:rsid w:val="00226539"/>
    <w:rsid w:val="0022698C"/>
    <w:rsid w:val="00226C6B"/>
    <w:rsid w:val="00226FD4"/>
    <w:rsid w:val="002278A0"/>
    <w:rsid w:val="00227A69"/>
    <w:rsid w:val="00227B09"/>
    <w:rsid w:val="002309CC"/>
    <w:rsid w:val="00230C93"/>
    <w:rsid w:val="0023152D"/>
    <w:rsid w:val="0023209F"/>
    <w:rsid w:val="00232819"/>
    <w:rsid w:val="00233C01"/>
    <w:rsid w:val="00233F2B"/>
    <w:rsid w:val="0023413C"/>
    <w:rsid w:val="002346F0"/>
    <w:rsid w:val="002350CA"/>
    <w:rsid w:val="00235448"/>
    <w:rsid w:val="0023629D"/>
    <w:rsid w:val="002364B5"/>
    <w:rsid w:val="00236509"/>
    <w:rsid w:val="00237255"/>
    <w:rsid w:val="002402FA"/>
    <w:rsid w:val="00240D5B"/>
    <w:rsid w:val="00240E1B"/>
    <w:rsid w:val="0024172A"/>
    <w:rsid w:val="00241AAE"/>
    <w:rsid w:val="002424AF"/>
    <w:rsid w:val="0024279B"/>
    <w:rsid w:val="002439DC"/>
    <w:rsid w:val="002441D2"/>
    <w:rsid w:val="0024492E"/>
    <w:rsid w:val="00244C05"/>
    <w:rsid w:val="00244DC8"/>
    <w:rsid w:val="0024515C"/>
    <w:rsid w:val="00245287"/>
    <w:rsid w:val="002458BA"/>
    <w:rsid w:val="00245CE9"/>
    <w:rsid w:val="002460EE"/>
    <w:rsid w:val="00246113"/>
    <w:rsid w:val="0024636C"/>
    <w:rsid w:val="0024637E"/>
    <w:rsid w:val="002465ED"/>
    <w:rsid w:val="002466FD"/>
    <w:rsid w:val="00246E66"/>
    <w:rsid w:val="00247816"/>
    <w:rsid w:val="00247925"/>
    <w:rsid w:val="00250516"/>
    <w:rsid w:val="00250BEB"/>
    <w:rsid w:val="00251006"/>
    <w:rsid w:val="002524D5"/>
    <w:rsid w:val="00252C24"/>
    <w:rsid w:val="00253B1D"/>
    <w:rsid w:val="0025412E"/>
    <w:rsid w:val="00254655"/>
    <w:rsid w:val="00254DCF"/>
    <w:rsid w:val="0025534B"/>
    <w:rsid w:val="00255BB7"/>
    <w:rsid w:val="00257541"/>
    <w:rsid w:val="0025768D"/>
    <w:rsid w:val="00257A39"/>
    <w:rsid w:val="00257AC4"/>
    <w:rsid w:val="00260732"/>
    <w:rsid w:val="00261EEF"/>
    <w:rsid w:val="00262613"/>
    <w:rsid w:val="00262A1A"/>
    <w:rsid w:val="00262A87"/>
    <w:rsid w:val="0026338A"/>
    <w:rsid w:val="0026438B"/>
    <w:rsid w:val="00264428"/>
    <w:rsid w:val="00264544"/>
    <w:rsid w:val="00264A07"/>
    <w:rsid w:val="00264D26"/>
    <w:rsid w:val="00265BA8"/>
    <w:rsid w:val="0026660C"/>
    <w:rsid w:val="00266715"/>
    <w:rsid w:val="0026683F"/>
    <w:rsid w:val="00267642"/>
    <w:rsid w:val="00267AEA"/>
    <w:rsid w:val="002700E6"/>
    <w:rsid w:val="0027193C"/>
    <w:rsid w:val="0027294B"/>
    <w:rsid w:val="00273EB4"/>
    <w:rsid w:val="00274682"/>
    <w:rsid w:val="00275056"/>
    <w:rsid w:val="00275C5A"/>
    <w:rsid w:val="0027644A"/>
    <w:rsid w:val="002769FD"/>
    <w:rsid w:val="00277E28"/>
    <w:rsid w:val="00281014"/>
    <w:rsid w:val="0028180B"/>
    <w:rsid w:val="00281DB8"/>
    <w:rsid w:val="00281FC4"/>
    <w:rsid w:val="0028238E"/>
    <w:rsid w:val="002833C6"/>
    <w:rsid w:val="00284B7A"/>
    <w:rsid w:val="002850DC"/>
    <w:rsid w:val="00285217"/>
    <w:rsid w:val="00285C60"/>
    <w:rsid w:val="002862C9"/>
    <w:rsid w:val="0028665D"/>
    <w:rsid w:val="00286B75"/>
    <w:rsid w:val="00287685"/>
    <w:rsid w:val="00290DE7"/>
    <w:rsid w:val="00291184"/>
    <w:rsid w:val="00291E1B"/>
    <w:rsid w:val="00292911"/>
    <w:rsid w:val="00293621"/>
    <w:rsid w:val="00293D90"/>
    <w:rsid w:val="002948C8"/>
    <w:rsid w:val="00295675"/>
    <w:rsid w:val="00295677"/>
    <w:rsid w:val="00296DF5"/>
    <w:rsid w:val="00297CBE"/>
    <w:rsid w:val="00297FFB"/>
    <w:rsid w:val="002A14AB"/>
    <w:rsid w:val="002A1830"/>
    <w:rsid w:val="002A1991"/>
    <w:rsid w:val="002A2ADE"/>
    <w:rsid w:val="002A2F50"/>
    <w:rsid w:val="002A40D2"/>
    <w:rsid w:val="002A43D3"/>
    <w:rsid w:val="002A4CEA"/>
    <w:rsid w:val="002A5D06"/>
    <w:rsid w:val="002A633E"/>
    <w:rsid w:val="002B00AA"/>
    <w:rsid w:val="002B0564"/>
    <w:rsid w:val="002B05A1"/>
    <w:rsid w:val="002B09A4"/>
    <w:rsid w:val="002B1C1F"/>
    <w:rsid w:val="002B31CD"/>
    <w:rsid w:val="002B3987"/>
    <w:rsid w:val="002B432F"/>
    <w:rsid w:val="002B4ECF"/>
    <w:rsid w:val="002B514A"/>
    <w:rsid w:val="002B62B3"/>
    <w:rsid w:val="002B6754"/>
    <w:rsid w:val="002B6CCE"/>
    <w:rsid w:val="002B6CD4"/>
    <w:rsid w:val="002B7B55"/>
    <w:rsid w:val="002C2510"/>
    <w:rsid w:val="002C2775"/>
    <w:rsid w:val="002C27C1"/>
    <w:rsid w:val="002C2CFA"/>
    <w:rsid w:val="002C302C"/>
    <w:rsid w:val="002C348F"/>
    <w:rsid w:val="002C3B55"/>
    <w:rsid w:val="002C3F5A"/>
    <w:rsid w:val="002C47C4"/>
    <w:rsid w:val="002C5099"/>
    <w:rsid w:val="002C52E5"/>
    <w:rsid w:val="002C5889"/>
    <w:rsid w:val="002C5BA3"/>
    <w:rsid w:val="002C6F3B"/>
    <w:rsid w:val="002C710F"/>
    <w:rsid w:val="002C71CE"/>
    <w:rsid w:val="002C7647"/>
    <w:rsid w:val="002C7ABA"/>
    <w:rsid w:val="002C7B39"/>
    <w:rsid w:val="002D08F8"/>
    <w:rsid w:val="002D0BC3"/>
    <w:rsid w:val="002D1976"/>
    <w:rsid w:val="002D2F23"/>
    <w:rsid w:val="002D36F0"/>
    <w:rsid w:val="002D48C6"/>
    <w:rsid w:val="002D5779"/>
    <w:rsid w:val="002D577C"/>
    <w:rsid w:val="002D606D"/>
    <w:rsid w:val="002D60EA"/>
    <w:rsid w:val="002D6233"/>
    <w:rsid w:val="002D7633"/>
    <w:rsid w:val="002E03F5"/>
    <w:rsid w:val="002E1071"/>
    <w:rsid w:val="002E120D"/>
    <w:rsid w:val="002E15B9"/>
    <w:rsid w:val="002E1963"/>
    <w:rsid w:val="002E1A18"/>
    <w:rsid w:val="002E2158"/>
    <w:rsid w:val="002E45EC"/>
    <w:rsid w:val="002E4B76"/>
    <w:rsid w:val="002E4F02"/>
    <w:rsid w:val="002E5E4C"/>
    <w:rsid w:val="002E5F94"/>
    <w:rsid w:val="002E6C7F"/>
    <w:rsid w:val="002E6E71"/>
    <w:rsid w:val="002E744E"/>
    <w:rsid w:val="002E7722"/>
    <w:rsid w:val="002F069C"/>
    <w:rsid w:val="002F07BA"/>
    <w:rsid w:val="002F0DA9"/>
    <w:rsid w:val="002F1014"/>
    <w:rsid w:val="002F20ED"/>
    <w:rsid w:val="002F2DC1"/>
    <w:rsid w:val="002F2EE0"/>
    <w:rsid w:val="002F3325"/>
    <w:rsid w:val="002F35F5"/>
    <w:rsid w:val="002F40EF"/>
    <w:rsid w:val="002F50C3"/>
    <w:rsid w:val="002F523F"/>
    <w:rsid w:val="002F5C63"/>
    <w:rsid w:val="002F60A5"/>
    <w:rsid w:val="002F643C"/>
    <w:rsid w:val="002F6445"/>
    <w:rsid w:val="002F6703"/>
    <w:rsid w:val="002F7079"/>
    <w:rsid w:val="002F71C0"/>
    <w:rsid w:val="002F71E9"/>
    <w:rsid w:val="002F74F1"/>
    <w:rsid w:val="002F7B0D"/>
    <w:rsid w:val="002F7D1F"/>
    <w:rsid w:val="0030056B"/>
    <w:rsid w:val="00300D19"/>
    <w:rsid w:val="00301017"/>
    <w:rsid w:val="00301022"/>
    <w:rsid w:val="0030155F"/>
    <w:rsid w:val="00301D22"/>
    <w:rsid w:val="003022D4"/>
    <w:rsid w:val="003027BB"/>
    <w:rsid w:val="00303F1F"/>
    <w:rsid w:val="00304B3C"/>
    <w:rsid w:val="00305171"/>
    <w:rsid w:val="0030587B"/>
    <w:rsid w:val="003059FB"/>
    <w:rsid w:val="00305D60"/>
    <w:rsid w:val="00306D98"/>
    <w:rsid w:val="003074DA"/>
    <w:rsid w:val="0030786C"/>
    <w:rsid w:val="00310179"/>
    <w:rsid w:val="0031031A"/>
    <w:rsid w:val="00310981"/>
    <w:rsid w:val="00311D0A"/>
    <w:rsid w:val="0031213D"/>
    <w:rsid w:val="003124D9"/>
    <w:rsid w:val="00312594"/>
    <w:rsid w:val="00312865"/>
    <w:rsid w:val="00312F90"/>
    <w:rsid w:val="00313006"/>
    <w:rsid w:val="00313AB8"/>
    <w:rsid w:val="00315498"/>
    <w:rsid w:val="00316474"/>
    <w:rsid w:val="00316909"/>
    <w:rsid w:val="00316AB9"/>
    <w:rsid w:val="003176C0"/>
    <w:rsid w:val="00317747"/>
    <w:rsid w:val="00317E90"/>
    <w:rsid w:val="003183B2"/>
    <w:rsid w:val="0032013B"/>
    <w:rsid w:val="00320BE6"/>
    <w:rsid w:val="003211E4"/>
    <w:rsid w:val="003213ED"/>
    <w:rsid w:val="00322107"/>
    <w:rsid w:val="00322355"/>
    <w:rsid w:val="00322846"/>
    <w:rsid w:val="003229E1"/>
    <w:rsid w:val="00323A83"/>
    <w:rsid w:val="00324891"/>
    <w:rsid w:val="003255E3"/>
    <w:rsid w:val="00326DA7"/>
    <w:rsid w:val="003270E4"/>
    <w:rsid w:val="003274E1"/>
    <w:rsid w:val="00330638"/>
    <w:rsid w:val="00330759"/>
    <w:rsid w:val="00330DAA"/>
    <w:rsid w:val="00330F5C"/>
    <w:rsid w:val="003311C4"/>
    <w:rsid w:val="00331609"/>
    <w:rsid w:val="00331869"/>
    <w:rsid w:val="00332576"/>
    <w:rsid w:val="003327DC"/>
    <w:rsid w:val="00332B4C"/>
    <w:rsid w:val="00332D2A"/>
    <w:rsid w:val="0033407E"/>
    <w:rsid w:val="003345B9"/>
    <w:rsid w:val="00335090"/>
    <w:rsid w:val="00335214"/>
    <w:rsid w:val="00336168"/>
    <w:rsid w:val="003366C9"/>
    <w:rsid w:val="003371B0"/>
    <w:rsid w:val="00340565"/>
    <w:rsid w:val="00340DF1"/>
    <w:rsid w:val="00345421"/>
    <w:rsid w:val="00345AFA"/>
    <w:rsid w:val="003463D0"/>
    <w:rsid w:val="0034692C"/>
    <w:rsid w:val="0034717F"/>
    <w:rsid w:val="0034731E"/>
    <w:rsid w:val="00347782"/>
    <w:rsid w:val="003503AF"/>
    <w:rsid w:val="00350679"/>
    <w:rsid w:val="00350CEF"/>
    <w:rsid w:val="003516EA"/>
    <w:rsid w:val="003517F9"/>
    <w:rsid w:val="00351BA9"/>
    <w:rsid w:val="00353AC6"/>
    <w:rsid w:val="00354F64"/>
    <w:rsid w:val="00355911"/>
    <w:rsid w:val="0035620E"/>
    <w:rsid w:val="00356233"/>
    <w:rsid w:val="0035642E"/>
    <w:rsid w:val="00360345"/>
    <w:rsid w:val="003614BF"/>
    <w:rsid w:val="00361551"/>
    <w:rsid w:val="00361A05"/>
    <w:rsid w:val="003624C4"/>
    <w:rsid w:val="00363B00"/>
    <w:rsid w:val="00363C0A"/>
    <w:rsid w:val="003654AC"/>
    <w:rsid w:val="00365717"/>
    <w:rsid w:val="00365E00"/>
    <w:rsid w:val="00366819"/>
    <w:rsid w:val="00366F52"/>
    <w:rsid w:val="003676D8"/>
    <w:rsid w:val="003701DD"/>
    <w:rsid w:val="00370C61"/>
    <w:rsid w:val="003710CF"/>
    <w:rsid w:val="0037259D"/>
    <w:rsid w:val="00373323"/>
    <w:rsid w:val="0037358A"/>
    <w:rsid w:val="003744B3"/>
    <w:rsid w:val="003750F6"/>
    <w:rsid w:val="00375498"/>
    <w:rsid w:val="003760D8"/>
    <w:rsid w:val="003760FC"/>
    <w:rsid w:val="0038017B"/>
    <w:rsid w:val="00381152"/>
    <w:rsid w:val="00382189"/>
    <w:rsid w:val="0038365C"/>
    <w:rsid w:val="0038369B"/>
    <w:rsid w:val="00383B78"/>
    <w:rsid w:val="00384598"/>
    <w:rsid w:val="003854D9"/>
    <w:rsid w:val="00385A9D"/>
    <w:rsid w:val="003872CB"/>
    <w:rsid w:val="0038791F"/>
    <w:rsid w:val="003902B1"/>
    <w:rsid w:val="0039179C"/>
    <w:rsid w:val="00391E31"/>
    <w:rsid w:val="00393B4F"/>
    <w:rsid w:val="00394845"/>
    <w:rsid w:val="00396896"/>
    <w:rsid w:val="00396AA6"/>
    <w:rsid w:val="00396FD0"/>
    <w:rsid w:val="00397829"/>
    <w:rsid w:val="00397CA1"/>
    <w:rsid w:val="003A0DB7"/>
    <w:rsid w:val="003A169F"/>
    <w:rsid w:val="003A194F"/>
    <w:rsid w:val="003A1A7A"/>
    <w:rsid w:val="003A2392"/>
    <w:rsid w:val="003A275F"/>
    <w:rsid w:val="003A2831"/>
    <w:rsid w:val="003A2991"/>
    <w:rsid w:val="003A2E2E"/>
    <w:rsid w:val="003A2EB9"/>
    <w:rsid w:val="003A2F3D"/>
    <w:rsid w:val="003A35A4"/>
    <w:rsid w:val="003A3633"/>
    <w:rsid w:val="003A3837"/>
    <w:rsid w:val="003A3CB6"/>
    <w:rsid w:val="003A3ED1"/>
    <w:rsid w:val="003A44DB"/>
    <w:rsid w:val="003A6A82"/>
    <w:rsid w:val="003A70C7"/>
    <w:rsid w:val="003A74F7"/>
    <w:rsid w:val="003A7B25"/>
    <w:rsid w:val="003B0F1A"/>
    <w:rsid w:val="003B2D3D"/>
    <w:rsid w:val="003B3971"/>
    <w:rsid w:val="003B401F"/>
    <w:rsid w:val="003B448B"/>
    <w:rsid w:val="003B4DC3"/>
    <w:rsid w:val="003B55D1"/>
    <w:rsid w:val="003B5B61"/>
    <w:rsid w:val="003B678B"/>
    <w:rsid w:val="003B6807"/>
    <w:rsid w:val="003B6B34"/>
    <w:rsid w:val="003B7263"/>
    <w:rsid w:val="003B7CD4"/>
    <w:rsid w:val="003B7CDB"/>
    <w:rsid w:val="003C1654"/>
    <w:rsid w:val="003C3AC2"/>
    <w:rsid w:val="003C4B7B"/>
    <w:rsid w:val="003C4F63"/>
    <w:rsid w:val="003C5542"/>
    <w:rsid w:val="003C61EE"/>
    <w:rsid w:val="003C65A6"/>
    <w:rsid w:val="003C6DEE"/>
    <w:rsid w:val="003C7341"/>
    <w:rsid w:val="003C7CD4"/>
    <w:rsid w:val="003C7D19"/>
    <w:rsid w:val="003C7D2F"/>
    <w:rsid w:val="003D073D"/>
    <w:rsid w:val="003D09F5"/>
    <w:rsid w:val="003D0B50"/>
    <w:rsid w:val="003D116E"/>
    <w:rsid w:val="003D1828"/>
    <w:rsid w:val="003D1B36"/>
    <w:rsid w:val="003D1C6B"/>
    <w:rsid w:val="003D1DE4"/>
    <w:rsid w:val="003D1E9A"/>
    <w:rsid w:val="003D2271"/>
    <w:rsid w:val="003D2422"/>
    <w:rsid w:val="003D2B26"/>
    <w:rsid w:val="003D3774"/>
    <w:rsid w:val="003D39A1"/>
    <w:rsid w:val="003D3FBF"/>
    <w:rsid w:val="003D4A30"/>
    <w:rsid w:val="003D524C"/>
    <w:rsid w:val="003D62B3"/>
    <w:rsid w:val="003D6775"/>
    <w:rsid w:val="003D70B9"/>
    <w:rsid w:val="003D7452"/>
    <w:rsid w:val="003D7914"/>
    <w:rsid w:val="003D79BB"/>
    <w:rsid w:val="003D7AC9"/>
    <w:rsid w:val="003D7C98"/>
    <w:rsid w:val="003D7D9D"/>
    <w:rsid w:val="003E0543"/>
    <w:rsid w:val="003E23EF"/>
    <w:rsid w:val="003E3DA3"/>
    <w:rsid w:val="003E427A"/>
    <w:rsid w:val="003E433A"/>
    <w:rsid w:val="003E4A29"/>
    <w:rsid w:val="003E4D13"/>
    <w:rsid w:val="003E5055"/>
    <w:rsid w:val="003E5090"/>
    <w:rsid w:val="003E51F7"/>
    <w:rsid w:val="003E5C69"/>
    <w:rsid w:val="003E60CD"/>
    <w:rsid w:val="003E6E1B"/>
    <w:rsid w:val="003E7228"/>
    <w:rsid w:val="003E749E"/>
    <w:rsid w:val="003E78A4"/>
    <w:rsid w:val="003E7EA1"/>
    <w:rsid w:val="003F0313"/>
    <w:rsid w:val="003F0C2B"/>
    <w:rsid w:val="003F0DD4"/>
    <w:rsid w:val="003F0EB6"/>
    <w:rsid w:val="003F193B"/>
    <w:rsid w:val="003F1B0F"/>
    <w:rsid w:val="003F2F09"/>
    <w:rsid w:val="003F3C24"/>
    <w:rsid w:val="003F3C38"/>
    <w:rsid w:val="003F4156"/>
    <w:rsid w:val="003F4240"/>
    <w:rsid w:val="003F4D97"/>
    <w:rsid w:val="003F5ADF"/>
    <w:rsid w:val="003F606A"/>
    <w:rsid w:val="003F663A"/>
    <w:rsid w:val="003F66C8"/>
    <w:rsid w:val="00400B29"/>
    <w:rsid w:val="004029C1"/>
    <w:rsid w:val="00402E8C"/>
    <w:rsid w:val="00403793"/>
    <w:rsid w:val="00403CBD"/>
    <w:rsid w:val="0040504B"/>
    <w:rsid w:val="004059F4"/>
    <w:rsid w:val="00406212"/>
    <w:rsid w:val="004066BC"/>
    <w:rsid w:val="00407C92"/>
    <w:rsid w:val="00407F9C"/>
    <w:rsid w:val="00407FE5"/>
    <w:rsid w:val="004101B0"/>
    <w:rsid w:val="00410326"/>
    <w:rsid w:val="00410708"/>
    <w:rsid w:val="00410EC7"/>
    <w:rsid w:val="00411B39"/>
    <w:rsid w:val="004127A7"/>
    <w:rsid w:val="00412C23"/>
    <w:rsid w:val="00413087"/>
    <w:rsid w:val="00413146"/>
    <w:rsid w:val="00413A1E"/>
    <w:rsid w:val="00414156"/>
    <w:rsid w:val="00414476"/>
    <w:rsid w:val="00414C2E"/>
    <w:rsid w:val="004151CF"/>
    <w:rsid w:val="00415370"/>
    <w:rsid w:val="00415A4D"/>
    <w:rsid w:val="00416122"/>
    <w:rsid w:val="00416364"/>
    <w:rsid w:val="00417339"/>
    <w:rsid w:val="0042047F"/>
    <w:rsid w:val="0042064B"/>
    <w:rsid w:val="00420AA6"/>
    <w:rsid w:val="00420B9F"/>
    <w:rsid w:val="0042192C"/>
    <w:rsid w:val="00421B0A"/>
    <w:rsid w:val="00421FE3"/>
    <w:rsid w:val="004221E6"/>
    <w:rsid w:val="00422260"/>
    <w:rsid w:val="00422F60"/>
    <w:rsid w:val="004231E7"/>
    <w:rsid w:val="00423A65"/>
    <w:rsid w:val="004240E5"/>
    <w:rsid w:val="0042413F"/>
    <w:rsid w:val="00424DFD"/>
    <w:rsid w:val="00425174"/>
    <w:rsid w:val="00425E5A"/>
    <w:rsid w:val="004262BA"/>
    <w:rsid w:val="0042634B"/>
    <w:rsid w:val="00426894"/>
    <w:rsid w:val="00426DC1"/>
    <w:rsid w:val="00430298"/>
    <w:rsid w:val="0043045A"/>
    <w:rsid w:val="00430A0B"/>
    <w:rsid w:val="00431473"/>
    <w:rsid w:val="004319F8"/>
    <w:rsid w:val="00431E55"/>
    <w:rsid w:val="004321F6"/>
    <w:rsid w:val="00432BA3"/>
    <w:rsid w:val="00433044"/>
    <w:rsid w:val="00433246"/>
    <w:rsid w:val="00434088"/>
    <w:rsid w:val="004344EE"/>
    <w:rsid w:val="00434FFC"/>
    <w:rsid w:val="004375B9"/>
    <w:rsid w:val="004375FB"/>
    <w:rsid w:val="00440572"/>
    <w:rsid w:val="00440613"/>
    <w:rsid w:val="004428D0"/>
    <w:rsid w:val="00443A6F"/>
    <w:rsid w:val="00444185"/>
    <w:rsid w:val="004443A7"/>
    <w:rsid w:val="0044442C"/>
    <w:rsid w:val="004456B0"/>
    <w:rsid w:val="00445941"/>
    <w:rsid w:val="004464EB"/>
    <w:rsid w:val="004467C4"/>
    <w:rsid w:val="00446B22"/>
    <w:rsid w:val="0044775E"/>
    <w:rsid w:val="00447CDA"/>
    <w:rsid w:val="00447D26"/>
    <w:rsid w:val="00447DFC"/>
    <w:rsid w:val="004503D7"/>
    <w:rsid w:val="0045080A"/>
    <w:rsid w:val="0045108F"/>
    <w:rsid w:val="0045293D"/>
    <w:rsid w:val="004530E3"/>
    <w:rsid w:val="004533E8"/>
    <w:rsid w:val="0045344F"/>
    <w:rsid w:val="0045426D"/>
    <w:rsid w:val="00454A92"/>
    <w:rsid w:val="00455D45"/>
    <w:rsid w:val="00456527"/>
    <w:rsid w:val="004569B5"/>
    <w:rsid w:val="00457000"/>
    <w:rsid w:val="0046092D"/>
    <w:rsid w:val="00461409"/>
    <w:rsid w:val="00462478"/>
    <w:rsid w:val="004638E5"/>
    <w:rsid w:val="00464595"/>
    <w:rsid w:val="004649D2"/>
    <w:rsid w:val="004658B5"/>
    <w:rsid w:val="00465BC6"/>
    <w:rsid w:val="00467789"/>
    <w:rsid w:val="00467C50"/>
    <w:rsid w:val="00470203"/>
    <w:rsid w:val="00470215"/>
    <w:rsid w:val="00471EA5"/>
    <w:rsid w:val="0047203A"/>
    <w:rsid w:val="00472A79"/>
    <w:rsid w:val="00473C1F"/>
    <w:rsid w:val="00473E50"/>
    <w:rsid w:val="00473F19"/>
    <w:rsid w:val="00475E22"/>
    <w:rsid w:val="00476866"/>
    <w:rsid w:val="00476940"/>
    <w:rsid w:val="00476C0E"/>
    <w:rsid w:val="00477143"/>
    <w:rsid w:val="00480400"/>
    <w:rsid w:val="004806AB"/>
    <w:rsid w:val="0048088E"/>
    <w:rsid w:val="00480F2B"/>
    <w:rsid w:val="004813C0"/>
    <w:rsid w:val="00482720"/>
    <w:rsid w:val="004835E7"/>
    <w:rsid w:val="004837F5"/>
    <w:rsid w:val="0048448A"/>
    <w:rsid w:val="004849F6"/>
    <w:rsid w:val="00485158"/>
    <w:rsid w:val="00485753"/>
    <w:rsid w:val="004866BF"/>
    <w:rsid w:val="004867E2"/>
    <w:rsid w:val="00486AE9"/>
    <w:rsid w:val="0048702D"/>
    <w:rsid w:val="00487317"/>
    <w:rsid w:val="004873C3"/>
    <w:rsid w:val="00487936"/>
    <w:rsid w:val="00487B15"/>
    <w:rsid w:val="004908A3"/>
    <w:rsid w:val="00490972"/>
    <w:rsid w:val="00490B17"/>
    <w:rsid w:val="00491B3A"/>
    <w:rsid w:val="00492CFD"/>
    <w:rsid w:val="00494207"/>
    <w:rsid w:val="0049444C"/>
    <w:rsid w:val="00494593"/>
    <w:rsid w:val="00494DD5"/>
    <w:rsid w:val="004959BB"/>
    <w:rsid w:val="004962D2"/>
    <w:rsid w:val="00497278"/>
    <w:rsid w:val="004A069F"/>
    <w:rsid w:val="004A0DA1"/>
    <w:rsid w:val="004A13D6"/>
    <w:rsid w:val="004A2636"/>
    <w:rsid w:val="004A4669"/>
    <w:rsid w:val="004A4737"/>
    <w:rsid w:val="004A4D88"/>
    <w:rsid w:val="004A52E9"/>
    <w:rsid w:val="004A6040"/>
    <w:rsid w:val="004A6597"/>
    <w:rsid w:val="004A6BC4"/>
    <w:rsid w:val="004A7848"/>
    <w:rsid w:val="004A7C4C"/>
    <w:rsid w:val="004A7C8F"/>
    <w:rsid w:val="004A7D96"/>
    <w:rsid w:val="004B1293"/>
    <w:rsid w:val="004B1CB4"/>
    <w:rsid w:val="004B2F18"/>
    <w:rsid w:val="004B3D15"/>
    <w:rsid w:val="004B3DDB"/>
    <w:rsid w:val="004B44FD"/>
    <w:rsid w:val="004B472E"/>
    <w:rsid w:val="004B5CFC"/>
    <w:rsid w:val="004B5DD0"/>
    <w:rsid w:val="004B6F79"/>
    <w:rsid w:val="004B774D"/>
    <w:rsid w:val="004C0DF6"/>
    <w:rsid w:val="004C4AED"/>
    <w:rsid w:val="004C530D"/>
    <w:rsid w:val="004C5535"/>
    <w:rsid w:val="004C63E0"/>
    <w:rsid w:val="004C6435"/>
    <w:rsid w:val="004C7BDD"/>
    <w:rsid w:val="004D09C1"/>
    <w:rsid w:val="004D0D74"/>
    <w:rsid w:val="004D0EC1"/>
    <w:rsid w:val="004D2344"/>
    <w:rsid w:val="004D2C2D"/>
    <w:rsid w:val="004D3ED7"/>
    <w:rsid w:val="004D458D"/>
    <w:rsid w:val="004D51FA"/>
    <w:rsid w:val="004D61C2"/>
    <w:rsid w:val="004D69B5"/>
    <w:rsid w:val="004D6BCE"/>
    <w:rsid w:val="004D7227"/>
    <w:rsid w:val="004D7F70"/>
    <w:rsid w:val="004E0E7F"/>
    <w:rsid w:val="004E0EB8"/>
    <w:rsid w:val="004E18E9"/>
    <w:rsid w:val="004E212A"/>
    <w:rsid w:val="004E2ADC"/>
    <w:rsid w:val="004E31EF"/>
    <w:rsid w:val="004E43B2"/>
    <w:rsid w:val="004E489A"/>
    <w:rsid w:val="004E4F2F"/>
    <w:rsid w:val="004E51D2"/>
    <w:rsid w:val="004E60FA"/>
    <w:rsid w:val="004E6B3A"/>
    <w:rsid w:val="004E6C9B"/>
    <w:rsid w:val="004E78E4"/>
    <w:rsid w:val="004E7B4B"/>
    <w:rsid w:val="004F060B"/>
    <w:rsid w:val="004F0988"/>
    <w:rsid w:val="004F0C66"/>
    <w:rsid w:val="004F1D02"/>
    <w:rsid w:val="004F1EBA"/>
    <w:rsid w:val="004F2679"/>
    <w:rsid w:val="004F2F21"/>
    <w:rsid w:val="004F3186"/>
    <w:rsid w:val="004F3DE5"/>
    <w:rsid w:val="004F3E96"/>
    <w:rsid w:val="004F40B1"/>
    <w:rsid w:val="004F4FC6"/>
    <w:rsid w:val="004F6066"/>
    <w:rsid w:val="004F653E"/>
    <w:rsid w:val="004F6582"/>
    <w:rsid w:val="004F6913"/>
    <w:rsid w:val="004F7066"/>
    <w:rsid w:val="004F7299"/>
    <w:rsid w:val="004F74C2"/>
    <w:rsid w:val="004F7680"/>
    <w:rsid w:val="004F7865"/>
    <w:rsid w:val="004F7F53"/>
    <w:rsid w:val="0050044A"/>
    <w:rsid w:val="00500452"/>
    <w:rsid w:val="00500744"/>
    <w:rsid w:val="005012E1"/>
    <w:rsid w:val="0050174E"/>
    <w:rsid w:val="00501854"/>
    <w:rsid w:val="00501B02"/>
    <w:rsid w:val="005020F6"/>
    <w:rsid w:val="0050219B"/>
    <w:rsid w:val="005027B9"/>
    <w:rsid w:val="00502BAB"/>
    <w:rsid w:val="00503F17"/>
    <w:rsid w:val="005044E2"/>
    <w:rsid w:val="00504697"/>
    <w:rsid w:val="00505502"/>
    <w:rsid w:val="00505F5B"/>
    <w:rsid w:val="00506928"/>
    <w:rsid w:val="005077EF"/>
    <w:rsid w:val="005079A3"/>
    <w:rsid w:val="005101E8"/>
    <w:rsid w:val="00511AD5"/>
    <w:rsid w:val="00511DC7"/>
    <w:rsid w:val="0051384D"/>
    <w:rsid w:val="005142C5"/>
    <w:rsid w:val="005148DC"/>
    <w:rsid w:val="00514DD5"/>
    <w:rsid w:val="0051501B"/>
    <w:rsid w:val="005152B5"/>
    <w:rsid w:val="005157B1"/>
    <w:rsid w:val="005166A3"/>
    <w:rsid w:val="00520273"/>
    <w:rsid w:val="00521002"/>
    <w:rsid w:val="005211E0"/>
    <w:rsid w:val="0052123C"/>
    <w:rsid w:val="00521319"/>
    <w:rsid w:val="00522965"/>
    <w:rsid w:val="00522BC8"/>
    <w:rsid w:val="005231A0"/>
    <w:rsid w:val="00523C28"/>
    <w:rsid w:val="00523CE9"/>
    <w:rsid w:val="00524467"/>
    <w:rsid w:val="00524801"/>
    <w:rsid w:val="0052621E"/>
    <w:rsid w:val="005263DF"/>
    <w:rsid w:val="0052666B"/>
    <w:rsid w:val="00526848"/>
    <w:rsid w:val="00527519"/>
    <w:rsid w:val="00527DA0"/>
    <w:rsid w:val="005303FD"/>
    <w:rsid w:val="0053176B"/>
    <w:rsid w:val="00536095"/>
    <w:rsid w:val="00536175"/>
    <w:rsid w:val="00536F42"/>
    <w:rsid w:val="00537182"/>
    <w:rsid w:val="005407FD"/>
    <w:rsid w:val="005408EC"/>
    <w:rsid w:val="00541986"/>
    <w:rsid w:val="00541EDD"/>
    <w:rsid w:val="005421CD"/>
    <w:rsid w:val="00542743"/>
    <w:rsid w:val="00542A90"/>
    <w:rsid w:val="00542C2D"/>
    <w:rsid w:val="005430BC"/>
    <w:rsid w:val="005438A2"/>
    <w:rsid w:val="00546074"/>
    <w:rsid w:val="005478BD"/>
    <w:rsid w:val="005479E3"/>
    <w:rsid w:val="00551985"/>
    <w:rsid w:val="0055244F"/>
    <w:rsid w:val="00552BD3"/>
    <w:rsid w:val="005530D9"/>
    <w:rsid w:val="005532A0"/>
    <w:rsid w:val="00555109"/>
    <w:rsid w:val="005553DF"/>
    <w:rsid w:val="00556B35"/>
    <w:rsid w:val="00556D21"/>
    <w:rsid w:val="00557102"/>
    <w:rsid w:val="0055741A"/>
    <w:rsid w:val="00557A4A"/>
    <w:rsid w:val="005611B7"/>
    <w:rsid w:val="0056167D"/>
    <w:rsid w:val="00561774"/>
    <w:rsid w:val="005618D4"/>
    <w:rsid w:val="00561C50"/>
    <w:rsid w:val="00561CAE"/>
    <w:rsid w:val="00562051"/>
    <w:rsid w:val="00563C81"/>
    <w:rsid w:val="00565103"/>
    <w:rsid w:val="005656F7"/>
    <w:rsid w:val="00565DF0"/>
    <w:rsid w:val="0056696F"/>
    <w:rsid w:val="0056722B"/>
    <w:rsid w:val="0057020E"/>
    <w:rsid w:val="00570DBB"/>
    <w:rsid w:val="00572269"/>
    <w:rsid w:val="0057244A"/>
    <w:rsid w:val="005728D7"/>
    <w:rsid w:val="00572F21"/>
    <w:rsid w:val="00572F26"/>
    <w:rsid w:val="00574A61"/>
    <w:rsid w:val="00574DC6"/>
    <w:rsid w:val="005750C5"/>
    <w:rsid w:val="005751F6"/>
    <w:rsid w:val="005752DE"/>
    <w:rsid w:val="0057598A"/>
    <w:rsid w:val="00575D8D"/>
    <w:rsid w:val="00576972"/>
    <w:rsid w:val="00577D14"/>
    <w:rsid w:val="005805E7"/>
    <w:rsid w:val="005812D2"/>
    <w:rsid w:val="00582473"/>
    <w:rsid w:val="00583699"/>
    <w:rsid w:val="005838CA"/>
    <w:rsid w:val="005851F1"/>
    <w:rsid w:val="00585336"/>
    <w:rsid w:val="00585CDD"/>
    <w:rsid w:val="005860AC"/>
    <w:rsid w:val="00586195"/>
    <w:rsid w:val="00587058"/>
    <w:rsid w:val="00587538"/>
    <w:rsid w:val="00590862"/>
    <w:rsid w:val="005913FA"/>
    <w:rsid w:val="00591830"/>
    <w:rsid w:val="0059194F"/>
    <w:rsid w:val="00591957"/>
    <w:rsid w:val="00591DC5"/>
    <w:rsid w:val="005926A6"/>
    <w:rsid w:val="00592EC8"/>
    <w:rsid w:val="00593308"/>
    <w:rsid w:val="0059397F"/>
    <w:rsid w:val="00595342"/>
    <w:rsid w:val="00595AFD"/>
    <w:rsid w:val="005960BC"/>
    <w:rsid w:val="00596182"/>
    <w:rsid w:val="00596C6D"/>
    <w:rsid w:val="00597BF9"/>
    <w:rsid w:val="00597FA1"/>
    <w:rsid w:val="005A01BF"/>
    <w:rsid w:val="005A07A7"/>
    <w:rsid w:val="005A197D"/>
    <w:rsid w:val="005A1C6F"/>
    <w:rsid w:val="005A27EB"/>
    <w:rsid w:val="005A309A"/>
    <w:rsid w:val="005A373D"/>
    <w:rsid w:val="005A3F03"/>
    <w:rsid w:val="005A4413"/>
    <w:rsid w:val="005A4BCE"/>
    <w:rsid w:val="005A57AC"/>
    <w:rsid w:val="005A60D9"/>
    <w:rsid w:val="005A76E4"/>
    <w:rsid w:val="005B0B58"/>
    <w:rsid w:val="005B35B5"/>
    <w:rsid w:val="005B44B3"/>
    <w:rsid w:val="005B4E53"/>
    <w:rsid w:val="005B5857"/>
    <w:rsid w:val="005B6785"/>
    <w:rsid w:val="005C19C4"/>
    <w:rsid w:val="005C1B83"/>
    <w:rsid w:val="005C1E7E"/>
    <w:rsid w:val="005C224D"/>
    <w:rsid w:val="005C25FF"/>
    <w:rsid w:val="005C27AB"/>
    <w:rsid w:val="005C2B9A"/>
    <w:rsid w:val="005C2D55"/>
    <w:rsid w:val="005C2FE2"/>
    <w:rsid w:val="005C3250"/>
    <w:rsid w:val="005C346B"/>
    <w:rsid w:val="005C3938"/>
    <w:rsid w:val="005C3A57"/>
    <w:rsid w:val="005C52F5"/>
    <w:rsid w:val="005C573E"/>
    <w:rsid w:val="005C58AB"/>
    <w:rsid w:val="005C638D"/>
    <w:rsid w:val="005C661E"/>
    <w:rsid w:val="005C6983"/>
    <w:rsid w:val="005C7F63"/>
    <w:rsid w:val="005D0054"/>
    <w:rsid w:val="005D044D"/>
    <w:rsid w:val="005D0ABD"/>
    <w:rsid w:val="005D11C0"/>
    <w:rsid w:val="005D18AD"/>
    <w:rsid w:val="005D26B4"/>
    <w:rsid w:val="005D2B31"/>
    <w:rsid w:val="005D32EA"/>
    <w:rsid w:val="005D5795"/>
    <w:rsid w:val="005D58A4"/>
    <w:rsid w:val="005D6109"/>
    <w:rsid w:val="005D7EC0"/>
    <w:rsid w:val="005E0357"/>
    <w:rsid w:val="005E17EB"/>
    <w:rsid w:val="005E3D7E"/>
    <w:rsid w:val="005E431D"/>
    <w:rsid w:val="005E5022"/>
    <w:rsid w:val="005E5059"/>
    <w:rsid w:val="005E65F8"/>
    <w:rsid w:val="005E6CBC"/>
    <w:rsid w:val="005E72A9"/>
    <w:rsid w:val="005E72FF"/>
    <w:rsid w:val="005E73C0"/>
    <w:rsid w:val="005F05EA"/>
    <w:rsid w:val="005F090B"/>
    <w:rsid w:val="005F0B24"/>
    <w:rsid w:val="005F0D7C"/>
    <w:rsid w:val="005F0FB1"/>
    <w:rsid w:val="005F2706"/>
    <w:rsid w:val="005F27B3"/>
    <w:rsid w:val="005F4981"/>
    <w:rsid w:val="005F4C43"/>
    <w:rsid w:val="005F52C7"/>
    <w:rsid w:val="005F6A8F"/>
    <w:rsid w:val="005F6BB7"/>
    <w:rsid w:val="005F6F37"/>
    <w:rsid w:val="005F73EA"/>
    <w:rsid w:val="005F7588"/>
    <w:rsid w:val="006000ED"/>
    <w:rsid w:val="00600E25"/>
    <w:rsid w:val="00601157"/>
    <w:rsid w:val="00601C80"/>
    <w:rsid w:val="00603DB9"/>
    <w:rsid w:val="00604E78"/>
    <w:rsid w:val="00604EC2"/>
    <w:rsid w:val="00606420"/>
    <w:rsid w:val="006068AF"/>
    <w:rsid w:val="006069B2"/>
    <w:rsid w:val="00606A2B"/>
    <w:rsid w:val="00606ED5"/>
    <w:rsid w:val="00606FBA"/>
    <w:rsid w:val="0060745F"/>
    <w:rsid w:val="00607669"/>
    <w:rsid w:val="006076F4"/>
    <w:rsid w:val="00607A57"/>
    <w:rsid w:val="00607AFD"/>
    <w:rsid w:val="006111B5"/>
    <w:rsid w:val="00612830"/>
    <w:rsid w:val="00612F97"/>
    <w:rsid w:val="0061345D"/>
    <w:rsid w:val="0061373D"/>
    <w:rsid w:val="00613B2D"/>
    <w:rsid w:val="006143BE"/>
    <w:rsid w:val="00614FCB"/>
    <w:rsid w:val="0061549B"/>
    <w:rsid w:val="00616190"/>
    <w:rsid w:val="00616221"/>
    <w:rsid w:val="0061649D"/>
    <w:rsid w:val="00616802"/>
    <w:rsid w:val="00617853"/>
    <w:rsid w:val="00617E12"/>
    <w:rsid w:val="00620C25"/>
    <w:rsid w:val="00620C89"/>
    <w:rsid w:val="006213F5"/>
    <w:rsid w:val="00621477"/>
    <w:rsid w:val="006215AF"/>
    <w:rsid w:val="00621ADA"/>
    <w:rsid w:val="00621B0D"/>
    <w:rsid w:val="00621D9F"/>
    <w:rsid w:val="00622A07"/>
    <w:rsid w:val="00623027"/>
    <w:rsid w:val="0062371B"/>
    <w:rsid w:val="00623A95"/>
    <w:rsid w:val="00623F7B"/>
    <w:rsid w:val="00624296"/>
    <w:rsid w:val="00624968"/>
    <w:rsid w:val="00625229"/>
    <w:rsid w:val="00625693"/>
    <w:rsid w:val="00626BE3"/>
    <w:rsid w:val="00626DA8"/>
    <w:rsid w:val="0062795D"/>
    <w:rsid w:val="00630411"/>
    <w:rsid w:val="00630FF9"/>
    <w:rsid w:val="0063158F"/>
    <w:rsid w:val="00631D6B"/>
    <w:rsid w:val="00632183"/>
    <w:rsid w:val="006324C2"/>
    <w:rsid w:val="006330A1"/>
    <w:rsid w:val="0063386B"/>
    <w:rsid w:val="0063479F"/>
    <w:rsid w:val="00635034"/>
    <w:rsid w:val="006353F0"/>
    <w:rsid w:val="006357B5"/>
    <w:rsid w:val="00635EC7"/>
    <w:rsid w:val="006364A1"/>
    <w:rsid w:val="006364C8"/>
    <w:rsid w:val="006365A2"/>
    <w:rsid w:val="0063678E"/>
    <w:rsid w:val="00637652"/>
    <w:rsid w:val="00637BFD"/>
    <w:rsid w:val="00640FDB"/>
    <w:rsid w:val="00641616"/>
    <w:rsid w:val="00641A69"/>
    <w:rsid w:val="00641C4E"/>
    <w:rsid w:val="00641FB3"/>
    <w:rsid w:val="006426DE"/>
    <w:rsid w:val="00642A53"/>
    <w:rsid w:val="00642DAC"/>
    <w:rsid w:val="00643AB7"/>
    <w:rsid w:val="00643AEB"/>
    <w:rsid w:val="0064434C"/>
    <w:rsid w:val="006469EC"/>
    <w:rsid w:val="006471CC"/>
    <w:rsid w:val="006474A3"/>
    <w:rsid w:val="00647A29"/>
    <w:rsid w:val="0065079F"/>
    <w:rsid w:val="00652A28"/>
    <w:rsid w:val="006532BA"/>
    <w:rsid w:val="0065379F"/>
    <w:rsid w:val="00654766"/>
    <w:rsid w:val="00654A71"/>
    <w:rsid w:val="00656188"/>
    <w:rsid w:val="0065692A"/>
    <w:rsid w:val="00656DC1"/>
    <w:rsid w:val="00656E18"/>
    <w:rsid w:val="0065715A"/>
    <w:rsid w:val="00657474"/>
    <w:rsid w:val="00660052"/>
    <w:rsid w:val="00660364"/>
    <w:rsid w:val="00660683"/>
    <w:rsid w:val="00660ABE"/>
    <w:rsid w:val="006610F1"/>
    <w:rsid w:val="00661129"/>
    <w:rsid w:val="00661425"/>
    <w:rsid w:val="0066152B"/>
    <w:rsid w:val="00661C6B"/>
    <w:rsid w:val="006636F2"/>
    <w:rsid w:val="006638BB"/>
    <w:rsid w:val="00664863"/>
    <w:rsid w:val="006654F5"/>
    <w:rsid w:val="00665545"/>
    <w:rsid w:val="00666194"/>
    <w:rsid w:val="00670177"/>
    <w:rsid w:val="00670DC3"/>
    <w:rsid w:val="00671004"/>
    <w:rsid w:val="00672115"/>
    <w:rsid w:val="00672214"/>
    <w:rsid w:val="00672646"/>
    <w:rsid w:val="00673B28"/>
    <w:rsid w:val="00674E2E"/>
    <w:rsid w:val="00674E42"/>
    <w:rsid w:val="00675229"/>
    <w:rsid w:val="006755C6"/>
    <w:rsid w:val="006759B9"/>
    <w:rsid w:val="00676031"/>
    <w:rsid w:val="00676800"/>
    <w:rsid w:val="00677407"/>
    <w:rsid w:val="00677537"/>
    <w:rsid w:val="006813F8"/>
    <w:rsid w:val="00681638"/>
    <w:rsid w:val="00681B4B"/>
    <w:rsid w:val="00682112"/>
    <w:rsid w:val="00682BA6"/>
    <w:rsid w:val="00684B33"/>
    <w:rsid w:val="00684E0C"/>
    <w:rsid w:val="00684FF4"/>
    <w:rsid w:val="006851D0"/>
    <w:rsid w:val="00685215"/>
    <w:rsid w:val="0068524F"/>
    <w:rsid w:val="0068552E"/>
    <w:rsid w:val="00686188"/>
    <w:rsid w:val="006864F6"/>
    <w:rsid w:val="00686957"/>
    <w:rsid w:val="006872BA"/>
    <w:rsid w:val="00690795"/>
    <w:rsid w:val="006908CD"/>
    <w:rsid w:val="00691648"/>
    <w:rsid w:val="00691799"/>
    <w:rsid w:val="006917D7"/>
    <w:rsid w:val="00691DE6"/>
    <w:rsid w:val="006920E3"/>
    <w:rsid w:val="006921B2"/>
    <w:rsid w:val="00692D08"/>
    <w:rsid w:val="0069311F"/>
    <w:rsid w:val="00693360"/>
    <w:rsid w:val="00694337"/>
    <w:rsid w:val="0069434C"/>
    <w:rsid w:val="00694F44"/>
    <w:rsid w:val="006956D1"/>
    <w:rsid w:val="00695EE1"/>
    <w:rsid w:val="0069625F"/>
    <w:rsid w:val="006963E7"/>
    <w:rsid w:val="0069643F"/>
    <w:rsid w:val="00696F51"/>
    <w:rsid w:val="00697123"/>
    <w:rsid w:val="0069751D"/>
    <w:rsid w:val="006977FA"/>
    <w:rsid w:val="0069785B"/>
    <w:rsid w:val="00697947"/>
    <w:rsid w:val="006979A5"/>
    <w:rsid w:val="006A0209"/>
    <w:rsid w:val="006A08D1"/>
    <w:rsid w:val="006A0C5B"/>
    <w:rsid w:val="006A0ECE"/>
    <w:rsid w:val="006A153C"/>
    <w:rsid w:val="006A181A"/>
    <w:rsid w:val="006A3D73"/>
    <w:rsid w:val="006A3F78"/>
    <w:rsid w:val="006A4A5D"/>
    <w:rsid w:val="006A5308"/>
    <w:rsid w:val="006A6749"/>
    <w:rsid w:val="006A6B99"/>
    <w:rsid w:val="006A7E5F"/>
    <w:rsid w:val="006B261B"/>
    <w:rsid w:val="006B2C90"/>
    <w:rsid w:val="006B3323"/>
    <w:rsid w:val="006B35E6"/>
    <w:rsid w:val="006B3BE6"/>
    <w:rsid w:val="006B465A"/>
    <w:rsid w:val="006B5CB4"/>
    <w:rsid w:val="006B5D7F"/>
    <w:rsid w:val="006B6DD0"/>
    <w:rsid w:val="006B79B3"/>
    <w:rsid w:val="006B7D32"/>
    <w:rsid w:val="006C0399"/>
    <w:rsid w:val="006C2A8E"/>
    <w:rsid w:val="006C2DDF"/>
    <w:rsid w:val="006C3255"/>
    <w:rsid w:val="006C3F26"/>
    <w:rsid w:val="006C4C03"/>
    <w:rsid w:val="006C7166"/>
    <w:rsid w:val="006C78A2"/>
    <w:rsid w:val="006D0D17"/>
    <w:rsid w:val="006D3C7D"/>
    <w:rsid w:val="006D4099"/>
    <w:rsid w:val="006D40F8"/>
    <w:rsid w:val="006D4659"/>
    <w:rsid w:val="006D57F6"/>
    <w:rsid w:val="006D58EB"/>
    <w:rsid w:val="006D5A51"/>
    <w:rsid w:val="006D5D4D"/>
    <w:rsid w:val="006D5D5F"/>
    <w:rsid w:val="006D68FB"/>
    <w:rsid w:val="006D6C18"/>
    <w:rsid w:val="006D7A4C"/>
    <w:rsid w:val="006E0567"/>
    <w:rsid w:val="006E1A21"/>
    <w:rsid w:val="006E279E"/>
    <w:rsid w:val="006E2868"/>
    <w:rsid w:val="006E2E5B"/>
    <w:rsid w:val="006E4C36"/>
    <w:rsid w:val="006E5A11"/>
    <w:rsid w:val="006E5D33"/>
    <w:rsid w:val="006E5D3B"/>
    <w:rsid w:val="006E78A3"/>
    <w:rsid w:val="006F0130"/>
    <w:rsid w:val="006F1B48"/>
    <w:rsid w:val="006F20E3"/>
    <w:rsid w:val="006F306C"/>
    <w:rsid w:val="006F5FEA"/>
    <w:rsid w:val="006F63A5"/>
    <w:rsid w:val="006F6706"/>
    <w:rsid w:val="006F6B3F"/>
    <w:rsid w:val="006F701E"/>
    <w:rsid w:val="006F7B46"/>
    <w:rsid w:val="007012EC"/>
    <w:rsid w:val="0070142B"/>
    <w:rsid w:val="0070276E"/>
    <w:rsid w:val="00702F8F"/>
    <w:rsid w:val="00702FF0"/>
    <w:rsid w:val="00705BEF"/>
    <w:rsid w:val="007061EF"/>
    <w:rsid w:val="007071C3"/>
    <w:rsid w:val="0070743B"/>
    <w:rsid w:val="007079FC"/>
    <w:rsid w:val="00707C54"/>
    <w:rsid w:val="007100FD"/>
    <w:rsid w:val="007107BD"/>
    <w:rsid w:val="00710CB4"/>
    <w:rsid w:val="0071170C"/>
    <w:rsid w:val="00711A36"/>
    <w:rsid w:val="007120A9"/>
    <w:rsid w:val="0071283D"/>
    <w:rsid w:val="0071289F"/>
    <w:rsid w:val="00713646"/>
    <w:rsid w:val="00713A49"/>
    <w:rsid w:val="00714B18"/>
    <w:rsid w:val="00714B77"/>
    <w:rsid w:val="00714C26"/>
    <w:rsid w:val="00714F2A"/>
    <w:rsid w:val="00715032"/>
    <w:rsid w:val="007150D1"/>
    <w:rsid w:val="0071529C"/>
    <w:rsid w:val="0071631B"/>
    <w:rsid w:val="00716F33"/>
    <w:rsid w:val="00716FFB"/>
    <w:rsid w:val="007170DA"/>
    <w:rsid w:val="007172AD"/>
    <w:rsid w:val="00717AFB"/>
    <w:rsid w:val="007200B7"/>
    <w:rsid w:val="00720801"/>
    <w:rsid w:val="0072106C"/>
    <w:rsid w:val="00722201"/>
    <w:rsid w:val="007222D1"/>
    <w:rsid w:val="00722B1B"/>
    <w:rsid w:val="0072313A"/>
    <w:rsid w:val="007238C8"/>
    <w:rsid w:val="00723D35"/>
    <w:rsid w:val="0072416F"/>
    <w:rsid w:val="00724205"/>
    <w:rsid w:val="0072585D"/>
    <w:rsid w:val="00725AFA"/>
    <w:rsid w:val="00725B46"/>
    <w:rsid w:val="0072601D"/>
    <w:rsid w:val="007261EF"/>
    <w:rsid w:val="00726A1D"/>
    <w:rsid w:val="0072768F"/>
    <w:rsid w:val="00727C94"/>
    <w:rsid w:val="0073001E"/>
    <w:rsid w:val="0073072E"/>
    <w:rsid w:val="00731B0A"/>
    <w:rsid w:val="00731EAE"/>
    <w:rsid w:val="00732E0E"/>
    <w:rsid w:val="00733073"/>
    <w:rsid w:val="0073403C"/>
    <w:rsid w:val="00735033"/>
    <w:rsid w:val="00735327"/>
    <w:rsid w:val="00735328"/>
    <w:rsid w:val="007355B2"/>
    <w:rsid w:val="007358E0"/>
    <w:rsid w:val="0073685B"/>
    <w:rsid w:val="00736AFB"/>
    <w:rsid w:val="00736FA4"/>
    <w:rsid w:val="0073733B"/>
    <w:rsid w:val="0073EAEB"/>
    <w:rsid w:val="00740B8D"/>
    <w:rsid w:val="007420A0"/>
    <w:rsid w:val="00742AE7"/>
    <w:rsid w:val="00744418"/>
    <w:rsid w:val="007449BF"/>
    <w:rsid w:val="00746BC0"/>
    <w:rsid w:val="00750782"/>
    <w:rsid w:val="00750A81"/>
    <w:rsid w:val="007510B4"/>
    <w:rsid w:val="00752142"/>
    <w:rsid w:val="0075237D"/>
    <w:rsid w:val="007523F9"/>
    <w:rsid w:val="00752B6B"/>
    <w:rsid w:val="0075357E"/>
    <w:rsid w:val="0075451D"/>
    <w:rsid w:val="00755842"/>
    <w:rsid w:val="007567D7"/>
    <w:rsid w:val="00756AA0"/>
    <w:rsid w:val="007573E8"/>
    <w:rsid w:val="00760A40"/>
    <w:rsid w:val="00760C4E"/>
    <w:rsid w:val="00760D1E"/>
    <w:rsid w:val="00760E21"/>
    <w:rsid w:val="00760F9E"/>
    <w:rsid w:val="00761C42"/>
    <w:rsid w:val="00761CDA"/>
    <w:rsid w:val="00761CDB"/>
    <w:rsid w:val="00761E92"/>
    <w:rsid w:val="00762169"/>
    <w:rsid w:val="007622D1"/>
    <w:rsid w:val="0076235E"/>
    <w:rsid w:val="007627BE"/>
    <w:rsid w:val="00762923"/>
    <w:rsid w:val="00762C74"/>
    <w:rsid w:val="0076315A"/>
    <w:rsid w:val="007637F6"/>
    <w:rsid w:val="00763BA5"/>
    <w:rsid w:val="00763E50"/>
    <w:rsid w:val="00763F7C"/>
    <w:rsid w:val="0076477A"/>
    <w:rsid w:val="00764F03"/>
    <w:rsid w:val="00765B1A"/>
    <w:rsid w:val="00766EE4"/>
    <w:rsid w:val="00770A80"/>
    <w:rsid w:val="00770F45"/>
    <w:rsid w:val="007734F9"/>
    <w:rsid w:val="00775674"/>
    <w:rsid w:val="00775B7D"/>
    <w:rsid w:val="00775F11"/>
    <w:rsid w:val="007763B8"/>
    <w:rsid w:val="00777335"/>
    <w:rsid w:val="007774AE"/>
    <w:rsid w:val="00777CFD"/>
    <w:rsid w:val="00780360"/>
    <w:rsid w:val="0078158A"/>
    <w:rsid w:val="00781A57"/>
    <w:rsid w:val="00782CC8"/>
    <w:rsid w:val="0078353D"/>
    <w:rsid w:val="007835A6"/>
    <w:rsid w:val="007842BB"/>
    <w:rsid w:val="007843A1"/>
    <w:rsid w:val="007843F2"/>
    <w:rsid w:val="0078476E"/>
    <w:rsid w:val="00784E08"/>
    <w:rsid w:val="00785A9F"/>
    <w:rsid w:val="0078605B"/>
    <w:rsid w:val="0078644B"/>
    <w:rsid w:val="00786A13"/>
    <w:rsid w:val="00791373"/>
    <w:rsid w:val="0079153F"/>
    <w:rsid w:val="00791BF3"/>
    <w:rsid w:val="007925DF"/>
    <w:rsid w:val="00792A2C"/>
    <w:rsid w:val="00792D86"/>
    <w:rsid w:val="00795632"/>
    <w:rsid w:val="00795B87"/>
    <w:rsid w:val="00796214"/>
    <w:rsid w:val="007971E3"/>
    <w:rsid w:val="007A08AA"/>
    <w:rsid w:val="007A08EB"/>
    <w:rsid w:val="007A0A12"/>
    <w:rsid w:val="007A0C99"/>
    <w:rsid w:val="007A132D"/>
    <w:rsid w:val="007A1345"/>
    <w:rsid w:val="007A14F0"/>
    <w:rsid w:val="007A2DDB"/>
    <w:rsid w:val="007A2EAE"/>
    <w:rsid w:val="007A70BA"/>
    <w:rsid w:val="007B0D68"/>
    <w:rsid w:val="007B0F61"/>
    <w:rsid w:val="007B1ADD"/>
    <w:rsid w:val="007B251D"/>
    <w:rsid w:val="007B2592"/>
    <w:rsid w:val="007B2B4A"/>
    <w:rsid w:val="007B4A84"/>
    <w:rsid w:val="007B4F58"/>
    <w:rsid w:val="007B528D"/>
    <w:rsid w:val="007B63CA"/>
    <w:rsid w:val="007B6626"/>
    <w:rsid w:val="007B6928"/>
    <w:rsid w:val="007B69D5"/>
    <w:rsid w:val="007B77D1"/>
    <w:rsid w:val="007C07C7"/>
    <w:rsid w:val="007C197B"/>
    <w:rsid w:val="007C1CD9"/>
    <w:rsid w:val="007C21B1"/>
    <w:rsid w:val="007C2426"/>
    <w:rsid w:val="007C2523"/>
    <w:rsid w:val="007C30FB"/>
    <w:rsid w:val="007C32EF"/>
    <w:rsid w:val="007C361D"/>
    <w:rsid w:val="007C36B5"/>
    <w:rsid w:val="007C3CB0"/>
    <w:rsid w:val="007C4B84"/>
    <w:rsid w:val="007C70FF"/>
    <w:rsid w:val="007C7620"/>
    <w:rsid w:val="007C77F4"/>
    <w:rsid w:val="007C7C25"/>
    <w:rsid w:val="007D004F"/>
    <w:rsid w:val="007D0B38"/>
    <w:rsid w:val="007D26A2"/>
    <w:rsid w:val="007D2CA7"/>
    <w:rsid w:val="007D30D4"/>
    <w:rsid w:val="007D518C"/>
    <w:rsid w:val="007D5275"/>
    <w:rsid w:val="007D5440"/>
    <w:rsid w:val="007D62C4"/>
    <w:rsid w:val="007D69EB"/>
    <w:rsid w:val="007D7470"/>
    <w:rsid w:val="007D7A21"/>
    <w:rsid w:val="007E07C9"/>
    <w:rsid w:val="007E128F"/>
    <w:rsid w:val="007E1617"/>
    <w:rsid w:val="007E1D77"/>
    <w:rsid w:val="007E2107"/>
    <w:rsid w:val="007E2448"/>
    <w:rsid w:val="007E2D19"/>
    <w:rsid w:val="007E3246"/>
    <w:rsid w:val="007E3C2D"/>
    <w:rsid w:val="007E4222"/>
    <w:rsid w:val="007E54DC"/>
    <w:rsid w:val="007E642C"/>
    <w:rsid w:val="007F0257"/>
    <w:rsid w:val="007F0297"/>
    <w:rsid w:val="007F1017"/>
    <w:rsid w:val="007F1A53"/>
    <w:rsid w:val="007F1C27"/>
    <w:rsid w:val="007F2A14"/>
    <w:rsid w:val="007F4A3F"/>
    <w:rsid w:val="007F4A61"/>
    <w:rsid w:val="007F5255"/>
    <w:rsid w:val="007F56CC"/>
    <w:rsid w:val="007F5A98"/>
    <w:rsid w:val="007F61C2"/>
    <w:rsid w:val="007F70D0"/>
    <w:rsid w:val="008004B9"/>
    <w:rsid w:val="0080088E"/>
    <w:rsid w:val="00801217"/>
    <w:rsid w:val="00801CA5"/>
    <w:rsid w:val="00802484"/>
    <w:rsid w:val="00802C69"/>
    <w:rsid w:val="008030B5"/>
    <w:rsid w:val="00803277"/>
    <w:rsid w:val="00803B51"/>
    <w:rsid w:val="00803F46"/>
    <w:rsid w:val="008040DB"/>
    <w:rsid w:val="0080416E"/>
    <w:rsid w:val="00804465"/>
    <w:rsid w:val="00804B38"/>
    <w:rsid w:val="00804BC6"/>
    <w:rsid w:val="00805142"/>
    <w:rsid w:val="00805BCC"/>
    <w:rsid w:val="00805D19"/>
    <w:rsid w:val="00805FCE"/>
    <w:rsid w:val="00806BAA"/>
    <w:rsid w:val="00807A8B"/>
    <w:rsid w:val="0081054A"/>
    <w:rsid w:val="00811383"/>
    <w:rsid w:val="00811D1B"/>
    <w:rsid w:val="00812149"/>
    <w:rsid w:val="008126F0"/>
    <w:rsid w:val="0081270D"/>
    <w:rsid w:val="008129B8"/>
    <w:rsid w:val="00812CAC"/>
    <w:rsid w:val="00813536"/>
    <w:rsid w:val="00813E6A"/>
    <w:rsid w:val="00813F8E"/>
    <w:rsid w:val="00815D26"/>
    <w:rsid w:val="00816143"/>
    <w:rsid w:val="008162B9"/>
    <w:rsid w:val="00816361"/>
    <w:rsid w:val="008166EF"/>
    <w:rsid w:val="00816FEF"/>
    <w:rsid w:val="00817A04"/>
    <w:rsid w:val="0082078C"/>
    <w:rsid w:val="00820A8C"/>
    <w:rsid w:val="008215FB"/>
    <w:rsid w:val="0082164D"/>
    <w:rsid w:val="0082257D"/>
    <w:rsid w:val="00822747"/>
    <w:rsid w:val="00822981"/>
    <w:rsid w:val="00823174"/>
    <w:rsid w:val="00823B6C"/>
    <w:rsid w:val="0082447A"/>
    <w:rsid w:val="00825532"/>
    <w:rsid w:val="0082561F"/>
    <w:rsid w:val="00825751"/>
    <w:rsid w:val="00825CA6"/>
    <w:rsid w:val="00825D05"/>
    <w:rsid w:val="00825FBE"/>
    <w:rsid w:val="0082647E"/>
    <w:rsid w:val="008264EB"/>
    <w:rsid w:val="00827AAC"/>
    <w:rsid w:val="00830D1B"/>
    <w:rsid w:val="008311F8"/>
    <w:rsid w:val="008316C1"/>
    <w:rsid w:val="00831BE9"/>
    <w:rsid w:val="00832534"/>
    <w:rsid w:val="008335F0"/>
    <w:rsid w:val="00833B05"/>
    <w:rsid w:val="008362B4"/>
    <w:rsid w:val="00837179"/>
    <w:rsid w:val="0083778B"/>
    <w:rsid w:val="00837A6D"/>
    <w:rsid w:val="00837CAF"/>
    <w:rsid w:val="00840CA2"/>
    <w:rsid w:val="0084191B"/>
    <w:rsid w:val="00841F55"/>
    <w:rsid w:val="0084271B"/>
    <w:rsid w:val="00843634"/>
    <w:rsid w:val="0084374F"/>
    <w:rsid w:val="00843946"/>
    <w:rsid w:val="00843D49"/>
    <w:rsid w:val="0084482B"/>
    <w:rsid w:val="00844A22"/>
    <w:rsid w:val="00844C5F"/>
    <w:rsid w:val="00845673"/>
    <w:rsid w:val="00845FC8"/>
    <w:rsid w:val="00847703"/>
    <w:rsid w:val="00847DF5"/>
    <w:rsid w:val="00850035"/>
    <w:rsid w:val="008510F6"/>
    <w:rsid w:val="00852AE0"/>
    <w:rsid w:val="00852BCD"/>
    <w:rsid w:val="00852D66"/>
    <w:rsid w:val="0085309D"/>
    <w:rsid w:val="0085346B"/>
    <w:rsid w:val="00853DDA"/>
    <w:rsid w:val="0085465A"/>
    <w:rsid w:val="00854A98"/>
    <w:rsid w:val="00854B32"/>
    <w:rsid w:val="00855AEE"/>
    <w:rsid w:val="008566F1"/>
    <w:rsid w:val="00856897"/>
    <w:rsid w:val="00856DD1"/>
    <w:rsid w:val="00856E9A"/>
    <w:rsid w:val="008575D5"/>
    <w:rsid w:val="00857C30"/>
    <w:rsid w:val="00860229"/>
    <w:rsid w:val="0086075D"/>
    <w:rsid w:val="00860A0E"/>
    <w:rsid w:val="00860A2A"/>
    <w:rsid w:val="0086219C"/>
    <w:rsid w:val="00862502"/>
    <w:rsid w:val="0086260F"/>
    <w:rsid w:val="00862CC1"/>
    <w:rsid w:val="00863597"/>
    <w:rsid w:val="00864263"/>
    <w:rsid w:val="00865798"/>
    <w:rsid w:val="00865CB3"/>
    <w:rsid w:val="008660D4"/>
    <w:rsid w:val="008669BD"/>
    <w:rsid w:val="00867005"/>
    <w:rsid w:val="008676A6"/>
    <w:rsid w:val="008717D5"/>
    <w:rsid w:val="00871CD4"/>
    <w:rsid w:val="00871FA9"/>
    <w:rsid w:val="008728E9"/>
    <w:rsid w:val="008749CA"/>
    <w:rsid w:val="00874DE5"/>
    <w:rsid w:val="00875189"/>
    <w:rsid w:val="008769BF"/>
    <w:rsid w:val="00876E0A"/>
    <w:rsid w:val="00877A72"/>
    <w:rsid w:val="00880414"/>
    <w:rsid w:val="008807D2"/>
    <w:rsid w:val="00880B64"/>
    <w:rsid w:val="00881D59"/>
    <w:rsid w:val="00882874"/>
    <w:rsid w:val="00882E3C"/>
    <w:rsid w:val="00883787"/>
    <w:rsid w:val="008855E4"/>
    <w:rsid w:val="00885E12"/>
    <w:rsid w:val="00886930"/>
    <w:rsid w:val="00886CD2"/>
    <w:rsid w:val="008873C4"/>
    <w:rsid w:val="00890477"/>
    <w:rsid w:val="00890DA9"/>
    <w:rsid w:val="00891E6F"/>
    <w:rsid w:val="00891FC7"/>
    <w:rsid w:val="00892647"/>
    <w:rsid w:val="008926CC"/>
    <w:rsid w:val="0089275D"/>
    <w:rsid w:val="0089290E"/>
    <w:rsid w:val="00892A36"/>
    <w:rsid w:val="00893239"/>
    <w:rsid w:val="00894489"/>
    <w:rsid w:val="00895764"/>
    <w:rsid w:val="00895CAA"/>
    <w:rsid w:val="008963A5"/>
    <w:rsid w:val="00896D5D"/>
    <w:rsid w:val="008A0350"/>
    <w:rsid w:val="008A0376"/>
    <w:rsid w:val="008A1162"/>
    <w:rsid w:val="008A16BD"/>
    <w:rsid w:val="008A2661"/>
    <w:rsid w:val="008A3363"/>
    <w:rsid w:val="008A3371"/>
    <w:rsid w:val="008A3C3E"/>
    <w:rsid w:val="008A3FAF"/>
    <w:rsid w:val="008A4C05"/>
    <w:rsid w:val="008A5A87"/>
    <w:rsid w:val="008A5BD5"/>
    <w:rsid w:val="008A6705"/>
    <w:rsid w:val="008A79DE"/>
    <w:rsid w:val="008A7D09"/>
    <w:rsid w:val="008B08ED"/>
    <w:rsid w:val="008B0A7B"/>
    <w:rsid w:val="008B0C7F"/>
    <w:rsid w:val="008B1622"/>
    <w:rsid w:val="008B1757"/>
    <w:rsid w:val="008B380A"/>
    <w:rsid w:val="008B41E7"/>
    <w:rsid w:val="008B48CF"/>
    <w:rsid w:val="008B7887"/>
    <w:rsid w:val="008B7992"/>
    <w:rsid w:val="008B7D7E"/>
    <w:rsid w:val="008C01CB"/>
    <w:rsid w:val="008C144E"/>
    <w:rsid w:val="008C2E7F"/>
    <w:rsid w:val="008C318C"/>
    <w:rsid w:val="008C3D6F"/>
    <w:rsid w:val="008C49A2"/>
    <w:rsid w:val="008C542C"/>
    <w:rsid w:val="008C5610"/>
    <w:rsid w:val="008C5739"/>
    <w:rsid w:val="008C6450"/>
    <w:rsid w:val="008C6FFA"/>
    <w:rsid w:val="008C74AA"/>
    <w:rsid w:val="008C7ECB"/>
    <w:rsid w:val="008D008D"/>
    <w:rsid w:val="008D0E7E"/>
    <w:rsid w:val="008D1729"/>
    <w:rsid w:val="008D268B"/>
    <w:rsid w:val="008D3B86"/>
    <w:rsid w:val="008D3F8B"/>
    <w:rsid w:val="008D4755"/>
    <w:rsid w:val="008D4C3D"/>
    <w:rsid w:val="008D67C3"/>
    <w:rsid w:val="008D6FD4"/>
    <w:rsid w:val="008D743C"/>
    <w:rsid w:val="008E0A7A"/>
    <w:rsid w:val="008E0D3C"/>
    <w:rsid w:val="008E189C"/>
    <w:rsid w:val="008E1B9E"/>
    <w:rsid w:val="008E1EC6"/>
    <w:rsid w:val="008E2F54"/>
    <w:rsid w:val="008E3279"/>
    <w:rsid w:val="008E33B5"/>
    <w:rsid w:val="008E4BCC"/>
    <w:rsid w:val="008E4CF4"/>
    <w:rsid w:val="008E55AB"/>
    <w:rsid w:val="008E6E68"/>
    <w:rsid w:val="008E700F"/>
    <w:rsid w:val="008E7440"/>
    <w:rsid w:val="008F0D72"/>
    <w:rsid w:val="008F120A"/>
    <w:rsid w:val="008F27E0"/>
    <w:rsid w:val="008F3C62"/>
    <w:rsid w:val="008F46FD"/>
    <w:rsid w:val="008F48EB"/>
    <w:rsid w:val="008F4F0B"/>
    <w:rsid w:val="008F5285"/>
    <w:rsid w:val="008F544D"/>
    <w:rsid w:val="008F5654"/>
    <w:rsid w:val="008F576B"/>
    <w:rsid w:val="008F6551"/>
    <w:rsid w:val="008F6935"/>
    <w:rsid w:val="008F6F50"/>
    <w:rsid w:val="008F7ED4"/>
    <w:rsid w:val="00900F08"/>
    <w:rsid w:val="00901F08"/>
    <w:rsid w:val="0090323C"/>
    <w:rsid w:val="00903C36"/>
    <w:rsid w:val="00903DA3"/>
    <w:rsid w:val="009046C4"/>
    <w:rsid w:val="009062A5"/>
    <w:rsid w:val="00906395"/>
    <w:rsid w:val="00906435"/>
    <w:rsid w:val="0090689F"/>
    <w:rsid w:val="00907D26"/>
    <w:rsid w:val="009101A9"/>
    <w:rsid w:val="0091079D"/>
    <w:rsid w:val="009108A6"/>
    <w:rsid w:val="009108B6"/>
    <w:rsid w:val="00910FA7"/>
    <w:rsid w:val="00911272"/>
    <w:rsid w:val="009112A8"/>
    <w:rsid w:val="009121C1"/>
    <w:rsid w:val="00912851"/>
    <w:rsid w:val="00913441"/>
    <w:rsid w:val="009135D6"/>
    <w:rsid w:val="00914C77"/>
    <w:rsid w:val="00917055"/>
    <w:rsid w:val="009171D3"/>
    <w:rsid w:val="0091744C"/>
    <w:rsid w:val="0091768D"/>
    <w:rsid w:val="00920156"/>
    <w:rsid w:val="00921ACB"/>
    <w:rsid w:val="00921BB9"/>
    <w:rsid w:val="0092369B"/>
    <w:rsid w:val="00923728"/>
    <w:rsid w:val="009247A9"/>
    <w:rsid w:val="009259DD"/>
    <w:rsid w:val="00926B1D"/>
    <w:rsid w:val="00926CF4"/>
    <w:rsid w:val="00927EBF"/>
    <w:rsid w:val="00930232"/>
    <w:rsid w:val="00931621"/>
    <w:rsid w:val="009316DD"/>
    <w:rsid w:val="00931E2E"/>
    <w:rsid w:val="00932193"/>
    <w:rsid w:val="009326FC"/>
    <w:rsid w:val="00934988"/>
    <w:rsid w:val="00936631"/>
    <w:rsid w:val="00936D51"/>
    <w:rsid w:val="00937089"/>
    <w:rsid w:val="00937517"/>
    <w:rsid w:val="0094108F"/>
    <w:rsid w:val="009419E2"/>
    <w:rsid w:val="00941DB7"/>
    <w:rsid w:val="009428AC"/>
    <w:rsid w:val="00942C35"/>
    <w:rsid w:val="00943158"/>
    <w:rsid w:val="00944F8A"/>
    <w:rsid w:val="0094510F"/>
    <w:rsid w:val="00945639"/>
    <w:rsid w:val="00946DED"/>
    <w:rsid w:val="00946EE9"/>
    <w:rsid w:val="00947640"/>
    <w:rsid w:val="00947CE7"/>
    <w:rsid w:val="00950527"/>
    <w:rsid w:val="009510A2"/>
    <w:rsid w:val="009512BD"/>
    <w:rsid w:val="00952778"/>
    <w:rsid w:val="00953257"/>
    <w:rsid w:val="0095410A"/>
    <w:rsid w:val="0095474C"/>
    <w:rsid w:val="00954A20"/>
    <w:rsid w:val="0095642B"/>
    <w:rsid w:val="00956E77"/>
    <w:rsid w:val="00957F2E"/>
    <w:rsid w:val="0096022E"/>
    <w:rsid w:val="009605A9"/>
    <w:rsid w:val="00960684"/>
    <w:rsid w:val="00960A67"/>
    <w:rsid w:val="00961166"/>
    <w:rsid w:val="00961EBE"/>
    <w:rsid w:val="00962CB9"/>
    <w:rsid w:val="00964312"/>
    <w:rsid w:val="009645E3"/>
    <w:rsid w:val="00964C42"/>
    <w:rsid w:val="0096511B"/>
    <w:rsid w:val="00965718"/>
    <w:rsid w:val="00965B8A"/>
    <w:rsid w:val="00967423"/>
    <w:rsid w:val="0096787E"/>
    <w:rsid w:val="0096792D"/>
    <w:rsid w:val="00967EF5"/>
    <w:rsid w:val="0097071F"/>
    <w:rsid w:val="00970CC9"/>
    <w:rsid w:val="00971194"/>
    <w:rsid w:val="009717AC"/>
    <w:rsid w:val="00971A5B"/>
    <w:rsid w:val="0097218C"/>
    <w:rsid w:val="0097284E"/>
    <w:rsid w:val="00972B84"/>
    <w:rsid w:val="00972C35"/>
    <w:rsid w:val="0097307A"/>
    <w:rsid w:val="009751C1"/>
    <w:rsid w:val="0097553D"/>
    <w:rsid w:val="00976249"/>
    <w:rsid w:val="0097655E"/>
    <w:rsid w:val="00976CA9"/>
    <w:rsid w:val="00976EBB"/>
    <w:rsid w:val="009773F3"/>
    <w:rsid w:val="00977C31"/>
    <w:rsid w:val="009811F1"/>
    <w:rsid w:val="00981EBF"/>
    <w:rsid w:val="00981EFD"/>
    <w:rsid w:val="00982830"/>
    <w:rsid w:val="00982BFA"/>
    <w:rsid w:val="0098340D"/>
    <w:rsid w:val="00983473"/>
    <w:rsid w:val="00983E57"/>
    <w:rsid w:val="009841D4"/>
    <w:rsid w:val="009844AC"/>
    <w:rsid w:val="00984628"/>
    <w:rsid w:val="00985A99"/>
    <w:rsid w:val="00985DE2"/>
    <w:rsid w:val="00985FA5"/>
    <w:rsid w:val="0098675D"/>
    <w:rsid w:val="00986CA1"/>
    <w:rsid w:val="0098734E"/>
    <w:rsid w:val="0098735E"/>
    <w:rsid w:val="0098759A"/>
    <w:rsid w:val="00987B13"/>
    <w:rsid w:val="00990930"/>
    <w:rsid w:val="00991CC7"/>
    <w:rsid w:val="009920CC"/>
    <w:rsid w:val="0099249F"/>
    <w:rsid w:val="009926E0"/>
    <w:rsid w:val="00992EA6"/>
    <w:rsid w:val="0099451E"/>
    <w:rsid w:val="009953DD"/>
    <w:rsid w:val="009961A1"/>
    <w:rsid w:val="00996802"/>
    <w:rsid w:val="00996B1A"/>
    <w:rsid w:val="009A0C03"/>
    <w:rsid w:val="009A10FD"/>
    <w:rsid w:val="009A129A"/>
    <w:rsid w:val="009A1995"/>
    <w:rsid w:val="009A1B5B"/>
    <w:rsid w:val="009A1E7F"/>
    <w:rsid w:val="009A2DCC"/>
    <w:rsid w:val="009A43AA"/>
    <w:rsid w:val="009A4468"/>
    <w:rsid w:val="009A5782"/>
    <w:rsid w:val="009A5ABC"/>
    <w:rsid w:val="009A60FC"/>
    <w:rsid w:val="009A66AD"/>
    <w:rsid w:val="009A77A9"/>
    <w:rsid w:val="009A7F10"/>
    <w:rsid w:val="009B22EF"/>
    <w:rsid w:val="009B23D2"/>
    <w:rsid w:val="009B27E1"/>
    <w:rsid w:val="009B2FC6"/>
    <w:rsid w:val="009B3170"/>
    <w:rsid w:val="009B3E26"/>
    <w:rsid w:val="009B4178"/>
    <w:rsid w:val="009B56A7"/>
    <w:rsid w:val="009B5B18"/>
    <w:rsid w:val="009B6BD9"/>
    <w:rsid w:val="009B6FFE"/>
    <w:rsid w:val="009C0071"/>
    <w:rsid w:val="009C0686"/>
    <w:rsid w:val="009C3706"/>
    <w:rsid w:val="009C3A3A"/>
    <w:rsid w:val="009C5369"/>
    <w:rsid w:val="009C63CB"/>
    <w:rsid w:val="009C6584"/>
    <w:rsid w:val="009C6CEA"/>
    <w:rsid w:val="009C7796"/>
    <w:rsid w:val="009C781E"/>
    <w:rsid w:val="009C7B85"/>
    <w:rsid w:val="009D0254"/>
    <w:rsid w:val="009D1455"/>
    <w:rsid w:val="009D1A64"/>
    <w:rsid w:val="009D26EE"/>
    <w:rsid w:val="009D341E"/>
    <w:rsid w:val="009D3A4C"/>
    <w:rsid w:val="009D5B91"/>
    <w:rsid w:val="009D64C7"/>
    <w:rsid w:val="009D6707"/>
    <w:rsid w:val="009D70F0"/>
    <w:rsid w:val="009D7363"/>
    <w:rsid w:val="009D792E"/>
    <w:rsid w:val="009D7EC0"/>
    <w:rsid w:val="009E0DFE"/>
    <w:rsid w:val="009E25CD"/>
    <w:rsid w:val="009E31F6"/>
    <w:rsid w:val="009E48B0"/>
    <w:rsid w:val="009E4AA0"/>
    <w:rsid w:val="009E4C07"/>
    <w:rsid w:val="009E4D4D"/>
    <w:rsid w:val="009E4EBB"/>
    <w:rsid w:val="009E4F3F"/>
    <w:rsid w:val="009E5106"/>
    <w:rsid w:val="009E6E62"/>
    <w:rsid w:val="009F099D"/>
    <w:rsid w:val="009F0D2E"/>
    <w:rsid w:val="009F1727"/>
    <w:rsid w:val="009F1CDC"/>
    <w:rsid w:val="009F24E0"/>
    <w:rsid w:val="009F2C19"/>
    <w:rsid w:val="009F42B6"/>
    <w:rsid w:val="009F46C5"/>
    <w:rsid w:val="009F5310"/>
    <w:rsid w:val="009F56FD"/>
    <w:rsid w:val="009F6E4F"/>
    <w:rsid w:val="009F6F9E"/>
    <w:rsid w:val="009F79BC"/>
    <w:rsid w:val="009F7B9D"/>
    <w:rsid w:val="00A00342"/>
    <w:rsid w:val="00A01184"/>
    <w:rsid w:val="00A018A8"/>
    <w:rsid w:val="00A01CF5"/>
    <w:rsid w:val="00A037C2"/>
    <w:rsid w:val="00A03D43"/>
    <w:rsid w:val="00A04380"/>
    <w:rsid w:val="00A048D8"/>
    <w:rsid w:val="00A04D91"/>
    <w:rsid w:val="00A05472"/>
    <w:rsid w:val="00A05914"/>
    <w:rsid w:val="00A05C32"/>
    <w:rsid w:val="00A060DB"/>
    <w:rsid w:val="00A0653F"/>
    <w:rsid w:val="00A07819"/>
    <w:rsid w:val="00A07D84"/>
    <w:rsid w:val="00A110B5"/>
    <w:rsid w:val="00A11CD0"/>
    <w:rsid w:val="00A12B1B"/>
    <w:rsid w:val="00A13948"/>
    <w:rsid w:val="00A1398E"/>
    <w:rsid w:val="00A14281"/>
    <w:rsid w:val="00A144CB"/>
    <w:rsid w:val="00A1555B"/>
    <w:rsid w:val="00A155C5"/>
    <w:rsid w:val="00A15D2B"/>
    <w:rsid w:val="00A15E07"/>
    <w:rsid w:val="00A16AD8"/>
    <w:rsid w:val="00A1740D"/>
    <w:rsid w:val="00A205EC"/>
    <w:rsid w:val="00A21462"/>
    <w:rsid w:val="00A21C95"/>
    <w:rsid w:val="00A21CF3"/>
    <w:rsid w:val="00A24813"/>
    <w:rsid w:val="00A250CE"/>
    <w:rsid w:val="00A25CF0"/>
    <w:rsid w:val="00A27AEC"/>
    <w:rsid w:val="00A30693"/>
    <w:rsid w:val="00A307C1"/>
    <w:rsid w:val="00A31BE8"/>
    <w:rsid w:val="00A320DB"/>
    <w:rsid w:val="00A3258F"/>
    <w:rsid w:val="00A32D48"/>
    <w:rsid w:val="00A33780"/>
    <w:rsid w:val="00A33CE3"/>
    <w:rsid w:val="00A340E6"/>
    <w:rsid w:val="00A342E1"/>
    <w:rsid w:val="00A3469A"/>
    <w:rsid w:val="00A34744"/>
    <w:rsid w:val="00A352B5"/>
    <w:rsid w:val="00A35D16"/>
    <w:rsid w:val="00A36589"/>
    <w:rsid w:val="00A36840"/>
    <w:rsid w:val="00A37BCD"/>
    <w:rsid w:val="00A37F4C"/>
    <w:rsid w:val="00A408F2"/>
    <w:rsid w:val="00A41228"/>
    <w:rsid w:val="00A41524"/>
    <w:rsid w:val="00A41689"/>
    <w:rsid w:val="00A42592"/>
    <w:rsid w:val="00A4391B"/>
    <w:rsid w:val="00A43C59"/>
    <w:rsid w:val="00A44BFD"/>
    <w:rsid w:val="00A44F4A"/>
    <w:rsid w:val="00A4533F"/>
    <w:rsid w:val="00A454B6"/>
    <w:rsid w:val="00A50341"/>
    <w:rsid w:val="00A50ECD"/>
    <w:rsid w:val="00A51842"/>
    <w:rsid w:val="00A518F3"/>
    <w:rsid w:val="00A521F4"/>
    <w:rsid w:val="00A5270F"/>
    <w:rsid w:val="00A52729"/>
    <w:rsid w:val="00A53675"/>
    <w:rsid w:val="00A53E98"/>
    <w:rsid w:val="00A54140"/>
    <w:rsid w:val="00A546E2"/>
    <w:rsid w:val="00A5632D"/>
    <w:rsid w:val="00A56432"/>
    <w:rsid w:val="00A564D7"/>
    <w:rsid w:val="00A56A56"/>
    <w:rsid w:val="00A56B6A"/>
    <w:rsid w:val="00A56B91"/>
    <w:rsid w:val="00A5711C"/>
    <w:rsid w:val="00A572BF"/>
    <w:rsid w:val="00A578DC"/>
    <w:rsid w:val="00A617EB"/>
    <w:rsid w:val="00A62F9C"/>
    <w:rsid w:val="00A630E7"/>
    <w:rsid w:val="00A634BA"/>
    <w:rsid w:val="00A63F1F"/>
    <w:rsid w:val="00A640E2"/>
    <w:rsid w:val="00A64715"/>
    <w:rsid w:val="00A64D65"/>
    <w:rsid w:val="00A66350"/>
    <w:rsid w:val="00A667C9"/>
    <w:rsid w:val="00A6725B"/>
    <w:rsid w:val="00A67421"/>
    <w:rsid w:val="00A67A87"/>
    <w:rsid w:val="00A67EE6"/>
    <w:rsid w:val="00A70605"/>
    <w:rsid w:val="00A7098B"/>
    <w:rsid w:val="00A7178A"/>
    <w:rsid w:val="00A73134"/>
    <w:rsid w:val="00A733FC"/>
    <w:rsid w:val="00A75E1F"/>
    <w:rsid w:val="00A76001"/>
    <w:rsid w:val="00A76A53"/>
    <w:rsid w:val="00A76D0C"/>
    <w:rsid w:val="00A77001"/>
    <w:rsid w:val="00A77330"/>
    <w:rsid w:val="00A777B2"/>
    <w:rsid w:val="00A77F6B"/>
    <w:rsid w:val="00A8124B"/>
    <w:rsid w:val="00A81817"/>
    <w:rsid w:val="00A825D4"/>
    <w:rsid w:val="00A827EF"/>
    <w:rsid w:val="00A828F6"/>
    <w:rsid w:val="00A82B73"/>
    <w:rsid w:val="00A82EE2"/>
    <w:rsid w:val="00A84378"/>
    <w:rsid w:val="00A85133"/>
    <w:rsid w:val="00A86E8B"/>
    <w:rsid w:val="00A86F95"/>
    <w:rsid w:val="00A87164"/>
    <w:rsid w:val="00A90A94"/>
    <w:rsid w:val="00A92343"/>
    <w:rsid w:val="00A92692"/>
    <w:rsid w:val="00A93072"/>
    <w:rsid w:val="00A938BD"/>
    <w:rsid w:val="00A93953"/>
    <w:rsid w:val="00A94497"/>
    <w:rsid w:val="00A95748"/>
    <w:rsid w:val="00A959D8"/>
    <w:rsid w:val="00A95A61"/>
    <w:rsid w:val="00A96C31"/>
    <w:rsid w:val="00A97877"/>
    <w:rsid w:val="00AA113D"/>
    <w:rsid w:val="00AA202A"/>
    <w:rsid w:val="00AA2AA3"/>
    <w:rsid w:val="00AA3A4D"/>
    <w:rsid w:val="00AA4C3B"/>
    <w:rsid w:val="00AA4CAF"/>
    <w:rsid w:val="00AA4EBE"/>
    <w:rsid w:val="00AA58C1"/>
    <w:rsid w:val="00AA62C6"/>
    <w:rsid w:val="00AA65BA"/>
    <w:rsid w:val="00AA6BD5"/>
    <w:rsid w:val="00AA6BD8"/>
    <w:rsid w:val="00AA6C7D"/>
    <w:rsid w:val="00AA7005"/>
    <w:rsid w:val="00AA779A"/>
    <w:rsid w:val="00AA7FD6"/>
    <w:rsid w:val="00AB042A"/>
    <w:rsid w:val="00AB19EF"/>
    <w:rsid w:val="00AB1A31"/>
    <w:rsid w:val="00AB2899"/>
    <w:rsid w:val="00AB28D6"/>
    <w:rsid w:val="00AB2D34"/>
    <w:rsid w:val="00AB2F22"/>
    <w:rsid w:val="00AB3116"/>
    <w:rsid w:val="00AB3430"/>
    <w:rsid w:val="00AB348F"/>
    <w:rsid w:val="00AB37B9"/>
    <w:rsid w:val="00AB44E5"/>
    <w:rsid w:val="00AB4AD1"/>
    <w:rsid w:val="00AB5E07"/>
    <w:rsid w:val="00AB7CFA"/>
    <w:rsid w:val="00AC1DAF"/>
    <w:rsid w:val="00AC23B2"/>
    <w:rsid w:val="00AC2768"/>
    <w:rsid w:val="00AC3867"/>
    <w:rsid w:val="00AC4BB0"/>
    <w:rsid w:val="00AC580E"/>
    <w:rsid w:val="00AC5B48"/>
    <w:rsid w:val="00AC64A4"/>
    <w:rsid w:val="00AC76DF"/>
    <w:rsid w:val="00AC7745"/>
    <w:rsid w:val="00AD0461"/>
    <w:rsid w:val="00AD1450"/>
    <w:rsid w:val="00AD1C52"/>
    <w:rsid w:val="00AD1DE5"/>
    <w:rsid w:val="00AD2395"/>
    <w:rsid w:val="00AD26A9"/>
    <w:rsid w:val="00AD2A96"/>
    <w:rsid w:val="00AD5907"/>
    <w:rsid w:val="00AD5B4D"/>
    <w:rsid w:val="00AD5FAF"/>
    <w:rsid w:val="00AD62F4"/>
    <w:rsid w:val="00AD6397"/>
    <w:rsid w:val="00AD6502"/>
    <w:rsid w:val="00AD6542"/>
    <w:rsid w:val="00AD79B1"/>
    <w:rsid w:val="00AE052D"/>
    <w:rsid w:val="00AE0695"/>
    <w:rsid w:val="00AE0825"/>
    <w:rsid w:val="00AE12D6"/>
    <w:rsid w:val="00AE14D2"/>
    <w:rsid w:val="00AE2392"/>
    <w:rsid w:val="00AE298B"/>
    <w:rsid w:val="00AE2DBA"/>
    <w:rsid w:val="00AE3E7E"/>
    <w:rsid w:val="00AE4165"/>
    <w:rsid w:val="00AE4909"/>
    <w:rsid w:val="00AF0CEA"/>
    <w:rsid w:val="00AF0FE0"/>
    <w:rsid w:val="00AF1261"/>
    <w:rsid w:val="00AF1315"/>
    <w:rsid w:val="00AF1688"/>
    <w:rsid w:val="00AF19BF"/>
    <w:rsid w:val="00AF1B75"/>
    <w:rsid w:val="00AF1E87"/>
    <w:rsid w:val="00AF205D"/>
    <w:rsid w:val="00AF2395"/>
    <w:rsid w:val="00AF249B"/>
    <w:rsid w:val="00AF2654"/>
    <w:rsid w:val="00AF2D5B"/>
    <w:rsid w:val="00AF2DC3"/>
    <w:rsid w:val="00AF4C53"/>
    <w:rsid w:val="00AF4C71"/>
    <w:rsid w:val="00AF5A87"/>
    <w:rsid w:val="00AF5DC8"/>
    <w:rsid w:val="00AF7B40"/>
    <w:rsid w:val="00B00BD6"/>
    <w:rsid w:val="00B01376"/>
    <w:rsid w:val="00B018CF"/>
    <w:rsid w:val="00B02227"/>
    <w:rsid w:val="00B025EB"/>
    <w:rsid w:val="00B033E5"/>
    <w:rsid w:val="00B0384C"/>
    <w:rsid w:val="00B03A63"/>
    <w:rsid w:val="00B03B96"/>
    <w:rsid w:val="00B03C29"/>
    <w:rsid w:val="00B045CA"/>
    <w:rsid w:val="00B04734"/>
    <w:rsid w:val="00B05A23"/>
    <w:rsid w:val="00B05E53"/>
    <w:rsid w:val="00B06082"/>
    <w:rsid w:val="00B07367"/>
    <w:rsid w:val="00B07E45"/>
    <w:rsid w:val="00B10457"/>
    <w:rsid w:val="00B1067C"/>
    <w:rsid w:val="00B1116A"/>
    <w:rsid w:val="00B11D0B"/>
    <w:rsid w:val="00B12A3B"/>
    <w:rsid w:val="00B13039"/>
    <w:rsid w:val="00B1589B"/>
    <w:rsid w:val="00B15EC7"/>
    <w:rsid w:val="00B1759F"/>
    <w:rsid w:val="00B201A4"/>
    <w:rsid w:val="00B201D1"/>
    <w:rsid w:val="00B20C8F"/>
    <w:rsid w:val="00B20FF4"/>
    <w:rsid w:val="00B213A6"/>
    <w:rsid w:val="00B21886"/>
    <w:rsid w:val="00B21957"/>
    <w:rsid w:val="00B235B0"/>
    <w:rsid w:val="00B242E1"/>
    <w:rsid w:val="00B24DF6"/>
    <w:rsid w:val="00B25B1E"/>
    <w:rsid w:val="00B260A1"/>
    <w:rsid w:val="00B2622B"/>
    <w:rsid w:val="00B264AF"/>
    <w:rsid w:val="00B27B0B"/>
    <w:rsid w:val="00B3174B"/>
    <w:rsid w:val="00B318CF"/>
    <w:rsid w:val="00B31BE1"/>
    <w:rsid w:val="00B32EC1"/>
    <w:rsid w:val="00B339A0"/>
    <w:rsid w:val="00B34FE2"/>
    <w:rsid w:val="00B35166"/>
    <w:rsid w:val="00B357D8"/>
    <w:rsid w:val="00B35EE1"/>
    <w:rsid w:val="00B360F4"/>
    <w:rsid w:val="00B367FA"/>
    <w:rsid w:val="00B3699B"/>
    <w:rsid w:val="00B36A00"/>
    <w:rsid w:val="00B3726A"/>
    <w:rsid w:val="00B37387"/>
    <w:rsid w:val="00B37BFC"/>
    <w:rsid w:val="00B40358"/>
    <w:rsid w:val="00B40FC0"/>
    <w:rsid w:val="00B41223"/>
    <w:rsid w:val="00B41614"/>
    <w:rsid w:val="00B416C8"/>
    <w:rsid w:val="00B41D01"/>
    <w:rsid w:val="00B42851"/>
    <w:rsid w:val="00B4289F"/>
    <w:rsid w:val="00B42F6B"/>
    <w:rsid w:val="00B42F80"/>
    <w:rsid w:val="00B42FCC"/>
    <w:rsid w:val="00B435CB"/>
    <w:rsid w:val="00B43CE6"/>
    <w:rsid w:val="00B44966"/>
    <w:rsid w:val="00B45804"/>
    <w:rsid w:val="00B46843"/>
    <w:rsid w:val="00B4768B"/>
    <w:rsid w:val="00B47C7A"/>
    <w:rsid w:val="00B47CB1"/>
    <w:rsid w:val="00B505C8"/>
    <w:rsid w:val="00B507ED"/>
    <w:rsid w:val="00B50A6F"/>
    <w:rsid w:val="00B50DB8"/>
    <w:rsid w:val="00B50F98"/>
    <w:rsid w:val="00B50FE6"/>
    <w:rsid w:val="00B52417"/>
    <w:rsid w:val="00B5285A"/>
    <w:rsid w:val="00B52ED7"/>
    <w:rsid w:val="00B53654"/>
    <w:rsid w:val="00B53905"/>
    <w:rsid w:val="00B540EE"/>
    <w:rsid w:val="00B54850"/>
    <w:rsid w:val="00B54AC6"/>
    <w:rsid w:val="00B54B5B"/>
    <w:rsid w:val="00B54BCF"/>
    <w:rsid w:val="00B5562E"/>
    <w:rsid w:val="00B55862"/>
    <w:rsid w:val="00B55A61"/>
    <w:rsid w:val="00B55D65"/>
    <w:rsid w:val="00B567AE"/>
    <w:rsid w:val="00B57000"/>
    <w:rsid w:val="00B57302"/>
    <w:rsid w:val="00B57571"/>
    <w:rsid w:val="00B577CA"/>
    <w:rsid w:val="00B60939"/>
    <w:rsid w:val="00B60AFD"/>
    <w:rsid w:val="00B60F3C"/>
    <w:rsid w:val="00B61B14"/>
    <w:rsid w:val="00B62312"/>
    <w:rsid w:val="00B62715"/>
    <w:rsid w:val="00B63525"/>
    <w:rsid w:val="00B64024"/>
    <w:rsid w:val="00B64B6A"/>
    <w:rsid w:val="00B64D95"/>
    <w:rsid w:val="00B6547E"/>
    <w:rsid w:val="00B654F3"/>
    <w:rsid w:val="00B65611"/>
    <w:rsid w:val="00B65E3F"/>
    <w:rsid w:val="00B6692F"/>
    <w:rsid w:val="00B67356"/>
    <w:rsid w:val="00B67870"/>
    <w:rsid w:val="00B6790D"/>
    <w:rsid w:val="00B67E7D"/>
    <w:rsid w:val="00B7054F"/>
    <w:rsid w:val="00B70C73"/>
    <w:rsid w:val="00B70E8E"/>
    <w:rsid w:val="00B72131"/>
    <w:rsid w:val="00B74FBF"/>
    <w:rsid w:val="00B7552F"/>
    <w:rsid w:val="00B75C4F"/>
    <w:rsid w:val="00B76BBE"/>
    <w:rsid w:val="00B76C4E"/>
    <w:rsid w:val="00B76C92"/>
    <w:rsid w:val="00B77AC6"/>
    <w:rsid w:val="00B77CBB"/>
    <w:rsid w:val="00B77FFB"/>
    <w:rsid w:val="00B818A4"/>
    <w:rsid w:val="00B8299F"/>
    <w:rsid w:val="00B82A7C"/>
    <w:rsid w:val="00B8344E"/>
    <w:rsid w:val="00B83EE7"/>
    <w:rsid w:val="00B84117"/>
    <w:rsid w:val="00B844D6"/>
    <w:rsid w:val="00B84E00"/>
    <w:rsid w:val="00B85738"/>
    <w:rsid w:val="00B858F0"/>
    <w:rsid w:val="00B8593A"/>
    <w:rsid w:val="00B85AA2"/>
    <w:rsid w:val="00B85BB3"/>
    <w:rsid w:val="00B8649C"/>
    <w:rsid w:val="00B864BE"/>
    <w:rsid w:val="00B8695D"/>
    <w:rsid w:val="00B87288"/>
    <w:rsid w:val="00B87775"/>
    <w:rsid w:val="00B87F0A"/>
    <w:rsid w:val="00B90201"/>
    <w:rsid w:val="00B91D34"/>
    <w:rsid w:val="00B92D0B"/>
    <w:rsid w:val="00B94945"/>
    <w:rsid w:val="00B94CE4"/>
    <w:rsid w:val="00B94DD6"/>
    <w:rsid w:val="00B951C5"/>
    <w:rsid w:val="00B9557F"/>
    <w:rsid w:val="00B95F82"/>
    <w:rsid w:val="00B96463"/>
    <w:rsid w:val="00B96769"/>
    <w:rsid w:val="00B96F8C"/>
    <w:rsid w:val="00BA0DFF"/>
    <w:rsid w:val="00BA0F53"/>
    <w:rsid w:val="00BA1477"/>
    <w:rsid w:val="00BA1998"/>
    <w:rsid w:val="00BA322D"/>
    <w:rsid w:val="00BA3A62"/>
    <w:rsid w:val="00BA3B98"/>
    <w:rsid w:val="00BA4089"/>
    <w:rsid w:val="00BA4590"/>
    <w:rsid w:val="00BA476F"/>
    <w:rsid w:val="00BA5F3A"/>
    <w:rsid w:val="00BA63FA"/>
    <w:rsid w:val="00BA775C"/>
    <w:rsid w:val="00BB00B3"/>
    <w:rsid w:val="00BB066D"/>
    <w:rsid w:val="00BB07AB"/>
    <w:rsid w:val="00BB0BDD"/>
    <w:rsid w:val="00BB1334"/>
    <w:rsid w:val="00BB176C"/>
    <w:rsid w:val="00BB1E2D"/>
    <w:rsid w:val="00BB2288"/>
    <w:rsid w:val="00BB2A73"/>
    <w:rsid w:val="00BB2BB4"/>
    <w:rsid w:val="00BB3896"/>
    <w:rsid w:val="00BB3A45"/>
    <w:rsid w:val="00BB477E"/>
    <w:rsid w:val="00BB4ACC"/>
    <w:rsid w:val="00BB5173"/>
    <w:rsid w:val="00BB5326"/>
    <w:rsid w:val="00BB57DD"/>
    <w:rsid w:val="00BB588E"/>
    <w:rsid w:val="00BB5DDD"/>
    <w:rsid w:val="00BB65BB"/>
    <w:rsid w:val="00BB703E"/>
    <w:rsid w:val="00BB732D"/>
    <w:rsid w:val="00BB7405"/>
    <w:rsid w:val="00BB7846"/>
    <w:rsid w:val="00BB7BB0"/>
    <w:rsid w:val="00BB7CD9"/>
    <w:rsid w:val="00BC0DCA"/>
    <w:rsid w:val="00BC1C9E"/>
    <w:rsid w:val="00BC2023"/>
    <w:rsid w:val="00BC2613"/>
    <w:rsid w:val="00BC262F"/>
    <w:rsid w:val="00BC345C"/>
    <w:rsid w:val="00BC3631"/>
    <w:rsid w:val="00BC4E66"/>
    <w:rsid w:val="00BC5111"/>
    <w:rsid w:val="00BC54DE"/>
    <w:rsid w:val="00BC591F"/>
    <w:rsid w:val="00BC7537"/>
    <w:rsid w:val="00BC7D6D"/>
    <w:rsid w:val="00BD08BA"/>
    <w:rsid w:val="00BD2108"/>
    <w:rsid w:val="00BD2B6A"/>
    <w:rsid w:val="00BD2E2A"/>
    <w:rsid w:val="00BD35E4"/>
    <w:rsid w:val="00BD37A3"/>
    <w:rsid w:val="00BD3D07"/>
    <w:rsid w:val="00BD408F"/>
    <w:rsid w:val="00BD4577"/>
    <w:rsid w:val="00BD4881"/>
    <w:rsid w:val="00BD4D48"/>
    <w:rsid w:val="00BD5A27"/>
    <w:rsid w:val="00BD68A3"/>
    <w:rsid w:val="00BD6938"/>
    <w:rsid w:val="00BD6CF3"/>
    <w:rsid w:val="00BE0ECA"/>
    <w:rsid w:val="00BE12AE"/>
    <w:rsid w:val="00BE2180"/>
    <w:rsid w:val="00BE21F2"/>
    <w:rsid w:val="00BE2540"/>
    <w:rsid w:val="00BE28C7"/>
    <w:rsid w:val="00BE3DC2"/>
    <w:rsid w:val="00BE4158"/>
    <w:rsid w:val="00BE4275"/>
    <w:rsid w:val="00BE5D54"/>
    <w:rsid w:val="00BE60F3"/>
    <w:rsid w:val="00BE6C6B"/>
    <w:rsid w:val="00BF0677"/>
    <w:rsid w:val="00BF06AE"/>
    <w:rsid w:val="00BF09D1"/>
    <w:rsid w:val="00BF0F95"/>
    <w:rsid w:val="00BF1633"/>
    <w:rsid w:val="00BF1926"/>
    <w:rsid w:val="00BF20FA"/>
    <w:rsid w:val="00BF22F9"/>
    <w:rsid w:val="00BF2433"/>
    <w:rsid w:val="00BF4454"/>
    <w:rsid w:val="00BF54E9"/>
    <w:rsid w:val="00BF5C2B"/>
    <w:rsid w:val="00BF61C9"/>
    <w:rsid w:val="00BF6C94"/>
    <w:rsid w:val="00BF704F"/>
    <w:rsid w:val="00BF746A"/>
    <w:rsid w:val="00BF7799"/>
    <w:rsid w:val="00C00424"/>
    <w:rsid w:val="00C021E6"/>
    <w:rsid w:val="00C03A9B"/>
    <w:rsid w:val="00C03E04"/>
    <w:rsid w:val="00C04056"/>
    <w:rsid w:val="00C044CD"/>
    <w:rsid w:val="00C049DD"/>
    <w:rsid w:val="00C06033"/>
    <w:rsid w:val="00C07983"/>
    <w:rsid w:val="00C07AD1"/>
    <w:rsid w:val="00C10EAB"/>
    <w:rsid w:val="00C1179F"/>
    <w:rsid w:val="00C11F65"/>
    <w:rsid w:val="00C12072"/>
    <w:rsid w:val="00C1283B"/>
    <w:rsid w:val="00C12BF2"/>
    <w:rsid w:val="00C12C14"/>
    <w:rsid w:val="00C13012"/>
    <w:rsid w:val="00C15F04"/>
    <w:rsid w:val="00C179B3"/>
    <w:rsid w:val="00C17B29"/>
    <w:rsid w:val="00C17D2D"/>
    <w:rsid w:val="00C17E35"/>
    <w:rsid w:val="00C17E3F"/>
    <w:rsid w:val="00C200AA"/>
    <w:rsid w:val="00C2026B"/>
    <w:rsid w:val="00C20496"/>
    <w:rsid w:val="00C22535"/>
    <w:rsid w:val="00C22DFC"/>
    <w:rsid w:val="00C22FA9"/>
    <w:rsid w:val="00C2358B"/>
    <w:rsid w:val="00C237ED"/>
    <w:rsid w:val="00C24632"/>
    <w:rsid w:val="00C25247"/>
    <w:rsid w:val="00C252FB"/>
    <w:rsid w:val="00C25418"/>
    <w:rsid w:val="00C25D9C"/>
    <w:rsid w:val="00C26C23"/>
    <w:rsid w:val="00C26DDA"/>
    <w:rsid w:val="00C27279"/>
    <w:rsid w:val="00C2778B"/>
    <w:rsid w:val="00C27F89"/>
    <w:rsid w:val="00C31649"/>
    <w:rsid w:val="00C320CB"/>
    <w:rsid w:val="00C333B7"/>
    <w:rsid w:val="00C33B4D"/>
    <w:rsid w:val="00C3434C"/>
    <w:rsid w:val="00C3567B"/>
    <w:rsid w:val="00C3661D"/>
    <w:rsid w:val="00C40385"/>
    <w:rsid w:val="00C41768"/>
    <w:rsid w:val="00C425D7"/>
    <w:rsid w:val="00C431EB"/>
    <w:rsid w:val="00C43BD2"/>
    <w:rsid w:val="00C4479F"/>
    <w:rsid w:val="00C4525B"/>
    <w:rsid w:val="00C46164"/>
    <w:rsid w:val="00C463F7"/>
    <w:rsid w:val="00C465E5"/>
    <w:rsid w:val="00C46A7A"/>
    <w:rsid w:val="00C472C9"/>
    <w:rsid w:val="00C475AA"/>
    <w:rsid w:val="00C47A13"/>
    <w:rsid w:val="00C51D6D"/>
    <w:rsid w:val="00C51EB6"/>
    <w:rsid w:val="00C527EF"/>
    <w:rsid w:val="00C5337B"/>
    <w:rsid w:val="00C535A8"/>
    <w:rsid w:val="00C53C98"/>
    <w:rsid w:val="00C55849"/>
    <w:rsid w:val="00C565CE"/>
    <w:rsid w:val="00C569F3"/>
    <w:rsid w:val="00C56FCF"/>
    <w:rsid w:val="00C570CA"/>
    <w:rsid w:val="00C575DD"/>
    <w:rsid w:val="00C575EF"/>
    <w:rsid w:val="00C57B6C"/>
    <w:rsid w:val="00C601F3"/>
    <w:rsid w:val="00C604A6"/>
    <w:rsid w:val="00C61708"/>
    <w:rsid w:val="00C62809"/>
    <w:rsid w:val="00C628A6"/>
    <w:rsid w:val="00C628CE"/>
    <w:rsid w:val="00C62AEE"/>
    <w:rsid w:val="00C62F6C"/>
    <w:rsid w:val="00C63678"/>
    <w:rsid w:val="00C63E8E"/>
    <w:rsid w:val="00C64344"/>
    <w:rsid w:val="00C6500A"/>
    <w:rsid w:val="00C65108"/>
    <w:rsid w:val="00C652FD"/>
    <w:rsid w:val="00C653A5"/>
    <w:rsid w:val="00C6554F"/>
    <w:rsid w:val="00C65576"/>
    <w:rsid w:val="00C66165"/>
    <w:rsid w:val="00C676AA"/>
    <w:rsid w:val="00C67A48"/>
    <w:rsid w:val="00C7060A"/>
    <w:rsid w:val="00C70B32"/>
    <w:rsid w:val="00C7151A"/>
    <w:rsid w:val="00C7172A"/>
    <w:rsid w:val="00C717E3"/>
    <w:rsid w:val="00C71F60"/>
    <w:rsid w:val="00C72241"/>
    <w:rsid w:val="00C7259F"/>
    <w:rsid w:val="00C72608"/>
    <w:rsid w:val="00C72A4B"/>
    <w:rsid w:val="00C72BD4"/>
    <w:rsid w:val="00C74A9F"/>
    <w:rsid w:val="00C750C8"/>
    <w:rsid w:val="00C75553"/>
    <w:rsid w:val="00C7560F"/>
    <w:rsid w:val="00C75C35"/>
    <w:rsid w:val="00C76746"/>
    <w:rsid w:val="00C77173"/>
    <w:rsid w:val="00C774D4"/>
    <w:rsid w:val="00C802E3"/>
    <w:rsid w:val="00C80A0E"/>
    <w:rsid w:val="00C80D42"/>
    <w:rsid w:val="00C814A3"/>
    <w:rsid w:val="00C81C14"/>
    <w:rsid w:val="00C8213F"/>
    <w:rsid w:val="00C84357"/>
    <w:rsid w:val="00C85154"/>
    <w:rsid w:val="00C85182"/>
    <w:rsid w:val="00C851DF"/>
    <w:rsid w:val="00C86313"/>
    <w:rsid w:val="00C865D6"/>
    <w:rsid w:val="00C8797A"/>
    <w:rsid w:val="00C900B8"/>
    <w:rsid w:val="00C9080A"/>
    <w:rsid w:val="00C90C71"/>
    <w:rsid w:val="00C91491"/>
    <w:rsid w:val="00C91A90"/>
    <w:rsid w:val="00C91FD1"/>
    <w:rsid w:val="00C92529"/>
    <w:rsid w:val="00C931CF"/>
    <w:rsid w:val="00C938CF"/>
    <w:rsid w:val="00C94053"/>
    <w:rsid w:val="00C95C83"/>
    <w:rsid w:val="00C95C9B"/>
    <w:rsid w:val="00C9624D"/>
    <w:rsid w:val="00C9681F"/>
    <w:rsid w:val="00C969DA"/>
    <w:rsid w:val="00CA02F9"/>
    <w:rsid w:val="00CA03BC"/>
    <w:rsid w:val="00CA0912"/>
    <w:rsid w:val="00CA0B2D"/>
    <w:rsid w:val="00CA1F66"/>
    <w:rsid w:val="00CA2C77"/>
    <w:rsid w:val="00CA3EB7"/>
    <w:rsid w:val="00CA4279"/>
    <w:rsid w:val="00CA444F"/>
    <w:rsid w:val="00CA462F"/>
    <w:rsid w:val="00CA5245"/>
    <w:rsid w:val="00CA52BC"/>
    <w:rsid w:val="00CA71F4"/>
    <w:rsid w:val="00CA75BE"/>
    <w:rsid w:val="00CA7B09"/>
    <w:rsid w:val="00CA7EE5"/>
    <w:rsid w:val="00CB0000"/>
    <w:rsid w:val="00CB04F6"/>
    <w:rsid w:val="00CB0899"/>
    <w:rsid w:val="00CB0968"/>
    <w:rsid w:val="00CB0BFE"/>
    <w:rsid w:val="00CB112E"/>
    <w:rsid w:val="00CB12A5"/>
    <w:rsid w:val="00CB1CAC"/>
    <w:rsid w:val="00CB1F1B"/>
    <w:rsid w:val="00CB2194"/>
    <w:rsid w:val="00CB2F2A"/>
    <w:rsid w:val="00CB3E88"/>
    <w:rsid w:val="00CB44B6"/>
    <w:rsid w:val="00CB5177"/>
    <w:rsid w:val="00CB5B1A"/>
    <w:rsid w:val="00CB6B22"/>
    <w:rsid w:val="00CB7F5F"/>
    <w:rsid w:val="00CC01E7"/>
    <w:rsid w:val="00CC04A0"/>
    <w:rsid w:val="00CC105D"/>
    <w:rsid w:val="00CC10AF"/>
    <w:rsid w:val="00CC1B39"/>
    <w:rsid w:val="00CC1DC1"/>
    <w:rsid w:val="00CC35EA"/>
    <w:rsid w:val="00CC3848"/>
    <w:rsid w:val="00CC478E"/>
    <w:rsid w:val="00CC4D7B"/>
    <w:rsid w:val="00CC501C"/>
    <w:rsid w:val="00CC62BA"/>
    <w:rsid w:val="00CC6779"/>
    <w:rsid w:val="00CC7AEF"/>
    <w:rsid w:val="00CC7EE6"/>
    <w:rsid w:val="00CD14E4"/>
    <w:rsid w:val="00CD2CFE"/>
    <w:rsid w:val="00CD39A4"/>
    <w:rsid w:val="00CD3F77"/>
    <w:rsid w:val="00CD49A4"/>
    <w:rsid w:val="00CD4A15"/>
    <w:rsid w:val="00CD4FB5"/>
    <w:rsid w:val="00CD5449"/>
    <w:rsid w:val="00CD5525"/>
    <w:rsid w:val="00CD564D"/>
    <w:rsid w:val="00CD5BB0"/>
    <w:rsid w:val="00CD6ADC"/>
    <w:rsid w:val="00CD7193"/>
    <w:rsid w:val="00CD72B3"/>
    <w:rsid w:val="00CD760B"/>
    <w:rsid w:val="00CE2776"/>
    <w:rsid w:val="00CE38C8"/>
    <w:rsid w:val="00CE4D98"/>
    <w:rsid w:val="00CE5087"/>
    <w:rsid w:val="00CE5554"/>
    <w:rsid w:val="00CE5DB5"/>
    <w:rsid w:val="00CE6274"/>
    <w:rsid w:val="00CE653D"/>
    <w:rsid w:val="00CE6ACA"/>
    <w:rsid w:val="00CE75E0"/>
    <w:rsid w:val="00CE77B6"/>
    <w:rsid w:val="00CE7D2B"/>
    <w:rsid w:val="00CF093B"/>
    <w:rsid w:val="00CF2B8D"/>
    <w:rsid w:val="00CF456B"/>
    <w:rsid w:val="00CF4809"/>
    <w:rsid w:val="00CF49C4"/>
    <w:rsid w:val="00CF4DB6"/>
    <w:rsid w:val="00CF50FE"/>
    <w:rsid w:val="00CF5A22"/>
    <w:rsid w:val="00CF77B9"/>
    <w:rsid w:val="00D01040"/>
    <w:rsid w:val="00D0262E"/>
    <w:rsid w:val="00D034E8"/>
    <w:rsid w:val="00D045DB"/>
    <w:rsid w:val="00D048BD"/>
    <w:rsid w:val="00D048D0"/>
    <w:rsid w:val="00D049E7"/>
    <w:rsid w:val="00D04C5B"/>
    <w:rsid w:val="00D05471"/>
    <w:rsid w:val="00D05E3D"/>
    <w:rsid w:val="00D06139"/>
    <w:rsid w:val="00D1086A"/>
    <w:rsid w:val="00D110BD"/>
    <w:rsid w:val="00D11287"/>
    <w:rsid w:val="00D117FE"/>
    <w:rsid w:val="00D11C8A"/>
    <w:rsid w:val="00D13675"/>
    <w:rsid w:val="00D141E1"/>
    <w:rsid w:val="00D15314"/>
    <w:rsid w:val="00D1621E"/>
    <w:rsid w:val="00D16593"/>
    <w:rsid w:val="00D17654"/>
    <w:rsid w:val="00D17D6C"/>
    <w:rsid w:val="00D2024F"/>
    <w:rsid w:val="00D20E36"/>
    <w:rsid w:val="00D20FD1"/>
    <w:rsid w:val="00D2155B"/>
    <w:rsid w:val="00D21C99"/>
    <w:rsid w:val="00D21EC6"/>
    <w:rsid w:val="00D23D11"/>
    <w:rsid w:val="00D244B6"/>
    <w:rsid w:val="00D244F3"/>
    <w:rsid w:val="00D25B24"/>
    <w:rsid w:val="00D27274"/>
    <w:rsid w:val="00D2754D"/>
    <w:rsid w:val="00D27B27"/>
    <w:rsid w:val="00D30B4A"/>
    <w:rsid w:val="00D31E50"/>
    <w:rsid w:val="00D31FD2"/>
    <w:rsid w:val="00D33BE9"/>
    <w:rsid w:val="00D33F93"/>
    <w:rsid w:val="00D357FF"/>
    <w:rsid w:val="00D36F05"/>
    <w:rsid w:val="00D37343"/>
    <w:rsid w:val="00D37ABC"/>
    <w:rsid w:val="00D37D9B"/>
    <w:rsid w:val="00D4129B"/>
    <w:rsid w:val="00D412F0"/>
    <w:rsid w:val="00D416EC"/>
    <w:rsid w:val="00D422C6"/>
    <w:rsid w:val="00D424C7"/>
    <w:rsid w:val="00D4273C"/>
    <w:rsid w:val="00D42FEF"/>
    <w:rsid w:val="00D43B2A"/>
    <w:rsid w:val="00D43D83"/>
    <w:rsid w:val="00D47267"/>
    <w:rsid w:val="00D47575"/>
    <w:rsid w:val="00D4766C"/>
    <w:rsid w:val="00D47D47"/>
    <w:rsid w:val="00D509B1"/>
    <w:rsid w:val="00D5207B"/>
    <w:rsid w:val="00D5224C"/>
    <w:rsid w:val="00D5243B"/>
    <w:rsid w:val="00D5285A"/>
    <w:rsid w:val="00D52A37"/>
    <w:rsid w:val="00D52DB0"/>
    <w:rsid w:val="00D533EC"/>
    <w:rsid w:val="00D53557"/>
    <w:rsid w:val="00D53C75"/>
    <w:rsid w:val="00D54070"/>
    <w:rsid w:val="00D5408A"/>
    <w:rsid w:val="00D542CE"/>
    <w:rsid w:val="00D551BD"/>
    <w:rsid w:val="00D55F23"/>
    <w:rsid w:val="00D55FE9"/>
    <w:rsid w:val="00D56A95"/>
    <w:rsid w:val="00D6067D"/>
    <w:rsid w:val="00D61EA5"/>
    <w:rsid w:val="00D62295"/>
    <w:rsid w:val="00D62C61"/>
    <w:rsid w:val="00D63341"/>
    <w:rsid w:val="00D63539"/>
    <w:rsid w:val="00D64CA8"/>
    <w:rsid w:val="00D64F6C"/>
    <w:rsid w:val="00D65752"/>
    <w:rsid w:val="00D66119"/>
    <w:rsid w:val="00D6663D"/>
    <w:rsid w:val="00D6709C"/>
    <w:rsid w:val="00D670D3"/>
    <w:rsid w:val="00D671D3"/>
    <w:rsid w:val="00D67511"/>
    <w:rsid w:val="00D70D06"/>
    <w:rsid w:val="00D70F16"/>
    <w:rsid w:val="00D72780"/>
    <w:rsid w:val="00D72B32"/>
    <w:rsid w:val="00D72CE9"/>
    <w:rsid w:val="00D72F57"/>
    <w:rsid w:val="00D74454"/>
    <w:rsid w:val="00D7551F"/>
    <w:rsid w:val="00D75621"/>
    <w:rsid w:val="00D76A44"/>
    <w:rsid w:val="00D80122"/>
    <w:rsid w:val="00D80DDB"/>
    <w:rsid w:val="00D81089"/>
    <w:rsid w:val="00D8115D"/>
    <w:rsid w:val="00D815EF"/>
    <w:rsid w:val="00D81F26"/>
    <w:rsid w:val="00D821C4"/>
    <w:rsid w:val="00D829C0"/>
    <w:rsid w:val="00D8312C"/>
    <w:rsid w:val="00D831DC"/>
    <w:rsid w:val="00D84BE3"/>
    <w:rsid w:val="00D84D36"/>
    <w:rsid w:val="00D8577F"/>
    <w:rsid w:val="00D86082"/>
    <w:rsid w:val="00D861C2"/>
    <w:rsid w:val="00D86231"/>
    <w:rsid w:val="00D8660D"/>
    <w:rsid w:val="00D873B8"/>
    <w:rsid w:val="00D875DC"/>
    <w:rsid w:val="00D90870"/>
    <w:rsid w:val="00D90C20"/>
    <w:rsid w:val="00D91923"/>
    <w:rsid w:val="00D92246"/>
    <w:rsid w:val="00D92E29"/>
    <w:rsid w:val="00D9337B"/>
    <w:rsid w:val="00D93753"/>
    <w:rsid w:val="00D93E18"/>
    <w:rsid w:val="00D93EF9"/>
    <w:rsid w:val="00D9654E"/>
    <w:rsid w:val="00D97F62"/>
    <w:rsid w:val="00DA0A21"/>
    <w:rsid w:val="00DA15D7"/>
    <w:rsid w:val="00DA1ECE"/>
    <w:rsid w:val="00DA2D2B"/>
    <w:rsid w:val="00DA3167"/>
    <w:rsid w:val="00DA4BAC"/>
    <w:rsid w:val="00DA4DC3"/>
    <w:rsid w:val="00DA5947"/>
    <w:rsid w:val="00DA6B3F"/>
    <w:rsid w:val="00DA6F99"/>
    <w:rsid w:val="00DA77A5"/>
    <w:rsid w:val="00DB02CF"/>
    <w:rsid w:val="00DB2C9E"/>
    <w:rsid w:val="00DB3183"/>
    <w:rsid w:val="00DB3B19"/>
    <w:rsid w:val="00DB3DBF"/>
    <w:rsid w:val="00DB3E3E"/>
    <w:rsid w:val="00DB4421"/>
    <w:rsid w:val="00DB484F"/>
    <w:rsid w:val="00DB5206"/>
    <w:rsid w:val="00DB630B"/>
    <w:rsid w:val="00DB67CC"/>
    <w:rsid w:val="00DB729B"/>
    <w:rsid w:val="00DC0210"/>
    <w:rsid w:val="00DC04F6"/>
    <w:rsid w:val="00DC0690"/>
    <w:rsid w:val="00DC0829"/>
    <w:rsid w:val="00DC1720"/>
    <w:rsid w:val="00DC1A2C"/>
    <w:rsid w:val="00DC1CE0"/>
    <w:rsid w:val="00DC1D65"/>
    <w:rsid w:val="00DC1FA8"/>
    <w:rsid w:val="00DC20B0"/>
    <w:rsid w:val="00DC2363"/>
    <w:rsid w:val="00DC2C93"/>
    <w:rsid w:val="00DC3A0A"/>
    <w:rsid w:val="00DC3C57"/>
    <w:rsid w:val="00DC54E7"/>
    <w:rsid w:val="00DC5501"/>
    <w:rsid w:val="00DC61F4"/>
    <w:rsid w:val="00DC66C2"/>
    <w:rsid w:val="00DC6B9C"/>
    <w:rsid w:val="00DC7154"/>
    <w:rsid w:val="00DC7902"/>
    <w:rsid w:val="00DC7C9B"/>
    <w:rsid w:val="00DC7E8A"/>
    <w:rsid w:val="00DD08B7"/>
    <w:rsid w:val="00DD0AD5"/>
    <w:rsid w:val="00DD0F78"/>
    <w:rsid w:val="00DD152C"/>
    <w:rsid w:val="00DD273C"/>
    <w:rsid w:val="00DD292D"/>
    <w:rsid w:val="00DD2F1A"/>
    <w:rsid w:val="00DD3019"/>
    <w:rsid w:val="00DD3F28"/>
    <w:rsid w:val="00DD4537"/>
    <w:rsid w:val="00DD46D1"/>
    <w:rsid w:val="00DD4E15"/>
    <w:rsid w:val="00DD4F1E"/>
    <w:rsid w:val="00DD5128"/>
    <w:rsid w:val="00DD5A10"/>
    <w:rsid w:val="00DD68C8"/>
    <w:rsid w:val="00DD7332"/>
    <w:rsid w:val="00DD7385"/>
    <w:rsid w:val="00DD75C2"/>
    <w:rsid w:val="00DE1194"/>
    <w:rsid w:val="00DE18CA"/>
    <w:rsid w:val="00DE1E6E"/>
    <w:rsid w:val="00DE2304"/>
    <w:rsid w:val="00DE3138"/>
    <w:rsid w:val="00DE37F8"/>
    <w:rsid w:val="00DE3CDB"/>
    <w:rsid w:val="00DE4993"/>
    <w:rsid w:val="00DE4FCB"/>
    <w:rsid w:val="00DE5D07"/>
    <w:rsid w:val="00DE60FA"/>
    <w:rsid w:val="00DE6AC3"/>
    <w:rsid w:val="00DE72A7"/>
    <w:rsid w:val="00DE7832"/>
    <w:rsid w:val="00DF1358"/>
    <w:rsid w:val="00DF18FC"/>
    <w:rsid w:val="00DF228A"/>
    <w:rsid w:val="00DF35A9"/>
    <w:rsid w:val="00DF3A12"/>
    <w:rsid w:val="00DF3BD9"/>
    <w:rsid w:val="00DF4F7D"/>
    <w:rsid w:val="00DF59B4"/>
    <w:rsid w:val="00DF5D2B"/>
    <w:rsid w:val="00DF5DFD"/>
    <w:rsid w:val="00DF5F23"/>
    <w:rsid w:val="00DF654D"/>
    <w:rsid w:val="00DF6DF7"/>
    <w:rsid w:val="00E005ED"/>
    <w:rsid w:val="00E00E8E"/>
    <w:rsid w:val="00E013BF"/>
    <w:rsid w:val="00E018E3"/>
    <w:rsid w:val="00E02747"/>
    <w:rsid w:val="00E0308E"/>
    <w:rsid w:val="00E04BA3"/>
    <w:rsid w:val="00E04D60"/>
    <w:rsid w:val="00E05630"/>
    <w:rsid w:val="00E05768"/>
    <w:rsid w:val="00E05BE1"/>
    <w:rsid w:val="00E05F4B"/>
    <w:rsid w:val="00E06DBB"/>
    <w:rsid w:val="00E07546"/>
    <w:rsid w:val="00E10149"/>
    <w:rsid w:val="00E11340"/>
    <w:rsid w:val="00E118AF"/>
    <w:rsid w:val="00E122A1"/>
    <w:rsid w:val="00E12D4A"/>
    <w:rsid w:val="00E12ED6"/>
    <w:rsid w:val="00E14508"/>
    <w:rsid w:val="00E1454D"/>
    <w:rsid w:val="00E15565"/>
    <w:rsid w:val="00E15E96"/>
    <w:rsid w:val="00E16101"/>
    <w:rsid w:val="00E16372"/>
    <w:rsid w:val="00E165A0"/>
    <w:rsid w:val="00E16E3D"/>
    <w:rsid w:val="00E17AE5"/>
    <w:rsid w:val="00E2083D"/>
    <w:rsid w:val="00E20A5F"/>
    <w:rsid w:val="00E20B4A"/>
    <w:rsid w:val="00E20E4D"/>
    <w:rsid w:val="00E20ED6"/>
    <w:rsid w:val="00E21358"/>
    <w:rsid w:val="00E217AC"/>
    <w:rsid w:val="00E21C65"/>
    <w:rsid w:val="00E21FF1"/>
    <w:rsid w:val="00E222CD"/>
    <w:rsid w:val="00E22421"/>
    <w:rsid w:val="00E2249B"/>
    <w:rsid w:val="00E225BF"/>
    <w:rsid w:val="00E22A0D"/>
    <w:rsid w:val="00E22C86"/>
    <w:rsid w:val="00E22D00"/>
    <w:rsid w:val="00E2330A"/>
    <w:rsid w:val="00E23D08"/>
    <w:rsid w:val="00E244F6"/>
    <w:rsid w:val="00E26F0D"/>
    <w:rsid w:val="00E2771E"/>
    <w:rsid w:val="00E304B3"/>
    <w:rsid w:val="00E307B7"/>
    <w:rsid w:val="00E311EF"/>
    <w:rsid w:val="00E31585"/>
    <w:rsid w:val="00E31DF8"/>
    <w:rsid w:val="00E31F96"/>
    <w:rsid w:val="00E32180"/>
    <w:rsid w:val="00E330C4"/>
    <w:rsid w:val="00E3339A"/>
    <w:rsid w:val="00E33A62"/>
    <w:rsid w:val="00E33E6F"/>
    <w:rsid w:val="00E34948"/>
    <w:rsid w:val="00E34A17"/>
    <w:rsid w:val="00E34BB2"/>
    <w:rsid w:val="00E37569"/>
    <w:rsid w:val="00E37681"/>
    <w:rsid w:val="00E376AD"/>
    <w:rsid w:val="00E401B2"/>
    <w:rsid w:val="00E41E30"/>
    <w:rsid w:val="00E41F4A"/>
    <w:rsid w:val="00E420A2"/>
    <w:rsid w:val="00E421CA"/>
    <w:rsid w:val="00E42218"/>
    <w:rsid w:val="00E42F73"/>
    <w:rsid w:val="00E43423"/>
    <w:rsid w:val="00E43BE9"/>
    <w:rsid w:val="00E43D70"/>
    <w:rsid w:val="00E44420"/>
    <w:rsid w:val="00E45BC0"/>
    <w:rsid w:val="00E466F3"/>
    <w:rsid w:val="00E47B2C"/>
    <w:rsid w:val="00E50DB9"/>
    <w:rsid w:val="00E51560"/>
    <w:rsid w:val="00E51FF7"/>
    <w:rsid w:val="00E5218D"/>
    <w:rsid w:val="00E52BA8"/>
    <w:rsid w:val="00E536F2"/>
    <w:rsid w:val="00E53FC8"/>
    <w:rsid w:val="00E54347"/>
    <w:rsid w:val="00E55424"/>
    <w:rsid w:val="00E55915"/>
    <w:rsid w:val="00E55BB5"/>
    <w:rsid w:val="00E55CDF"/>
    <w:rsid w:val="00E566A7"/>
    <w:rsid w:val="00E566C1"/>
    <w:rsid w:val="00E576A8"/>
    <w:rsid w:val="00E60573"/>
    <w:rsid w:val="00E6119C"/>
    <w:rsid w:val="00E613B5"/>
    <w:rsid w:val="00E6196F"/>
    <w:rsid w:val="00E63666"/>
    <w:rsid w:val="00E63F22"/>
    <w:rsid w:val="00E65E79"/>
    <w:rsid w:val="00E663B9"/>
    <w:rsid w:val="00E66BA2"/>
    <w:rsid w:val="00E67416"/>
    <w:rsid w:val="00E67D84"/>
    <w:rsid w:val="00E71559"/>
    <w:rsid w:val="00E718B6"/>
    <w:rsid w:val="00E71E8D"/>
    <w:rsid w:val="00E723BA"/>
    <w:rsid w:val="00E72D5F"/>
    <w:rsid w:val="00E73581"/>
    <w:rsid w:val="00E73EF2"/>
    <w:rsid w:val="00E7555F"/>
    <w:rsid w:val="00E77F1F"/>
    <w:rsid w:val="00E80152"/>
    <w:rsid w:val="00E81194"/>
    <w:rsid w:val="00E81958"/>
    <w:rsid w:val="00E833F7"/>
    <w:rsid w:val="00E8398E"/>
    <w:rsid w:val="00E83BDF"/>
    <w:rsid w:val="00E8433A"/>
    <w:rsid w:val="00E848AE"/>
    <w:rsid w:val="00E85822"/>
    <w:rsid w:val="00E859F0"/>
    <w:rsid w:val="00E85D38"/>
    <w:rsid w:val="00E86341"/>
    <w:rsid w:val="00E86D08"/>
    <w:rsid w:val="00E86F0D"/>
    <w:rsid w:val="00E87098"/>
    <w:rsid w:val="00E87A1D"/>
    <w:rsid w:val="00E9094A"/>
    <w:rsid w:val="00E91193"/>
    <w:rsid w:val="00E91CE1"/>
    <w:rsid w:val="00E91D35"/>
    <w:rsid w:val="00E925A7"/>
    <w:rsid w:val="00E925F2"/>
    <w:rsid w:val="00E926A5"/>
    <w:rsid w:val="00E928EF"/>
    <w:rsid w:val="00E93699"/>
    <w:rsid w:val="00E93F99"/>
    <w:rsid w:val="00E944C6"/>
    <w:rsid w:val="00E94D10"/>
    <w:rsid w:val="00E9584C"/>
    <w:rsid w:val="00E95AEE"/>
    <w:rsid w:val="00E96847"/>
    <w:rsid w:val="00E97090"/>
    <w:rsid w:val="00E97647"/>
    <w:rsid w:val="00EA1188"/>
    <w:rsid w:val="00EA17C3"/>
    <w:rsid w:val="00EA1E23"/>
    <w:rsid w:val="00EA26FE"/>
    <w:rsid w:val="00EA2CAA"/>
    <w:rsid w:val="00EA2DE6"/>
    <w:rsid w:val="00EA3864"/>
    <w:rsid w:val="00EA3D9C"/>
    <w:rsid w:val="00EA4091"/>
    <w:rsid w:val="00EA4555"/>
    <w:rsid w:val="00EA5023"/>
    <w:rsid w:val="00EA5326"/>
    <w:rsid w:val="00EA55CE"/>
    <w:rsid w:val="00EA5620"/>
    <w:rsid w:val="00EA6488"/>
    <w:rsid w:val="00EA76E1"/>
    <w:rsid w:val="00EA7843"/>
    <w:rsid w:val="00EA7DBB"/>
    <w:rsid w:val="00EA7F1C"/>
    <w:rsid w:val="00EB15B6"/>
    <w:rsid w:val="00EB1669"/>
    <w:rsid w:val="00EB16B9"/>
    <w:rsid w:val="00EB2212"/>
    <w:rsid w:val="00EB282B"/>
    <w:rsid w:val="00EB2DC3"/>
    <w:rsid w:val="00EB3197"/>
    <w:rsid w:val="00EB3D06"/>
    <w:rsid w:val="00EB4916"/>
    <w:rsid w:val="00EB514A"/>
    <w:rsid w:val="00EB5687"/>
    <w:rsid w:val="00EB5D71"/>
    <w:rsid w:val="00EB5FA3"/>
    <w:rsid w:val="00EB614A"/>
    <w:rsid w:val="00EB66FF"/>
    <w:rsid w:val="00EB6A3C"/>
    <w:rsid w:val="00EB6BBF"/>
    <w:rsid w:val="00EB7B86"/>
    <w:rsid w:val="00EC00C9"/>
    <w:rsid w:val="00EC0DD9"/>
    <w:rsid w:val="00EC2649"/>
    <w:rsid w:val="00EC31ED"/>
    <w:rsid w:val="00EC3939"/>
    <w:rsid w:val="00EC401B"/>
    <w:rsid w:val="00EC47EE"/>
    <w:rsid w:val="00EC4932"/>
    <w:rsid w:val="00EC5836"/>
    <w:rsid w:val="00EC688C"/>
    <w:rsid w:val="00EC74B1"/>
    <w:rsid w:val="00EC7799"/>
    <w:rsid w:val="00EC7E97"/>
    <w:rsid w:val="00ED19B2"/>
    <w:rsid w:val="00ED2048"/>
    <w:rsid w:val="00ED209F"/>
    <w:rsid w:val="00ED2127"/>
    <w:rsid w:val="00ED21E9"/>
    <w:rsid w:val="00ED240C"/>
    <w:rsid w:val="00ED26AE"/>
    <w:rsid w:val="00ED280F"/>
    <w:rsid w:val="00ED4979"/>
    <w:rsid w:val="00ED57EA"/>
    <w:rsid w:val="00ED5BD4"/>
    <w:rsid w:val="00ED6578"/>
    <w:rsid w:val="00ED7442"/>
    <w:rsid w:val="00ED7ED1"/>
    <w:rsid w:val="00EE07D3"/>
    <w:rsid w:val="00EE0AC8"/>
    <w:rsid w:val="00EE150D"/>
    <w:rsid w:val="00EE18F5"/>
    <w:rsid w:val="00EE1996"/>
    <w:rsid w:val="00EE1A81"/>
    <w:rsid w:val="00EE1C01"/>
    <w:rsid w:val="00EE22AF"/>
    <w:rsid w:val="00EE252E"/>
    <w:rsid w:val="00EE33F2"/>
    <w:rsid w:val="00EE4111"/>
    <w:rsid w:val="00EE4C51"/>
    <w:rsid w:val="00EE6356"/>
    <w:rsid w:val="00EE643A"/>
    <w:rsid w:val="00EF0171"/>
    <w:rsid w:val="00EF088C"/>
    <w:rsid w:val="00EF0AFE"/>
    <w:rsid w:val="00EF1B25"/>
    <w:rsid w:val="00EF1B9D"/>
    <w:rsid w:val="00EF1DA0"/>
    <w:rsid w:val="00EF3E77"/>
    <w:rsid w:val="00EF4747"/>
    <w:rsid w:val="00EF48D6"/>
    <w:rsid w:val="00EF4BF8"/>
    <w:rsid w:val="00EF4DB1"/>
    <w:rsid w:val="00EF685F"/>
    <w:rsid w:val="00EF6D3D"/>
    <w:rsid w:val="00EF750E"/>
    <w:rsid w:val="00EF79CD"/>
    <w:rsid w:val="00F01149"/>
    <w:rsid w:val="00F02253"/>
    <w:rsid w:val="00F02AFC"/>
    <w:rsid w:val="00F03AFB"/>
    <w:rsid w:val="00F03C2E"/>
    <w:rsid w:val="00F04829"/>
    <w:rsid w:val="00F04A66"/>
    <w:rsid w:val="00F04B4B"/>
    <w:rsid w:val="00F0516C"/>
    <w:rsid w:val="00F06769"/>
    <w:rsid w:val="00F067A2"/>
    <w:rsid w:val="00F07B9E"/>
    <w:rsid w:val="00F110C3"/>
    <w:rsid w:val="00F1116F"/>
    <w:rsid w:val="00F11AC6"/>
    <w:rsid w:val="00F1263A"/>
    <w:rsid w:val="00F12D12"/>
    <w:rsid w:val="00F12EB6"/>
    <w:rsid w:val="00F13104"/>
    <w:rsid w:val="00F1323A"/>
    <w:rsid w:val="00F13C45"/>
    <w:rsid w:val="00F13C5D"/>
    <w:rsid w:val="00F15B77"/>
    <w:rsid w:val="00F16273"/>
    <w:rsid w:val="00F166D5"/>
    <w:rsid w:val="00F17C0D"/>
    <w:rsid w:val="00F20376"/>
    <w:rsid w:val="00F20EC7"/>
    <w:rsid w:val="00F2179F"/>
    <w:rsid w:val="00F23DF0"/>
    <w:rsid w:val="00F23E6A"/>
    <w:rsid w:val="00F24810"/>
    <w:rsid w:val="00F24837"/>
    <w:rsid w:val="00F2533B"/>
    <w:rsid w:val="00F2575F"/>
    <w:rsid w:val="00F25CD5"/>
    <w:rsid w:val="00F26F15"/>
    <w:rsid w:val="00F272ED"/>
    <w:rsid w:val="00F27565"/>
    <w:rsid w:val="00F27E39"/>
    <w:rsid w:val="00F27F94"/>
    <w:rsid w:val="00F307AF"/>
    <w:rsid w:val="00F30869"/>
    <w:rsid w:val="00F30B5B"/>
    <w:rsid w:val="00F30DD7"/>
    <w:rsid w:val="00F310D4"/>
    <w:rsid w:val="00F3191A"/>
    <w:rsid w:val="00F31B8A"/>
    <w:rsid w:val="00F31D5A"/>
    <w:rsid w:val="00F32D50"/>
    <w:rsid w:val="00F33975"/>
    <w:rsid w:val="00F33DE9"/>
    <w:rsid w:val="00F35E6D"/>
    <w:rsid w:val="00F3619A"/>
    <w:rsid w:val="00F37061"/>
    <w:rsid w:val="00F37A2F"/>
    <w:rsid w:val="00F40A9B"/>
    <w:rsid w:val="00F40AAA"/>
    <w:rsid w:val="00F40BA7"/>
    <w:rsid w:val="00F40E42"/>
    <w:rsid w:val="00F40F9D"/>
    <w:rsid w:val="00F41ACD"/>
    <w:rsid w:val="00F41B5E"/>
    <w:rsid w:val="00F42C7B"/>
    <w:rsid w:val="00F42EB3"/>
    <w:rsid w:val="00F42FBD"/>
    <w:rsid w:val="00F435AB"/>
    <w:rsid w:val="00F44640"/>
    <w:rsid w:val="00F44A9C"/>
    <w:rsid w:val="00F46014"/>
    <w:rsid w:val="00F46A2D"/>
    <w:rsid w:val="00F46CB6"/>
    <w:rsid w:val="00F4756D"/>
    <w:rsid w:val="00F47DE8"/>
    <w:rsid w:val="00F50086"/>
    <w:rsid w:val="00F50911"/>
    <w:rsid w:val="00F51659"/>
    <w:rsid w:val="00F53515"/>
    <w:rsid w:val="00F5418F"/>
    <w:rsid w:val="00F542C1"/>
    <w:rsid w:val="00F55412"/>
    <w:rsid w:val="00F55E73"/>
    <w:rsid w:val="00F55EDA"/>
    <w:rsid w:val="00F55EDF"/>
    <w:rsid w:val="00F56579"/>
    <w:rsid w:val="00F56C80"/>
    <w:rsid w:val="00F60092"/>
    <w:rsid w:val="00F613DB"/>
    <w:rsid w:val="00F61C18"/>
    <w:rsid w:val="00F639A4"/>
    <w:rsid w:val="00F65F4B"/>
    <w:rsid w:val="00F67430"/>
    <w:rsid w:val="00F67A69"/>
    <w:rsid w:val="00F70BFF"/>
    <w:rsid w:val="00F70C9D"/>
    <w:rsid w:val="00F7246E"/>
    <w:rsid w:val="00F738C9"/>
    <w:rsid w:val="00F73AD3"/>
    <w:rsid w:val="00F73FDB"/>
    <w:rsid w:val="00F74CD9"/>
    <w:rsid w:val="00F751E1"/>
    <w:rsid w:val="00F80A7B"/>
    <w:rsid w:val="00F80BBE"/>
    <w:rsid w:val="00F80E5D"/>
    <w:rsid w:val="00F81E78"/>
    <w:rsid w:val="00F81FAC"/>
    <w:rsid w:val="00F82C5C"/>
    <w:rsid w:val="00F83AA1"/>
    <w:rsid w:val="00F83DB2"/>
    <w:rsid w:val="00F851CE"/>
    <w:rsid w:val="00F868F3"/>
    <w:rsid w:val="00F87CD8"/>
    <w:rsid w:val="00F90EA7"/>
    <w:rsid w:val="00F91219"/>
    <w:rsid w:val="00F92444"/>
    <w:rsid w:val="00F9305D"/>
    <w:rsid w:val="00F93077"/>
    <w:rsid w:val="00F9380F"/>
    <w:rsid w:val="00F93824"/>
    <w:rsid w:val="00F9393E"/>
    <w:rsid w:val="00F948F1"/>
    <w:rsid w:val="00F959F5"/>
    <w:rsid w:val="00F95E45"/>
    <w:rsid w:val="00F95E94"/>
    <w:rsid w:val="00F96FD0"/>
    <w:rsid w:val="00F97A78"/>
    <w:rsid w:val="00FA03CD"/>
    <w:rsid w:val="00FA044B"/>
    <w:rsid w:val="00FA0B20"/>
    <w:rsid w:val="00FA0CDB"/>
    <w:rsid w:val="00FA0FB5"/>
    <w:rsid w:val="00FA17D9"/>
    <w:rsid w:val="00FA1D72"/>
    <w:rsid w:val="00FA24E7"/>
    <w:rsid w:val="00FA38FB"/>
    <w:rsid w:val="00FA55D0"/>
    <w:rsid w:val="00FA5EE6"/>
    <w:rsid w:val="00FA612E"/>
    <w:rsid w:val="00FA7956"/>
    <w:rsid w:val="00FB0613"/>
    <w:rsid w:val="00FB0A9B"/>
    <w:rsid w:val="00FB183D"/>
    <w:rsid w:val="00FB2FCB"/>
    <w:rsid w:val="00FB4E81"/>
    <w:rsid w:val="00FB547C"/>
    <w:rsid w:val="00FB6121"/>
    <w:rsid w:val="00FB7078"/>
    <w:rsid w:val="00FB77EC"/>
    <w:rsid w:val="00FB78C3"/>
    <w:rsid w:val="00FB7C55"/>
    <w:rsid w:val="00FC087A"/>
    <w:rsid w:val="00FC1074"/>
    <w:rsid w:val="00FC1884"/>
    <w:rsid w:val="00FC29AD"/>
    <w:rsid w:val="00FC29F5"/>
    <w:rsid w:val="00FC330C"/>
    <w:rsid w:val="00FC35F0"/>
    <w:rsid w:val="00FC371D"/>
    <w:rsid w:val="00FC4336"/>
    <w:rsid w:val="00FC5F0B"/>
    <w:rsid w:val="00FC66FB"/>
    <w:rsid w:val="00FC6840"/>
    <w:rsid w:val="00FC7622"/>
    <w:rsid w:val="00FD0A97"/>
    <w:rsid w:val="00FD15F7"/>
    <w:rsid w:val="00FD2100"/>
    <w:rsid w:val="00FD2A46"/>
    <w:rsid w:val="00FD4339"/>
    <w:rsid w:val="00FD436C"/>
    <w:rsid w:val="00FD446D"/>
    <w:rsid w:val="00FD4F2C"/>
    <w:rsid w:val="00FD5860"/>
    <w:rsid w:val="00FD607B"/>
    <w:rsid w:val="00FD6394"/>
    <w:rsid w:val="00FD6AC1"/>
    <w:rsid w:val="00FD6E71"/>
    <w:rsid w:val="00FE0C3C"/>
    <w:rsid w:val="00FE0E6C"/>
    <w:rsid w:val="00FE0F0E"/>
    <w:rsid w:val="00FE1325"/>
    <w:rsid w:val="00FE1CDC"/>
    <w:rsid w:val="00FE25B7"/>
    <w:rsid w:val="00FE2B11"/>
    <w:rsid w:val="00FE464E"/>
    <w:rsid w:val="00FE4995"/>
    <w:rsid w:val="00FE4FDF"/>
    <w:rsid w:val="00FE53A3"/>
    <w:rsid w:val="00FE566B"/>
    <w:rsid w:val="00FE62AD"/>
    <w:rsid w:val="00FE681F"/>
    <w:rsid w:val="00FE70C3"/>
    <w:rsid w:val="00FE71B8"/>
    <w:rsid w:val="00FF00B2"/>
    <w:rsid w:val="00FF138A"/>
    <w:rsid w:val="00FF2AD9"/>
    <w:rsid w:val="00FF359F"/>
    <w:rsid w:val="00FF35C6"/>
    <w:rsid w:val="00FF3C74"/>
    <w:rsid w:val="00FF3DCF"/>
    <w:rsid w:val="00FF3F7B"/>
    <w:rsid w:val="00FF492C"/>
    <w:rsid w:val="00FF4A21"/>
    <w:rsid w:val="00FF4B95"/>
    <w:rsid w:val="00FF50CF"/>
    <w:rsid w:val="00FF5AA3"/>
    <w:rsid w:val="00FF5AD8"/>
    <w:rsid w:val="00FF623C"/>
    <w:rsid w:val="00FF72F2"/>
    <w:rsid w:val="00FF7E5D"/>
    <w:rsid w:val="01312F3F"/>
    <w:rsid w:val="015DACAB"/>
    <w:rsid w:val="01D3B359"/>
    <w:rsid w:val="0214E550"/>
    <w:rsid w:val="023C7058"/>
    <w:rsid w:val="024D30BF"/>
    <w:rsid w:val="025A364E"/>
    <w:rsid w:val="02D5B43C"/>
    <w:rsid w:val="02F3BA69"/>
    <w:rsid w:val="03001D1A"/>
    <w:rsid w:val="0300B025"/>
    <w:rsid w:val="0311F363"/>
    <w:rsid w:val="032DD3EC"/>
    <w:rsid w:val="0362B188"/>
    <w:rsid w:val="03662840"/>
    <w:rsid w:val="03A532AF"/>
    <w:rsid w:val="040CEE38"/>
    <w:rsid w:val="040E20C6"/>
    <w:rsid w:val="042C2B3F"/>
    <w:rsid w:val="042EAEE0"/>
    <w:rsid w:val="043F051C"/>
    <w:rsid w:val="044ACFF6"/>
    <w:rsid w:val="046FE8C9"/>
    <w:rsid w:val="048CA0AE"/>
    <w:rsid w:val="04B91F7F"/>
    <w:rsid w:val="04C25ACB"/>
    <w:rsid w:val="04E7A92B"/>
    <w:rsid w:val="04F5B4F3"/>
    <w:rsid w:val="051A2BBB"/>
    <w:rsid w:val="052C106F"/>
    <w:rsid w:val="054C1DD8"/>
    <w:rsid w:val="055C2D52"/>
    <w:rsid w:val="056F9338"/>
    <w:rsid w:val="05B52EF1"/>
    <w:rsid w:val="05E308E4"/>
    <w:rsid w:val="05E44A30"/>
    <w:rsid w:val="05F0986C"/>
    <w:rsid w:val="05F88F8F"/>
    <w:rsid w:val="0605CF52"/>
    <w:rsid w:val="061AD367"/>
    <w:rsid w:val="06237AE7"/>
    <w:rsid w:val="0628FCA0"/>
    <w:rsid w:val="066061CE"/>
    <w:rsid w:val="0687BE7E"/>
    <w:rsid w:val="068A0B55"/>
    <w:rsid w:val="06DC4CA1"/>
    <w:rsid w:val="06F65D69"/>
    <w:rsid w:val="07388A78"/>
    <w:rsid w:val="0759FC8D"/>
    <w:rsid w:val="07D3CC3F"/>
    <w:rsid w:val="07D67A6C"/>
    <w:rsid w:val="07E8EEB9"/>
    <w:rsid w:val="0818F0F9"/>
    <w:rsid w:val="0837F59B"/>
    <w:rsid w:val="08B91C74"/>
    <w:rsid w:val="08D72040"/>
    <w:rsid w:val="08ECCFB3"/>
    <w:rsid w:val="08FC37CB"/>
    <w:rsid w:val="08FEEF45"/>
    <w:rsid w:val="09273809"/>
    <w:rsid w:val="095238A4"/>
    <w:rsid w:val="097C15B6"/>
    <w:rsid w:val="09C831AC"/>
    <w:rsid w:val="09F2623B"/>
    <w:rsid w:val="0A0D8D6E"/>
    <w:rsid w:val="0A25540A"/>
    <w:rsid w:val="0A48F8A8"/>
    <w:rsid w:val="0A627974"/>
    <w:rsid w:val="0A64D02D"/>
    <w:rsid w:val="0A6D0D80"/>
    <w:rsid w:val="0ABF1161"/>
    <w:rsid w:val="0B1062E3"/>
    <w:rsid w:val="0B5A7EF1"/>
    <w:rsid w:val="0BBB72E2"/>
    <w:rsid w:val="0BC1EEB4"/>
    <w:rsid w:val="0C521B9A"/>
    <w:rsid w:val="0CAC8A99"/>
    <w:rsid w:val="0CBCACBE"/>
    <w:rsid w:val="0D0F6F42"/>
    <w:rsid w:val="0D1D8156"/>
    <w:rsid w:val="0D3E3EE5"/>
    <w:rsid w:val="0D6EEF54"/>
    <w:rsid w:val="0D8E70A5"/>
    <w:rsid w:val="0D99CC5F"/>
    <w:rsid w:val="0DA70C22"/>
    <w:rsid w:val="0DB42DE8"/>
    <w:rsid w:val="0DCEE2C4"/>
    <w:rsid w:val="0DFADB03"/>
    <w:rsid w:val="0E2C9393"/>
    <w:rsid w:val="0E4009C8"/>
    <w:rsid w:val="0E4AF643"/>
    <w:rsid w:val="0E541293"/>
    <w:rsid w:val="0E59D69A"/>
    <w:rsid w:val="0E8F1F56"/>
    <w:rsid w:val="0E99A21D"/>
    <w:rsid w:val="0EC7A45E"/>
    <w:rsid w:val="0F267172"/>
    <w:rsid w:val="0F78CE42"/>
    <w:rsid w:val="0F82B30B"/>
    <w:rsid w:val="0F84AAAF"/>
    <w:rsid w:val="0FAFB08D"/>
    <w:rsid w:val="10080917"/>
    <w:rsid w:val="102A2F3F"/>
    <w:rsid w:val="109463B8"/>
    <w:rsid w:val="10A40060"/>
    <w:rsid w:val="10E01842"/>
    <w:rsid w:val="10F44871"/>
    <w:rsid w:val="110E982F"/>
    <w:rsid w:val="111D8528"/>
    <w:rsid w:val="113F3755"/>
    <w:rsid w:val="1166DEF2"/>
    <w:rsid w:val="1174835C"/>
    <w:rsid w:val="11E17813"/>
    <w:rsid w:val="120EE1C8"/>
    <w:rsid w:val="1237EECE"/>
    <w:rsid w:val="12884CF1"/>
    <w:rsid w:val="12C14439"/>
    <w:rsid w:val="12D182F1"/>
    <w:rsid w:val="130E1D1B"/>
    <w:rsid w:val="135C6CEE"/>
    <w:rsid w:val="136E4C8F"/>
    <w:rsid w:val="13B7ABD0"/>
    <w:rsid w:val="13C47C96"/>
    <w:rsid w:val="13DCAEE0"/>
    <w:rsid w:val="13F94094"/>
    <w:rsid w:val="140C0C2B"/>
    <w:rsid w:val="1423FBAD"/>
    <w:rsid w:val="14633BB8"/>
    <w:rsid w:val="1471B503"/>
    <w:rsid w:val="147743AE"/>
    <w:rsid w:val="14867A65"/>
    <w:rsid w:val="14939339"/>
    <w:rsid w:val="149813AC"/>
    <w:rsid w:val="14D88A28"/>
    <w:rsid w:val="15266EA3"/>
    <w:rsid w:val="1539382F"/>
    <w:rsid w:val="1549DC89"/>
    <w:rsid w:val="157C3CE8"/>
    <w:rsid w:val="1582D728"/>
    <w:rsid w:val="158EA0A7"/>
    <w:rsid w:val="15FB75AC"/>
    <w:rsid w:val="16410EAB"/>
    <w:rsid w:val="1650EDF3"/>
    <w:rsid w:val="1651A9EB"/>
    <w:rsid w:val="1656BC5A"/>
    <w:rsid w:val="170D48DB"/>
    <w:rsid w:val="171163CB"/>
    <w:rsid w:val="1752B0C5"/>
    <w:rsid w:val="175DA040"/>
    <w:rsid w:val="1783F3EA"/>
    <w:rsid w:val="17BDC262"/>
    <w:rsid w:val="17DEB064"/>
    <w:rsid w:val="17EFD12B"/>
    <w:rsid w:val="17FBADFE"/>
    <w:rsid w:val="18099F25"/>
    <w:rsid w:val="180EF32B"/>
    <w:rsid w:val="183CE73A"/>
    <w:rsid w:val="1841BDB2"/>
    <w:rsid w:val="18D9964D"/>
    <w:rsid w:val="1911DBD9"/>
    <w:rsid w:val="192D931F"/>
    <w:rsid w:val="196F463A"/>
    <w:rsid w:val="197F6D08"/>
    <w:rsid w:val="19B1A4A7"/>
    <w:rsid w:val="19E5D2EE"/>
    <w:rsid w:val="1A0B978E"/>
    <w:rsid w:val="1A1C1EBC"/>
    <w:rsid w:val="1A30F0FB"/>
    <w:rsid w:val="1A560C8A"/>
    <w:rsid w:val="1A830A0C"/>
    <w:rsid w:val="1AE15E74"/>
    <w:rsid w:val="1AF4347A"/>
    <w:rsid w:val="1B18CA59"/>
    <w:rsid w:val="1B23A5B0"/>
    <w:rsid w:val="1B2ACFFC"/>
    <w:rsid w:val="1B51264F"/>
    <w:rsid w:val="1B72C55D"/>
    <w:rsid w:val="1B9A3434"/>
    <w:rsid w:val="1BDE5964"/>
    <w:rsid w:val="1C033E24"/>
    <w:rsid w:val="1C1944D8"/>
    <w:rsid w:val="1D0B3CBA"/>
    <w:rsid w:val="1D37655B"/>
    <w:rsid w:val="1D46E800"/>
    <w:rsid w:val="1D6DC754"/>
    <w:rsid w:val="1D7F3401"/>
    <w:rsid w:val="1D9BB4C8"/>
    <w:rsid w:val="1E028B82"/>
    <w:rsid w:val="1E37E5C9"/>
    <w:rsid w:val="1E485657"/>
    <w:rsid w:val="1E720183"/>
    <w:rsid w:val="1EA41240"/>
    <w:rsid w:val="1EBA5E52"/>
    <w:rsid w:val="1EBAEB22"/>
    <w:rsid w:val="1ECA2793"/>
    <w:rsid w:val="1F264054"/>
    <w:rsid w:val="1F533DD6"/>
    <w:rsid w:val="1F563C31"/>
    <w:rsid w:val="1FA12902"/>
    <w:rsid w:val="1FE978F5"/>
    <w:rsid w:val="1FF3114E"/>
    <w:rsid w:val="20052A74"/>
    <w:rsid w:val="202028D0"/>
    <w:rsid w:val="2026B52F"/>
    <w:rsid w:val="20453B8A"/>
    <w:rsid w:val="204EAB91"/>
    <w:rsid w:val="206C11C0"/>
    <w:rsid w:val="208C14E4"/>
    <w:rsid w:val="214D8B96"/>
    <w:rsid w:val="21A7004E"/>
    <w:rsid w:val="21AC2B4D"/>
    <w:rsid w:val="21C067D3"/>
    <w:rsid w:val="2213CFF4"/>
    <w:rsid w:val="222DBC66"/>
    <w:rsid w:val="225178EE"/>
    <w:rsid w:val="2276559B"/>
    <w:rsid w:val="22C263EE"/>
    <w:rsid w:val="239DC372"/>
    <w:rsid w:val="240CFAB7"/>
    <w:rsid w:val="240E0903"/>
    <w:rsid w:val="24A4A930"/>
    <w:rsid w:val="24C4409F"/>
    <w:rsid w:val="24D8154B"/>
    <w:rsid w:val="250A97DB"/>
    <w:rsid w:val="255977CE"/>
    <w:rsid w:val="25639AD6"/>
    <w:rsid w:val="257C597B"/>
    <w:rsid w:val="25BA5FFE"/>
    <w:rsid w:val="25C97787"/>
    <w:rsid w:val="25DE8493"/>
    <w:rsid w:val="25F3461A"/>
    <w:rsid w:val="25F61F7A"/>
    <w:rsid w:val="261A6710"/>
    <w:rsid w:val="261B89D2"/>
    <w:rsid w:val="266C4C9C"/>
    <w:rsid w:val="266E179F"/>
    <w:rsid w:val="26950627"/>
    <w:rsid w:val="269D1448"/>
    <w:rsid w:val="26BB9070"/>
    <w:rsid w:val="26C150E7"/>
    <w:rsid w:val="26DC05A6"/>
    <w:rsid w:val="274B0B7A"/>
    <w:rsid w:val="27AFF87E"/>
    <w:rsid w:val="27C5C7EB"/>
    <w:rsid w:val="28354F28"/>
    <w:rsid w:val="283F002B"/>
    <w:rsid w:val="2844DE7E"/>
    <w:rsid w:val="28DE3633"/>
    <w:rsid w:val="28EBFD2F"/>
    <w:rsid w:val="28FC23ED"/>
    <w:rsid w:val="2938BE17"/>
    <w:rsid w:val="2962BEAC"/>
    <w:rsid w:val="29CE5471"/>
    <w:rsid w:val="2A0E1FF4"/>
    <w:rsid w:val="2A0FC0E8"/>
    <w:rsid w:val="2A29BE83"/>
    <w:rsid w:val="2A31BC31"/>
    <w:rsid w:val="2A320A8A"/>
    <w:rsid w:val="2A64C0D9"/>
    <w:rsid w:val="2A9A8E9C"/>
    <w:rsid w:val="2ABDCE93"/>
    <w:rsid w:val="2AC52F7F"/>
    <w:rsid w:val="2B30BD8E"/>
    <w:rsid w:val="2B3B6FA9"/>
    <w:rsid w:val="2B3E638D"/>
    <w:rsid w:val="2B78B602"/>
    <w:rsid w:val="2BAC5146"/>
    <w:rsid w:val="2BEFBF9B"/>
    <w:rsid w:val="2BFE1B37"/>
    <w:rsid w:val="2C27449D"/>
    <w:rsid w:val="2C3F0F87"/>
    <w:rsid w:val="2C505AA6"/>
    <w:rsid w:val="2C82D338"/>
    <w:rsid w:val="2CA38E7C"/>
    <w:rsid w:val="2CBA00E4"/>
    <w:rsid w:val="2CBF9608"/>
    <w:rsid w:val="2CDB6D76"/>
    <w:rsid w:val="2CE583B0"/>
    <w:rsid w:val="2CEFCF7B"/>
    <w:rsid w:val="2D0C8E45"/>
    <w:rsid w:val="2D4FF19D"/>
    <w:rsid w:val="2DA0E51E"/>
    <w:rsid w:val="2DA8A907"/>
    <w:rsid w:val="2DB772D0"/>
    <w:rsid w:val="2DD49995"/>
    <w:rsid w:val="2DF5EC22"/>
    <w:rsid w:val="2E27FAE8"/>
    <w:rsid w:val="2E3255E3"/>
    <w:rsid w:val="2E3973F6"/>
    <w:rsid w:val="2E39EF04"/>
    <w:rsid w:val="2E437A68"/>
    <w:rsid w:val="2E5CE68A"/>
    <w:rsid w:val="2E6286E3"/>
    <w:rsid w:val="2E7C702B"/>
    <w:rsid w:val="2E7F5E3D"/>
    <w:rsid w:val="2EA1DD79"/>
    <w:rsid w:val="2EBFCB33"/>
    <w:rsid w:val="2EC468CE"/>
    <w:rsid w:val="2ECDE766"/>
    <w:rsid w:val="2EDCE902"/>
    <w:rsid w:val="2F04CE3A"/>
    <w:rsid w:val="2F3F3BD5"/>
    <w:rsid w:val="2F62548E"/>
    <w:rsid w:val="2F85DFBE"/>
    <w:rsid w:val="2FA6A96D"/>
    <w:rsid w:val="2FDAD32F"/>
    <w:rsid w:val="2FE81CC9"/>
    <w:rsid w:val="306E923B"/>
    <w:rsid w:val="30A02249"/>
    <w:rsid w:val="30A32820"/>
    <w:rsid w:val="30AEA8E6"/>
    <w:rsid w:val="30EB6934"/>
    <w:rsid w:val="3156B654"/>
    <w:rsid w:val="31AFA78C"/>
    <w:rsid w:val="31C2B3BE"/>
    <w:rsid w:val="31FE5C61"/>
    <w:rsid w:val="32180691"/>
    <w:rsid w:val="324A03E1"/>
    <w:rsid w:val="3274169D"/>
    <w:rsid w:val="32848BBA"/>
    <w:rsid w:val="32A798BF"/>
    <w:rsid w:val="32B547C1"/>
    <w:rsid w:val="33611FAE"/>
    <w:rsid w:val="338E32FC"/>
    <w:rsid w:val="33E28848"/>
    <w:rsid w:val="33E49246"/>
    <w:rsid w:val="341DCC44"/>
    <w:rsid w:val="349844B8"/>
    <w:rsid w:val="34D37384"/>
    <w:rsid w:val="34FC2BFC"/>
    <w:rsid w:val="352EFC5F"/>
    <w:rsid w:val="354AE74C"/>
    <w:rsid w:val="357AC23C"/>
    <w:rsid w:val="35C2006B"/>
    <w:rsid w:val="36031B88"/>
    <w:rsid w:val="360FC3D3"/>
    <w:rsid w:val="3654F871"/>
    <w:rsid w:val="3680D6DD"/>
    <w:rsid w:val="368F29DD"/>
    <w:rsid w:val="36AC1A7D"/>
    <w:rsid w:val="36C22C2D"/>
    <w:rsid w:val="36D25A64"/>
    <w:rsid w:val="36F64E1F"/>
    <w:rsid w:val="370A149B"/>
    <w:rsid w:val="37450200"/>
    <w:rsid w:val="3755C715"/>
    <w:rsid w:val="375C4842"/>
    <w:rsid w:val="378398D4"/>
    <w:rsid w:val="37D2FBB5"/>
    <w:rsid w:val="37FB02A8"/>
    <w:rsid w:val="380FE43B"/>
    <w:rsid w:val="381F631F"/>
    <w:rsid w:val="3845C0CA"/>
    <w:rsid w:val="3862BD36"/>
    <w:rsid w:val="386E0FDE"/>
    <w:rsid w:val="389DDBC1"/>
    <w:rsid w:val="38B9BACB"/>
    <w:rsid w:val="38BB42B0"/>
    <w:rsid w:val="38D0D3CA"/>
    <w:rsid w:val="391AB4D7"/>
    <w:rsid w:val="393F4539"/>
    <w:rsid w:val="39A0BB21"/>
    <w:rsid w:val="39A7EB5E"/>
    <w:rsid w:val="39B28B1C"/>
    <w:rsid w:val="39BC6FC3"/>
    <w:rsid w:val="3A0B812C"/>
    <w:rsid w:val="3A4B7FF3"/>
    <w:rsid w:val="3A973E47"/>
    <w:rsid w:val="3AA26154"/>
    <w:rsid w:val="3AB7983A"/>
    <w:rsid w:val="3B376E7E"/>
    <w:rsid w:val="3B3CBDF2"/>
    <w:rsid w:val="3B5721A5"/>
    <w:rsid w:val="3B9DD863"/>
    <w:rsid w:val="3BEF44D1"/>
    <w:rsid w:val="3BF93968"/>
    <w:rsid w:val="3CC7ECC2"/>
    <w:rsid w:val="3CF54407"/>
    <w:rsid w:val="3D1A9D4B"/>
    <w:rsid w:val="3D1FC84A"/>
    <w:rsid w:val="3D22B20F"/>
    <w:rsid w:val="3D7CAD13"/>
    <w:rsid w:val="3DC904A8"/>
    <w:rsid w:val="3E1C10FF"/>
    <w:rsid w:val="3E50F233"/>
    <w:rsid w:val="3E64F6AB"/>
    <w:rsid w:val="3E6A1712"/>
    <w:rsid w:val="3E875975"/>
    <w:rsid w:val="3E8A123A"/>
    <w:rsid w:val="3E9CA43A"/>
    <w:rsid w:val="3ECB6729"/>
    <w:rsid w:val="3ECDB308"/>
    <w:rsid w:val="3F522DD9"/>
    <w:rsid w:val="3F6D2FE6"/>
    <w:rsid w:val="3FB7FF08"/>
    <w:rsid w:val="3FEE93D0"/>
    <w:rsid w:val="40101483"/>
    <w:rsid w:val="40267A59"/>
    <w:rsid w:val="4058FCA3"/>
    <w:rsid w:val="4071B4C6"/>
    <w:rsid w:val="4082B048"/>
    <w:rsid w:val="40948B5A"/>
    <w:rsid w:val="40997F40"/>
    <w:rsid w:val="40AF7B95"/>
    <w:rsid w:val="40D5BEAE"/>
    <w:rsid w:val="40EFFDCB"/>
    <w:rsid w:val="41029DA8"/>
    <w:rsid w:val="41261070"/>
    <w:rsid w:val="4129D9AE"/>
    <w:rsid w:val="418FBD4C"/>
    <w:rsid w:val="41AB8DCC"/>
    <w:rsid w:val="41E429A5"/>
    <w:rsid w:val="41EB42DC"/>
    <w:rsid w:val="42167F26"/>
    <w:rsid w:val="42303D27"/>
    <w:rsid w:val="4235187A"/>
    <w:rsid w:val="4296AEAB"/>
    <w:rsid w:val="42B5DA96"/>
    <w:rsid w:val="42C06CCD"/>
    <w:rsid w:val="4356D452"/>
    <w:rsid w:val="43AE584E"/>
    <w:rsid w:val="43BF44A5"/>
    <w:rsid w:val="440E160F"/>
    <w:rsid w:val="44129DBD"/>
    <w:rsid w:val="441C78E9"/>
    <w:rsid w:val="4451FA6E"/>
    <w:rsid w:val="4479C2A1"/>
    <w:rsid w:val="44A34A31"/>
    <w:rsid w:val="453C0529"/>
    <w:rsid w:val="456A68B6"/>
    <w:rsid w:val="45F19FA0"/>
    <w:rsid w:val="45FA23A3"/>
    <w:rsid w:val="4606A345"/>
    <w:rsid w:val="46333C90"/>
    <w:rsid w:val="464964FD"/>
    <w:rsid w:val="465E6912"/>
    <w:rsid w:val="4688D6DE"/>
    <w:rsid w:val="468CFA2B"/>
    <w:rsid w:val="468D1DE4"/>
    <w:rsid w:val="47200E1C"/>
    <w:rsid w:val="4763109E"/>
    <w:rsid w:val="47D679EE"/>
    <w:rsid w:val="4808C457"/>
    <w:rsid w:val="480D337B"/>
    <w:rsid w:val="4810B151"/>
    <w:rsid w:val="48126862"/>
    <w:rsid w:val="481FE1E2"/>
    <w:rsid w:val="4847A9CD"/>
    <w:rsid w:val="486B639B"/>
    <w:rsid w:val="487C8200"/>
    <w:rsid w:val="48929FA1"/>
    <w:rsid w:val="48D63238"/>
    <w:rsid w:val="48F1BB0C"/>
    <w:rsid w:val="492595E1"/>
    <w:rsid w:val="493F8B51"/>
    <w:rsid w:val="4966B12C"/>
    <w:rsid w:val="49B4E459"/>
    <w:rsid w:val="49E7E3E7"/>
    <w:rsid w:val="49EBBA34"/>
    <w:rsid w:val="4A375812"/>
    <w:rsid w:val="4AD1C9D4"/>
    <w:rsid w:val="4AD4E2B7"/>
    <w:rsid w:val="4AEB7A90"/>
    <w:rsid w:val="4B11A04B"/>
    <w:rsid w:val="4B2FA48E"/>
    <w:rsid w:val="4B46498C"/>
    <w:rsid w:val="4B511310"/>
    <w:rsid w:val="4BB5A9F8"/>
    <w:rsid w:val="4BE0205A"/>
    <w:rsid w:val="4C2FCAFA"/>
    <w:rsid w:val="4CAAF4EC"/>
    <w:rsid w:val="4CF255E3"/>
    <w:rsid w:val="4D02C4B5"/>
    <w:rsid w:val="4D0D8219"/>
    <w:rsid w:val="4D51AD2A"/>
    <w:rsid w:val="4D7DCCC8"/>
    <w:rsid w:val="4D8A4CDA"/>
    <w:rsid w:val="4DD9B08C"/>
    <w:rsid w:val="4DE8918E"/>
    <w:rsid w:val="4DEC673A"/>
    <w:rsid w:val="4E20285F"/>
    <w:rsid w:val="4E472C87"/>
    <w:rsid w:val="4E4BF1E4"/>
    <w:rsid w:val="4E6B2CD0"/>
    <w:rsid w:val="4E6EE6D0"/>
    <w:rsid w:val="4E9DDADE"/>
    <w:rsid w:val="4EB3F09E"/>
    <w:rsid w:val="4F290B0D"/>
    <w:rsid w:val="4FBE8E01"/>
    <w:rsid w:val="4FE79A11"/>
    <w:rsid w:val="4FED7929"/>
    <w:rsid w:val="508D04D1"/>
    <w:rsid w:val="50D1C946"/>
    <w:rsid w:val="5111398E"/>
    <w:rsid w:val="511CB2E9"/>
    <w:rsid w:val="51318FC0"/>
    <w:rsid w:val="515A20F9"/>
    <w:rsid w:val="518B5FEF"/>
    <w:rsid w:val="5195FD1E"/>
    <w:rsid w:val="51CA6077"/>
    <w:rsid w:val="51F9E7CD"/>
    <w:rsid w:val="522E5347"/>
    <w:rsid w:val="5283A240"/>
    <w:rsid w:val="529AAE04"/>
    <w:rsid w:val="52CFFB1C"/>
    <w:rsid w:val="52D225C4"/>
    <w:rsid w:val="53AEA322"/>
    <w:rsid w:val="53B95FB5"/>
    <w:rsid w:val="53C96CF0"/>
    <w:rsid w:val="53F34002"/>
    <w:rsid w:val="54258FC1"/>
    <w:rsid w:val="54292482"/>
    <w:rsid w:val="5470918D"/>
    <w:rsid w:val="54749E4A"/>
    <w:rsid w:val="550634B1"/>
    <w:rsid w:val="55207129"/>
    <w:rsid w:val="55225544"/>
    <w:rsid w:val="5577656D"/>
    <w:rsid w:val="55A75ADA"/>
    <w:rsid w:val="56079099"/>
    <w:rsid w:val="56248234"/>
    <w:rsid w:val="566C05FF"/>
    <w:rsid w:val="5674E6EB"/>
    <w:rsid w:val="5683CF75"/>
    <w:rsid w:val="56866AB3"/>
    <w:rsid w:val="569B5214"/>
    <w:rsid w:val="56B8220A"/>
    <w:rsid w:val="56CAAF4E"/>
    <w:rsid w:val="56CACEFA"/>
    <w:rsid w:val="5703F57E"/>
    <w:rsid w:val="572FCE5A"/>
    <w:rsid w:val="5771CFF1"/>
    <w:rsid w:val="5776E3A6"/>
    <w:rsid w:val="57844450"/>
    <w:rsid w:val="579FA413"/>
    <w:rsid w:val="57A3C5A1"/>
    <w:rsid w:val="581C1401"/>
    <w:rsid w:val="582348D7"/>
    <w:rsid w:val="582A1C17"/>
    <w:rsid w:val="584F9D8E"/>
    <w:rsid w:val="586B83CE"/>
    <w:rsid w:val="58DC421A"/>
    <w:rsid w:val="58EA7624"/>
    <w:rsid w:val="58F17900"/>
    <w:rsid w:val="59297591"/>
    <w:rsid w:val="59454CE6"/>
    <w:rsid w:val="595AB69D"/>
    <w:rsid w:val="59B29958"/>
    <w:rsid w:val="5A59FD0A"/>
    <w:rsid w:val="5A728E91"/>
    <w:rsid w:val="5A797ED4"/>
    <w:rsid w:val="5A8E1D69"/>
    <w:rsid w:val="5A91F2E4"/>
    <w:rsid w:val="5AB08BD6"/>
    <w:rsid w:val="5AE02CBB"/>
    <w:rsid w:val="5B0FE1F7"/>
    <w:rsid w:val="5B37BF47"/>
    <w:rsid w:val="5B3B23DE"/>
    <w:rsid w:val="5B9E946C"/>
    <w:rsid w:val="5BDD643D"/>
    <w:rsid w:val="5BF8B115"/>
    <w:rsid w:val="5C63AEB6"/>
    <w:rsid w:val="5C6C8643"/>
    <w:rsid w:val="5C92053F"/>
    <w:rsid w:val="5C98E324"/>
    <w:rsid w:val="5CAAF49B"/>
    <w:rsid w:val="5CAC70CE"/>
    <w:rsid w:val="5CAE0465"/>
    <w:rsid w:val="5CEF1F82"/>
    <w:rsid w:val="5D20C875"/>
    <w:rsid w:val="5D54D14A"/>
    <w:rsid w:val="5D68CEA8"/>
    <w:rsid w:val="5DA055BD"/>
    <w:rsid w:val="5DA37B2C"/>
    <w:rsid w:val="5DAEE3F0"/>
    <w:rsid w:val="5DC2C9AC"/>
    <w:rsid w:val="5DECBCA6"/>
    <w:rsid w:val="5DF3AE0D"/>
    <w:rsid w:val="5DF5196B"/>
    <w:rsid w:val="5DFA446A"/>
    <w:rsid w:val="5E292DD5"/>
    <w:rsid w:val="5E3255A5"/>
    <w:rsid w:val="5E58A06A"/>
    <w:rsid w:val="5E68D444"/>
    <w:rsid w:val="5EB49461"/>
    <w:rsid w:val="5EC70A59"/>
    <w:rsid w:val="5F214F89"/>
    <w:rsid w:val="5F68FED0"/>
    <w:rsid w:val="5F9410FA"/>
    <w:rsid w:val="5F95A491"/>
    <w:rsid w:val="5FB1EB59"/>
    <w:rsid w:val="5FBEE468"/>
    <w:rsid w:val="5FCD1416"/>
    <w:rsid w:val="5FDB979F"/>
    <w:rsid w:val="5FE62A29"/>
    <w:rsid w:val="6013695D"/>
    <w:rsid w:val="60447C28"/>
    <w:rsid w:val="605AB0EC"/>
    <w:rsid w:val="609F8B35"/>
    <w:rsid w:val="60C6B110"/>
    <w:rsid w:val="610A7750"/>
    <w:rsid w:val="61438CC4"/>
    <w:rsid w:val="6165D31A"/>
    <w:rsid w:val="61BC9C58"/>
    <w:rsid w:val="61C6F1A1"/>
    <w:rsid w:val="61CD0DE1"/>
    <w:rsid w:val="61CD594C"/>
    <w:rsid w:val="61CE0A00"/>
    <w:rsid w:val="621204D0"/>
    <w:rsid w:val="623A47D3"/>
    <w:rsid w:val="624CBA57"/>
    <w:rsid w:val="62526395"/>
    <w:rsid w:val="626707A6"/>
    <w:rsid w:val="6288DCB5"/>
    <w:rsid w:val="630ABEF6"/>
    <w:rsid w:val="631D59F9"/>
    <w:rsid w:val="631E1588"/>
    <w:rsid w:val="63240D3B"/>
    <w:rsid w:val="63670D42"/>
    <w:rsid w:val="63A2FA43"/>
    <w:rsid w:val="63C44EB0"/>
    <w:rsid w:val="63CDA832"/>
    <w:rsid w:val="641FFB78"/>
    <w:rsid w:val="644551A0"/>
    <w:rsid w:val="6456B780"/>
    <w:rsid w:val="64935F33"/>
    <w:rsid w:val="64A37A4C"/>
    <w:rsid w:val="64C47279"/>
    <w:rsid w:val="64D40A65"/>
    <w:rsid w:val="64ED1A17"/>
    <w:rsid w:val="65390551"/>
    <w:rsid w:val="654618C2"/>
    <w:rsid w:val="6550F00D"/>
    <w:rsid w:val="65C5EF06"/>
    <w:rsid w:val="65DEA729"/>
    <w:rsid w:val="6610AC58"/>
    <w:rsid w:val="661F9D4D"/>
    <w:rsid w:val="6627E289"/>
    <w:rsid w:val="662EF338"/>
    <w:rsid w:val="664A7BD9"/>
    <w:rsid w:val="66771633"/>
    <w:rsid w:val="66890CAB"/>
    <w:rsid w:val="66C3A659"/>
    <w:rsid w:val="673FDECC"/>
    <w:rsid w:val="6792791C"/>
    <w:rsid w:val="67BA60E1"/>
    <w:rsid w:val="683420B5"/>
    <w:rsid w:val="6843A478"/>
    <w:rsid w:val="6856FC38"/>
    <w:rsid w:val="6868B56F"/>
    <w:rsid w:val="688E8EC3"/>
    <w:rsid w:val="68B02AE8"/>
    <w:rsid w:val="68D02D9F"/>
    <w:rsid w:val="68FEE5F6"/>
    <w:rsid w:val="690742BB"/>
    <w:rsid w:val="694C0661"/>
    <w:rsid w:val="6952929E"/>
    <w:rsid w:val="695E3BAB"/>
    <w:rsid w:val="696CD60B"/>
    <w:rsid w:val="697674A5"/>
    <w:rsid w:val="69B54476"/>
    <w:rsid w:val="69E3A224"/>
    <w:rsid w:val="6A3F3254"/>
    <w:rsid w:val="6A50AE05"/>
    <w:rsid w:val="6A59412B"/>
    <w:rsid w:val="6A7DC4BC"/>
    <w:rsid w:val="6A982098"/>
    <w:rsid w:val="6ABE1D4D"/>
    <w:rsid w:val="6AC4D461"/>
    <w:rsid w:val="6AF2B91D"/>
    <w:rsid w:val="6B6BC177"/>
    <w:rsid w:val="6B85C276"/>
    <w:rsid w:val="6BA30964"/>
    <w:rsid w:val="6BB20301"/>
    <w:rsid w:val="6BB77ABD"/>
    <w:rsid w:val="6BEFEF2A"/>
    <w:rsid w:val="6C01BFAF"/>
    <w:rsid w:val="6C0BC975"/>
    <w:rsid w:val="6C11A892"/>
    <w:rsid w:val="6C24D178"/>
    <w:rsid w:val="6C4B2626"/>
    <w:rsid w:val="6C7E286E"/>
    <w:rsid w:val="6C80E138"/>
    <w:rsid w:val="6C9DED79"/>
    <w:rsid w:val="6CC13DE4"/>
    <w:rsid w:val="6CC5F3ED"/>
    <w:rsid w:val="6CD718C2"/>
    <w:rsid w:val="6CD9C2B1"/>
    <w:rsid w:val="6D01B777"/>
    <w:rsid w:val="6D1440EB"/>
    <w:rsid w:val="6D33D465"/>
    <w:rsid w:val="6D4C00A3"/>
    <w:rsid w:val="6D5F6F8C"/>
    <w:rsid w:val="6D99ACD1"/>
    <w:rsid w:val="6D9B6BC7"/>
    <w:rsid w:val="6DD984EE"/>
    <w:rsid w:val="6E7B9377"/>
    <w:rsid w:val="6EB9D763"/>
    <w:rsid w:val="6EC0B22A"/>
    <w:rsid w:val="6EED87E8"/>
    <w:rsid w:val="6EF97C15"/>
    <w:rsid w:val="6F327ED7"/>
    <w:rsid w:val="6F8CB744"/>
    <w:rsid w:val="6FD92B7F"/>
    <w:rsid w:val="6FDA42D8"/>
    <w:rsid w:val="6FF381D1"/>
    <w:rsid w:val="6FF88302"/>
    <w:rsid w:val="7011157C"/>
    <w:rsid w:val="701BCF26"/>
    <w:rsid w:val="70522D30"/>
    <w:rsid w:val="7075C34B"/>
    <w:rsid w:val="70B6D350"/>
    <w:rsid w:val="70D817A1"/>
    <w:rsid w:val="70F5928B"/>
    <w:rsid w:val="711B3CD7"/>
    <w:rsid w:val="713507FD"/>
    <w:rsid w:val="71CB056D"/>
    <w:rsid w:val="71D54FD8"/>
    <w:rsid w:val="71E830AE"/>
    <w:rsid w:val="72117EC7"/>
    <w:rsid w:val="721B03AA"/>
    <w:rsid w:val="7254513B"/>
    <w:rsid w:val="7297A986"/>
    <w:rsid w:val="72DAD27B"/>
    <w:rsid w:val="72DC8349"/>
    <w:rsid w:val="731EADBB"/>
    <w:rsid w:val="73858DD1"/>
    <w:rsid w:val="7403CF83"/>
    <w:rsid w:val="7404ED84"/>
    <w:rsid w:val="7427FC45"/>
    <w:rsid w:val="7433C25D"/>
    <w:rsid w:val="743F0026"/>
    <w:rsid w:val="7469E638"/>
    <w:rsid w:val="747B4902"/>
    <w:rsid w:val="747F9F20"/>
    <w:rsid w:val="74C3017D"/>
    <w:rsid w:val="74C47090"/>
    <w:rsid w:val="74D9F5B0"/>
    <w:rsid w:val="74EC3031"/>
    <w:rsid w:val="757F8575"/>
    <w:rsid w:val="757F8816"/>
    <w:rsid w:val="75811363"/>
    <w:rsid w:val="7593EA1B"/>
    <w:rsid w:val="75F3375C"/>
    <w:rsid w:val="75F3E14B"/>
    <w:rsid w:val="75FFF696"/>
    <w:rsid w:val="76034D62"/>
    <w:rsid w:val="766040F1"/>
    <w:rsid w:val="767E8600"/>
    <w:rsid w:val="76CADA21"/>
    <w:rsid w:val="76E47531"/>
    <w:rsid w:val="76FEECA1"/>
    <w:rsid w:val="773DCE25"/>
    <w:rsid w:val="775FAC5B"/>
    <w:rsid w:val="77AEEDB5"/>
    <w:rsid w:val="77CC8160"/>
    <w:rsid w:val="7803C94D"/>
    <w:rsid w:val="780BDE11"/>
    <w:rsid w:val="78444E5A"/>
    <w:rsid w:val="7851EAB3"/>
    <w:rsid w:val="7863168E"/>
    <w:rsid w:val="786D2E28"/>
    <w:rsid w:val="7917B98B"/>
    <w:rsid w:val="794FC99B"/>
    <w:rsid w:val="7953D991"/>
    <w:rsid w:val="798910EE"/>
    <w:rsid w:val="79CCEC83"/>
    <w:rsid w:val="7A6498B7"/>
    <w:rsid w:val="7A6FF211"/>
    <w:rsid w:val="7A72666B"/>
    <w:rsid w:val="7A84E356"/>
    <w:rsid w:val="7A8D0909"/>
    <w:rsid w:val="7AD3CAA1"/>
    <w:rsid w:val="7AFC3570"/>
    <w:rsid w:val="7B5135A1"/>
    <w:rsid w:val="7B83555B"/>
    <w:rsid w:val="7B905574"/>
    <w:rsid w:val="7B94C303"/>
    <w:rsid w:val="7BA6F9F9"/>
    <w:rsid w:val="7BB1D259"/>
    <w:rsid w:val="7BBB01EF"/>
    <w:rsid w:val="7CA7CD75"/>
    <w:rsid w:val="7CAF7B8C"/>
    <w:rsid w:val="7CF688F0"/>
    <w:rsid w:val="7D0FB14D"/>
    <w:rsid w:val="7D164421"/>
    <w:rsid w:val="7D26D11D"/>
    <w:rsid w:val="7D4105D0"/>
    <w:rsid w:val="7D4C60A7"/>
    <w:rsid w:val="7D8CA69F"/>
    <w:rsid w:val="7DA74D32"/>
    <w:rsid w:val="7DDC8D8D"/>
    <w:rsid w:val="7DF390C9"/>
    <w:rsid w:val="7E2E4FB6"/>
    <w:rsid w:val="7E3996AC"/>
    <w:rsid w:val="7E978450"/>
    <w:rsid w:val="7EAC9637"/>
    <w:rsid w:val="7EC63CA7"/>
    <w:rsid w:val="7F193BE0"/>
    <w:rsid w:val="7F407838"/>
    <w:rsid w:val="7F47DFC6"/>
    <w:rsid w:val="7FBCFF8A"/>
    <w:rsid w:val="7FC378D6"/>
    <w:rsid w:val="7FCB37C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E10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ayer Caption,IB Caption,Medical Caption,CSR Caption,CAPTION,Caption2,Caption Char1 Char,Caption Char Char Char,Caption Char1 Char Char Char,Caption Char Char Char Char Char,Caption Char Char1 Char,Caption Char1 Char1,- H17,Table Caption,! Q,c"/>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Bayer Caption Char,IB Caption Char,Medical Caption Char,CSR Caption Char,CAPTION Char,Caption2 Char,Caption Char1 Char Char,Caption Char Char Char Char,Caption Char1 Char Char Char Char,Caption Char Char Char Char Char Char,- H17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Figure_name,Numbered Indented Text,lp1"/>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p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DA4BAC"/>
    <w:rPr>
      <w:rFonts w:ascii="Arial Narrow" w:eastAsia="Calibri" w:hAnsi="Arial Narrow"/>
      <w:b/>
      <w:bCs/>
      <w:color w:val="auto"/>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762C74"/>
    <w:pPr>
      <w:tabs>
        <w:tab w:val="left" w:pos="440"/>
        <w:tab w:val="right" w:leader="dot" w:pos="9016"/>
      </w:tabs>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H19,Annotationtext,Char, Char,Char1,Char2,Comment Text Char1 Char,list paragraph 2,Comment Text ZS"/>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H19 Char,Annotationtext Char,Char Char, Char Char,Char1 Char,Char2 Char,Comment Text Char1 Char Char,list paragraph 2 Char,Comment Text ZS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DA4BAC"/>
    <w:pPr>
      <w:widowControl w:val="0"/>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DA4BAC"/>
    <w:rPr>
      <w:rFonts w:ascii="Arial Narrow" w:eastAsiaTheme="majorEastAsia" w:hAnsi="Arial Narrow" w:cstheme="majorBidi"/>
      <w:bCs/>
      <w:szCs w:val="24"/>
    </w:rPr>
  </w:style>
  <w:style w:type="paragraph" w:customStyle="1" w:styleId="FrontPage3">
    <w:name w:val="Front Page 3"/>
    <w:basedOn w:val="Normal"/>
    <w:link w:val="FrontPage3Char"/>
    <w:qFormat/>
    <w:rsid w:val="001D669B"/>
    <w:pPr>
      <w:spacing w:after="200" w:line="276" w:lineRule="auto"/>
      <w:jc w:val="center"/>
    </w:pPr>
    <w:rPr>
      <w:rFonts w:eastAsiaTheme="majorEastAsia" w:cstheme="majorBidi"/>
      <w:b/>
      <w:bCs/>
      <w:sz w:val="32"/>
      <w:szCs w:val="32"/>
    </w:rPr>
  </w:style>
  <w:style w:type="character" w:customStyle="1" w:styleId="FrontPage3Char">
    <w:name w:val="Front Page 3 Char"/>
    <w:basedOn w:val="DefaultParagraphFont"/>
    <w:link w:val="FrontPage3"/>
    <w:rsid w:val="001D669B"/>
    <w:rPr>
      <w:rFonts w:ascii="Calibri" w:eastAsiaTheme="majorEastAsia" w:hAnsi="Calibri" w:cstheme="majorBidi"/>
      <w:b/>
      <w:bCs/>
      <w:sz w:val="32"/>
      <w:szCs w:val="32"/>
    </w:rPr>
  </w:style>
  <w:style w:type="character" w:customStyle="1" w:styleId="PBACTableTextChar">
    <w:name w:val="PBAC Table Text Char"/>
    <w:basedOn w:val="DefaultParagraphFont"/>
    <w:link w:val="PBACTableText"/>
    <w:locked/>
    <w:rsid w:val="00B05A23"/>
    <w:rPr>
      <w:rFonts w:ascii="Arial Narrow" w:hAnsi="Arial Narrow"/>
    </w:rPr>
  </w:style>
  <w:style w:type="paragraph" w:customStyle="1" w:styleId="PBACTableText">
    <w:name w:val="PBAC Table Text"/>
    <w:basedOn w:val="Normal"/>
    <w:link w:val="PBACTableTextChar"/>
    <w:qFormat/>
    <w:rsid w:val="00B05A23"/>
    <w:pPr>
      <w:spacing w:before="40" w:after="40"/>
      <w:jc w:val="left"/>
    </w:pPr>
    <w:rPr>
      <w:rFonts w:ascii="Arial Narrow" w:hAnsi="Arial Narrow" w:cs="Times New Roman"/>
      <w:sz w:val="20"/>
      <w:szCs w:val="20"/>
    </w:rPr>
  </w:style>
  <w:style w:type="table" w:customStyle="1" w:styleId="Submissionstandard1">
    <w:name w:val="Submission standard1"/>
    <w:basedOn w:val="TableNormal"/>
    <w:uiPriority w:val="99"/>
    <w:qFormat/>
    <w:rsid w:val="00B05A23"/>
    <w:rPr>
      <w:rFonts w:ascii="Arial Narrow" w:eastAsiaTheme="majorEastAsia" w:hAnsi="Arial Narrow" w:cstheme="majorBidi"/>
      <w:szCs w:val="22"/>
      <w:lang w:val="en-US"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Franklin Gothic Book" w:hAnsi="Franklin Gothic Book" w:hint="default"/>
        <w:b/>
        <w:sz w:val="20"/>
        <w:szCs w:val="20"/>
      </w:rPr>
      <w:tblPr/>
      <w:tcPr>
        <w:shd w:val="clear" w:color="auto" w:fill="BFBFBF" w:themeFill="background1" w:themeFillShade="BF"/>
      </w:tcPr>
    </w:tblStylePr>
  </w:style>
  <w:style w:type="table" w:customStyle="1" w:styleId="newstyle12">
    <w:name w:val="new style12"/>
    <w:basedOn w:val="TableNormal"/>
    <w:next w:val="TableGrid"/>
    <w:uiPriority w:val="39"/>
    <w:rsid w:val="00B05A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2A7C"/>
    <w:pPr>
      <w:autoSpaceDE w:val="0"/>
      <w:autoSpaceDN w:val="0"/>
      <w:adjustRightInd w:val="0"/>
    </w:pPr>
    <w:rPr>
      <w:color w:val="000000"/>
      <w:sz w:val="24"/>
      <w:szCs w:val="24"/>
      <w:lang w:val="en-US" w:eastAsia="en-US"/>
    </w:rPr>
  </w:style>
  <w:style w:type="character" w:customStyle="1" w:styleId="V50InstructionsChar">
    <w:name w:val="V5.0 Instructions Char"/>
    <w:basedOn w:val="DefaultParagraphFont"/>
    <w:link w:val="V50Instructions"/>
    <w:locked/>
    <w:rsid w:val="00B82A7C"/>
    <w:rPr>
      <w:rFonts w:asciiTheme="minorHAnsi" w:eastAsiaTheme="minorHAnsi" w:hAnsiTheme="minorHAnsi" w:cstheme="minorBidi"/>
      <w:color w:val="4BACC6" w:themeColor="accent5"/>
      <w:sz w:val="24"/>
      <w:szCs w:val="22"/>
      <w:lang w:eastAsia="en-US"/>
    </w:rPr>
  </w:style>
  <w:style w:type="paragraph" w:customStyle="1" w:styleId="V50Instructions">
    <w:name w:val="V5.0 Instructions"/>
    <w:basedOn w:val="Normal"/>
    <w:link w:val="V50InstructionsChar"/>
    <w:qFormat/>
    <w:rsid w:val="00B82A7C"/>
    <w:pPr>
      <w:spacing w:before="120" w:after="160"/>
      <w:jc w:val="left"/>
    </w:pPr>
    <w:rPr>
      <w:rFonts w:asciiTheme="minorHAnsi" w:eastAsiaTheme="minorHAnsi" w:hAnsiTheme="minorHAnsi" w:cstheme="minorBidi"/>
      <w:color w:val="4BACC6" w:themeColor="accent5"/>
      <w:szCs w:val="22"/>
      <w:lang w:eastAsia="en-US"/>
    </w:rPr>
  </w:style>
  <w:style w:type="table" w:customStyle="1" w:styleId="Style3">
    <w:name w:val="Style3"/>
    <w:basedOn w:val="TableGrid1"/>
    <w:uiPriority w:val="99"/>
    <w:rsid w:val="00B82A7C"/>
    <w:rPr>
      <w:rFonts w:ascii="Arial" w:eastAsia="SimSun" w:hAnsi="Arial"/>
      <w:sz w:val="21"/>
      <w:szCs w:val="21"/>
      <w:lang w:val="en-US" w:eastAsia="en-US" w:bidi="en-US"/>
    </w:rPr>
    <w:tblPr/>
    <w:tcPr>
      <w:shd w:val="clear" w:color="auto" w:fill="auto"/>
    </w:tcPr>
    <w:tblStylePr w:type="firstRow">
      <w:pPr>
        <w:jc w:val="center"/>
      </w:pPr>
      <w:rPr>
        <w:b/>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semiHidden/>
    <w:unhideWhenUsed/>
    <w:rsid w:val="00B82A7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ubmissionstandard">
    <w:name w:val="Submission standard"/>
    <w:basedOn w:val="TableNormal"/>
    <w:uiPriority w:val="99"/>
    <w:qFormat/>
    <w:rsid w:val="00B82A7C"/>
    <w:rPr>
      <w:rFonts w:ascii="Arial Narrow" w:eastAsiaTheme="majorEastAsia" w:hAnsi="Arial Narrow" w:cstheme="majorBidi"/>
      <w:szCs w:val="22"/>
      <w:lang w:val="en-US"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Franklin Gothic Book" w:hAnsi="Franklin Gothic Book" w:hint="default"/>
        <w:b/>
        <w:sz w:val="20"/>
        <w:szCs w:val="20"/>
      </w:rPr>
      <w:tblPr/>
      <w:tcPr>
        <w:shd w:val="clear" w:color="auto" w:fill="BFBFBF" w:themeFill="background1" w:themeFillShade="BF"/>
      </w:tcPr>
    </w:tblStylePr>
  </w:style>
  <w:style w:type="character" w:customStyle="1" w:styleId="SmallItalics">
    <w:name w:val="Small Italics"/>
    <w:basedOn w:val="DefaultParagraphFont"/>
    <w:rsid w:val="008311F8"/>
    <w:rPr>
      <w:rFonts w:ascii="Calibri" w:eastAsiaTheme="majorEastAsia" w:hAnsi="Calibri" w:cstheme="majorBidi"/>
      <w:i/>
      <w:iCs/>
      <w:sz w:val="20"/>
      <w:szCs w:val="20"/>
    </w:rPr>
  </w:style>
  <w:style w:type="paragraph" w:customStyle="1" w:styleId="TableBullets">
    <w:name w:val="Table Bullets"/>
    <w:basedOn w:val="Normal"/>
    <w:uiPriority w:val="5"/>
    <w:qFormat/>
    <w:rsid w:val="008311F8"/>
    <w:pPr>
      <w:numPr>
        <w:numId w:val="6"/>
      </w:numPr>
      <w:ind w:left="170" w:hanging="170"/>
    </w:pPr>
    <w:rPr>
      <w:rFonts w:eastAsiaTheme="majorEastAsia" w:cstheme="majorBidi"/>
      <w:sz w:val="18"/>
      <w:szCs w:val="18"/>
    </w:rPr>
  </w:style>
  <w:style w:type="paragraph" w:customStyle="1" w:styleId="TableLeft">
    <w:name w:val="Table Left"/>
    <w:basedOn w:val="Normal"/>
    <w:link w:val="TableLeftChar"/>
    <w:uiPriority w:val="99"/>
    <w:qFormat/>
    <w:rsid w:val="008311F8"/>
    <w:rPr>
      <w:rFonts w:eastAsiaTheme="majorEastAsia" w:cstheme="majorBidi"/>
      <w:sz w:val="18"/>
      <w:szCs w:val="18"/>
    </w:rPr>
  </w:style>
  <w:style w:type="character" w:customStyle="1" w:styleId="TableLeftChar">
    <w:name w:val="Table Left Char"/>
    <w:basedOn w:val="DefaultParagraphFont"/>
    <w:link w:val="TableLeft"/>
    <w:uiPriority w:val="99"/>
    <w:rsid w:val="008311F8"/>
    <w:rPr>
      <w:rFonts w:ascii="Calibri" w:eastAsiaTheme="majorEastAsia" w:hAnsi="Calibri" w:cstheme="majorBidi"/>
      <w:sz w:val="18"/>
      <w:szCs w:val="18"/>
    </w:rPr>
  </w:style>
  <w:style w:type="paragraph" w:customStyle="1" w:styleId="CaptionFootnote">
    <w:name w:val="Caption Footnote"/>
    <w:basedOn w:val="Normal"/>
    <w:link w:val="CaptionFootnoteChar"/>
    <w:qFormat/>
    <w:rsid w:val="008311F8"/>
    <w:rPr>
      <w:rFonts w:asciiTheme="minorHAnsi" w:hAnsiTheme="minorHAnsi" w:cs="Times New Roman"/>
      <w:sz w:val="16"/>
      <w:szCs w:val="16"/>
      <w:lang w:val="en-US" w:eastAsia="en-GB"/>
    </w:rPr>
  </w:style>
  <w:style w:type="character" w:customStyle="1" w:styleId="CaptionFootnoteChar">
    <w:name w:val="Caption Footnote Char"/>
    <w:basedOn w:val="DefaultParagraphFont"/>
    <w:link w:val="CaptionFootnote"/>
    <w:rsid w:val="008311F8"/>
    <w:rPr>
      <w:rFonts w:asciiTheme="minorHAnsi" w:hAnsiTheme="minorHAnsi"/>
      <w:sz w:val="16"/>
      <w:szCs w:val="16"/>
      <w:lang w:val="en-US" w:eastAsia="en-GB"/>
    </w:rPr>
  </w:style>
  <w:style w:type="paragraph" w:customStyle="1" w:styleId="TableParagraph">
    <w:name w:val="Table Paragraph"/>
    <w:basedOn w:val="Normal"/>
    <w:qFormat/>
    <w:rsid w:val="008311F8"/>
    <w:pPr>
      <w:spacing w:before="28"/>
      <w:jc w:val="left"/>
    </w:pPr>
    <w:rPr>
      <w:rFonts w:ascii="Courier New" w:eastAsia="Courier New" w:hAnsi="Courier New" w:cs="Courier New"/>
      <w:lang w:val="en-US"/>
    </w:rPr>
  </w:style>
  <w:style w:type="paragraph" w:customStyle="1" w:styleId="TableCentre">
    <w:name w:val="Table Centre"/>
    <w:basedOn w:val="Normal"/>
    <w:link w:val="TableCentreChar"/>
    <w:qFormat/>
    <w:rsid w:val="008311F8"/>
    <w:pPr>
      <w:jc w:val="center"/>
    </w:pPr>
    <w:rPr>
      <w:rFonts w:eastAsiaTheme="majorEastAsia" w:cstheme="majorBidi"/>
      <w:sz w:val="18"/>
      <w:szCs w:val="18"/>
    </w:rPr>
  </w:style>
  <w:style w:type="character" w:customStyle="1" w:styleId="TableCentreChar">
    <w:name w:val="Table Centre Char"/>
    <w:basedOn w:val="DefaultParagraphFont"/>
    <w:link w:val="TableCentre"/>
    <w:rsid w:val="008311F8"/>
    <w:rPr>
      <w:rFonts w:ascii="Calibri" w:eastAsiaTheme="majorEastAsia" w:hAnsi="Calibri" w:cstheme="majorBidi"/>
      <w:sz w:val="18"/>
      <w:szCs w:val="18"/>
    </w:rPr>
  </w:style>
  <w:style w:type="character" w:customStyle="1" w:styleId="Small">
    <w:name w:val="Small"/>
    <w:basedOn w:val="DefaultParagraphFont"/>
    <w:uiPriority w:val="4"/>
    <w:qFormat/>
    <w:rsid w:val="008311F8"/>
    <w:rPr>
      <w:rFonts w:ascii="Calibri" w:eastAsiaTheme="majorEastAsia" w:hAnsi="Calibri" w:cstheme="majorBidi"/>
      <w:sz w:val="20"/>
      <w:szCs w:val="20"/>
    </w:rPr>
  </w:style>
  <w:style w:type="character" w:customStyle="1" w:styleId="SmallBold">
    <w:name w:val="Small Bold"/>
    <w:basedOn w:val="DefaultParagraphFont"/>
    <w:uiPriority w:val="4"/>
    <w:qFormat/>
    <w:rsid w:val="008311F8"/>
    <w:rPr>
      <w:rFonts w:ascii="Calibri" w:eastAsiaTheme="majorEastAsia" w:hAnsi="Calibri" w:cstheme="majorBidi"/>
      <w:b/>
      <w:bCs/>
      <w:sz w:val="20"/>
      <w:szCs w:val="20"/>
      <w:lang w:val="en-AU"/>
    </w:rPr>
  </w:style>
  <w:style w:type="character" w:customStyle="1" w:styleId="normaltextrun">
    <w:name w:val="normaltextrun"/>
    <w:basedOn w:val="DefaultParagraphFont"/>
    <w:rsid w:val="008311F8"/>
  </w:style>
  <w:style w:type="character" w:customStyle="1" w:styleId="eop">
    <w:name w:val="eop"/>
    <w:basedOn w:val="DefaultParagraphFont"/>
    <w:rsid w:val="008311F8"/>
  </w:style>
  <w:style w:type="character" w:customStyle="1" w:styleId="Mention1">
    <w:name w:val="Mention1"/>
    <w:basedOn w:val="DefaultParagraphFont"/>
    <w:uiPriority w:val="99"/>
    <w:unhideWhenUsed/>
    <w:rsid w:val="008311F8"/>
    <w:rPr>
      <w:color w:val="2B579A"/>
      <w:shd w:val="clear" w:color="auto" w:fill="E6E6E6"/>
    </w:rPr>
  </w:style>
  <w:style w:type="paragraph" w:styleId="FootnoteText">
    <w:name w:val="footnote text"/>
    <w:basedOn w:val="Normal"/>
    <w:link w:val="FootnoteTextChar"/>
    <w:semiHidden/>
    <w:unhideWhenUsed/>
    <w:rsid w:val="00102630"/>
    <w:rPr>
      <w:sz w:val="20"/>
      <w:szCs w:val="20"/>
    </w:rPr>
  </w:style>
  <w:style w:type="character" w:customStyle="1" w:styleId="FootnoteTextChar">
    <w:name w:val="Footnote Text Char"/>
    <w:basedOn w:val="DefaultParagraphFont"/>
    <w:link w:val="FootnoteText"/>
    <w:semiHidden/>
    <w:rsid w:val="00102630"/>
    <w:rPr>
      <w:rFonts w:ascii="Calibri" w:hAnsi="Calibri" w:cs="Arial"/>
    </w:rPr>
  </w:style>
  <w:style w:type="character" w:styleId="FootnoteReference">
    <w:name w:val="footnote reference"/>
    <w:basedOn w:val="DefaultParagraphFont"/>
    <w:semiHidden/>
    <w:unhideWhenUsed/>
    <w:rsid w:val="00102630"/>
    <w:rPr>
      <w:vertAlign w:val="superscript"/>
    </w:rPr>
  </w:style>
  <w:style w:type="character" w:customStyle="1" w:styleId="UnresolvedMention1">
    <w:name w:val="Unresolved Mention1"/>
    <w:basedOn w:val="DefaultParagraphFont"/>
    <w:uiPriority w:val="99"/>
    <w:unhideWhenUsed/>
    <w:rsid w:val="005553DF"/>
    <w:rPr>
      <w:color w:val="605E5C"/>
      <w:shd w:val="clear" w:color="auto" w:fill="E1DFDD"/>
    </w:rPr>
  </w:style>
  <w:style w:type="table" w:customStyle="1" w:styleId="TableGrid10">
    <w:name w:val="Table Grid1"/>
    <w:basedOn w:val="TableNormal"/>
    <w:next w:val="TableGrid"/>
    <w:uiPriority w:val="59"/>
    <w:rsid w:val="00983473"/>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2">
    <w:name w:val="Unresolved Mention2"/>
    <w:basedOn w:val="DefaultParagraphFont"/>
    <w:uiPriority w:val="99"/>
    <w:unhideWhenUsed/>
    <w:rsid w:val="009F1727"/>
    <w:rPr>
      <w:color w:val="605E5C"/>
      <w:shd w:val="clear" w:color="auto" w:fill="E1DFDD"/>
    </w:rPr>
  </w:style>
  <w:style w:type="character" w:customStyle="1" w:styleId="Mention2">
    <w:name w:val="Mention2"/>
    <w:basedOn w:val="DefaultParagraphFont"/>
    <w:uiPriority w:val="99"/>
    <w:unhideWhenUsed/>
    <w:rsid w:val="009F1727"/>
    <w:rPr>
      <w:color w:val="2B579A"/>
      <w:shd w:val="clear" w:color="auto" w:fill="E1DFDD"/>
    </w:rPr>
  </w:style>
  <w:style w:type="character" w:styleId="IntenseEmphasis">
    <w:name w:val="Intense Emphasis"/>
    <w:uiPriority w:val="21"/>
    <w:qFormat/>
    <w:rsid w:val="00F55EDF"/>
    <w:rPr>
      <w:b/>
      <w:bCs/>
      <w:i/>
      <w:iCs/>
    </w:rPr>
  </w:style>
  <w:style w:type="table" w:customStyle="1" w:styleId="Submissionstandard11">
    <w:name w:val="Submission standard11"/>
    <w:basedOn w:val="TableNormal"/>
    <w:uiPriority w:val="99"/>
    <w:qFormat/>
    <w:rsid w:val="00CD5BB0"/>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Franklin Gothic Book" w:hAnsi="Franklin Gothic Book"/>
        <w:b/>
        <w:sz w:val="20"/>
      </w:rPr>
      <w:tblPr/>
      <w:tcPr>
        <w:shd w:val="clear" w:color="auto" w:fill="BFBFBF" w:themeFill="background1" w:themeFillShade="BF"/>
      </w:tcPr>
    </w:tblStylePr>
  </w:style>
  <w:style w:type="paragraph" w:customStyle="1" w:styleId="paragraph">
    <w:name w:val="paragraph"/>
    <w:basedOn w:val="Normal"/>
    <w:rsid w:val="00131F53"/>
    <w:pPr>
      <w:spacing w:before="100" w:beforeAutospacing="1" w:after="100" w:afterAutospacing="1"/>
      <w:jc w:val="left"/>
    </w:pPr>
    <w:rPr>
      <w:rFonts w:ascii="Times New Roman" w:hAnsi="Times New Roman" w:cs="Times New Roman"/>
      <w:lang w:val="en-GB" w:eastAsia="zh-CN"/>
    </w:rPr>
  </w:style>
  <w:style w:type="character" w:customStyle="1" w:styleId="spellingerrorsuperscript">
    <w:name w:val="spellingerrorsuperscript"/>
    <w:basedOn w:val="DefaultParagraphFont"/>
    <w:rsid w:val="00213638"/>
  </w:style>
  <w:style w:type="paragraph" w:customStyle="1" w:styleId="3-SubsectionHeading">
    <w:name w:val="3-Subsection Heading"/>
    <w:basedOn w:val="Heading2"/>
    <w:next w:val="Normal"/>
    <w:link w:val="3-SubsectionHeadingChar"/>
    <w:qFormat/>
    <w:rsid w:val="00EF79CD"/>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EF79CD"/>
    <w:rPr>
      <w:rFonts w:asciiTheme="minorHAnsi" w:eastAsiaTheme="majorEastAsia" w:hAnsiTheme="minorHAnsi" w:cstheme="majorBidi"/>
      <w:b/>
      <w:i/>
      <w:snapToGrid/>
      <w:spacing w:val="5"/>
      <w:kern w:val="28"/>
      <w:sz w:val="28"/>
      <w:szCs w:val="36"/>
      <w:lang w:eastAsia="en-US"/>
    </w:rPr>
  </w:style>
  <w:style w:type="character" w:styleId="IntenseReference">
    <w:name w:val="Intense Reference"/>
    <w:basedOn w:val="DefaultParagraphFont"/>
    <w:uiPriority w:val="32"/>
    <w:qFormat/>
    <w:rsid w:val="008575D5"/>
    <w:rPr>
      <w:b/>
      <w:bCs/>
      <w:i/>
      <w:smallCaps/>
      <w:color w:val="C0504D" w:themeColor="accent2"/>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3083">
      <w:bodyDiv w:val="1"/>
      <w:marLeft w:val="0"/>
      <w:marRight w:val="0"/>
      <w:marTop w:val="0"/>
      <w:marBottom w:val="0"/>
      <w:divBdr>
        <w:top w:val="none" w:sz="0" w:space="0" w:color="auto"/>
        <w:left w:val="none" w:sz="0" w:space="0" w:color="auto"/>
        <w:bottom w:val="none" w:sz="0" w:space="0" w:color="auto"/>
        <w:right w:val="none" w:sz="0" w:space="0" w:color="auto"/>
      </w:divBdr>
    </w:div>
    <w:div w:id="77406320">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9811630">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45711946">
      <w:bodyDiv w:val="1"/>
      <w:marLeft w:val="0"/>
      <w:marRight w:val="0"/>
      <w:marTop w:val="0"/>
      <w:marBottom w:val="0"/>
      <w:divBdr>
        <w:top w:val="none" w:sz="0" w:space="0" w:color="auto"/>
        <w:left w:val="none" w:sz="0" w:space="0" w:color="auto"/>
        <w:bottom w:val="none" w:sz="0" w:space="0" w:color="auto"/>
        <w:right w:val="none" w:sz="0" w:space="0" w:color="auto"/>
      </w:divBdr>
    </w:div>
    <w:div w:id="192110236">
      <w:bodyDiv w:val="1"/>
      <w:marLeft w:val="0"/>
      <w:marRight w:val="0"/>
      <w:marTop w:val="0"/>
      <w:marBottom w:val="0"/>
      <w:divBdr>
        <w:top w:val="none" w:sz="0" w:space="0" w:color="auto"/>
        <w:left w:val="none" w:sz="0" w:space="0" w:color="auto"/>
        <w:bottom w:val="none" w:sz="0" w:space="0" w:color="auto"/>
        <w:right w:val="none" w:sz="0" w:space="0" w:color="auto"/>
      </w:divBdr>
    </w:div>
    <w:div w:id="244265514">
      <w:bodyDiv w:val="1"/>
      <w:marLeft w:val="0"/>
      <w:marRight w:val="0"/>
      <w:marTop w:val="0"/>
      <w:marBottom w:val="0"/>
      <w:divBdr>
        <w:top w:val="none" w:sz="0" w:space="0" w:color="auto"/>
        <w:left w:val="none" w:sz="0" w:space="0" w:color="auto"/>
        <w:bottom w:val="none" w:sz="0" w:space="0" w:color="auto"/>
        <w:right w:val="none" w:sz="0" w:space="0" w:color="auto"/>
      </w:divBdr>
    </w:div>
    <w:div w:id="254633236">
      <w:bodyDiv w:val="1"/>
      <w:marLeft w:val="0"/>
      <w:marRight w:val="0"/>
      <w:marTop w:val="0"/>
      <w:marBottom w:val="0"/>
      <w:divBdr>
        <w:top w:val="none" w:sz="0" w:space="0" w:color="auto"/>
        <w:left w:val="none" w:sz="0" w:space="0" w:color="auto"/>
        <w:bottom w:val="none" w:sz="0" w:space="0" w:color="auto"/>
        <w:right w:val="none" w:sz="0" w:space="0" w:color="auto"/>
      </w:divBdr>
      <w:divsChild>
        <w:div w:id="1477802169">
          <w:marLeft w:val="360"/>
          <w:marRight w:val="0"/>
          <w:marTop w:val="200"/>
          <w:marBottom w:val="0"/>
          <w:divBdr>
            <w:top w:val="none" w:sz="0" w:space="0" w:color="auto"/>
            <w:left w:val="none" w:sz="0" w:space="0" w:color="auto"/>
            <w:bottom w:val="none" w:sz="0" w:space="0" w:color="auto"/>
            <w:right w:val="none" w:sz="0" w:space="0" w:color="auto"/>
          </w:divBdr>
        </w:div>
      </w:divsChild>
    </w:div>
    <w:div w:id="265312639">
      <w:bodyDiv w:val="1"/>
      <w:marLeft w:val="0"/>
      <w:marRight w:val="0"/>
      <w:marTop w:val="0"/>
      <w:marBottom w:val="0"/>
      <w:divBdr>
        <w:top w:val="none" w:sz="0" w:space="0" w:color="auto"/>
        <w:left w:val="none" w:sz="0" w:space="0" w:color="auto"/>
        <w:bottom w:val="none" w:sz="0" w:space="0" w:color="auto"/>
        <w:right w:val="none" w:sz="0" w:space="0" w:color="auto"/>
      </w:divBdr>
    </w:div>
    <w:div w:id="277640586">
      <w:bodyDiv w:val="1"/>
      <w:marLeft w:val="0"/>
      <w:marRight w:val="0"/>
      <w:marTop w:val="0"/>
      <w:marBottom w:val="0"/>
      <w:divBdr>
        <w:top w:val="none" w:sz="0" w:space="0" w:color="auto"/>
        <w:left w:val="none" w:sz="0" w:space="0" w:color="auto"/>
        <w:bottom w:val="none" w:sz="0" w:space="0" w:color="auto"/>
        <w:right w:val="none" w:sz="0" w:space="0" w:color="auto"/>
      </w:divBdr>
    </w:div>
    <w:div w:id="299652480">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35309962">
      <w:bodyDiv w:val="1"/>
      <w:marLeft w:val="0"/>
      <w:marRight w:val="0"/>
      <w:marTop w:val="0"/>
      <w:marBottom w:val="0"/>
      <w:divBdr>
        <w:top w:val="none" w:sz="0" w:space="0" w:color="auto"/>
        <w:left w:val="none" w:sz="0" w:space="0" w:color="auto"/>
        <w:bottom w:val="none" w:sz="0" w:space="0" w:color="auto"/>
        <w:right w:val="none" w:sz="0" w:space="0" w:color="auto"/>
      </w:divBdr>
      <w:divsChild>
        <w:div w:id="480662854">
          <w:marLeft w:val="360"/>
          <w:marRight w:val="0"/>
          <w:marTop w:val="200"/>
          <w:marBottom w:val="0"/>
          <w:divBdr>
            <w:top w:val="none" w:sz="0" w:space="0" w:color="auto"/>
            <w:left w:val="none" w:sz="0" w:space="0" w:color="auto"/>
            <w:bottom w:val="none" w:sz="0" w:space="0" w:color="auto"/>
            <w:right w:val="none" w:sz="0" w:space="0" w:color="auto"/>
          </w:divBdr>
        </w:div>
        <w:div w:id="680669291">
          <w:marLeft w:val="360"/>
          <w:marRight w:val="0"/>
          <w:marTop w:val="200"/>
          <w:marBottom w:val="0"/>
          <w:divBdr>
            <w:top w:val="none" w:sz="0" w:space="0" w:color="auto"/>
            <w:left w:val="none" w:sz="0" w:space="0" w:color="auto"/>
            <w:bottom w:val="none" w:sz="0" w:space="0" w:color="auto"/>
            <w:right w:val="none" w:sz="0" w:space="0" w:color="auto"/>
          </w:divBdr>
        </w:div>
      </w:divsChild>
    </w:div>
    <w:div w:id="402994974">
      <w:bodyDiv w:val="1"/>
      <w:marLeft w:val="0"/>
      <w:marRight w:val="0"/>
      <w:marTop w:val="0"/>
      <w:marBottom w:val="0"/>
      <w:divBdr>
        <w:top w:val="none" w:sz="0" w:space="0" w:color="auto"/>
        <w:left w:val="none" w:sz="0" w:space="0" w:color="auto"/>
        <w:bottom w:val="none" w:sz="0" w:space="0" w:color="auto"/>
        <w:right w:val="none" w:sz="0" w:space="0" w:color="auto"/>
      </w:divBdr>
    </w:div>
    <w:div w:id="452020167">
      <w:bodyDiv w:val="1"/>
      <w:marLeft w:val="0"/>
      <w:marRight w:val="0"/>
      <w:marTop w:val="0"/>
      <w:marBottom w:val="0"/>
      <w:divBdr>
        <w:top w:val="none" w:sz="0" w:space="0" w:color="auto"/>
        <w:left w:val="none" w:sz="0" w:space="0" w:color="auto"/>
        <w:bottom w:val="none" w:sz="0" w:space="0" w:color="auto"/>
        <w:right w:val="none" w:sz="0" w:space="0" w:color="auto"/>
      </w:divBdr>
    </w:div>
    <w:div w:id="484858398">
      <w:bodyDiv w:val="1"/>
      <w:marLeft w:val="0"/>
      <w:marRight w:val="0"/>
      <w:marTop w:val="0"/>
      <w:marBottom w:val="0"/>
      <w:divBdr>
        <w:top w:val="none" w:sz="0" w:space="0" w:color="auto"/>
        <w:left w:val="none" w:sz="0" w:space="0" w:color="auto"/>
        <w:bottom w:val="none" w:sz="0" w:space="0" w:color="auto"/>
        <w:right w:val="none" w:sz="0" w:space="0" w:color="auto"/>
      </w:divBdr>
    </w:div>
    <w:div w:id="497233186">
      <w:bodyDiv w:val="1"/>
      <w:marLeft w:val="0"/>
      <w:marRight w:val="0"/>
      <w:marTop w:val="0"/>
      <w:marBottom w:val="0"/>
      <w:divBdr>
        <w:top w:val="none" w:sz="0" w:space="0" w:color="auto"/>
        <w:left w:val="none" w:sz="0" w:space="0" w:color="auto"/>
        <w:bottom w:val="none" w:sz="0" w:space="0" w:color="auto"/>
        <w:right w:val="none" w:sz="0" w:space="0" w:color="auto"/>
      </w:divBdr>
      <w:divsChild>
        <w:div w:id="106197721">
          <w:marLeft w:val="0"/>
          <w:marRight w:val="0"/>
          <w:marTop w:val="0"/>
          <w:marBottom w:val="0"/>
          <w:divBdr>
            <w:top w:val="none" w:sz="0" w:space="0" w:color="auto"/>
            <w:left w:val="none" w:sz="0" w:space="0" w:color="auto"/>
            <w:bottom w:val="none" w:sz="0" w:space="0" w:color="auto"/>
            <w:right w:val="none" w:sz="0" w:space="0" w:color="auto"/>
          </w:divBdr>
          <w:divsChild>
            <w:div w:id="863175520">
              <w:marLeft w:val="0"/>
              <w:marRight w:val="0"/>
              <w:marTop w:val="0"/>
              <w:marBottom w:val="0"/>
              <w:divBdr>
                <w:top w:val="none" w:sz="0" w:space="0" w:color="auto"/>
                <w:left w:val="none" w:sz="0" w:space="0" w:color="auto"/>
                <w:bottom w:val="none" w:sz="0" w:space="0" w:color="auto"/>
                <w:right w:val="none" w:sz="0" w:space="0" w:color="auto"/>
              </w:divBdr>
            </w:div>
          </w:divsChild>
        </w:div>
        <w:div w:id="187986733">
          <w:marLeft w:val="0"/>
          <w:marRight w:val="0"/>
          <w:marTop w:val="0"/>
          <w:marBottom w:val="0"/>
          <w:divBdr>
            <w:top w:val="none" w:sz="0" w:space="0" w:color="auto"/>
            <w:left w:val="none" w:sz="0" w:space="0" w:color="auto"/>
            <w:bottom w:val="none" w:sz="0" w:space="0" w:color="auto"/>
            <w:right w:val="none" w:sz="0" w:space="0" w:color="auto"/>
          </w:divBdr>
          <w:divsChild>
            <w:div w:id="765536693">
              <w:marLeft w:val="0"/>
              <w:marRight w:val="0"/>
              <w:marTop w:val="0"/>
              <w:marBottom w:val="0"/>
              <w:divBdr>
                <w:top w:val="none" w:sz="0" w:space="0" w:color="auto"/>
                <w:left w:val="none" w:sz="0" w:space="0" w:color="auto"/>
                <w:bottom w:val="none" w:sz="0" w:space="0" w:color="auto"/>
                <w:right w:val="none" w:sz="0" w:space="0" w:color="auto"/>
              </w:divBdr>
            </w:div>
          </w:divsChild>
        </w:div>
        <w:div w:id="260992321">
          <w:marLeft w:val="0"/>
          <w:marRight w:val="0"/>
          <w:marTop w:val="0"/>
          <w:marBottom w:val="0"/>
          <w:divBdr>
            <w:top w:val="none" w:sz="0" w:space="0" w:color="auto"/>
            <w:left w:val="none" w:sz="0" w:space="0" w:color="auto"/>
            <w:bottom w:val="none" w:sz="0" w:space="0" w:color="auto"/>
            <w:right w:val="none" w:sz="0" w:space="0" w:color="auto"/>
          </w:divBdr>
          <w:divsChild>
            <w:div w:id="1066300384">
              <w:marLeft w:val="0"/>
              <w:marRight w:val="0"/>
              <w:marTop w:val="0"/>
              <w:marBottom w:val="0"/>
              <w:divBdr>
                <w:top w:val="none" w:sz="0" w:space="0" w:color="auto"/>
                <w:left w:val="none" w:sz="0" w:space="0" w:color="auto"/>
                <w:bottom w:val="none" w:sz="0" w:space="0" w:color="auto"/>
                <w:right w:val="none" w:sz="0" w:space="0" w:color="auto"/>
              </w:divBdr>
            </w:div>
          </w:divsChild>
        </w:div>
        <w:div w:id="470176289">
          <w:marLeft w:val="0"/>
          <w:marRight w:val="0"/>
          <w:marTop w:val="0"/>
          <w:marBottom w:val="0"/>
          <w:divBdr>
            <w:top w:val="none" w:sz="0" w:space="0" w:color="auto"/>
            <w:left w:val="none" w:sz="0" w:space="0" w:color="auto"/>
            <w:bottom w:val="none" w:sz="0" w:space="0" w:color="auto"/>
            <w:right w:val="none" w:sz="0" w:space="0" w:color="auto"/>
          </w:divBdr>
          <w:divsChild>
            <w:div w:id="183133549">
              <w:marLeft w:val="0"/>
              <w:marRight w:val="0"/>
              <w:marTop w:val="0"/>
              <w:marBottom w:val="0"/>
              <w:divBdr>
                <w:top w:val="none" w:sz="0" w:space="0" w:color="auto"/>
                <w:left w:val="none" w:sz="0" w:space="0" w:color="auto"/>
                <w:bottom w:val="none" w:sz="0" w:space="0" w:color="auto"/>
                <w:right w:val="none" w:sz="0" w:space="0" w:color="auto"/>
              </w:divBdr>
            </w:div>
          </w:divsChild>
        </w:div>
        <w:div w:id="515079577">
          <w:marLeft w:val="0"/>
          <w:marRight w:val="0"/>
          <w:marTop w:val="0"/>
          <w:marBottom w:val="0"/>
          <w:divBdr>
            <w:top w:val="none" w:sz="0" w:space="0" w:color="auto"/>
            <w:left w:val="none" w:sz="0" w:space="0" w:color="auto"/>
            <w:bottom w:val="none" w:sz="0" w:space="0" w:color="auto"/>
            <w:right w:val="none" w:sz="0" w:space="0" w:color="auto"/>
          </w:divBdr>
          <w:divsChild>
            <w:div w:id="786387267">
              <w:marLeft w:val="0"/>
              <w:marRight w:val="0"/>
              <w:marTop w:val="0"/>
              <w:marBottom w:val="0"/>
              <w:divBdr>
                <w:top w:val="none" w:sz="0" w:space="0" w:color="auto"/>
                <w:left w:val="none" w:sz="0" w:space="0" w:color="auto"/>
                <w:bottom w:val="none" w:sz="0" w:space="0" w:color="auto"/>
                <w:right w:val="none" w:sz="0" w:space="0" w:color="auto"/>
              </w:divBdr>
            </w:div>
          </w:divsChild>
        </w:div>
        <w:div w:id="1400787230">
          <w:marLeft w:val="0"/>
          <w:marRight w:val="0"/>
          <w:marTop w:val="0"/>
          <w:marBottom w:val="0"/>
          <w:divBdr>
            <w:top w:val="none" w:sz="0" w:space="0" w:color="auto"/>
            <w:left w:val="none" w:sz="0" w:space="0" w:color="auto"/>
            <w:bottom w:val="none" w:sz="0" w:space="0" w:color="auto"/>
            <w:right w:val="none" w:sz="0" w:space="0" w:color="auto"/>
          </w:divBdr>
          <w:divsChild>
            <w:div w:id="1023239704">
              <w:marLeft w:val="0"/>
              <w:marRight w:val="0"/>
              <w:marTop w:val="0"/>
              <w:marBottom w:val="0"/>
              <w:divBdr>
                <w:top w:val="none" w:sz="0" w:space="0" w:color="auto"/>
                <w:left w:val="none" w:sz="0" w:space="0" w:color="auto"/>
                <w:bottom w:val="none" w:sz="0" w:space="0" w:color="auto"/>
                <w:right w:val="none" w:sz="0" w:space="0" w:color="auto"/>
              </w:divBdr>
            </w:div>
          </w:divsChild>
        </w:div>
        <w:div w:id="1589074334">
          <w:marLeft w:val="0"/>
          <w:marRight w:val="0"/>
          <w:marTop w:val="0"/>
          <w:marBottom w:val="0"/>
          <w:divBdr>
            <w:top w:val="none" w:sz="0" w:space="0" w:color="auto"/>
            <w:left w:val="none" w:sz="0" w:space="0" w:color="auto"/>
            <w:bottom w:val="none" w:sz="0" w:space="0" w:color="auto"/>
            <w:right w:val="none" w:sz="0" w:space="0" w:color="auto"/>
          </w:divBdr>
          <w:divsChild>
            <w:div w:id="347800759">
              <w:marLeft w:val="0"/>
              <w:marRight w:val="0"/>
              <w:marTop w:val="0"/>
              <w:marBottom w:val="0"/>
              <w:divBdr>
                <w:top w:val="none" w:sz="0" w:space="0" w:color="auto"/>
                <w:left w:val="none" w:sz="0" w:space="0" w:color="auto"/>
                <w:bottom w:val="none" w:sz="0" w:space="0" w:color="auto"/>
                <w:right w:val="none" w:sz="0" w:space="0" w:color="auto"/>
              </w:divBdr>
            </w:div>
          </w:divsChild>
        </w:div>
        <w:div w:id="1675768670">
          <w:marLeft w:val="0"/>
          <w:marRight w:val="0"/>
          <w:marTop w:val="0"/>
          <w:marBottom w:val="0"/>
          <w:divBdr>
            <w:top w:val="none" w:sz="0" w:space="0" w:color="auto"/>
            <w:left w:val="none" w:sz="0" w:space="0" w:color="auto"/>
            <w:bottom w:val="none" w:sz="0" w:space="0" w:color="auto"/>
            <w:right w:val="none" w:sz="0" w:space="0" w:color="auto"/>
          </w:divBdr>
          <w:divsChild>
            <w:div w:id="1136532234">
              <w:marLeft w:val="0"/>
              <w:marRight w:val="0"/>
              <w:marTop w:val="0"/>
              <w:marBottom w:val="0"/>
              <w:divBdr>
                <w:top w:val="none" w:sz="0" w:space="0" w:color="auto"/>
                <w:left w:val="none" w:sz="0" w:space="0" w:color="auto"/>
                <w:bottom w:val="none" w:sz="0" w:space="0" w:color="auto"/>
                <w:right w:val="none" w:sz="0" w:space="0" w:color="auto"/>
              </w:divBdr>
            </w:div>
          </w:divsChild>
        </w:div>
        <w:div w:id="1893272026">
          <w:marLeft w:val="0"/>
          <w:marRight w:val="0"/>
          <w:marTop w:val="0"/>
          <w:marBottom w:val="0"/>
          <w:divBdr>
            <w:top w:val="none" w:sz="0" w:space="0" w:color="auto"/>
            <w:left w:val="none" w:sz="0" w:space="0" w:color="auto"/>
            <w:bottom w:val="none" w:sz="0" w:space="0" w:color="auto"/>
            <w:right w:val="none" w:sz="0" w:space="0" w:color="auto"/>
          </w:divBdr>
          <w:divsChild>
            <w:div w:id="111020419">
              <w:marLeft w:val="0"/>
              <w:marRight w:val="0"/>
              <w:marTop w:val="0"/>
              <w:marBottom w:val="0"/>
              <w:divBdr>
                <w:top w:val="none" w:sz="0" w:space="0" w:color="auto"/>
                <w:left w:val="none" w:sz="0" w:space="0" w:color="auto"/>
                <w:bottom w:val="none" w:sz="0" w:space="0" w:color="auto"/>
                <w:right w:val="none" w:sz="0" w:space="0" w:color="auto"/>
              </w:divBdr>
            </w:div>
          </w:divsChild>
        </w:div>
        <w:div w:id="2001302277">
          <w:marLeft w:val="0"/>
          <w:marRight w:val="0"/>
          <w:marTop w:val="0"/>
          <w:marBottom w:val="0"/>
          <w:divBdr>
            <w:top w:val="none" w:sz="0" w:space="0" w:color="auto"/>
            <w:left w:val="none" w:sz="0" w:space="0" w:color="auto"/>
            <w:bottom w:val="none" w:sz="0" w:space="0" w:color="auto"/>
            <w:right w:val="none" w:sz="0" w:space="0" w:color="auto"/>
          </w:divBdr>
          <w:divsChild>
            <w:div w:id="2132548583">
              <w:marLeft w:val="0"/>
              <w:marRight w:val="0"/>
              <w:marTop w:val="0"/>
              <w:marBottom w:val="0"/>
              <w:divBdr>
                <w:top w:val="none" w:sz="0" w:space="0" w:color="auto"/>
                <w:left w:val="none" w:sz="0" w:space="0" w:color="auto"/>
                <w:bottom w:val="none" w:sz="0" w:space="0" w:color="auto"/>
                <w:right w:val="none" w:sz="0" w:space="0" w:color="auto"/>
              </w:divBdr>
            </w:div>
          </w:divsChild>
        </w:div>
        <w:div w:id="2123836427">
          <w:marLeft w:val="0"/>
          <w:marRight w:val="0"/>
          <w:marTop w:val="0"/>
          <w:marBottom w:val="0"/>
          <w:divBdr>
            <w:top w:val="none" w:sz="0" w:space="0" w:color="auto"/>
            <w:left w:val="none" w:sz="0" w:space="0" w:color="auto"/>
            <w:bottom w:val="none" w:sz="0" w:space="0" w:color="auto"/>
            <w:right w:val="none" w:sz="0" w:space="0" w:color="auto"/>
          </w:divBdr>
          <w:divsChild>
            <w:div w:id="247154746">
              <w:marLeft w:val="0"/>
              <w:marRight w:val="0"/>
              <w:marTop w:val="0"/>
              <w:marBottom w:val="0"/>
              <w:divBdr>
                <w:top w:val="none" w:sz="0" w:space="0" w:color="auto"/>
                <w:left w:val="none" w:sz="0" w:space="0" w:color="auto"/>
                <w:bottom w:val="none" w:sz="0" w:space="0" w:color="auto"/>
                <w:right w:val="none" w:sz="0" w:space="0" w:color="auto"/>
              </w:divBdr>
            </w:div>
          </w:divsChild>
        </w:div>
        <w:div w:id="2146847211">
          <w:marLeft w:val="0"/>
          <w:marRight w:val="0"/>
          <w:marTop w:val="0"/>
          <w:marBottom w:val="0"/>
          <w:divBdr>
            <w:top w:val="none" w:sz="0" w:space="0" w:color="auto"/>
            <w:left w:val="none" w:sz="0" w:space="0" w:color="auto"/>
            <w:bottom w:val="none" w:sz="0" w:space="0" w:color="auto"/>
            <w:right w:val="none" w:sz="0" w:space="0" w:color="auto"/>
          </w:divBdr>
          <w:divsChild>
            <w:div w:id="14673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4341">
      <w:bodyDiv w:val="1"/>
      <w:marLeft w:val="0"/>
      <w:marRight w:val="0"/>
      <w:marTop w:val="0"/>
      <w:marBottom w:val="0"/>
      <w:divBdr>
        <w:top w:val="none" w:sz="0" w:space="0" w:color="auto"/>
        <w:left w:val="none" w:sz="0" w:space="0" w:color="auto"/>
        <w:bottom w:val="none" w:sz="0" w:space="0" w:color="auto"/>
        <w:right w:val="none" w:sz="0" w:space="0" w:color="auto"/>
      </w:divBdr>
    </w:div>
    <w:div w:id="523976877">
      <w:bodyDiv w:val="1"/>
      <w:marLeft w:val="0"/>
      <w:marRight w:val="0"/>
      <w:marTop w:val="0"/>
      <w:marBottom w:val="0"/>
      <w:divBdr>
        <w:top w:val="none" w:sz="0" w:space="0" w:color="auto"/>
        <w:left w:val="none" w:sz="0" w:space="0" w:color="auto"/>
        <w:bottom w:val="none" w:sz="0" w:space="0" w:color="auto"/>
        <w:right w:val="none" w:sz="0" w:space="0" w:color="auto"/>
      </w:divBdr>
    </w:div>
    <w:div w:id="707998385">
      <w:bodyDiv w:val="1"/>
      <w:marLeft w:val="0"/>
      <w:marRight w:val="0"/>
      <w:marTop w:val="0"/>
      <w:marBottom w:val="0"/>
      <w:divBdr>
        <w:top w:val="none" w:sz="0" w:space="0" w:color="auto"/>
        <w:left w:val="none" w:sz="0" w:space="0" w:color="auto"/>
        <w:bottom w:val="none" w:sz="0" w:space="0" w:color="auto"/>
        <w:right w:val="none" w:sz="0" w:space="0" w:color="auto"/>
      </w:divBdr>
      <w:divsChild>
        <w:div w:id="128472879">
          <w:marLeft w:val="0"/>
          <w:marRight w:val="0"/>
          <w:marTop w:val="0"/>
          <w:marBottom w:val="0"/>
          <w:divBdr>
            <w:top w:val="none" w:sz="0" w:space="0" w:color="auto"/>
            <w:left w:val="none" w:sz="0" w:space="0" w:color="auto"/>
            <w:bottom w:val="none" w:sz="0" w:space="0" w:color="auto"/>
            <w:right w:val="none" w:sz="0" w:space="0" w:color="auto"/>
          </w:divBdr>
          <w:divsChild>
            <w:div w:id="489370337">
              <w:marLeft w:val="0"/>
              <w:marRight w:val="0"/>
              <w:marTop w:val="0"/>
              <w:marBottom w:val="0"/>
              <w:divBdr>
                <w:top w:val="none" w:sz="0" w:space="0" w:color="auto"/>
                <w:left w:val="none" w:sz="0" w:space="0" w:color="auto"/>
                <w:bottom w:val="none" w:sz="0" w:space="0" w:color="auto"/>
                <w:right w:val="none" w:sz="0" w:space="0" w:color="auto"/>
              </w:divBdr>
            </w:div>
          </w:divsChild>
        </w:div>
        <w:div w:id="178546818">
          <w:marLeft w:val="0"/>
          <w:marRight w:val="0"/>
          <w:marTop w:val="0"/>
          <w:marBottom w:val="0"/>
          <w:divBdr>
            <w:top w:val="none" w:sz="0" w:space="0" w:color="auto"/>
            <w:left w:val="none" w:sz="0" w:space="0" w:color="auto"/>
            <w:bottom w:val="none" w:sz="0" w:space="0" w:color="auto"/>
            <w:right w:val="none" w:sz="0" w:space="0" w:color="auto"/>
          </w:divBdr>
          <w:divsChild>
            <w:div w:id="474447110">
              <w:marLeft w:val="0"/>
              <w:marRight w:val="0"/>
              <w:marTop w:val="0"/>
              <w:marBottom w:val="0"/>
              <w:divBdr>
                <w:top w:val="none" w:sz="0" w:space="0" w:color="auto"/>
                <w:left w:val="none" w:sz="0" w:space="0" w:color="auto"/>
                <w:bottom w:val="none" w:sz="0" w:space="0" w:color="auto"/>
                <w:right w:val="none" w:sz="0" w:space="0" w:color="auto"/>
              </w:divBdr>
            </w:div>
          </w:divsChild>
        </w:div>
        <w:div w:id="344283003">
          <w:marLeft w:val="0"/>
          <w:marRight w:val="0"/>
          <w:marTop w:val="0"/>
          <w:marBottom w:val="0"/>
          <w:divBdr>
            <w:top w:val="none" w:sz="0" w:space="0" w:color="auto"/>
            <w:left w:val="none" w:sz="0" w:space="0" w:color="auto"/>
            <w:bottom w:val="none" w:sz="0" w:space="0" w:color="auto"/>
            <w:right w:val="none" w:sz="0" w:space="0" w:color="auto"/>
          </w:divBdr>
          <w:divsChild>
            <w:div w:id="361323173">
              <w:marLeft w:val="0"/>
              <w:marRight w:val="0"/>
              <w:marTop w:val="0"/>
              <w:marBottom w:val="0"/>
              <w:divBdr>
                <w:top w:val="none" w:sz="0" w:space="0" w:color="auto"/>
                <w:left w:val="none" w:sz="0" w:space="0" w:color="auto"/>
                <w:bottom w:val="none" w:sz="0" w:space="0" w:color="auto"/>
                <w:right w:val="none" w:sz="0" w:space="0" w:color="auto"/>
              </w:divBdr>
            </w:div>
          </w:divsChild>
        </w:div>
        <w:div w:id="460995947">
          <w:marLeft w:val="0"/>
          <w:marRight w:val="0"/>
          <w:marTop w:val="0"/>
          <w:marBottom w:val="0"/>
          <w:divBdr>
            <w:top w:val="none" w:sz="0" w:space="0" w:color="auto"/>
            <w:left w:val="none" w:sz="0" w:space="0" w:color="auto"/>
            <w:bottom w:val="none" w:sz="0" w:space="0" w:color="auto"/>
            <w:right w:val="none" w:sz="0" w:space="0" w:color="auto"/>
          </w:divBdr>
          <w:divsChild>
            <w:div w:id="590092490">
              <w:marLeft w:val="0"/>
              <w:marRight w:val="0"/>
              <w:marTop w:val="0"/>
              <w:marBottom w:val="0"/>
              <w:divBdr>
                <w:top w:val="none" w:sz="0" w:space="0" w:color="auto"/>
                <w:left w:val="none" w:sz="0" w:space="0" w:color="auto"/>
                <w:bottom w:val="none" w:sz="0" w:space="0" w:color="auto"/>
                <w:right w:val="none" w:sz="0" w:space="0" w:color="auto"/>
              </w:divBdr>
            </w:div>
          </w:divsChild>
        </w:div>
        <w:div w:id="576013931">
          <w:marLeft w:val="0"/>
          <w:marRight w:val="0"/>
          <w:marTop w:val="0"/>
          <w:marBottom w:val="0"/>
          <w:divBdr>
            <w:top w:val="none" w:sz="0" w:space="0" w:color="auto"/>
            <w:left w:val="none" w:sz="0" w:space="0" w:color="auto"/>
            <w:bottom w:val="none" w:sz="0" w:space="0" w:color="auto"/>
            <w:right w:val="none" w:sz="0" w:space="0" w:color="auto"/>
          </w:divBdr>
          <w:divsChild>
            <w:div w:id="1472552447">
              <w:marLeft w:val="0"/>
              <w:marRight w:val="0"/>
              <w:marTop w:val="0"/>
              <w:marBottom w:val="0"/>
              <w:divBdr>
                <w:top w:val="none" w:sz="0" w:space="0" w:color="auto"/>
                <w:left w:val="none" w:sz="0" w:space="0" w:color="auto"/>
                <w:bottom w:val="none" w:sz="0" w:space="0" w:color="auto"/>
                <w:right w:val="none" w:sz="0" w:space="0" w:color="auto"/>
              </w:divBdr>
            </w:div>
          </w:divsChild>
        </w:div>
        <w:div w:id="815025113">
          <w:marLeft w:val="0"/>
          <w:marRight w:val="0"/>
          <w:marTop w:val="0"/>
          <w:marBottom w:val="0"/>
          <w:divBdr>
            <w:top w:val="none" w:sz="0" w:space="0" w:color="auto"/>
            <w:left w:val="none" w:sz="0" w:space="0" w:color="auto"/>
            <w:bottom w:val="none" w:sz="0" w:space="0" w:color="auto"/>
            <w:right w:val="none" w:sz="0" w:space="0" w:color="auto"/>
          </w:divBdr>
          <w:divsChild>
            <w:div w:id="1827043368">
              <w:marLeft w:val="0"/>
              <w:marRight w:val="0"/>
              <w:marTop w:val="0"/>
              <w:marBottom w:val="0"/>
              <w:divBdr>
                <w:top w:val="none" w:sz="0" w:space="0" w:color="auto"/>
                <w:left w:val="none" w:sz="0" w:space="0" w:color="auto"/>
                <w:bottom w:val="none" w:sz="0" w:space="0" w:color="auto"/>
                <w:right w:val="none" w:sz="0" w:space="0" w:color="auto"/>
              </w:divBdr>
            </w:div>
          </w:divsChild>
        </w:div>
        <w:div w:id="999578079">
          <w:marLeft w:val="0"/>
          <w:marRight w:val="0"/>
          <w:marTop w:val="0"/>
          <w:marBottom w:val="0"/>
          <w:divBdr>
            <w:top w:val="none" w:sz="0" w:space="0" w:color="auto"/>
            <w:left w:val="none" w:sz="0" w:space="0" w:color="auto"/>
            <w:bottom w:val="none" w:sz="0" w:space="0" w:color="auto"/>
            <w:right w:val="none" w:sz="0" w:space="0" w:color="auto"/>
          </w:divBdr>
          <w:divsChild>
            <w:div w:id="1468624909">
              <w:marLeft w:val="0"/>
              <w:marRight w:val="0"/>
              <w:marTop w:val="0"/>
              <w:marBottom w:val="0"/>
              <w:divBdr>
                <w:top w:val="none" w:sz="0" w:space="0" w:color="auto"/>
                <w:left w:val="none" w:sz="0" w:space="0" w:color="auto"/>
                <w:bottom w:val="none" w:sz="0" w:space="0" w:color="auto"/>
                <w:right w:val="none" w:sz="0" w:space="0" w:color="auto"/>
              </w:divBdr>
            </w:div>
          </w:divsChild>
        </w:div>
        <w:div w:id="1224220572">
          <w:marLeft w:val="0"/>
          <w:marRight w:val="0"/>
          <w:marTop w:val="0"/>
          <w:marBottom w:val="0"/>
          <w:divBdr>
            <w:top w:val="none" w:sz="0" w:space="0" w:color="auto"/>
            <w:left w:val="none" w:sz="0" w:space="0" w:color="auto"/>
            <w:bottom w:val="none" w:sz="0" w:space="0" w:color="auto"/>
            <w:right w:val="none" w:sz="0" w:space="0" w:color="auto"/>
          </w:divBdr>
          <w:divsChild>
            <w:div w:id="559025795">
              <w:marLeft w:val="0"/>
              <w:marRight w:val="0"/>
              <w:marTop w:val="0"/>
              <w:marBottom w:val="0"/>
              <w:divBdr>
                <w:top w:val="none" w:sz="0" w:space="0" w:color="auto"/>
                <w:left w:val="none" w:sz="0" w:space="0" w:color="auto"/>
                <w:bottom w:val="none" w:sz="0" w:space="0" w:color="auto"/>
                <w:right w:val="none" w:sz="0" w:space="0" w:color="auto"/>
              </w:divBdr>
            </w:div>
          </w:divsChild>
        </w:div>
        <w:div w:id="1343361606">
          <w:marLeft w:val="0"/>
          <w:marRight w:val="0"/>
          <w:marTop w:val="0"/>
          <w:marBottom w:val="0"/>
          <w:divBdr>
            <w:top w:val="none" w:sz="0" w:space="0" w:color="auto"/>
            <w:left w:val="none" w:sz="0" w:space="0" w:color="auto"/>
            <w:bottom w:val="none" w:sz="0" w:space="0" w:color="auto"/>
            <w:right w:val="none" w:sz="0" w:space="0" w:color="auto"/>
          </w:divBdr>
          <w:divsChild>
            <w:div w:id="1150709746">
              <w:marLeft w:val="0"/>
              <w:marRight w:val="0"/>
              <w:marTop w:val="0"/>
              <w:marBottom w:val="0"/>
              <w:divBdr>
                <w:top w:val="none" w:sz="0" w:space="0" w:color="auto"/>
                <w:left w:val="none" w:sz="0" w:space="0" w:color="auto"/>
                <w:bottom w:val="none" w:sz="0" w:space="0" w:color="auto"/>
                <w:right w:val="none" w:sz="0" w:space="0" w:color="auto"/>
              </w:divBdr>
            </w:div>
          </w:divsChild>
        </w:div>
        <w:div w:id="1457793748">
          <w:marLeft w:val="0"/>
          <w:marRight w:val="0"/>
          <w:marTop w:val="0"/>
          <w:marBottom w:val="0"/>
          <w:divBdr>
            <w:top w:val="none" w:sz="0" w:space="0" w:color="auto"/>
            <w:left w:val="none" w:sz="0" w:space="0" w:color="auto"/>
            <w:bottom w:val="none" w:sz="0" w:space="0" w:color="auto"/>
            <w:right w:val="none" w:sz="0" w:space="0" w:color="auto"/>
          </w:divBdr>
          <w:divsChild>
            <w:div w:id="1573999177">
              <w:marLeft w:val="0"/>
              <w:marRight w:val="0"/>
              <w:marTop w:val="0"/>
              <w:marBottom w:val="0"/>
              <w:divBdr>
                <w:top w:val="none" w:sz="0" w:space="0" w:color="auto"/>
                <w:left w:val="none" w:sz="0" w:space="0" w:color="auto"/>
                <w:bottom w:val="none" w:sz="0" w:space="0" w:color="auto"/>
                <w:right w:val="none" w:sz="0" w:space="0" w:color="auto"/>
              </w:divBdr>
            </w:div>
          </w:divsChild>
        </w:div>
        <w:div w:id="1475949782">
          <w:marLeft w:val="0"/>
          <w:marRight w:val="0"/>
          <w:marTop w:val="0"/>
          <w:marBottom w:val="0"/>
          <w:divBdr>
            <w:top w:val="none" w:sz="0" w:space="0" w:color="auto"/>
            <w:left w:val="none" w:sz="0" w:space="0" w:color="auto"/>
            <w:bottom w:val="none" w:sz="0" w:space="0" w:color="auto"/>
            <w:right w:val="none" w:sz="0" w:space="0" w:color="auto"/>
          </w:divBdr>
          <w:divsChild>
            <w:div w:id="254754509">
              <w:marLeft w:val="0"/>
              <w:marRight w:val="0"/>
              <w:marTop w:val="0"/>
              <w:marBottom w:val="0"/>
              <w:divBdr>
                <w:top w:val="none" w:sz="0" w:space="0" w:color="auto"/>
                <w:left w:val="none" w:sz="0" w:space="0" w:color="auto"/>
                <w:bottom w:val="none" w:sz="0" w:space="0" w:color="auto"/>
                <w:right w:val="none" w:sz="0" w:space="0" w:color="auto"/>
              </w:divBdr>
            </w:div>
          </w:divsChild>
        </w:div>
        <w:div w:id="1759060312">
          <w:marLeft w:val="0"/>
          <w:marRight w:val="0"/>
          <w:marTop w:val="0"/>
          <w:marBottom w:val="0"/>
          <w:divBdr>
            <w:top w:val="none" w:sz="0" w:space="0" w:color="auto"/>
            <w:left w:val="none" w:sz="0" w:space="0" w:color="auto"/>
            <w:bottom w:val="none" w:sz="0" w:space="0" w:color="auto"/>
            <w:right w:val="none" w:sz="0" w:space="0" w:color="auto"/>
          </w:divBdr>
          <w:divsChild>
            <w:div w:id="18433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52813">
      <w:bodyDiv w:val="1"/>
      <w:marLeft w:val="0"/>
      <w:marRight w:val="0"/>
      <w:marTop w:val="0"/>
      <w:marBottom w:val="0"/>
      <w:divBdr>
        <w:top w:val="none" w:sz="0" w:space="0" w:color="auto"/>
        <w:left w:val="none" w:sz="0" w:space="0" w:color="auto"/>
        <w:bottom w:val="none" w:sz="0" w:space="0" w:color="auto"/>
        <w:right w:val="none" w:sz="0" w:space="0" w:color="auto"/>
      </w:divBdr>
      <w:divsChild>
        <w:div w:id="1855225839">
          <w:marLeft w:val="360"/>
          <w:marRight w:val="0"/>
          <w:marTop w:val="200"/>
          <w:marBottom w:val="0"/>
          <w:divBdr>
            <w:top w:val="none" w:sz="0" w:space="0" w:color="auto"/>
            <w:left w:val="none" w:sz="0" w:space="0" w:color="auto"/>
            <w:bottom w:val="none" w:sz="0" w:space="0" w:color="auto"/>
            <w:right w:val="none" w:sz="0" w:space="0" w:color="auto"/>
          </w:divBdr>
        </w:div>
      </w:divsChild>
    </w:div>
    <w:div w:id="737363132">
      <w:bodyDiv w:val="1"/>
      <w:marLeft w:val="0"/>
      <w:marRight w:val="0"/>
      <w:marTop w:val="0"/>
      <w:marBottom w:val="0"/>
      <w:divBdr>
        <w:top w:val="none" w:sz="0" w:space="0" w:color="auto"/>
        <w:left w:val="none" w:sz="0" w:space="0" w:color="auto"/>
        <w:bottom w:val="none" w:sz="0" w:space="0" w:color="auto"/>
        <w:right w:val="none" w:sz="0" w:space="0" w:color="auto"/>
      </w:divBdr>
    </w:div>
    <w:div w:id="757865702">
      <w:bodyDiv w:val="1"/>
      <w:marLeft w:val="0"/>
      <w:marRight w:val="0"/>
      <w:marTop w:val="0"/>
      <w:marBottom w:val="0"/>
      <w:divBdr>
        <w:top w:val="none" w:sz="0" w:space="0" w:color="auto"/>
        <w:left w:val="none" w:sz="0" w:space="0" w:color="auto"/>
        <w:bottom w:val="none" w:sz="0" w:space="0" w:color="auto"/>
        <w:right w:val="none" w:sz="0" w:space="0" w:color="auto"/>
      </w:divBdr>
    </w:div>
    <w:div w:id="837499098">
      <w:bodyDiv w:val="1"/>
      <w:marLeft w:val="0"/>
      <w:marRight w:val="0"/>
      <w:marTop w:val="0"/>
      <w:marBottom w:val="0"/>
      <w:divBdr>
        <w:top w:val="none" w:sz="0" w:space="0" w:color="auto"/>
        <w:left w:val="none" w:sz="0" w:space="0" w:color="auto"/>
        <w:bottom w:val="none" w:sz="0" w:space="0" w:color="auto"/>
        <w:right w:val="none" w:sz="0" w:space="0" w:color="auto"/>
      </w:divBdr>
    </w:div>
    <w:div w:id="927810623">
      <w:bodyDiv w:val="1"/>
      <w:marLeft w:val="0"/>
      <w:marRight w:val="0"/>
      <w:marTop w:val="0"/>
      <w:marBottom w:val="0"/>
      <w:divBdr>
        <w:top w:val="none" w:sz="0" w:space="0" w:color="auto"/>
        <w:left w:val="none" w:sz="0" w:space="0" w:color="auto"/>
        <w:bottom w:val="none" w:sz="0" w:space="0" w:color="auto"/>
        <w:right w:val="none" w:sz="0" w:space="0" w:color="auto"/>
      </w:divBdr>
    </w:div>
    <w:div w:id="987788086">
      <w:bodyDiv w:val="1"/>
      <w:marLeft w:val="0"/>
      <w:marRight w:val="0"/>
      <w:marTop w:val="0"/>
      <w:marBottom w:val="0"/>
      <w:divBdr>
        <w:top w:val="none" w:sz="0" w:space="0" w:color="auto"/>
        <w:left w:val="none" w:sz="0" w:space="0" w:color="auto"/>
        <w:bottom w:val="none" w:sz="0" w:space="0" w:color="auto"/>
        <w:right w:val="none" w:sz="0" w:space="0" w:color="auto"/>
      </w:divBdr>
    </w:div>
    <w:div w:id="1035275098">
      <w:bodyDiv w:val="1"/>
      <w:marLeft w:val="0"/>
      <w:marRight w:val="0"/>
      <w:marTop w:val="0"/>
      <w:marBottom w:val="0"/>
      <w:divBdr>
        <w:top w:val="none" w:sz="0" w:space="0" w:color="auto"/>
        <w:left w:val="none" w:sz="0" w:space="0" w:color="auto"/>
        <w:bottom w:val="none" w:sz="0" w:space="0" w:color="auto"/>
        <w:right w:val="none" w:sz="0" w:space="0" w:color="auto"/>
      </w:divBdr>
    </w:div>
    <w:div w:id="1049954806">
      <w:bodyDiv w:val="1"/>
      <w:marLeft w:val="0"/>
      <w:marRight w:val="0"/>
      <w:marTop w:val="0"/>
      <w:marBottom w:val="0"/>
      <w:divBdr>
        <w:top w:val="none" w:sz="0" w:space="0" w:color="auto"/>
        <w:left w:val="none" w:sz="0" w:space="0" w:color="auto"/>
        <w:bottom w:val="none" w:sz="0" w:space="0" w:color="auto"/>
        <w:right w:val="none" w:sz="0" w:space="0" w:color="auto"/>
      </w:divBdr>
    </w:div>
    <w:div w:id="1051230083">
      <w:bodyDiv w:val="1"/>
      <w:marLeft w:val="0"/>
      <w:marRight w:val="0"/>
      <w:marTop w:val="0"/>
      <w:marBottom w:val="0"/>
      <w:divBdr>
        <w:top w:val="none" w:sz="0" w:space="0" w:color="auto"/>
        <w:left w:val="none" w:sz="0" w:space="0" w:color="auto"/>
        <w:bottom w:val="none" w:sz="0" w:space="0" w:color="auto"/>
        <w:right w:val="none" w:sz="0" w:space="0" w:color="auto"/>
      </w:divBdr>
      <w:divsChild>
        <w:div w:id="250286897">
          <w:marLeft w:val="360"/>
          <w:marRight w:val="0"/>
          <w:marTop w:val="200"/>
          <w:marBottom w:val="0"/>
          <w:divBdr>
            <w:top w:val="none" w:sz="0" w:space="0" w:color="auto"/>
            <w:left w:val="none" w:sz="0" w:space="0" w:color="auto"/>
            <w:bottom w:val="none" w:sz="0" w:space="0" w:color="auto"/>
            <w:right w:val="none" w:sz="0" w:space="0" w:color="auto"/>
          </w:divBdr>
        </w:div>
      </w:divsChild>
    </w:div>
    <w:div w:id="1061169872">
      <w:bodyDiv w:val="1"/>
      <w:marLeft w:val="0"/>
      <w:marRight w:val="0"/>
      <w:marTop w:val="0"/>
      <w:marBottom w:val="0"/>
      <w:divBdr>
        <w:top w:val="none" w:sz="0" w:space="0" w:color="auto"/>
        <w:left w:val="none" w:sz="0" w:space="0" w:color="auto"/>
        <w:bottom w:val="none" w:sz="0" w:space="0" w:color="auto"/>
        <w:right w:val="none" w:sz="0" w:space="0" w:color="auto"/>
      </w:divBdr>
    </w:div>
    <w:div w:id="1128355193">
      <w:bodyDiv w:val="1"/>
      <w:marLeft w:val="0"/>
      <w:marRight w:val="0"/>
      <w:marTop w:val="0"/>
      <w:marBottom w:val="0"/>
      <w:divBdr>
        <w:top w:val="none" w:sz="0" w:space="0" w:color="auto"/>
        <w:left w:val="none" w:sz="0" w:space="0" w:color="auto"/>
        <w:bottom w:val="none" w:sz="0" w:space="0" w:color="auto"/>
        <w:right w:val="none" w:sz="0" w:space="0" w:color="auto"/>
      </w:divBdr>
      <w:divsChild>
        <w:div w:id="1691756919">
          <w:marLeft w:val="0"/>
          <w:marRight w:val="0"/>
          <w:marTop w:val="0"/>
          <w:marBottom w:val="0"/>
          <w:divBdr>
            <w:top w:val="none" w:sz="0" w:space="0" w:color="auto"/>
            <w:left w:val="none" w:sz="0" w:space="0" w:color="auto"/>
            <w:bottom w:val="none" w:sz="0" w:space="0" w:color="auto"/>
            <w:right w:val="none" w:sz="0" w:space="0" w:color="auto"/>
          </w:divBdr>
        </w:div>
      </w:divsChild>
    </w:div>
    <w:div w:id="1158034916">
      <w:bodyDiv w:val="1"/>
      <w:marLeft w:val="0"/>
      <w:marRight w:val="0"/>
      <w:marTop w:val="0"/>
      <w:marBottom w:val="0"/>
      <w:divBdr>
        <w:top w:val="none" w:sz="0" w:space="0" w:color="auto"/>
        <w:left w:val="none" w:sz="0" w:space="0" w:color="auto"/>
        <w:bottom w:val="none" w:sz="0" w:space="0" w:color="auto"/>
        <w:right w:val="none" w:sz="0" w:space="0" w:color="auto"/>
      </w:divBdr>
    </w:div>
    <w:div w:id="1170951963">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26185">
      <w:bodyDiv w:val="1"/>
      <w:marLeft w:val="0"/>
      <w:marRight w:val="0"/>
      <w:marTop w:val="0"/>
      <w:marBottom w:val="0"/>
      <w:divBdr>
        <w:top w:val="none" w:sz="0" w:space="0" w:color="auto"/>
        <w:left w:val="none" w:sz="0" w:space="0" w:color="auto"/>
        <w:bottom w:val="none" w:sz="0" w:space="0" w:color="auto"/>
        <w:right w:val="none" w:sz="0" w:space="0" w:color="auto"/>
      </w:divBdr>
    </w:div>
    <w:div w:id="1186098572">
      <w:bodyDiv w:val="1"/>
      <w:marLeft w:val="0"/>
      <w:marRight w:val="0"/>
      <w:marTop w:val="0"/>
      <w:marBottom w:val="0"/>
      <w:divBdr>
        <w:top w:val="none" w:sz="0" w:space="0" w:color="auto"/>
        <w:left w:val="none" w:sz="0" w:space="0" w:color="auto"/>
        <w:bottom w:val="none" w:sz="0" w:space="0" w:color="auto"/>
        <w:right w:val="none" w:sz="0" w:space="0" w:color="auto"/>
      </w:divBdr>
      <w:divsChild>
        <w:div w:id="1671443141">
          <w:marLeft w:val="360"/>
          <w:marRight w:val="0"/>
          <w:marTop w:val="200"/>
          <w:marBottom w:val="0"/>
          <w:divBdr>
            <w:top w:val="none" w:sz="0" w:space="0" w:color="auto"/>
            <w:left w:val="none" w:sz="0" w:space="0" w:color="auto"/>
            <w:bottom w:val="none" w:sz="0" w:space="0" w:color="auto"/>
            <w:right w:val="none" w:sz="0" w:space="0" w:color="auto"/>
          </w:divBdr>
        </w:div>
      </w:divsChild>
    </w:div>
    <w:div w:id="1295326588">
      <w:bodyDiv w:val="1"/>
      <w:marLeft w:val="0"/>
      <w:marRight w:val="0"/>
      <w:marTop w:val="0"/>
      <w:marBottom w:val="0"/>
      <w:divBdr>
        <w:top w:val="none" w:sz="0" w:space="0" w:color="auto"/>
        <w:left w:val="none" w:sz="0" w:space="0" w:color="auto"/>
        <w:bottom w:val="none" w:sz="0" w:space="0" w:color="auto"/>
        <w:right w:val="none" w:sz="0" w:space="0" w:color="auto"/>
      </w:divBdr>
    </w:div>
    <w:div w:id="1304963730">
      <w:bodyDiv w:val="1"/>
      <w:marLeft w:val="0"/>
      <w:marRight w:val="0"/>
      <w:marTop w:val="0"/>
      <w:marBottom w:val="0"/>
      <w:divBdr>
        <w:top w:val="none" w:sz="0" w:space="0" w:color="auto"/>
        <w:left w:val="none" w:sz="0" w:space="0" w:color="auto"/>
        <w:bottom w:val="none" w:sz="0" w:space="0" w:color="auto"/>
        <w:right w:val="none" w:sz="0" w:space="0" w:color="auto"/>
      </w:divBdr>
      <w:divsChild>
        <w:div w:id="1345790817">
          <w:marLeft w:val="360"/>
          <w:marRight w:val="0"/>
          <w:marTop w:val="200"/>
          <w:marBottom w:val="0"/>
          <w:divBdr>
            <w:top w:val="none" w:sz="0" w:space="0" w:color="auto"/>
            <w:left w:val="none" w:sz="0" w:space="0" w:color="auto"/>
            <w:bottom w:val="none" w:sz="0" w:space="0" w:color="auto"/>
            <w:right w:val="none" w:sz="0" w:space="0" w:color="auto"/>
          </w:divBdr>
        </w:div>
      </w:divsChild>
    </w:div>
    <w:div w:id="1389377097">
      <w:bodyDiv w:val="1"/>
      <w:marLeft w:val="0"/>
      <w:marRight w:val="0"/>
      <w:marTop w:val="0"/>
      <w:marBottom w:val="0"/>
      <w:divBdr>
        <w:top w:val="none" w:sz="0" w:space="0" w:color="auto"/>
        <w:left w:val="none" w:sz="0" w:space="0" w:color="auto"/>
        <w:bottom w:val="none" w:sz="0" w:space="0" w:color="auto"/>
        <w:right w:val="none" w:sz="0" w:space="0" w:color="auto"/>
      </w:divBdr>
    </w:div>
    <w:div w:id="1391919998">
      <w:bodyDiv w:val="1"/>
      <w:marLeft w:val="0"/>
      <w:marRight w:val="0"/>
      <w:marTop w:val="0"/>
      <w:marBottom w:val="0"/>
      <w:divBdr>
        <w:top w:val="none" w:sz="0" w:space="0" w:color="auto"/>
        <w:left w:val="none" w:sz="0" w:space="0" w:color="auto"/>
        <w:bottom w:val="none" w:sz="0" w:space="0" w:color="auto"/>
        <w:right w:val="none" w:sz="0" w:space="0" w:color="auto"/>
      </w:divBdr>
    </w:div>
    <w:div w:id="1455178763">
      <w:bodyDiv w:val="1"/>
      <w:marLeft w:val="0"/>
      <w:marRight w:val="0"/>
      <w:marTop w:val="0"/>
      <w:marBottom w:val="0"/>
      <w:divBdr>
        <w:top w:val="none" w:sz="0" w:space="0" w:color="auto"/>
        <w:left w:val="none" w:sz="0" w:space="0" w:color="auto"/>
        <w:bottom w:val="none" w:sz="0" w:space="0" w:color="auto"/>
        <w:right w:val="none" w:sz="0" w:space="0" w:color="auto"/>
      </w:divBdr>
    </w:div>
    <w:div w:id="1493177930">
      <w:bodyDiv w:val="1"/>
      <w:marLeft w:val="0"/>
      <w:marRight w:val="0"/>
      <w:marTop w:val="0"/>
      <w:marBottom w:val="0"/>
      <w:divBdr>
        <w:top w:val="none" w:sz="0" w:space="0" w:color="auto"/>
        <w:left w:val="none" w:sz="0" w:space="0" w:color="auto"/>
        <w:bottom w:val="none" w:sz="0" w:space="0" w:color="auto"/>
        <w:right w:val="none" w:sz="0" w:space="0" w:color="auto"/>
      </w:divBdr>
    </w:div>
    <w:div w:id="1516462052">
      <w:bodyDiv w:val="1"/>
      <w:marLeft w:val="0"/>
      <w:marRight w:val="0"/>
      <w:marTop w:val="0"/>
      <w:marBottom w:val="0"/>
      <w:divBdr>
        <w:top w:val="none" w:sz="0" w:space="0" w:color="auto"/>
        <w:left w:val="none" w:sz="0" w:space="0" w:color="auto"/>
        <w:bottom w:val="none" w:sz="0" w:space="0" w:color="auto"/>
        <w:right w:val="none" w:sz="0" w:space="0" w:color="auto"/>
      </w:divBdr>
    </w:div>
    <w:div w:id="1523006622">
      <w:bodyDiv w:val="1"/>
      <w:marLeft w:val="0"/>
      <w:marRight w:val="0"/>
      <w:marTop w:val="0"/>
      <w:marBottom w:val="0"/>
      <w:divBdr>
        <w:top w:val="none" w:sz="0" w:space="0" w:color="auto"/>
        <w:left w:val="none" w:sz="0" w:space="0" w:color="auto"/>
        <w:bottom w:val="none" w:sz="0" w:space="0" w:color="auto"/>
        <w:right w:val="none" w:sz="0" w:space="0" w:color="auto"/>
      </w:divBdr>
    </w:div>
    <w:div w:id="1532259057">
      <w:bodyDiv w:val="1"/>
      <w:marLeft w:val="0"/>
      <w:marRight w:val="0"/>
      <w:marTop w:val="0"/>
      <w:marBottom w:val="0"/>
      <w:divBdr>
        <w:top w:val="none" w:sz="0" w:space="0" w:color="auto"/>
        <w:left w:val="none" w:sz="0" w:space="0" w:color="auto"/>
        <w:bottom w:val="none" w:sz="0" w:space="0" w:color="auto"/>
        <w:right w:val="none" w:sz="0" w:space="0" w:color="auto"/>
      </w:divBdr>
    </w:div>
    <w:div w:id="1584988262">
      <w:bodyDiv w:val="1"/>
      <w:marLeft w:val="0"/>
      <w:marRight w:val="0"/>
      <w:marTop w:val="0"/>
      <w:marBottom w:val="0"/>
      <w:divBdr>
        <w:top w:val="none" w:sz="0" w:space="0" w:color="auto"/>
        <w:left w:val="none" w:sz="0" w:space="0" w:color="auto"/>
        <w:bottom w:val="none" w:sz="0" w:space="0" w:color="auto"/>
        <w:right w:val="none" w:sz="0" w:space="0" w:color="auto"/>
      </w:divBdr>
    </w:div>
    <w:div w:id="1652445399">
      <w:bodyDiv w:val="1"/>
      <w:marLeft w:val="0"/>
      <w:marRight w:val="0"/>
      <w:marTop w:val="0"/>
      <w:marBottom w:val="0"/>
      <w:divBdr>
        <w:top w:val="none" w:sz="0" w:space="0" w:color="auto"/>
        <w:left w:val="none" w:sz="0" w:space="0" w:color="auto"/>
        <w:bottom w:val="none" w:sz="0" w:space="0" w:color="auto"/>
        <w:right w:val="none" w:sz="0" w:space="0" w:color="auto"/>
      </w:divBdr>
    </w:div>
    <w:div w:id="1780173445">
      <w:bodyDiv w:val="1"/>
      <w:marLeft w:val="0"/>
      <w:marRight w:val="0"/>
      <w:marTop w:val="0"/>
      <w:marBottom w:val="0"/>
      <w:divBdr>
        <w:top w:val="none" w:sz="0" w:space="0" w:color="auto"/>
        <w:left w:val="none" w:sz="0" w:space="0" w:color="auto"/>
        <w:bottom w:val="none" w:sz="0" w:space="0" w:color="auto"/>
        <w:right w:val="none" w:sz="0" w:space="0" w:color="auto"/>
      </w:divBdr>
    </w:div>
    <w:div w:id="1796410152">
      <w:bodyDiv w:val="1"/>
      <w:marLeft w:val="0"/>
      <w:marRight w:val="0"/>
      <w:marTop w:val="0"/>
      <w:marBottom w:val="0"/>
      <w:divBdr>
        <w:top w:val="none" w:sz="0" w:space="0" w:color="auto"/>
        <w:left w:val="none" w:sz="0" w:space="0" w:color="auto"/>
        <w:bottom w:val="none" w:sz="0" w:space="0" w:color="auto"/>
        <w:right w:val="none" w:sz="0" w:space="0" w:color="auto"/>
      </w:divBdr>
    </w:div>
    <w:div w:id="1863322562">
      <w:bodyDiv w:val="1"/>
      <w:marLeft w:val="0"/>
      <w:marRight w:val="0"/>
      <w:marTop w:val="0"/>
      <w:marBottom w:val="0"/>
      <w:divBdr>
        <w:top w:val="none" w:sz="0" w:space="0" w:color="auto"/>
        <w:left w:val="none" w:sz="0" w:space="0" w:color="auto"/>
        <w:bottom w:val="none" w:sz="0" w:space="0" w:color="auto"/>
        <w:right w:val="none" w:sz="0" w:space="0" w:color="auto"/>
      </w:divBdr>
    </w:div>
    <w:div w:id="1884176835">
      <w:bodyDiv w:val="1"/>
      <w:marLeft w:val="0"/>
      <w:marRight w:val="0"/>
      <w:marTop w:val="0"/>
      <w:marBottom w:val="0"/>
      <w:divBdr>
        <w:top w:val="none" w:sz="0" w:space="0" w:color="auto"/>
        <w:left w:val="none" w:sz="0" w:space="0" w:color="auto"/>
        <w:bottom w:val="none" w:sz="0" w:space="0" w:color="auto"/>
        <w:right w:val="none" w:sz="0" w:space="0" w:color="auto"/>
      </w:divBdr>
    </w:div>
    <w:div w:id="1946696173">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01929824">
      <w:bodyDiv w:val="1"/>
      <w:marLeft w:val="0"/>
      <w:marRight w:val="0"/>
      <w:marTop w:val="0"/>
      <w:marBottom w:val="0"/>
      <w:divBdr>
        <w:top w:val="none" w:sz="0" w:space="0" w:color="auto"/>
        <w:left w:val="none" w:sz="0" w:space="0" w:color="auto"/>
        <w:bottom w:val="none" w:sz="0" w:space="0" w:color="auto"/>
        <w:right w:val="none" w:sz="0" w:space="0" w:color="auto"/>
      </w:divBdr>
    </w:div>
    <w:div w:id="2013145930">
      <w:bodyDiv w:val="1"/>
      <w:marLeft w:val="0"/>
      <w:marRight w:val="0"/>
      <w:marTop w:val="0"/>
      <w:marBottom w:val="0"/>
      <w:divBdr>
        <w:top w:val="none" w:sz="0" w:space="0" w:color="auto"/>
        <w:left w:val="none" w:sz="0" w:space="0" w:color="auto"/>
        <w:bottom w:val="none" w:sz="0" w:space="0" w:color="auto"/>
        <w:right w:val="none" w:sz="0" w:space="0" w:color="auto"/>
      </w:divBdr>
    </w:div>
    <w:div w:id="2035691278">
      <w:bodyDiv w:val="1"/>
      <w:marLeft w:val="0"/>
      <w:marRight w:val="0"/>
      <w:marTop w:val="0"/>
      <w:marBottom w:val="0"/>
      <w:divBdr>
        <w:top w:val="none" w:sz="0" w:space="0" w:color="auto"/>
        <w:left w:val="none" w:sz="0" w:space="0" w:color="auto"/>
        <w:bottom w:val="none" w:sz="0" w:space="0" w:color="auto"/>
        <w:right w:val="none" w:sz="0" w:space="0" w:color="auto"/>
      </w:divBdr>
      <w:divsChild>
        <w:div w:id="1308319230">
          <w:marLeft w:val="360"/>
          <w:marRight w:val="0"/>
          <w:marTop w:val="200"/>
          <w:marBottom w:val="0"/>
          <w:divBdr>
            <w:top w:val="none" w:sz="0" w:space="0" w:color="auto"/>
            <w:left w:val="none" w:sz="0" w:space="0" w:color="auto"/>
            <w:bottom w:val="none" w:sz="0" w:space="0" w:color="auto"/>
            <w:right w:val="none" w:sz="0" w:space="0" w:color="auto"/>
          </w:divBdr>
        </w:div>
      </w:divsChild>
    </w:div>
    <w:div w:id="2105875131">
      <w:bodyDiv w:val="1"/>
      <w:marLeft w:val="0"/>
      <w:marRight w:val="0"/>
      <w:marTop w:val="0"/>
      <w:marBottom w:val="0"/>
      <w:divBdr>
        <w:top w:val="none" w:sz="0" w:space="0" w:color="auto"/>
        <w:left w:val="none" w:sz="0" w:space="0" w:color="auto"/>
        <w:bottom w:val="none" w:sz="0" w:space="0" w:color="auto"/>
        <w:right w:val="none" w:sz="0" w:space="0" w:color="auto"/>
      </w:divBdr>
    </w:div>
    <w:div w:id="212167720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journals.lww.com/jcnmd/toc/2012/06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D8159-0649-4611-9BCC-945CB1C00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13293</Words>
  <Characters>75134</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88251</CharactersWithSpaces>
  <SharedDoc>false</SharedDoc>
  <HLinks>
    <vt:vector size="426" baseType="variant">
      <vt:variant>
        <vt:i4>4915264</vt:i4>
      </vt:variant>
      <vt:variant>
        <vt:i4>405</vt:i4>
      </vt:variant>
      <vt:variant>
        <vt:i4>0</vt:i4>
      </vt:variant>
      <vt:variant>
        <vt:i4>5</vt:i4>
      </vt:variant>
      <vt:variant>
        <vt:lpwstr>https://doi.org/10.1002/mus.21422</vt:lpwstr>
      </vt:variant>
      <vt:variant>
        <vt:lpwstr/>
      </vt:variant>
      <vt:variant>
        <vt:i4>2949176</vt:i4>
      </vt:variant>
      <vt:variant>
        <vt:i4>402</vt:i4>
      </vt:variant>
      <vt:variant>
        <vt:i4>0</vt:i4>
      </vt:variant>
      <vt:variant>
        <vt:i4>5</vt:i4>
      </vt:variant>
      <vt:variant>
        <vt:lpwstr>https://doi.org/10.1002/14651858.CD003279.pub3</vt:lpwstr>
      </vt:variant>
      <vt:variant>
        <vt:lpwstr/>
      </vt:variant>
      <vt:variant>
        <vt:i4>1376305</vt:i4>
      </vt:variant>
      <vt:variant>
        <vt:i4>374</vt:i4>
      </vt:variant>
      <vt:variant>
        <vt:i4>0</vt:i4>
      </vt:variant>
      <vt:variant>
        <vt:i4>5</vt:i4>
      </vt:variant>
      <vt:variant>
        <vt:lpwstr/>
      </vt:variant>
      <vt:variant>
        <vt:lpwstr>_Toc81748067</vt:lpwstr>
      </vt:variant>
      <vt:variant>
        <vt:i4>1310769</vt:i4>
      </vt:variant>
      <vt:variant>
        <vt:i4>368</vt:i4>
      </vt:variant>
      <vt:variant>
        <vt:i4>0</vt:i4>
      </vt:variant>
      <vt:variant>
        <vt:i4>5</vt:i4>
      </vt:variant>
      <vt:variant>
        <vt:lpwstr/>
      </vt:variant>
      <vt:variant>
        <vt:lpwstr>_Toc81748066</vt:lpwstr>
      </vt:variant>
      <vt:variant>
        <vt:i4>1507377</vt:i4>
      </vt:variant>
      <vt:variant>
        <vt:i4>362</vt:i4>
      </vt:variant>
      <vt:variant>
        <vt:i4>0</vt:i4>
      </vt:variant>
      <vt:variant>
        <vt:i4>5</vt:i4>
      </vt:variant>
      <vt:variant>
        <vt:lpwstr/>
      </vt:variant>
      <vt:variant>
        <vt:lpwstr>_Toc81748065</vt:lpwstr>
      </vt:variant>
      <vt:variant>
        <vt:i4>1441841</vt:i4>
      </vt:variant>
      <vt:variant>
        <vt:i4>356</vt:i4>
      </vt:variant>
      <vt:variant>
        <vt:i4>0</vt:i4>
      </vt:variant>
      <vt:variant>
        <vt:i4>5</vt:i4>
      </vt:variant>
      <vt:variant>
        <vt:lpwstr/>
      </vt:variant>
      <vt:variant>
        <vt:lpwstr>_Toc81748064</vt:lpwstr>
      </vt:variant>
      <vt:variant>
        <vt:i4>1114161</vt:i4>
      </vt:variant>
      <vt:variant>
        <vt:i4>350</vt:i4>
      </vt:variant>
      <vt:variant>
        <vt:i4>0</vt:i4>
      </vt:variant>
      <vt:variant>
        <vt:i4>5</vt:i4>
      </vt:variant>
      <vt:variant>
        <vt:lpwstr/>
      </vt:variant>
      <vt:variant>
        <vt:lpwstr>_Toc81748063</vt:lpwstr>
      </vt:variant>
      <vt:variant>
        <vt:i4>1048625</vt:i4>
      </vt:variant>
      <vt:variant>
        <vt:i4>344</vt:i4>
      </vt:variant>
      <vt:variant>
        <vt:i4>0</vt:i4>
      </vt:variant>
      <vt:variant>
        <vt:i4>5</vt:i4>
      </vt:variant>
      <vt:variant>
        <vt:lpwstr/>
      </vt:variant>
      <vt:variant>
        <vt:lpwstr>_Toc81748062</vt:lpwstr>
      </vt:variant>
      <vt:variant>
        <vt:i4>1245233</vt:i4>
      </vt:variant>
      <vt:variant>
        <vt:i4>338</vt:i4>
      </vt:variant>
      <vt:variant>
        <vt:i4>0</vt:i4>
      </vt:variant>
      <vt:variant>
        <vt:i4>5</vt:i4>
      </vt:variant>
      <vt:variant>
        <vt:lpwstr/>
      </vt:variant>
      <vt:variant>
        <vt:lpwstr>_Toc81748061</vt:lpwstr>
      </vt:variant>
      <vt:variant>
        <vt:i4>1179697</vt:i4>
      </vt:variant>
      <vt:variant>
        <vt:i4>332</vt:i4>
      </vt:variant>
      <vt:variant>
        <vt:i4>0</vt:i4>
      </vt:variant>
      <vt:variant>
        <vt:i4>5</vt:i4>
      </vt:variant>
      <vt:variant>
        <vt:lpwstr/>
      </vt:variant>
      <vt:variant>
        <vt:lpwstr>_Toc81748060</vt:lpwstr>
      </vt:variant>
      <vt:variant>
        <vt:i4>1769522</vt:i4>
      </vt:variant>
      <vt:variant>
        <vt:i4>326</vt:i4>
      </vt:variant>
      <vt:variant>
        <vt:i4>0</vt:i4>
      </vt:variant>
      <vt:variant>
        <vt:i4>5</vt:i4>
      </vt:variant>
      <vt:variant>
        <vt:lpwstr/>
      </vt:variant>
      <vt:variant>
        <vt:lpwstr>_Toc81748059</vt:lpwstr>
      </vt:variant>
      <vt:variant>
        <vt:i4>1703986</vt:i4>
      </vt:variant>
      <vt:variant>
        <vt:i4>320</vt:i4>
      </vt:variant>
      <vt:variant>
        <vt:i4>0</vt:i4>
      </vt:variant>
      <vt:variant>
        <vt:i4>5</vt:i4>
      </vt:variant>
      <vt:variant>
        <vt:lpwstr/>
      </vt:variant>
      <vt:variant>
        <vt:lpwstr>_Toc81748058</vt:lpwstr>
      </vt:variant>
      <vt:variant>
        <vt:i4>1376306</vt:i4>
      </vt:variant>
      <vt:variant>
        <vt:i4>314</vt:i4>
      </vt:variant>
      <vt:variant>
        <vt:i4>0</vt:i4>
      </vt:variant>
      <vt:variant>
        <vt:i4>5</vt:i4>
      </vt:variant>
      <vt:variant>
        <vt:lpwstr/>
      </vt:variant>
      <vt:variant>
        <vt:lpwstr>_Toc81748057</vt:lpwstr>
      </vt:variant>
      <vt:variant>
        <vt:i4>1310770</vt:i4>
      </vt:variant>
      <vt:variant>
        <vt:i4>308</vt:i4>
      </vt:variant>
      <vt:variant>
        <vt:i4>0</vt:i4>
      </vt:variant>
      <vt:variant>
        <vt:i4>5</vt:i4>
      </vt:variant>
      <vt:variant>
        <vt:lpwstr/>
      </vt:variant>
      <vt:variant>
        <vt:lpwstr>_Toc81748056</vt:lpwstr>
      </vt:variant>
      <vt:variant>
        <vt:i4>1507378</vt:i4>
      </vt:variant>
      <vt:variant>
        <vt:i4>302</vt:i4>
      </vt:variant>
      <vt:variant>
        <vt:i4>0</vt:i4>
      </vt:variant>
      <vt:variant>
        <vt:i4>5</vt:i4>
      </vt:variant>
      <vt:variant>
        <vt:lpwstr/>
      </vt:variant>
      <vt:variant>
        <vt:lpwstr>_Toc81748055</vt:lpwstr>
      </vt:variant>
      <vt:variant>
        <vt:i4>1441842</vt:i4>
      </vt:variant>
      <vt:variant>
        <vt:i4>296</vt:i4>
      </vt:variant>
      <vt:variant>
        <vt:i4>0</vt:i4>
      </vt:variant>
      <vt:variant>
        <vt:i4>5</vt:i4>
      </vt:variant>
      <vt:variant>
        <vt:lpwstr/>
      </vt:variant>
      <vt:variant>
        <vt:lpwstr>_Toc81748054</vt:lpwstr>
      </vt:variant>
      <vt:variant>
        <vt:i4>1114162</vt:i4>
      </vt:variant>
      <vt:variant>
        <vt:i4>290</vt:i4>
      </vt:variant>
      <vt:variant>
        <vt:i4>0</vt:i4>
      </vt:variant>
      <vt:variant>
        <vt:i4>5</vt:i4>
      </vt:variant>
      <vt:variant>
        <vt:lpwstr/>
      </vt:variant>
      <vt:variant>
        <vt:lpwstr>_Toc81748053</vt:lpwstr>
      </vt:variant>
      <vt:variant>
        <vt:i4>1048626</vt:i4>
      </vt:variant>
      <vt:variant>
        <vt:i4>284</vt:i4>
      </vt:variant>
      <vt:variant>
        <vt:i4>0</vt:i4>
      </vt:variant>
      <vt:variant>
        <vt:i4>5</vt:i4>
      </vt:variant>
      <vt:variant>
        <vt:lpwstr/>
      </vt:variant>
      <vt:variant>
        <vt:lpwstr>_Toc81748052</vt:lpwstr>
      </vt:variant>
      <vt:variant>
        <vt:i4>1245234</vt:i4>
      </vt:variant>
      <vt:variant>
        <vt:i4>278</vt:i4>
      </vt:variant>
      <vt:variant>
        <vt:i4>0</vt:i4>
      </vt:variant>
      <vt:variant>
        <vt:i4>5</vt:i4>
      </vt:variant>
      <vt:variant>
        <vt:lpwstr/>
      </vt:variant>
      <vt:variant>
        <vt:lpwstr>_Toc81748051</vt:lpwstr>
      </vt:variant>
      <vt:variant>
        <vt:i4>1179698</vt:i4>
      </vt:variant>
      <vt:variant>
        <vt:i4>272</vt:i4>
      </vt:variant>
      <vt:variant>
        <vt:i4>0</vt:i4>
      </vt:variant>
      <vt:variant>
        <vt:i4>5</vt:i4>
      </vt:variant>
      <vt:variant>
        <vt:lpwstr/>
      </vt:variant>
      <vt:variant>
        <vt:lpwstr>_Toc81748050</vt:lpwstr>
      </vt:variant>
      <vt:variant>
        <vt:i4>1769523</vt:i4>
      </vt:variant>
      <vt:variant>
        <vt:i4>266</vt:i4>
      </vt:variant>
      <vt:variant>
        <vt:i4>0</vt:i4>
      </vt:variant>
      <vt:variant>
        <vt:i4>5</vt:i4>
      </vt:variant>
      <vt:variant>
        <vt:lpwstr/>
      </vt:variant>
      <vt:variant>
        <vt:lpwstr>_Toc81748049</vt:lpwstr>
      </vt:variant>
      <vt:variant>
        <vt:i4>1703987</vt:i4>
      </vt:variant>
      <vt:variant>
        <vt:i4>260</vt:i4>
      </vt:variant>
      <vt:variant>
        <vt:i4>0</vt:i4>
      </vt:variant>
      <vt:variant>
        <vt:i4>5</vt:i4>
      </vt:variant>
      <vt:variant>
        <vt:lpwstr/>
      </vt:variant>
      <vt:variant>
        <vt:lpwstr>_Toc81748048</vt:lpwstr>
      </vt:variant>
      <vt:variant>
        <vt:i4>1376307</vt:i4>
      </vt:variant>
      <vt:variant>
        <vt:i4>254</vt:i4>
      </vt:variant>
      <vt:variant>
        <vt:i4>0</vt:i4>
      </vt:variant>
      <vt:variant>
        <vt:i4>5</vt:i4>
      </vt:variant>
      <vt:variant>
        <vt:lpwstr/>
      </vt:variant>
      <vt:variant>
        <vt:lpwstr>_Toc81748047</vt:lpwstr>
      </vt:variant>
      <vt:variant>
        <vt:i4>1310771</vt:i4>
      </vt:variant>
      <vt:variant>
        <vt:i4>248</vt:i4>
      </vt:variant>
      <vt:variant>
        <vt:i4>0</vt:i4>
      </vt:variant>
      <vt:variant>
        <vt:i4>5</vt:i4>
      </vt:variant>
      <vt:variant>
        <vt:lpwstr/>
      </vt:variant>
      <vt:variant>
        <vt:lpwstr>_Toc81748046</vt:lpwstr>
      </vt:variant>
      <vt:variant>
        <vt:i4>1507379</vt:i4>
      </vt:variant>
      <vt:variant>
        <vt:i4>242</vt:i4>
      </vt:variant>
      <vt:variant>
        <vt:i4>0</vt:i4>
      </vt:variant>
      <vt:variant>
        <vt:i4>5</vt:i4>
      </vt:variant>
      <vt:variant>
        <vt:lpwstr/>
      </vt:variant>
      <vt:variant>
        <vt:lpwstr>_Toc81748045</vt:lpwstr>
      </vt:variant>
      <vt:variant>
        <vt:i4>1441843</vt:i4>
      </vt:variant>
      <vt:variant>
        <vt:i4>236</vt:i4>
      </vt:variant>
      <vt:variant>
        <vt:i4>0</vt:i4>
      </vt:variant>
      <vt:variant>
        <vt:i4>5</vt:i4>
      </vt:variant>
      <vt:variant>
        <vt:lpwstr/>
      </vt:variant>
      <vt:variant>
        <vt:lpwstr>_Toc81748044</vt:lpwstr>
      </vt:variant>
      <vt:variant>
        <vt:i4>1114163</vt:i4>
      </vt:variant>
      <vt:variant>
        <vt:i4>230</vt:i4>
      </vt:variant>
      <vt:variant>
        <vt:i4>0</vt:i4>
      </vt:variant>
      <vt:variant>
        <vt:i4>5</vt:i4>
      </vt:variant>
      <vt:variant>
        <vt:lpwstr/>
      </vt:variant>
      <vt:variant>
        <vt:lpwstr>_Toc81748043</vt:lpwstr>
      </vt:variant>
      <vt:variant>
        <vt:i4>1048627</vt:i4>
      </vt:variant>
      <vt:variant>
        <vt:i4>224</vt:i4>
      </vt:variant>
      <vt:variant>
        <vt:i4>0</vt:i4>
      </vt:variant>
      <vt:variant>
        <vt:i4>5</vt:i4>
      </vt:variant>
      <vt:variant>
        <vt:lpwstr/>
      </vt:variant>
      <vt:variant>
        <vt:lpwstr>_Toc81748042</vt:lpwstr>
      </vt:variant>
      <vt:variant>
        <vt:i4>1245235</vt:i4>
      </vt:variant>
      <vt:variant>
        <vt:i4>218</vt:i4>
      </vt:variant>
      <vt:variant>
        <vt:i4>0</vt:i4>
      </vt:variant>
      <vt:variant>
        <vt:i4>5</vt:i4>
      </vt:variant>
      <vt:variant>
        <vt:lpwstr/>
      </vt:variant>
      <vt:variant>
        <vt:lpwstr>_Toc81748041</vt:lpwstr>
      </vt:variant>
      <vt:variant>
        <vt:i4>1179699</vt:i4>
      </vt:variant>
      <vt:variant>
        <vt:i4>212</vt:i4>
      </vt:variant>
      <vt:variant>
        <vt:i4>0</vt:i4>
      </vt:variant>
      <vt:variant>
        <vt:i4>5</vt:i4>
      </vt:variant>
      <vt:variant>
        <vt:lpwstr/>
      </vt:variant>
      <vt:variant>
        <vt:lpwstr>_Toc81748040</vt:lpwstr>
      </vt:variant>
      <vt:variant>
        <vt:i4>1769524</vt:i4>
      </vt:variant>
      <vt:variant>
        <vt:i4>206</vt:i4>
      </vt:variant>
      <vt:variant>
        <vt:i4>0</vt:i4>
      </vt:variant>
      <vt:variant>
        <vt:i4>5</vt:i4>
      </vt:variant>
      <vt:variant>
        <vt:lpwstr/>
      </vt:variant>
      <vt:variant>
        <vt:lpwstr>_Toc81748039</vt:lpwstr>
      </vt:variant>
      <vt:variant>
        <vt:i4>1703988</vt:i4>
      </vt:variant>
      <vt:variant>
        <vt:i4>200</vt:i4>
      </vt:variant>
      <vt:variant>
        <vt:i4>0</vt:i4>
      </vt:variant>
      <vt:variant>
        <vt:i4>5</vt:i4>
      </vt:variant>
      <vt:variant>
        <vt:lpwstr/>
      </vt:variant>
      <vt:variant>
        <vt:lpwstr>_Toc81748038</vt:lpwstr>
      </vt:variant>
      <vt:variant>
        <vt:i4>1376308</vt:i4>
      </vt:variant>
      <vt:variant>
        <vt:i4>194</vt:i4>
      </vt:variant>
      <vt:variant>
        <vt:i4>0</vt:i4>
      </vt:variant>
      <vt:variant>
        <vt:i4>5</vt:i4>
      </vt:variant>
      <vt:variant>
        <vt:lpwstr/>
      </vt:variant>
      <vt:variant>
        <vt:lpwstr>_Toc81748037</vt:lpwstr>
      </vt:variant>
      <vt:variant>
        <vt:i4>1310772</vt:i4>
      </vt:variant>
      <vt:variant>
        <vt:i4>188</vt:i4>
      </vt:variant>
      <vt:variant>
        <vt:i4>0</vt:i4>
      </vt:variant>
      <vt:variant>
        <vt:i4>5</vt:i4>
      </vt:variant>
      <vt:variant>
        <vt:lpwstr/>
      </vt:variant>
      <vt:variant>
        <vt:lpwstr>_Toc81748036</vt:lpwstr>
      </vt:variant>
      <vt:variant>
        <vt:i4>1507380</vt:i4>
      </vt:variant>
      <vt:variant>
        <vt:i4>182</vt:i4>
      </vt:variant>
      <vt:variant>
        <vt:i4>0</vt:i4>
      </vt:variant>
      <vt:variant>
        <vt:i4>5</vt:i4>
      </vt:variant>
      <vt:variant>
        <vt:lpwstr/>
      </vt:variant>
      <vt:variant>
        <vt:lpwstr>_Toc81748035</vt:lpwstr>
      </vt:variant>
      <vt:variant>
        <vt:i4>1441844</vt:i4>
      </vt:variant>
      <vt:variant>
        <vt:i4>176</vt:i4>
      </vt:variant>
      <vt:variant>
        <vt:i4>0</vt:i4>
      </vt:variant>
      <vt:variant>
        <vt:i4>5</vt:i4>
      </vt:variant>
      <vt:variant>
        <vt:lpwstr/>
      </vt:variant>
      <vt:variant>
        <vt:lpwstr>_Toc81748034</vt:lpwstr>
      </vt:variant>
      <vt:variant>
        <vt:i4>1114164</vt:i4>
      </vt:variant>
      <vt:variant>
        <vt:i4>170</vt:i4>
      </vt:variant>
      <vt:variant>
        <vt:i4>0</vt:i4>
      </vt:variant>
      <vt:variant>
        <vt:i4>5</vt:i4>
      </vt:variant>
      <vt:variant>
        <vt:lpwstr/>
      </vt:variant>
      <vt:variant>
        <vt:lpwstr>_Toc81748033</vt:lpwstr>
      </vt:variant>
      <vt:variant>
        <vt:i4>1048628</vt:i4>
      </vt:variant>
      <vt:variant>
        <vt:i4>164</vt:i4>
      </vt:variant>
      <vt:variant>
        <vt:i4>0</vt:i4>
      </vt:variant>
      <vt:variant>
        <vt:i4>5</vt:i4>
      </vt:variant>
      <vt:variant>
        <vt:lpwstr/>
      </vt:variant>
      <vt:variant>
        <vt:lpwstr>_Toc81748032</vt:lpwstr>
      </vt:variant>
      <vt:variant>
        <vt:i4>1245236</vt:i4>
      </vt:variant>
      <vt:variant>
        <vt:i4>158</vt:i4>
      </vt:variant>
      <vt:variant>
        <vt:i4>0</vt:i4>
      </vt:variant>
      <vt:variant>
        <vt:i4>5</vt:i4>
      </vt:variant>
      <vt:variant>
        <vt:lpwstr/>
      </vt:variant>
      <vt:variant>
        <vt:lpwstr>_Toc81748031</vt:lpwstr>
      </vt:variant>
      <vt:variant>
        <vt:i4>1179700</vt:i4>
      </vt:variant>
      <vt:variant>
        <vt:i4>152</vt:i4>
      </vt:variant>
      <vt:variant>
        <vt:i4>0</vt:i4>
      </vt:variant>
      <vt:variant>
        <vt:i4>5</vt:i4>
      </vt:variant>
      <vt:variant>
        <vt:lpwstr/>
      </vt:variant>
      <vt:variant>
        <vt:lpwstr>_Toc81748030</vt:lpwstr>
      </vt:variant>
      <vt:variant>
        <vt:i4>1769525</vt:i4>
      </vt:variant>
      <vt:variant>
        <vt:i4>146</vt:i4>
      </vt:variant>
      <vt:variant>
        <vt:i4>0</vt:i4>
      </vt:variant>
      <vt:variant>
        <vt:i4>5</vt:i4>
      </vt:variant>
      <vt:variant>
        <vt:lpwstr/>
      </vt:variant>
      <vt:variant>
        <vt:lpwstr>_Toc81748029</vt:lpwstr>
      </vt:variant>
      <vt:variant>
        <vt:i4>1703989</vt:i4>
      </vt:variant>
      <vt:variant>
        <vt:i4>140</vt:i4>
      </vt:variant>
      <vt:variant>
        <vt:i4>0</vt:i4>
      </vt:variant>
      <vt:variant>
        <vt:i4>5</vt:i4>
      </vt:variant>
      <vt:variant>
        <vt:lpwstr/>
      </vt:variant>
      <vt:variant>
        <vt:lpwstr>_Toc81748028</vt:lpwstr>
      </vt:variant>
      <vt:variant>
        <vt:i4>1376309</vt:i4>
      </vt:variant>
      <vt:variant>
        <vt:i4>134</vt:i4>
      </vt:variant>
      <vt:variant>
        <vt:i4>0</vt:i4>
      </vt:variant>
      <vt:variant>
        <vt:i4>5</vt:i4>
      </vt:variant>
      <vt:variant>
        <vt:lpwstr/>
      </vt:variant>
      <vt:variant>
        <vt:lpwstr>_Toc81748027</vt:lpwstr>
      </vt:variant>
      <vt:variant>
        <vt:i4>1310773</vt:i4>
      </vt:variant>
      <vt:variant>
        <vt:i4>128</vt:i4>
      </vt:variant>
      <vt:variant>
        <vt:i4>0</vt:i4>
      </vt:variant>
      <vt:variant>
        <vt:i4>5</vt:i4>
      </vt:variant>
      <vt:variant>
        <vt:lpwstr/>
      </vt:variant>
      <vt:variant>
        <vt:lpwstr>_Toc81748026</vt:lpwstr>
      </vt:variant>
      <vt:variant>
        <vt:i4>1507381</vt:i4>
      </vt:variant>
      <vt:variant>
        <vt:i4>122</vt:i4>
      </vt:variant>
      <vt:variant>
        <vt:i4>0</vt:i4>
      </vt:variant>
      <vt:variant>
        <vt:i4>5</vt:i4>
      </vt:variant>
      <vt:variant>
        <vt:lpwstr/>
      </vt:variant>
      <vt:variant>
        <vt:lpwstr>_Toc81748025</vt:lpwstr>
      </vt:variant>
      <vt:variant>
        <vt:i4>1441845</vt:i4>
      </vt:variant>
      <vt:variant>
        <vt:i4>116</vt:i4>
      </vt:variant>
      <vt:variant>
        <vt:i4>0</vt:i4>
      </vt:variant>
      <vt:variant>
        <vt:i4>5</vt:i4>
      </vt:variant>
      <vt:variant>
        <vt:lpwstr/>
      </vt:variant>
      <vt:variant>
        <vt:lpwstr>_Toc81748024</vt:lpwstr>
      </vt:variant>
      <vt:variant>
        <vt:i4>1114165</vt:i4>
      </vt:variant>
      <vt:variant>
        <vt:i4>110</vt:i4>
      </vt:variant>
      <vt:variant>
        <vt:i4>0</vt:i4>
      </vt:variant>
      <vt:variant>
        <vt:i4>5</vt:i4>
      </vt:variant>
      <vt:variant>
        <vt:lpwstr/>
      </vt:variant>
      <vt:variant>
        <vt:lpwstr>_Toc81748023</vt:lpwstr>
      </vt:variant>
      <vt:variant>
        <vt:i4>1048629</vt:i4>
      </vt:variant>
      <vt:variant>
        <vt:i4>104</vt:i4>
      </vt:variant>
      <vt:variant>
        <vt:i4>0</vt:i4>
      </vt:variant>
      <vt:variant>
        <vt:i4>5</vt:i4>
      </vt:variant>
      <vt:variant>
        <vt:lpwstr/>
      </vt:variant>
      <vt:variant>
        <vt:lpwstr>_Toc81748022</vt:lpwstr>
      </vt:variant>
      <vt:variant>
        <vt:i4>1245237</vt:i4>
      </vt:variant>
      <vt:variant>
        <vt:i4>98</vt:i4>
      </vt:variant>
      <vt:variant>
        <vt:i4>0</vt:i4>
      </vt:variant>
      <vt:variant>
        <vt:i4>5</vt:i4>
      </vt:variant>
      <vt:variant>
        <vt:lpwstr/>
      </vt:variant>
      <vt:variant>
        <vt:lpwstr>_Toc81748021</vt:lpwstr>
      </vt:variant>
      <vt:variant>
        <vt:i4>1179701</vt:i4>
      </vt:variant>
      <vt:variant>
        <vt:i4>92</vt:i4>
      </vt:variant>
      <vt:variant>
        <vt:i4>0</vt:i4>
      </vt:variant>
      <vt:variant>
        <vt:i4>5</vt:i4>
      </vt:variant>
      <vt:variant>
        <vt:lpwstr/>
      </vt:variant>
      <vt:variant>
        <vt:lpwstr>_Toc81748020</vt:lpwstr>
      </vt:variant>
      <vt:variant>
        <vt:i4>1769526</vt:i4>
      </vt:variant>
      <vt:variant>
        <vt:i4>86</vt:i4>
      </vt:variant>
      <vt:variant>
        <vt:i4>0</vt:i4>
      </vt:variant>
      <vt:variant>
        <vt:i4>5</vt:i4>
      </vt:variant>
      <vt:variant>
        <vt:lpwstr/>
      </vt:variant>
      <vt:variant>
        <vt:lpwstr>_Toc81748019</vt:lpwstr>
      </vt:variant>
      <vt:variant>
        <vt:i4>1703990</vt:i4>
      </vt:variant>
      <vt:variant>
        <vt:i4>80</vt:i4>
      </vt:variant>
      <vt:variant>
        <vt:i4>0</vt:i4>
      </vt:variant>
      <vt:variant>
        <vt:i4>5</vt:i4>
      </vt:variant>
      <vt:variant>
        <vt:lpwstr/>
      </vt:variant>
      <vt:variant>
        <vt:lpwstr>_Toc81748018</vt:lpwstr>
      </vt:variant>
      <vt:variant>
        <vt:i4>1376310</vt:i4>
      </vt:variant>
      <vt:variant>
        <vt:i4>74</vt:i4>
      </vt:variant>
      <vt:variant>
        <vt:i4>0</vt:i4>
      </vt:variant>
      <vt:variant>
        <vt:i4>5</vt:i4>
      </vt:variant>
      <vt:variant>
        <vt:lpwstr/>
      </vt:variant>
      <vt:variant>
        <vt:lpwstr>_Toc81748017</vt:lpwstr>
      </vt:variant>
      <vt:variant>
        <vt:i4>1310774</vt:i4>
      </vt:variant>
      <vt:variant>
        <vt:i4>68</vt:i4>
      </vt:variant>
      <vt:variant>
        <vt:i4>0</vt:i4>
      </vt:variant>
      <vt:variant>
        <vt:i4>5</vt:i4>
      </vt:variant>
      <vt:variant>
        <vt:lpwstr/>
      </vt:variant>
      <vt:variant>
        <vt:lpwstr>_Toc81748016</vt:lpwstr>
      </vt:variant>
      <vt:variant>
        <vt:i4>1507382</vt:i4>
      </vt:variant>
      <vt:variant>
        <vt:i4>62</vt:i4>
      </vt:variant>
      <vt:variant>
        <vt:i4>0</vt:i4>
      </vt:variant>
      <vt:variant>
        <vt:i4>5</vt:i4>
      </vt:variant>
      <vt:variant>
        <vt:lpwstr/>
      </vt:variant>
      <vt:variant>
        <vt:lpwstr>_Toc81748015</vt:lpwstr>
      </vt:variant>
      <vt:variant>
        <vt:i4>1441846</vt:i4>
      </vt:variant>
      <vt:variant>
        <vt:i4>56</vt:i4>
      </vt:variant>
      <vt:variant>
        <vt:i4>0</vt:i4>
      </vt:variant>
      <vt:variant>
        <vt:i4>5</vt:i4>
      </vt:variant>
      <vt:variant>
        <vt:lpwstr/>
      </vt:variant>
      <vt:variant>
        <vt:lpwstr>_Toc81748014</vt:lpwstr>
      </vt:variant>
      <vt:variant>
        <vt:i4>1114166</vt:i4>
      </vt:variant>
      <vt:variant>
        <vt:i4>50</vt:i4>
      </vt:variant>
      <vt:variant>
        <vt:i4>0</vt:i4>
      </vt:variant>
      <vt:variant>
        <vt:i4>5</vt:i4>
      </vt:variant>
      <vt:variant>
        <vt:lpwstr/>
      </vt:variant>
      <vt:variant>
        <vt:lpwstr>_Toc81748013</vt:lpwstr>
      </vt:variant>
      <vt:variant>
        <vt:i4>1048630</vt:i4>
      </vt:variant>
      <vt:variant>
        <vt:i4>44</vt:i4>
      </vt:variant>
      <vt:variant>
        <vt:i4>0</vt:i4>
      </vt:variant>
      <vt:variant>
        <vt:i4>5</vt:i4>
      </vt:variant>
      <vt:variant>
        <vt:lpwstr/>
      </vt:variant>
      <vt:variant>
        <vt:lpwstr>_Toc81748012</vt:lpwstr>
      </vt:variant>
      <vt:variant>
        <vt:i4>1245238</vt:i4>
      </vt:variant>
      <vt:variant>
        <vt:i4>38</vt:i4>
      </vt:variant>
      <vt:variant>
        <vt:i4>0</vt:i4>
      </vt:variant>
      <vt:variant>
        <vt:i4>5</vt:i4>
      </vt:variant>
      <vt:variant>
        <vt:lpwstr/>
      </vt:variant>
      <vt:variant>
        <vt:lpwstr>_Toc81748011</vt:lpwstr>
      </vt:variant>
      <vt:variant>
        <vt:i4>1179702</vt:i4>
      </vt:variant>
      <vt:variant>
        <vt:i4>32</vt:i4>
      </vt:variant>
      <vt:variant>
        <vt:i4>0</vt:i4>
      </vt:variant>
      <vt:variant>
        <vt:i4>5</vt:i4>
      </vt:variant>
      <vt:variant>
        <vt:lpwstr/>
      </vt:variant>
      <vt:variant>
        <vt:lpwstr>_Toc81748010</vt:lpwstr>
      </vt:variant>
      <vt:variant>
        <vt:i4>1769527</vt:i4>
      </vt:variant>
      <vt:variant>
        <vt:i4>26</vt:i4>
      </vt:variant>
      <vt:variant>
        <vt:i4>0</vt:i4>
      </vt:variant>
      <vt:variant>
        <vt:i4>5</vt:i4>
      </vt:variant>
      <vt:variant>
        <vt:lpwstr/>
      </vt:variant>
      <vt:variant>
        <vt:lpwstr>_Toc81748009</vt:lpwstr>
      </vt:variant>
      <vt:variant>
        <vt:i4>1703991</vt:i4>
      </vt:variant>
      <vt:variant>
        <vt:i4>20</vt:i4>
      </vt:variant>
      <vt:variant>
        <vt:i4>0</vt:i4>
      </vt:variant>
      <vt:variant>
        <vt:i4>5</vt:i4>
      </vt:variant>
      <vt:variant>
        <vt:lpwstr/>
      </vt:variant>
      <vt:variant>
        <vt:lpwstr>_Toc81748008</vt:lpwstr>
      </vt:variant>
      <vt:variant>
        <vt:i4>1376311</vt:i4>
      </vt:variant>
      <vt:variant>
        <vt:i4>14</vt:i4>
      </vt:variant>
      <vt:variant>
        <vt:i4>0</vt:i4>
      </vt:variant>
      <vt:variant>
        <vt:i4>5</vt:i4>
      </vt:variant>
      <vt:variant>
        <vt:lpwstr/>
      </vt:variant>
      <vt:variant>
        <vt:lpwstr>_Toc81748007</vt:lpwstr>
      </vt:variant>
      <vt:variant>
        <vt:i4>1310775</vt:i4>
      </vt:variant>
      <vt:variant>
        <vt:i4>8</vt:i4>
      </vt:variant>
      <vt:variant>
        <vt:i4>0</vt:i4>
      </vt:variant>
      <vt:variant>
        <vt:i4>5</vt:i4>
      </vt:variant>
      <vt:variant>
        <vt:lpwstr/>
      </vt:variant>
      <vt:variant>
        <vt:lpwstr>_Toc81748006</vt:lpwstr>
      </vt:variant>
      <vt:variant>
        <vt:i4>1507383</vt:i4>
      </vt:variant>
      <vt:variant>
        <vt:i4>2</vt:i4>
      </vt:variant>
      <vt:variant>
        <vt:i4>0</vt:i4>
      </vt:variant>
      <vt:variant>
        <vt:i4>5</vt:i4>
      </vt:variant>
      <vt:variant>
        <vt:lpwstr/>
      </vt:variant>
      <vt:variant>
        <vt:lpwstr>_Toc81748005</vt:lpwstr>
      </vt:variant>
      <vt:variant>
        <vt:i4>5636105</vt:i4>
      </vt:variant>
      <vt:variant>
        <vt:i4>0</vt:i4>
      </vt:variant>
      <vt:variant>
        <vt:i4>0</vt:i4>
      </vt:variant>
      <vt:variant>
        <vt:i4>5</vt:i4>
      </vt:variant>
      <vt:variant>
        <vt:lpwstr>https://journals.lww.com/jcnmd/toc/2012/06000</vt:lpwstr>
      </vt:variant>
      <vt:variant>
        <vt:lpwstr/>
      </vt:variant>
      <vt:variant>
        <vt:i4>6946881</vt:i4>
      </vt:variant>
      <vt:variant>
        <vt:i4>15</vt:i4>
      </vt:variant>
      <vt:variant>
        <vt:i4>0</vt:i4>
      </vt:variant>
      <vt:variant>
        <vt:i4>5</vt:i4>
      </vt:variant>
      <vt:variant>
        <vt:lpwstr>mailto:j.ong@unimelb.edu.au</vt:lpwstr>
      </vt:variant>
      <vt:variant>
        <vt:lpwstr/>
      </vt:variant>
      <vt:variant>
        <vt:i4>3866679</vt:i4>
      </vt:variant>
      <vt:variant>
        <vt:i4>9</vt:i4>
      </vt:variant>
      <vt:variant>
        <vt:i4>0</vt:i4>
      </vt:variant>
      <vt:variant>
        <vt:i4>5</vt:i4>
      </vt:variant>
      <vt:variant>
        <vt:lpwstr>https://www.cancer.net/cancer-types/lung-cancer-small-cell/statistics</vt:lpwstr>
      </vt:variant>
      <vt:variant>
        <vt:lpwstr>:~:text=The%20general%205%2Dyear%20survival,year%20survival%20rate%20is%2027%25</vt:lpwstr>
      </vt:variant>
      <vt:variant>
        <vt:i4>1507397</vt:i4>
      </vt:variant>
      <vt:variant>
        <vt:i4>6</vt:i4>
      </vt:variant>
      <vt:variant>
        <vt:i4>0</vt:i4>
      </vt:variant>
      <vt:variant>
        <vt:i4>5</vt:i4>
      </vt:variant>
      <vt:variant>
        <vt:lpwstr>https://www.ncbi.nlm.nih.gov/pmc/articles/PMC4928366/</vt:lpwstr>
      </vt:variant>
      <vt:variant>
        <vt:lpwstr/>
      </vt:variant>
      <vt:variant>
        <vt:i4>1441878</vt:i4>
      </vt:variant>
      <vt:variant>
        <vt:i4>3</vt:i4>
      </vt:variant>
      <vt:variant>
        <vt:i4>0</vt:i4>
      </vt:variant>
      <vt:variant>
        <vt:i4>5</vt:i4>
      </vt:variant>
      <vt:variant>
        <vt:lpwstr>https://www.pbs.gov.au/info/industry/listing/elements/pbac-meetings/agenda/november-2021-pbac-meeting</vt:lpwstr>
      </vt:variant>
      <vt:variant>
        <vt:lpwstr/>
      </vt:variant>
      <vt:variant>
        <vt:i4>2359356</vt:i4>
      </vt:variant>
      <vt:variant>
        <vt:i4>0</vt:i4>
      </vt:variant>
      <vt:variant>
        <vt:i4>0</vt:i4>
      </vt:variant>
      <vt:variant>
        <vt:i4>5</vt:i4>
      </vt:variant>
      <vt:variant>
        <vt:lpwstr>https://www.pbs.gov.au/info/industry/pricing/ex-manufacturer-price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2022-02-28T03:08:00Z</dcterms:created>
  <dcterms:modified xsi:type="dcterms:W3CDTF">2022-03-15T23:32:00Z</dcterms:modified>
</cp:coreProperties>
</file>