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CF5F9" w14:textId="775A0F31" w:rsidR="00526B6B" w:rsidRDefault="00C56E05" w:rsidP="00526B6B">
      <w:pPr>
        <w:pStyle w:val="1-MainHeading"/>
      </w:pPr>
      <w:bookmarkStart w:id="0" w:name="_Toc82426498"/>
      <w:bookmarkStart w:id="1" w:name="_Hlk49199066"/>
      <w:bookmarkStart w:id="2" w:name="_Hlk49199120"/>
      <w:r>
        <w:t>7.0</w:t>
      </w:r>
      <w:r w:rsidR="006D79CF">
        <w:t>2</w:t>
      </w:r>
      <w:r w:rsidR="00526B6B" w:rsidRPr="004546DF">
        <w:tab/>
        <w:t>APALUTAMIDE,</w:t>
      </w:r>
      <w:r w:rsidR="00526B6B" w:rsidRPr="004546DF">
        <w:br/>
      </w:r>
      <w:r w:rsidR="00BF2149">
        <w:t>T</w:t>
      </w:r>
      <w:r w:rsidR="00526B6B" w:rsidRPr="004546DF">
        <w:t>ablet</w:t>
      </w:r>
      <w:r w:rsidR="00BF2149">
        <w:t xml:space="preserve"> </w:t>
      </w:r>
      <w:r w:rsidR="00526B6B" w:rsidRPr="004546DF">
        <w:t>60 mg,</w:t>
      </w:r>
      <w:r w:rsidR="00526B6B" w:rsidRPr="004546DF">
        <w:br/>
        <w:t>Eryland</w:t>
      </w:r>
      <w:r w:rsidR="00526B6B" w:rsidRPr="004546DF">
        <w:rPr>
          <w:vertAlign w:val="superscript"/>
        </w:rPr>
        <w:t>®</w:t>
      </w:r>
      <w:r w:rsidR="00526B6B" w:rsidRPr="004546DF">
        <w:t>,</w:t>
      </w:r>
      <w:r w:rsidR="00526B6B" w:rsidRPr="004546DF">
        <w:br/>
        <w:t>Janssen</w:t>
      </w:r>
      <w:r w:rsidR="00C80148">
        <w:t>-</w:t>
      </w:r>
      <w:r w:rsidR="00526B6B" w:rsidRPr="004546DF">
        <w:t>Cilag Pty Ltd</w:t>
      </w:r>
      <w:bookmarkEnd w:id="0"/>
    </w:p>
    <w:p w14:paraId="4B8520BB" w14:textId="77777777" w:rsidR="00526B6B" w:rsidRPr="004546DF" w:rsidRDefault="00526B6B" w:rsidP="00526B6B">
      <w:pPr>
        <w:pStyle w:val="2-SectionHeading"/>
        <w:numPr>
          <w:ilvl w:val="0"/>
          <w:numId w:val="1"/>
        </w:numPr>
      </w:pPr>
      <w:bookmarkStart w:id="3" w:name="_Toc82426500"/>
      <w:r w:rsidRPr="004546DF">
        <w:t>Purpose of submission</w:t>
      </w:r>
      <w:bookmarkEnd w:id="3"/>
    </w:p>
    <w:p w14:paraId="4D4591FB" w14:textId="77777777" w:rsidR="00526B6B" w:rsidRDefault="00526B6B" w:rsidP="00394D79">
      <w:pPr>
        <w:pStyle w:val="ListParagraph"/>
        <w:numPr>
          <w:ilvl w:val="1"/>
          <w:numId w:val="1"/>
        </w:numPr>
        <w:spacing w:after="160"/>
        <w:ind w:left="720"/>
      </w:pPr>
      <w:r w:rsidRPr="004546DF">
        <w:t xml:space="preserve">The resubmission requested a General Schedule Authority Required (Telephone) listing for apalutamide for treatment of patients with non-metastatic castration-resistant prostate cancer (m0CRPC) at high risk of distant metastases. </w:t>
      </w:r>
    </w:p>
    <w:p w14:paraId="00FE212E" w14:textId="77777777" w:rsidR="00526B6B" w:rsidRDefault="00305B42" w:rsidP="00394D79">
      <w:pPr>
        <w:pStyle w:val="ListParagraph"/>
        <w:numPr>
          <w:ilvl w:val="1"/>
          <w:numId w:val="1"/>
        </w:numPr>
        <w:spacing w:after="160"/>
        <w:ind w:left="720"/>
      </w:pPr>
      <w:r>
        <w:t>Although l</w:t>
      </w:r>
      <w:r w:rsidR="00526B6B" w:rsidRPr="004546DF">
        <w:t>isting was requested on the basis of a cost utility analysis versus placebo</w:t>
      </w:r>
      <w:r>
        <w:t>, pre-PBAC response stated that following the recent listing of darolutamide on the PBS for the same indication, a cost minimisation approach might be more appropriate</w:t>
      </w:r>
      <w:r w:rsidR="00526B6B" w:rsidRPr="004546DF">
        <w:t xml:space="preserve">. The key components of the clinical issue </w:t>
      </w:r>
      <w:r w:rsidR="00526B6B">
        <w:t>were addressed as per the November 2020 resubmission with the exception that this resubmission amended its previous claim of superior effectiveness over darolutamide</w:t>
      </w:r>
      <w:r w:rsidR="00A42EC4">
        <w:t xml:space="preserve"> to non-inferior effectiveness</w:t>
      </w:r>
      <w:r w:rsidR="00526B6B">
        <w:t xml:space="preserve">. Previously it had claimed superior effectiveness based on an indirect comparison of metastasis free survival outcomes, however that claim was not accepted by the PBAC (paragraph 7.8, apalutamide </w:t>
      </w:r>
      <w:r w:rsidR="00115A69">
        <w:t>Public Summary Document (</w:t>
      </w:r>
      <w:r w:rsidR="00526B6B">
        <w:t>PSD</w:t>
      </w:r>
      <w:r w:rsidR="00115A69">
        <w:t>)</w:t>
      </w:r>
      <w:r w:rsidR="00526B6B">
        <w:t>, November 2020).</w:t>
      </w:r>
    </w:p>
    <w:p w14:paraId="304B90C4" w14:textId="77777777" w:rsidR="00526B6B" w:rsidRPr="00340FE9" w:rsidRDefault="00526B6B" w:rsidP="00A42EC4">
      <w:pPr>
        <w:keepNext/>
        <w:rPr>
          <w:rFonts w:ascii="Arial Narrow" w:eastAsia="MS Gothic" w:hAnsi="Arial Narrow"/>
          <w:b/>
          <w:bCs/>
          <w:sz w:val="20"/>
          <w:szCs w:val="16"/>
        </w:rPr>
      </w:pPr>
      <w:r w:rsidRPr="00340FE9">
        <w:rPr>
          <w:rFonts w:ascii="Arial Narrow" w:eastAsia="MS Gothic" w:hAnsi="Arial Narrow"/>
          <w:b/>
          <w:bCs/>
          <w:sz w:val="20"/>
          <w:szCs w:val="16"/>
        </w:rPr>
        <w:t xml:space="preserve">Table 1: Key components of the clinical issue addressed by the resubmission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
      </w:tblPr>
      <w:tblGrid>
        <w:gridCol w:w="1271"/>
        <w:gridCol w:w="7746"/>
      </w:tblGrid>
      <w:tr w:rsidR="00526B6B" w:rsidRPr="00CE3EC2" w14:paraId="49E765AF" w14:textId="77777777" w:rsidTr="004767A5">
        <w:trPr>
          <w:tblHeader/>
        </w:trPr>
        <w:tc>
          <w:tcPr>
            <w:tcW w:w="705" w:type="pct"/>
            <w:vAlign w:val="center"/>
          </w:tcPr>
          <w:p w14:paraId="5DFD8BBD" w14:textId="77777777" w:rsidR="00526B6B" w:rsidRPr="00CE3EC2" w:rsidRDefault="00526B6B" w:rsidP="00A42EC4">
            <w:pPr>
              <w:keepNext/>
              <w:rPr>
                <w:rFonts w:ascii="Arial Narrow" w:eastAsia="MS Gothic" w:hAnsi="Arial Narrow"/>
                <w:b/>
                <w:bCs/>
                <w:snapToGrid w:val="0"/>
                <w:sz w:val="20"/>
                <w:szCs w:val="16"/>
                <w:lang w:eastAsia="en-US"/>
              </w:rPr>
            </w:pPr>
            <w:r w:rsidRPr="00CE3EC2">
              <w:rPr>
                <w:rFonts w:ascii="Arial Narrow" w:eastAsia="MS Gothic" w:hAnsi="Arial Narrow"/>
                <w:b/>
                <w:bCs/>
                <w:snapToGrid w:val="0"/>
                <w:sz w:val="20"/>
                <w:szCs w:val="16"/>
                <w:lang w:eastAsia="en-US"/>
              </w:rPr>
              <w:t>Component</w:t>
            </w:r>
          </w:p>
        </w:tc>
        <w:tc>
          <w:tcPr>
            <w:tcW w:w="4295" w:type="pct"/>
            <w:vAlign w:val="center"/>
          </w:tcPr>
          <w:p w14:paraId="62E6C383" w14:textId="77777777" w:rsidR="00526B6B" w:rsidRPr="00CE3EC2" w:rsidRDefault="00526B6B" w:rsidP="00A42EC4">
            <w:pPr>
              <w:keepNext/>
              <w:rPr>
                <w:rFonts w:ascii="Arial Narrow" w:eastAsia="MS Gothic" w:hAnsi="Arial Narrow"/>
                <w:b/>
                <w:bCs/>
                <w:snapToGrid w:val="0"/>
                <w:sz w:val="20"/>
                <w:szCs w:val="16"/>
                <w:lang w:eastAsia="en-US"/>
              </w:rPr>
            </w:pPr>
            <w:r w:rsidRPr="00CE3EC2">
              <w:rPr>
                <w:rFonts w:ascii="Arial Narrow" w:eastAsia="MS Gothic" w:hAnsi="Arial Narrow"/>
                <w:b/>
                <w:bCs/>
                <w:snapToGrid w:val="0"/>
                <w:sz w:val="20"/>
                <w:szCs w:val="16"/>
                <w:lang w:eastAsia="en-US"/>
              </w:rPr>
              <w:t>Description</w:t>
            </w:r>
          </w:p>
        </w:tc>
      </w:tr>
      <w:tr w:rsidR="00526B6B" w:rsidRPr="00CE3EC2" w14:paraId="685E4BDB" w14:textId="77777777" w:rsidTr="00CE3EC2">
        <w:trPr>
          <w:tblHeader/>
        </w:trPr>
        <w:tc>
          <w:tcPr>
            <w:tcW w:w="705" w:type="pct"/>
            <w:shd w:val="clear" w:color="auto" w:fill="auto"/>
            <w:vAlign w:val="center"/>
          </w:tcPr>
          <w:p w14:paraId="4D34D665" w14:textId="77777777" w:rsidR="00526B6B" w:rsidRPr="00CE3EC2" w:rsidRDefault="00526B6B" w:rsidP="00A42EC4">
            <w:pPr>
              <w:keepNext/>
              <w:widowControl w:val="0"/>
              <w:rPr>
                <w:rFonts w:ascii="Arial Narrow" w:hAnsi="Arial Narrow"/>
                <w:b/>
                <w:snapToGrid w:val="0"/>
                <w:sz w:val="20"/>
                <w:szCs w:val="16"/>
                <w:lang w:eastAsia="en-US"/>
              </w:rPr>
            </w:pPr>
            <w:r w:rsidRPr="00CE3EC2">
              <w:rPr>
                <w:rFonts w:ascii="Arial Narrow" w:hAnsi="Arial Narrow"/>
                <w:b/>
                <w:snapToGrid w:val="0"/>
                <w:sz w:val="20"/>
                <w:szCs w:val="16"/>
                <w:lang w:eastAsia="en-US"/>
              </w:rPr>
              <w:t>Population</w:t>
            </w:r>
          </w:p>
        </w:tc>
        <w:tc>
          <w:tcPr>
            <w:tcW w:w="4295" w:type="pct"/>
            <w:shd w:val="clear" w:color="auto" w:fill="auto"/>
          </w:tcPr>
          <w:p w14:paraId="7F11C923" w14:textId="77777777" w:rsidR="00526B6B" w:rsidRPr="00CE3EC2" w:rsidRDefault="00526B6B" w:rsidP="00A42EC4">
            <w:pPr>
              <w:keepNext/>
              <w:rPr>
                <w:rFonts w:ascii="Arial Narrow" w:eastAsia="MS Gothic" w:hAnsi="Arial Narrow"/>
                <w:bCs/>
                <w:sz w:val="20"/>
              </w:rPr>
            </w:pPr>
            <w:r w:rsidRPr="00CE3EC2">
              <w:rPr>
                <w:rFonts w:ascii="Arial Narrow" w:eastAsia="MS Gothic" w:hAnsi="Arial Narrow"/>
                <w:bCs/>
                <w:sz w:val="20"/>
              </w:rPr>
              <w:t>Patients with CRPC with no distant metastases and who are at high risk of developing distant metastases as defined by a PSADT of ≤10 months (high risk m0CRPC).</w:t>
            </w:r>
          </w:p>
        </w:tc>
      </w:tr>
      <w:tr w:rsidR="00526B6B" w:rsidRPr="00CE3EC2" w14:paraId="4FA4C693" w14:textId="77777777" w:rsidTr="00CE3EC2">
        <w:trPr>
          <w:tblHeader/>
        </w:trPr>
        <w:tc>
          <w:tcPr>
            <w:tcW w:w="705" w:type="pct"/>
            <w:shd w:val="clear" w:color="auto" w:fill="auto"/>
            <w:vAlign w:val="center"/>
          </w:tcPr>
          <w:p w14:paraId="0491126A" w14:textId="77777777" w:rsidR="00526B6B" w:rsidRPr="00CE3EC2" w:rsidRDefault="00526B6B" w:rsidP="00A42EC4">
            <w:pPr>
              <w:keepNext/>
              <w:widowControl w:val="0"/>
              <w:rPr>
                <w:rFonts w:ascii="Arial Narrow" w:hAnsi="Arial Narrow"/>
                <w:b/>
                <w:snapToGrid w:val="0"/>
                <w:sz w:val="20"/>
                <w:szCs w:val="16"/>
                <w:lang w:eastAsia="en-US"/>
              </w:rPr>
            </w:pPr>
            <w:r w:rsidRPr="00CE3EC2">
              <w:rPr>
                <w:rFonts w:ascii="Arial Narrow" w:hAnsi="Arial Narrow"/>
                <w:b/>
                <w:snapToGrid w:val="0"/>
                <w:sz w:val="20"/>
                <w:szCs w:val="16"/>
                <w:lang w:eastAsia="en-US"/>
              </w:rPr>
              <w:t>Intervention</w:t>
            </w:r>
          </w:p>
        </w:tc>
        <w:tc>
          <w:tcPr>
            <w:tcW w:w="4295" w:type="pct"/>
            <w:shd w:val="clear" w:color="auto" w:fill="auto"/>
          </w:tcPr>
          <w:p w14:paraId="4C7C17AB" w14:textId="77777777" w:rsidR="00526B6B" w:rsidRPr="00CE3EC2" w:rsidRDefault="00526B6B" w:rsidP="00A42EC4">
            <w:pPr>
              <w:keepNext/>
              <w:rPr>
                <w:rFonts w:ascii="Arial Narrow" w:eastAsia="MS Gothic" w:hAnsi="Arial Narrow"/>
                <w:bCs/>
                <w:sz w:val="20"/>
              </w:rPr>
            </w:pPr>
            <w:r w:rsidRPr="00CE3EC2">
              <w:rPr>
                <w:rFonts w:ascii="Arial Narrow" w:eastAsia="MS Gothic" w:hAnsi="Arial Narrow"/>
                <w:bCs/>
                <w:sz w:val="20"/>
              </w:rPr>
              <w:t>Apalutamide is administered orally at a dose of 240 mg daily (as 4 x 60 mg tablets) in addition to background ongoing ADT.</w:t>
            </w:r>
          </w:p>
        </w:tc>
      </w:tr>
      <w:tr w:rsidR="00526B6B" w:rsidRPr="00CE3EC2" w14:paraId="3F7DE6D1" w14:textId="77777777" w:rsidTr="00CE3EC2">
        <w:trPr>
          <w:tblHeader/>
        </w:trPr>
        <w:tc>
          <w:tcPr>
            <w:tcW w:w="705" w:type="pct"/>
            <w:shd w:val="clear" w:color="auto" w:fill="auto"/>
            <w:vAlign w:val="center"/>
          </w:tcPr>
          <w:p w14:paraId="7F62CBDE" w14:textId="77777777" w:rsidR="00526B6B" w:rsidRPr="00CE3EC2" w:rsidRDefault="00526B6B" w:rsidP="00A42EC4">
            <w:pPr>
              <w:keepNext/>
              <w:widowControl w:val="0"/>
              <w:rPr>
                <w:rFonts w:ascii="Arial Narrow" w:hAnsi="Arial Narrow"/>
                <w:b/>
                <w:snapToGrid w:val="0"/>
                <w:sz w:val="20"/>
                <w:szCs w:val="16"/>
                <w:lang w:eastAsia="en-US"/>
              </w:rPr>
            </w:pPr>
            <w:r w:rsidRPr="00CE3EC2">
              <w:rPr>
                <w:rFonts w:ascii="Arial Narrow" w:hAnsi="Arial Narrow"/>
                <w:b/>
                <w:snapToGrid w:val="0"/>
                <w:sz w:val="20"/>
                <w:szCs w:val="16"/>
                <w:lang w:eastAsia="en-US"/>
              </w:rPr>
              <w:t>Comparator</w:t>
            </w:r>
          </w:p>
        </w:tc>
        <w:tc>
          <w:tcPr>
            <w:tcW w:w="4295" w:type="pct"/>
            <w:shd w:val="clear" w:color="auto" w:fill="auto"/>
          </w:tcPr>
          <w:p w14:paraId="0C33F505" w14:textId="77777777" w:rsidR="00526B6B" w:rsidRPr="00CE3EC2" w:rsidRDefault="00526B6B" w:rsidP="00A42EC4">
            <w:pPr>
              <w:keepNext/>
              <w:ind w:right="-154"/>
              <w:rPr>
                <w:rFonts w:ascii="Arial Narrow" w:eastAsia="MS Gothic" w:hAnsi="Arial Narrow"/>
                <w:bCs/>
                <w:sz w:val="20"/>
                <w:u w:val="single"/>
              </w:rPr>
            </w:pPr>
            <w:r w:rsidRPr="00CE3EC2">
              <w:rPr>
                <w:rFonts w:ascii="Arial Narrow" w:eastAsia="MS Gothic" w:hAnsi="Arial Narrow"/>
                <w:bCs/>
                <w:sz w:val="20"/>
                <w:u w:val="single"/>
              </w:rPr>
              <w:t>Main comparator:</w:t>
            </w:r>
          </w:p>
          <w:p w14:paraId="404B6D8D" w14:textId="77777777" w:rsidR="00526B6B" w:rsidRPr="00CE3EC2" w:rsidRDefault="00526B6B" w:rsidP="00A42EC4">
            <w:pPr>
              <w:keepNext/>
              <w:ind w:right="-154"/>
              <w:rPr>
                <w:rFonts w:ascii="Arial Narrow" w:eastAsia="MS Gothic" w:hAnsi="Arial Narrow"/>
                <w:bCs/>
                <w:sz w:val="20"/>
              </w:rPr>
            </w:pPr>
            <w:r w:rsidRPr="00CE3EC2">
              <w:rPr>
                <w:rFonts w:ascii="Arial Narrow" w:eastAsia="MS Gothic" w:hAnsi="Arial Narrow"/>
                <w:bCs/>
                <w:sz w:val="20"/>
              </w:rPr>
              <w:t>Watchful waiting which is comprised of ongoing ADT (with or without secondary hormonal therapy).</w:t>
            </w:r>
          </w:p>
          <w:p w14:paraId="28B67E8F" w14:textId="77777777" w:rsidR="00526B6B" w:rsidRPr="00CE3EC2" w:rsidRDefault="00526B6B" w:rsidP="00A42EC4">
            <w:pPr>
              <w:keepNext/>
              <w:rPr>
                <w:rFonts w:ascii="Arial Narrow" w:eastAsia="MS Gothic" w:hAnsi="Arial Narrow"/>
                <w:bCs/>
                <w:sz w:val="20"/>
                <w:u w:val="single"/>
              </w:rPr>
            </w:pPr>
            <w:r w:rsidRPr="00CE3EC2">
              <w:rPr>
                <w:rFonts w:ascii="Arial Narrow" w:eastAsia="MS Gothic" w:hAnsi="Arial Narrow"/>
                <w:bCs/>
                <w:sz w:val="20"/>
                <w:u w:val="single"/>
              </w:rPr>
              <w:t>Supplementary near market comparator:</w:t>
            </w:r>
          </w:p>
          <w:p w14:paraId="7C220099" w14:textId="77777777" w:rsidR="00526B6B" w:rsidRPr="00CE3EC2" w:rsidRDefault="00526B6B" w:rsidP="00A42EC4">
            <w:pPr>
              <w:keepNext/>
              <w:rPr>
                <w:rFonts w:ascii="Arial Narrow" w:eastAsia="MS Gothic" w:hAnsi="Arial Narrow"/>
                <w:bCs/>
                <w:sz w:val="20"/>
              </w:rPr>
            </w:pPr>
            <w:r w:rsidRPr="00CE3EC2">
              <w:rPr>
                <w:rFonts w:ascii="Arial Narrow" w:eastAsia="MS Gothic" w:hAnsi="Arial Narrow"/>
                <w:bCs/>
                <w:sz w:val="20"/>
              </w:rPr>
              <w:t>Darolutamide, which</w:t>
            </w:r>
            <w:r w:rsidRPr="00CE3EC2">
              <w:rPr>
                <w:rFonts w:ascii="Arial Narrow" w:eastAsia="MS Gothic" w:hAnsi="Arial Narrow"/>
                <w:b/>
                <w:bCs/>
                <w:sz w:val="20"/>
              </w:rPr>
              <w:t xml:space="preserve"> </w:t>
            </w:r>
            <w:r w:rsidRPr="00CE3EC2">
              <w:rPr>
                <w:rFonts w:ascii="Arial Narrow" w:eastAsia="MS Gothic" w:hAnsi="Arial Narrow"/>
                <w:bCs/>
                <w:sz w:val="20"/>
              </w:rPr>
              <w:t>was considered by the PBAC in July 2020, March 2021 and July 2021 for the same population as requested for apalutamide.</w:t>
            </w:r>
          </w:p>
        </w:tc>
      </w:tr>
      <w:tr w:rsidR="00526B6B" w:rsidRPr="00CE3EC2" w14:paraId="07E69974" w14:textId="77777777" w:rsidTr="00CE3EC2">
        <w:trPr>
          <w:tblHeader/>
        </w:trPr>
        <w:tc>
          <w:tcPr>
            <w:tcW w:w="705" w:type="pct"/>
            <w:shd w:val="clear" w:color="auto" w:fill="auto"/>
            <w:vAlign w:val="center"/>
          </w:tcPr>
          <w:p w14:paraId="5C0CB5DE" w14:textId="77777777" w:rsidR="00526B6B" w:rsidRPr="00CE3EC2" w:rsidRDefault="00526B6B" w:rsidP="00A42EC4">
            <w:pPr>
              <w:keepNext/>
              <w:widowControl w:val="0"/>
              <w:rPr>
                <w:rFonts w:ascii="Arial Narrow" w:hAnsi="Arial Narrow"/>
                <w:b/>
                <w:snapToGrid w:val="0"/>
                <w:sz w:val="20"/>
                <w:szCs w:val="16"/>
                <w:lang w:eastAsia="en-US"/>
              </w:rPr>
            </w:pPr>
            <w:r w:rsidRPr="00CE3EC2">
              <w:rPr>
                <w:rFonts w:ascii="Arial Narrow" w:hAnsi="Arial Narrow"/>
                <w:b/>
                <w:snapToGrid w:val="0"/>
                <w:sz w:val="20"/>
                <w:szCs w:val="16"/>
                <w:lang w:eastAsia="en-US"/>
              </w:rPr>
              <w:t>Outcomes</w:t>
            </w:r>
          </w:p>
        </w:tc>
        <w:tc>
          <w:tcPr>
            <w:tcW w:w="4295" w:type="pct"/>
            <w:shd w:val="clear" w:color="auto" w:fill="auto"/>
          </w:tcPr>
          <w:p w14:paraId="6EA9EC99" w14:textId="77777777" w:rsidR="00526B6B" w:rsidRPr="00CE3EC2" w:rsidRDefault="00526B6B" w:rsidP="00A42EC4">
            <w:pPr>
              <w:keepNext/>
              <w:rPr>
                <w:rFonts w:ascii="Arial Narrow" w:eastAsia="MS Gothic" w:hAnsi="Arial Narrow"/>
                <w:bCs/>
                <w:sz w:val="20"/>
              </w:rPr>
            </w:pPr>
            <w:r w:rsidRPr="00CE3EC2">
              <w:rPr>
                <w:rFonts w:ascii="Arial Narrow" w:eastAsia="MS Gothic" w:hAnsi="Arial Narrow"/>
                <w:bCs/>
                <w:sz w:val="20"/>
              </w:rPr>
              <w:t>MFS, OS, rPFS, sPFS, time to initiation of cytotoxic chemotherapy, PFS2 and AEs.</w:t>
            </w:r>
          </w:p>
        </w:tc>
      </w:tr>
      <w:tr w:rsidR="00526B6B" w:rsidRPr="00CE3EC2" w14:paraId="35E9B48F" w14:textId="77777777" w:rsidTr="004767A5">
        <w:trPr>
          <w:tblHeader/>
        </w:trPr>
        <w:tc>
          <w:tcPr>
            <w:tcW w:w="705" w:type="pct"/>
            <w:vAlign w:val="center"/>
          </w:tcPr>
          <w:p w14:paraId="3499B1F6" w14:textId="77777777" w:rsidR="00526B6B" w:rsidRPr="00CE3EC2" w:rsidRDefault="00526B6B" w:rsidP="00A42EC4">
            <w:pPr>
              <w:keepNext/>
              <w:rPr>
                <w:rFonts w:ascii="Arial Narrow" w:eastAsia="MS Gothic" w:hAnsi="Arial Narrow"/>
                <w:b/>
                <w:bCs/>
                <w:snapToGrid w:val="0"/>
                <w:sz w:val="20"/>
                <w:szCs w:val="16"/>
                <w:lang w:eastAsia="en-US"/>
              </w:rPr>
            </w:pPr>
            <w:r w:rsidRPr="00CE3EC2">
              <w:rPr>
                <w:rFonts w:ascii="Arial Narrow" w:eastAsia="MS Gothic" w:hAnsi="Arial Narrow"/>
                <w:b/>
                <w:bCs/>
                <w:snapToGrid w:val="0"/>
                <w:sz w:val="20"/>
                <w:szCs w:val="16"/>
                <w:lang w:eastAsia="en-US"/>
              </w:rPr>
              <w:t>Clinical claim</w:t>
            </w:r>
          </w:p>
        </w:tc>
        <w:tc>
          <w:tcPr>
            <w:tcW w:w="4295" w:type="pct"/>
            <w:vAlign w:val="center"/>
          </w:tcPr>
          <w:p w14:paraId="074CF466" w14:textId="77777777" w:rsidR="00526B6B" w:rsidRPr="00CE3EC2" w:rsidRDefault="00526B6B" w:rsidP="00CE3EC2">
            <w:pPr>
              <w:keepNext/>
              <w:rPr>
                <w:rFonts w:ascii="Arial Narrow" w:eastAsia="MS Gothic" w:hAnsi="Arial Narrow"/>
                <w:bCs/>
                <w:snapToGrid w:val="0"/>
                <w:sz w:val="20"/>
                <w:szCs w:val="16"/>
                <w:lang w:eastAsia="en-US"/>
              </w:rPr>
            </w:pPr>
            <w:r w:rsidRPr="00CE3EC2">
              <w:rPr>
                <w:rFonts w:ascii="Arial Narrow" w:eastAsia="MS Gothic" w:hAnsi="Arial Narrow"/>
                <w:bCs/>
                <w:snapToGrid w:val="0"/>
                <w:sz w:val="20"/>
                <w:szCs w:val="16"/>
                <w:lang w:eastAsia="en-US"/>
              </w:rPr>
              <w:t>Superior effectiveness and inferior safety versus watchful waiting</w:t>
            </w:r>
          </w:p>
          <w:p w14:paraId="2E48B237" w14:textId="77777777" w:rsidR="00526B6B" w:rsidRPr="00CE3EC2" w:rsidRDefault="00526B6B" w:rsidP="00A42EC4">
            <w:pPr>
              <w:keepNext/>
              <w:rPr>
                <w:rFonts w:ascii="Arial Narrow" w:eastAsia="MS Gothic" w:hAnsi="Arial Narrow"/>
                <w:sz w:val="20"/>
                <w:lang w:eastAsia="en-US"/>
              </w:rPr>
            </w:pPr>
            <w:r w:rsidRPr="00CE3EC2">
              <w:rPr>
                <w:rFonts w:ascii="Arial Narrow" w:eastAsia="MS Gothic" w:hAnsi="Arial Narrow"/>
                <w:sz w:val="20"/>
                <w:lang w:eastAsia="en-US"/>
              </w:rPr>
              <w:t>Non-inferior effectiveness and safety versus darolutamide</w:t>
            </w:r>
          </w:p>
        </w:tc>
      </w:tr>
    </w:tbl>
    <w:p w14:paraId="61C09DDA" w14:textId="77777777" w:rsidR="00526B6B" w:rsidRPr="00CE3EC2" w:rsidRDefault="00526B6B" w:rsidP="00526B6B">
      <w:pPr>
        <w:spacing w:after="120"/>
        <w:contextualSpacing/>
        <w:rPr>
          <w:rFonts w:ascii="Arial Narrow" w:hAnsi="Arial Narrow"/>
          <w:snapToGrid w:val="0"/>
          <w:sz w:val="18"/>
          <w:szCs w:val="22"/>
        </w:rPr>
      </w:pPr>
      <w:r w:rsidRPr="00CE3EC2">
        <w:rPr>
          <w:rFonts w:ascii="Arial Narrow" w:hAnsi="Arial Narrow"/>
          <w:snapToGrid w:val="0"/>
          <w:sz w:val="18"/>
          <w:szCs w:val="22"/>
        </w:rPr>
        <w:t>Source: Table 1.1, p11 of the resubmission.</w:t>
      </w:r>
    </w:p>
    <w:p w14:paraId="35748E1C" w14:textId="77777777" w:rsidR="00526B6B" w:rsidRPr="008F1F73" w:rsidRDefault="00526B6B" w:rsidP="00526B6B">
      <w:pPr>
        <w:spacing w:after="120"/>
        <w:contextualSpacing/>
        <w:rPr>
          <w:rFonts w:ascii="Arial Narrow" w:hAnsi="Arial Narrow"/>
          <w:snapToGrid w:val="0"/>
          <w:sz w:val="18"/>
          <w:szCs w:val="22"/>
        </w:rPr>
      </w:pPr>
      <w:r w:rsidRPr="00CE3EC2">
        <w:rPr>
          <w:rFonts w:ascii="Arial Narrow" w:hAnsi="Arial Narrow"/>
          <w:snapToGrid w:val="0"/>
          <w:sz w:val="18"/>
          <w:szCs w:val="22"/>
        </w:rPr>
        <w:t>ADT</w:t>
      </w:r>
      <w:r w:rsidR="00C56E05" w:rsidRPr="00CE3EC2">
        <w:rPr>
          <w:rFonts w:ascii="Arial Narrow" w:hAnsi="Arial Narrow"/>
          <w:snapToGrid w:val="0"/>
          <w:sz w:val="18"/>
          <w:szCs w:val="22"/>
        </w:rPr>
        <w:t xml:space="preserve"> </w:t>
      </w:r>
      <w:r w:rsidRPr="00CE3EC2">
        <w:rPr>
          <w:rFonts w:ascii="Arial Narrow" w:hAnsi="Arial Narrow"/>
          <w:snapToGrid w:val="0"/>
          <w:sz w:val="18"/>
          <w:szCs w:val="22"/>
        </w:rPr>
        <w:t>=</w:t>
      </w:r>
      <w:r w:rsidR="00C56E05" w:rsidRPr="00CE3EC2">
        <w:rPr>
          <w:rFonts w:ascii="Arial Narrow" w:hAnsi="Arial Narrow"/>
          <w:snapToGrid w:val="0"/>
          <w:sz w:val="18"/>
          <w:szCs w:val="22"/>
        </w:rPr>
        <w:t xml:space="preserve"> </w:t>
      </w:r>
      <w:r w:rsidRPr="00CE3EC2">
        <w:rPr>
          <w:rFonts w:ascii="Arial Narrow" w:hAnsi="Arial Narrow"/>
          <w:snapToGrid w:val="0"/>
          <w:sz w:val="18"/>
          <w:szCs w:val="22"/>
        </w:rPr>
        <w:t>androgen deprivation therapy, AE</w:t>
      </w:r>
      <w:r w:rsidR="00C56E05" w:rsidRPr="00CE3EC2">
        <w:rPr>
          <w:rFonts w:ascii="Arial Narrow" w:hAnsi="Arial Narrow"/>
          <w:snapToGrid w:val="0"/>
          <w:sz w:val="18"/>
          <w:szCs w:val="22"/>
        </w:rPr>
        <w:t xml:space="preserve"> </w:t>
      </w:r>
      <w:r w:rsidRPr="00CE3EC2">
        <w:rPr>
          <w:rFonts w:ascii="Arial Narrow" w:hAnsi="Arial Narrow"/>
          <w:snapToGrid w:val="0"/>
          <w:sz w:val="18"/>
          <w:szCs w:val="22"/>
        </w:rPr>
        <w:t>=</w:t>
      </w:r>
      <w:r w:rsidR="00C56E05" w:rsidRPr="00CE3EC2">
        <w:rPr>
          <w:rFonts w:ascii="Arial Narrow" w:hAnsi="Arial Narrow"/>
          <w:snapToGrid w:val="0"/>
          <w:sz w:val="18"/>
          <w:szCs w:val="22"/>
        </w:rPr>
        <w:t xml:space="preserve"> </w:t>
      </w:r>
      <w:r w:rsidRPr="00CE3EC2">
        <w:rPr>
          <w:rFonts w:ascii="Arial Narrow" w:hAnsi="Arial Narrow"/>
          <w:snapToGrid w:val="0"/>
          <w:sz w:val="18"/>
          <w:szCs w:val="22"/>
        </w:rPr>
        <w:t>adverse event</w:t>
      </w:r>
      <w:r w:rsidR="00613399">
        <w:rPr>
          <w:rFonts w:ascii="Arial Narrow" w:hAnsi="Arial Narrow"/>
          <w:snapToGrid w:val="0"/>
          <w:sz w:val="18"/>
          <w:szCs w:val="22"/>
        </w:rPr>
        <w:t>;</w:t>
      </w:r>
      <w:r w:rsidRPr="00CE3EC2">
        <w:rPr>
          <w:rFonts w:ascii="Arial Narrow" w:hAnsi="Arial Narrow"/>
          <w:snapToGrid w:val="0"/>
          <w:sz w:val="18"/>
          <w:szCs w:val="22"/>
        </w:rPr>
        <w:t xml:space="preserve"> m0CRPC</w:t>
      </w:r>
      <w:r w:rsidR="00C56E05" w:rsidRPr="00CE3EC2">
        <w:rPr>
          <w:rFonts w:ascii="Arial Narrow" w:hAnsi="Arial Narrow"/>
          <w:snapToGrid w:val="0"/>
          <w:sz w:val="18"/>
          <w:szCs w:val="22"/>
        </w:rPr>
        <w:t xml:space="preserve"> </w:t>
      </w:r>
      <w:r w:rsidRPr="00CE3EC2">
        <w:rPr>
          <w:rFonts w:ascii="Arial Narrow" w:hAnsi="Arial Narrow"/>
          <w:snapToGrid w:val="0"/>
          <w:sz w:val="18"/>
          <w:szCs w:val="22"/>
        </w:rPr>
        <w:t>=</w:t>
      </w:r>
      <w:r w:rsidR="00C56E05" w:rsidRPr="00CE3EC2">
        <w:rPr>
          <w:rFonts w:ascii="Arial Narrow" w:hAnsi="Arial Narrow"/>
          <w:snapToGrid w:val="0"/>
          <w:sz w:val="18"/>
          <w:szCs w:val="22"/>
        </w:rPr>
        <w:t xml:space="preserve"> non-metastatic </w:t>
      </w:r>
      <w:r w:rsidRPr="00CE3EC2">
        <w:rPr>
          <w:rFonts w:ascii="Arial Narrow" w:hAnsi="Arial Narrow"/>
          <w:snapToGrid w:val="0"/>
          <w:sz w:val="18"/>
          <w:szCs w:val="22"/>
        </w:rPr>
        <w:t>castration resistant prostate cancer, MFS</w:t>
      </w:r>
      <w:r w:rsidR="00C56E05" w:rsidRPr="00CE3EC2">
        <w:rPr>
          <w:rFonts w:ascii="Arial Narrow" w:hAnsi="Arial Narrow"/>
          <w:snapToGrid w:val="0"/>
          <w:sz w:val="18"/>
          <w:szCs w:val="22"/>
        </w:rPr>
        <w:t xml:space="preserve"> </w:t>
      </w:r>
      <w:r w:rsidRPr="00CE3EC2">
        <w:rPr>
          <w:rFonts w:ascii="Arial Narrow" w:hAnsi="Arial Narrow"/>
          <w:snapToGrid w:val="0"/>
          <w:sz w:val="18"/>
          <w:szCs w:val="22"/>
        </w:rPr>
        <w:t>=</w:t>
      </w:r>
      <w:r w:rsidR="00C56E05" w:rsidRPr="00CE3EC2">
        <w:rPr>
          <w:rFonts w:ascii="Arial Narrow" w:hAnsi="Arial Narrow"/>
          <w:snapToGrid w:val="0"/>
          <w:sz w:val="18"/>
          <w:szCs w:val="22"/>
        </w:rPr>
        <w:t xml:space="preserve"> </w:t>
      </w:r>
      <w:r w:rsidRPr="00CE3EC2">
        <w:rPr>
          <w:rFonts w:ascii="Arial Narrow" w:hAnsi="Arial Narrow"/>
          <w:snapToGrid w:val="0"/>
          <w:sz w:val="18"/>
          <w:szCs w:val="22"/>
        </w:rPr>
        <w:t>metastasis free survival; OS</w:t>
      </w:r>
      <w:r w:rsidR="00C56E05" w:rsidRPr="00CE3EC2">
        <w:rPr>
          <w:rFonts w:ascii="Arial Narrow" w:hAnsi="Arial Narrow"/>
          <w:snapToGrid w:val="0"/>
          <w:sz w:val="18"/>
          <w:szCs w:val="22"/>
        </w:rPr>
        <w:t xml:space="preserve"> </w:t>
      </w:r>
      <w:r w:rsidRPr="00CE3EC2">
        <w:rPr>
          <w:rFonts w:ascii="Arial Narrow" w:hAnsi="Arial Narrow"/>
          <w:snapToGrid w:val="0"/>
          <w:sz w:val="18"/>
          <w:szCs w:val="22"/>
        </w:rPr>
        <w:t>=</w:t>
      </w:r>
      <w:r w:rsidR="00C56E05" w:rsidRPr="00CE3EC2">
        <w:rPr>
          <w:rFonts w:ascii="Arial Narrow" w:hAnsi="Arial Narrow"/>
          <w:snapToGrid w:val="0"/>
          <w:sz w:val="18"/>
          <w:szCs w:val="22"/>
        </w:rPr>
        <w:t xml:space="preserve"> </w:t>
      </w:r>
      <w:r w:rsidRPr="00CE3EC2">
        <w:rPr>
          <w:rFonts w:ascii="Arial Narrow" w:hAnsi="Arial Narrow"/>
          <w:snapToGrid w:val="0"/>
          <w:sz w:val="18"/>
          <w:szCs w:val="22"/>
        </w:rPr>
        <w:t>overall survival, PFS2 = progression free survival on the first subsequent therapy, PSADT</w:t>
      </w:r>
      <w:r w:rsidR="00C56E05" w:rsidRPr="00CE3EC2">
        <w:rPr>
          <w:rFonts w:ascii="Arial Narrow" w:hAnsi="Arial Narrow"/>
          <w:snapToGrid w:val="0"/>
          <w:sz w:val="18"/>
          <w:szCs w:val="22"/>
        </w:rPr>
        <w:t xml:space="preserve"> </w:t>
      </w:r>
      <w:r w:rsidRPr="00CE3EC2">
        <w:rPr>
          <w:rFonts w:ascii="Arial Narrow" w:hAnsi="Arial Narrow"/>
          <w:snapToGrid w:val="0"/>
          <w:sz w:val="18"/>
          <w:szCs w:val="22"/>
        </w:rPr>
        <w:t>=</w:t>
      </w:r>
      <w:r w:rsidR="00C56E05" w:rsidRPr="00CE3EC2">
        <w:rPr>
          <w:rFonts w:ascii="Arial Narrow" w:hAnsi="Arial Narrow"/>
          <w:snapToGrid w:val="0"/>
          <w:sz w:val="18"/>
          <w:szCs w:val="22"/>
        </w:rPr>
        <w:t xml:space="preserve"> </w:t>
      </w:r>
      <w:r w:rsidR="00613399">
        <w:rPr>
          <w:rFonts w:ascii="Arial Narrow" w:hAnsi="Arial Narrow"/>
          <w:snapToGrid w:val="0"/>
          <w:sz w:val="18"/>
          <w:szCs w:val="22"/>
        </w:rPr>
        <w:t>p</w:t>
      </w:r>
      <w:r w:rsidRPr="00CE3EC2">
        <w:rPr>
          <w:rFonts w:ascii="Arial Narrow" w:hAnsi="Arial Narrow"/>
          <w:snapToGrid w:val="0"/>
          <w:sz w:val="18"/>
          <w:szCs w:val="22"/>
        </w:rPr>
        <w:t xml:space="preserve">rostate </w:t>
      </w:r>
      <w:r w:rsidR="00613399">
        <w:rPr>
          <w:rFonts w:ascii="Arial Narrow" w:hAnsi="Arial Narrow"/>
          <w:snapToGrid w:val="0"/>
          <w:sz w:val="18"/>
          <w:szCs w:val="22"/>
        </w:rPr>
        <w:t>s</w:t>
      </w:r>
      <w:r w:rsidRPr="00CE3EC2">
        <w:rPr>
          <w:rFonts w:ascii="Arial Narrow" w:hAnsi="Arial Narrow"/>
          <w:snapToGrid w:val="0"/>
          <w:sz w:val="18"/>
          <w:szCs w:val="22"/>
        </w:rPr>
        <w:t xml:space="preserve">pecific </w:t>
      </w:r>
      <w:r w:rsidR="00613399">
        <w:rPr>
          <w:rFonts w:ascii="Arial Narrow" w:hAnsi="Arial Narrow"/>
          <w:snapToGrid w:val="0"/>
          <w:sz w:val="18"/>
          <w:szCs w:val="22"/>
        </w:rPr>
        <w:t>a</w:t>
      </w:r>
      <w:r w:rsidRPr="00CE3EC2">
        <w:rPr>
          <w:rFonts w:ascii="Arial Narrow" w:hAnsi="Arial Narrow"/>
          <w:snapToGrid w:val="0"/>
          <w:sz w:val="18"/>
          <w:szCs w:val="22"/>
        </w:rPr>
        <w:t xml:space="preserve">ntigen </w:t>
      </w:r>
      <w:r w:rsidR="00613399">
        <w:rPr>
          <w:rFonts w:ascii="Arial Narrow" w:hAnsi="Arial Narrow"/>
          <w:snapToGrid w:val="0"/>
          <w:sz w:val="18"/>
          <w:szCs w:val="22"/>
        </w:rPr>
        <w:t>d</w:t>
      </w:r>
      <w:r w:rsidRPr="00CE3EC2">
        <w:rPr>
          <w:rFonts w:ascii="Arial Narrow" w:hAnsi="Arial Narrow"/>
          <w:snapToGrid w:val="0"/>
          <w:sz w:val="18"/>
          <w:szCs w:val="22"/>
        </w:rPr>
        <w:t xml:space="preserve">oubling </w:t>
      </w:r>
      <w:r w:rsidR="00613399">
        <w:rPr>
          <w:rFonts w:ascii="Arial Narrow" w:hAnsi="Arial Narrow"/>
          <w:snapToGrid w:val="0"/>
          <w:sz w:val="18"/>
          <w:szCs w:val="22"/>
        </w:rPr>
        <w:t>t</w:t>
      </w:r>
      <w:r w:rsidRPr="00CE3EC2">
        <w:rPr>
          <w:rFonts w:ascii="Arial Narrow" w:hAnsi="Arial Narrow"/>
          <w:snapToGrid w:val="0"/>
          <w:sz w:val="18"/>
          <w:szCs w:val="22"/>
        </w:rPr>
        <w:t>ime; rPFS = radiographical progression free survival; sPFS = symptomatic progression free survival</w:t>
      </w:r>
    </w:p>
    <w:p w14:paraId="537CA0D0" w14:textId="77777777" w:rsidR="00526B6B" w:rsidRPr="004546DF" w:rsidRDefault="00526B6B" w:rsidP="00526B6B">
      <w:pPr>
        <w:pStyle w:val="2-SectionHeading"/>
        <w:numPr>
          <w:ilvl w:val="0"/>
          <w:numId w:val="1"/>
        </w:numPr>
      </w:pPr>
      <w:bookmarkStart w:id="4" w:name="_Toc82426501"/>
      <w:r w:rsidRPr="004546DF">
        <w:t>Background</w:t>
      </w:r>
      <w:bookmarkEnd w:id="4"/>
    </w:p>
    <w:p w14:paraId="6F3220D4" w14:textId="77777777" w:rsidR="00526B6B" w:rsidRPr="004546DF" w:rsidRDefault="00526B6B" w:rsidP="00526B6B">
      <w:pPr>
        <w:pStyle w:val="4-SubsectionHeading"/>
      </w:pPr>
      <w:bookmarkStart w:id="5" w:name="_Toc82426502"/>
      <w:r w:rsidRPr="004546DF">
        <w:t>Registration status</w:t>
      </w:r>
      <w:bookmarkEnd w:id="5"/>
    </w:p>
    <w:p w14:paraId="712259FA" w14:textId="77777777" w:rsidR="00526B6B" w:rsidRPr="004546DF" w:rsidRDefault="00526B6B" w:rsidP="00765DBB">
      <w:pPr>
        <w:pStyle w:val="3-BodyText"/>
        <w:ind w:left="709"/>
      </w:pPr>
      <w:r w:rsidRPr="004546DF">
        <w:t>Apalutamide was TGA registered on the 5</w:t>
      </w:r>
      <w:r w:rsidRPr="004546DF">
        <w:rPr>
          <w:vertAlign w:val="superscript"/>
        </w:rPr>
        <w:t>th</w:t>
      </w:r>
      <w:r w:rsidRPr="004546DF">
        <w:t xml:space="preserve"> July 2018 for the treatment of patients with non-metastatic castration-resistant prostate cancer</w:t>
      </w:r>
      <w:r>
        <w:t xml:space="preserve"> (m0CRCP)</w:t>
      </w:r>
      <w:r w:rsidRPr="004546DF">
        <w:t xml:space="preserve">. </w:t>
      </w:r>
    </w:p>
    <w:p w14:paraId="4DE2BA7D" w14:textId="77777777" w:rsidR="00526B6B" w:rsidRPr="004546DF" w:rsidRDefault="00526B6B" w:rsidP="00526B6B">
      <w:pPr>
        <w:pStyle w:val="4-SubsectionHeading"/>
      </w:pPr>
      <w:bookmarkStart w:id="6" w:name="_Toc82426503"/>
      <w:r w:rsidRPr="004546DF">
        <w:lastRenderedPageBreak/>
        <w:t>Previous PBAC consideration</w:t>
      </w:r>
      <w:bookmarkEnd w:id="6"/>
    </w:p>
    <w:p w14:paraId="0E193231" w14:textId="77777777" w:rsidR="00526B6B" w:rsidRPr="004546DF" w:rsidRDefault="00526B6B" w:rsidP="002D5B24">
      <w:pPr>
        <w:pStyle w:val="3-BodyText"/>
        <w:ind w:left="709"/>
      </w:pPr>
      <w:r w:rsidRPr="002D5B24">
        <w:t>Apalutamide</w:t>
      </w:r>
      <w:r w:rsidRPr="004546DF">
        <w:rPr>
          <w:snapToGrid/>
        </w:rPr>
        <w:t xml:space="preserve"> was previously considered by the PBAC</w:t>
      </w:r>
      <w:r w:rsidRPr="004546DF">
        <w:t xml:space="preserve"> in November 2018, July 2019</w:t>
      </w:r>
      <w:r>
        <w:rPr>
          <w:snapToGrid/>
        </w:rPr>
        <w:t xml:space="preserve"> and November 2020. </w:t>
      </w:r>
      <w:r w:rsidRPr="004546DF">
        <w:rPr>
          <w:snapToGrid/>
        </w:rPr>
        <w:t xml:space="preserve">Following is a summary of the key concerns identified in the </w:t>
      </w:r>
      <w:r>
        <w:rPr>
          <w:snapToGrid/>
        </w:rPr>
        <w:t xml:space="preserve">November 2020 </w:t>
      </w:r>
      <w:r w:rsidRPr="004546DF">
        <w:rPr>
          <w:snapToGrid/>
        </w:rPr>
        <w:t xml:space="preserve">PBAC submission and the response taken by the resubmission. </w:t>
      </w:r>
    </w:p>
    <w:p w14:paraId="77A7410A" w14:textId="77777777" w:rsidR="00526B6B" w:rsidRPr="004546DF" w:rsidRDefault="00526B6B" w:rsidP="00526B6B">
      <w:pPr>
        <w:pStyle w:val="TableFigureHeading"/>
      </w:pPr>
      <w:r w:rsidRPr="004546DF">
        <w:rPr>
          <w:rStyle w:val="CommentReference"/>
          <w:b/>
          <w:szCs w:val="24"/>
        </w:rPr>
        <w:t>Table 2: Summary of key matters of concern and how the resubmission addressed them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Summary of key matters of concern and how the resubmission addressed them"/>
      </w:tblPr>
      <w:tblGrid>
        <w:gridCol w:w="903"/>
        <w:gridCol w:w="3344"/>
        <w:gridCol w:w="4770"/>
      </w:tblGrid>
      <w:tr w:rsidR="00526B6B" w:rsidRPr="004546DF" w14:paraId="0990DDA4" w14:textId="77777777" w:rsidTr="004767A5">
        <w:trPr>
          <w:cantSplit/>
          <w:tblHeader/>
        </w:trPr>
        <w:tc>
          <w:tcPr>
            <w:tcW w:w="501" w:type="pct"/>
          </w:tcPr>
          <w:p w14:paraId="66770229" w14:textId="77777777" w:rsidR="00526B6B" w:rsidRPr="004546DF" w:rsidRDefault="00526B6B" w:rsidP="004767A5">
            <w:pPr>
              <w:pStyle w:val="In-tableHeading"/>
              <w:rPr>
                <w:lang w:val="en-AU"/>
              </w:rPr>
            </w:pPr>
          </w:p>
        </w:tc>
        <w:tc>
          <w:tcPr>
            <w:tcW w:w="1854" w:type="pct"/>
            <w:tcMar>
              <w:left w:w="28" w:type="dxa"/>
              <w:right w:w="28" w:type="dxa"/>
            </w:tcMar>
            <w:vAlign w:val="center"/>
          </w:tcPr>
          <w:p w14:paraId="7E9ABD87" w14:textId="77777777" w:rsidR="00526B6B" w:rsidRPr="004546DF" w:rsidRDefault="00526B6B" w:rsidP="004767A5">
            <w:pPr>
              <w:pStyle w:val="In-tableHeading"/>
              <w:rPr>
                <w:lang w:val="en-AU"/>
              </w:rPr>
            </w:pPr>
            <w:r w:rsidRPr="004546DF">
              <w:rPr>
                <w:lang w:val="en-AU"/>
              </w:rPr>
              <w:t>Matter of concern</w:t>
            </w:r>
            <w:r>
              <w:rPr>
                <w:lang w:val="en-AU"/>
              </w:rPr>
              <w:t xml:space="preserve"> raised at the November 2020 PBAC meeting</w:t>
            </w:r>
          </w:p>
        </w:tc>
        <w:tc>
          <w:tcPr>
            <w:tcW w:w="2644" w:type="pct"/>
            <w:tcMar>
              <w:left w:w="28" w:type="dxa"/>
              <w:right w:w="28" w:type="dxa"/>
            </w:tcMar>
            <w:vAlign w:val="center"/>
          </w:tcPr>
          <w:p w14:paraId="1165CDB2" w14:textId="77777777" w:rsidR="00526B6B" w:rsidRPr="004546DF" w:rsidRDefault="00526B6B" w:rsidP="004767A5">
            <w:pPr>
              <w:pStyle w:val="In-tableHeading"/>
              <w:rPr>
                <w:lang w:val="en-AU"/>
              </w:rPr>
            </w:pPr>
            <w:r>
              <w:rPr>
                <w:lang w:val="en-AU"/>
              </w:rPr>
              <w:t>How the current resubmission addresses concern</w:t>
            </w:r>
          </w:p>
        </w:tc>
      </w:tr>
      <w:tr w:rsidR="00526B6B" w:rsidRPr="004546DF" w14:paraId="5B258B3A" w14:textId="77777777" w:rsidTr="004767A5">
        <w:trPr>
          <w:cantSplit/>
          <w:tblHeader/>
        </w:trPr>
        <w:tc>
          <w:tcPr>
            <w:tcW w:w="501" w:type="pct"/>
          </w:tcPr>
          <w:p w14:paraId="159383FE" w14:textId="77777777" w:rsidR="00526B6B" w:rsidRPr="003F3B5A" w:rsidRDefault="00526B6B" w:rsidP="004767A5">
            <w:pPr>
              <w:pStyle w:val="In-tableHeading"/>
              <w:rPr>
                <w:b w:val="0"/>
                <w:lang w:val="en-AU"/>
              </w:rPr>
            </w:pPr>
            <w:r w:rsidRPr="003F3B5A">
              <w:rPr>
                <w:b w:val="0"/>
                <w:lang w:val="en-AU"/>
              </w:rPr>
              <w:t>Restriction</w:t>
            </w:r>
          </w:p>
        </w:tc>
        <w:tc>
          <w:tcPr>
            <w:tcW w:w="1854" w:type="pct"/>
            <w:tcMar>
              <w:left w:w="28" w:type="dxa"/>
              <w:right w:w="28" w:type="dxa"/>
            </w:tcMar>
            <w:vAlign w:val="center"/>
          </w:tcPr>
          <w:p w14:paraId="573B6F94" w14:textId="77777777" w:rsidR="00526B6B" w:rsidRPr="004546DF" w:rsidRDefault="00526B6B" w:rsidP="004767A5">
            <w:pPr>
              <w:pStyle w:val="In-tableHeading"/>
              <w:rPr>
                <w:lang w:val="en-AU"/>
              </w:rPr>
            </w:pPr>
            <w:r w:rsidRPr="001B58CF">
              <w:rPr>
                <w:rFonts w:eastAsia="Times New Roman"/>
                <w:b w:val="0"/>
                <w:bCs/>
                <w:szCs w:val="20"/>
                <w:lang w:eastAsia="en-US"/>
              </w:rPr>
              <w:t xml:space="preserve">The PBAC considered that restricting PBS subsidy to patients with a PSA level of at least 2 ng/mL would help limit apalutamide use to higher risk patients who are more likely to benefit from treatment. </w:t>
            </w:r>
          </w:p>
        </w:tc>
        <w:tc>
          <w:tcPr>
            <w:tcW w:w="2644" w:type="pct"/>
            <w:tcMar>
              <w:left w:w="28" w:type="dxa"/>
              <w:right w:w="28" w:type="dxa"/>
            </w:tcMar>
          </w:tcPr>
          <w:p w14:paraId="1E346579" w14:textId="77777777" w:rsidR="00526B6B" w:rsidRPr="00401447" w:rsidRDefault="00526B6B" w:rsidP="004767A5">
            <w:pPr>
              <w:pStyle w:val="In-tableHeading"/>
              <w:rPr>
                <w:b w:val="0"/>
                <w:lang w:val="en-AU"/>
              </w:rPr>
            </w:pPr>
            <w:r>
              <w:rPr>
                <w:b w:val="0"/>
                <w:lang w:val="en-AU"/>
              </w:rPr>
              <w:t>The resubmission presented revised restriction wording adding in the clinical criteria “patients must have a PSA level of at least 2</w:t>
            </w:r>
            <w:r w:rsidR="00A42EC4">
              <w:rPr>
                <w:b w:val="0"/>
                <w:lang w:val="en-AU"/>
              </w:rPr>
              <w:t xml:space="preserve"> </w:t>
            </w:r>
            <w:r>
              <w:rPr>
                <w:b w:val="0"/>
                <w:lang w:val="en-AU"/>
              </w:rPr>
              <w:t>ng/mL".</w:t>
            </w:r>
          </w:p>
        </w:tc>
      </w:tr>
      <w:tr w:rsidR="00526B6B" w:rsidRPr="004546DF" w14:paraId="58AD5BF5" w14:textId="77777777" w:rsidTr="004767A5">
        <w:trPr>
          <w:cantSplit/>
        </w:trPr>
        <w:tc>
          <w:tcPr>
            <w:tcW w:w="501" w:type="pct"/>
          </w:tcPr>
          <w:p w14:paraId="4A5B19B8" w14:textId="77777777" w:rsidR="00526B6B" w:rsidRPr="003F3B5A" w:rsidRDefault="00526B6B" w:rsidP="004767A5">
            <w:pPr>
              <w:pStyle w:val="TableText0"/>
            </w:pPr>
            <w:r w:rsidRPr="003F3B5A">
              <w:t>Base case economic model</w:t>
            </w:r>
          </w:p>
        </w:tc>
        <w:tc>
          <w:tcPr>
            <w:tcW w:w="1854" w:type="pct"/>
            <w:tcMar>
              <w:left w:w="28" w:type="dxa"/>
              <w:right w:w="28" w:type="dxa"/>
            </w:tcMar>
          </w:tcPr>
          <w:p w14:paraId="23F68608" w14:textId="77777777" w:rsidR="00526B6B" w:rsidRDefault="00526B6B" w:rsidP="004767A5">
            <w:pPr>
              <w:pStyle w:val="TableText0"/>
            </w:pPr>
            <w:r>
              <w:t>The PBAC noted that not all requested changes were implemented in the November 2020 resubmission and that the ICER remained high and uncertain. The PBAC requested the following changes in the e</w:t>
            </w:r>
            <w:r w:rsidRPr="004546DF">
              <w:t>conomic model:</w:t>
            </w:r>
            <w:r>
              <w:t xml:space="preserve"> </w:t>
            </w:r>
          </w:p>
          <w:p w14:paraId="4380A0BF" w14:textId="77777777" w:rsidR="00526B6B" w:rsidRPr="004546DF" w:rsidRDefault="00526B6B" w:rsidP="00914863">
            <w:pPr>
              <w:pStyle w:val="TableText0"/>
              <w:numPr>
                <w:ilvl w:val="0"/>
                <w:numId w:val="21"/>
              </w:numPr>
              <w:ind w:left="249" w:hanging="142"/>
            </w:pPr>
            <w:r>
              <w:t>a</w:t>
            </w:r>
            <w:r w:rsidRPr="004546DF">
              <w:t>djust the dose intensity in the model to reflect that expected in clinical practice and including a price reduction to achieve ICER in the range of $40,000 to $45,000 per QALY, using OS unadjusted for treatment switching.</w:t>
            </w:r>
          </w:p>
        </w:tc>
        <w:tc>
          <w:tcPr>
            <w:tcW w:w="2644" w:type="pct"/>
            <w:tcMar>
              <w:left w:w="28" w:type="dxa"/>
              <w:right w:w="28" w:type="dxa"/>
            </w:tcMar>
          </w:tcPr>
          <w:p w14:paraId="38A38FEF" w14:textId="77777777" w:rsidR="00526B6B" w:rsidRDefault="00526B6B" w:rsidP="004767A5">
            <w:pPr>
              <w:pStyle w:val="TableText0"/>
            </w:pPr>
            <w:r>
              <w:t xml:space="preserve">A revised base case with </w:t>
            </w:r>
            <w:r w:rsidR="00AD6D36">
              <w:t xml:space="preserve">an </w:t>
            </w:r>
            <w:r>
              <w:t xml:space="preserve">ICER </w:t>
            </w:r>
            <w:r w:rsidR="00AD6D36">
              <w:t xml:space="preserve">of </w:t>
            </w:r>
            <w:r>
              <w:t>$</w:t>
            </w:r>
            <w:r w:rsidR="00E61E4A">
              <w:rPr>
                <w:noProof/>
                <w:color w:val="000000"/>
                <w:highlight w:val="black"/>
              </w:rPr>
              <w:t>'''''''''''''''</w:t>
            </w:r>
            <w:r w:rsidR="009B7921" w:rsidRPr="009B7921">
              <w:rPr>
                <w:vertAlign w:val="superscript"/>
              </w:rPr>
              <w:t>1</w:t>
            </w:r>
            <w:r>
              <w:t>/QALY gained brought about by the following changes:</w:t>
            </w:r>
          </w:p>
          <w:p w14:paraId="75D5A7C7" w14:textId="77777777" w:rsidR="00526B6B" w:rsidRDefault="00526B6B" w:rsidP="00914863">
            <w:pPr>
              <w:pStyle w:val="TableText0"/>
              <w:numPr>
                <w:ilvl w:val="0"/>
                <w:numId w:val="21"/>
              </w:numPr>
              <w:ind w:left="114" w:hanging="114"/>
            </w:pPr>
            <w:r>
              <w:t>A lower effective DPMQ</w:t>
            </w:r>
            <w:r w:rsidR="00AD6D36">
              <w:t xml:space="preserve"> of </w:t>
            </w:r>
            <w:r>
              <w:t>$</w:t>
            </w:r>
            <w:r w:rsidR="00E61E4A">
              <w:rPr>
                <w:noProof/>
                <w:color w:val="000000"/>
                <w:highlight w:val="black"/>
              </w:rPr>
              <w:t>''''''''''''''''''''</w:t>
            </w:r>
            <w:r>
              <w:t xml:space="preserve"> (previously $</w:t>
            </w:r>
            <w:r w:rsidR="00E61E4A">
              <w:rPr>
                <w:noProof/>
                <w:color w:val="000000"/>
                <w:highlight w:val="black"/>
              </w:rPr>
              <w:t>'''''''''''''''''''</w:t>
            </w:r>
            <w:r>
              <w:t>)</w:t>
            </w:r>
          </w:p>
          <w:p w14:paraId="209262F9" w14:textId="77777777" w:rsidR="00526B6B" w:rsidRPr="00BC5710" w:rsidRDefault="00526B6B" w:rsidP="00914863">
            <w:pPr>
              <w:pStyle w:val="TableText0"/>
              <w:numPr>
                <w:ilvl w:val="0"/>
                <w:numId w:val="21"/>
              </w:numPr>
              <w:ind w:left="114" w:hanging="114"/>
            </w:pPr>
            <w:r>
              <w:t xml:space="preserve">A higher dose intensity to reflect that submitted in the November 2018 submission of 89.94% for apalutamide (changed from 66.24% in the November 2020 resubmission), </w:t>
            </w:r>
            <w:r w:rsidRPr="00BC5710">
              <w:t>and 96.08% for placebo (changed from 71.1% in November 2020 resubmission).</w:t>
            </w:r>
          </w:p>
          <w:p w14:paraId="2AEBB0AB" w14:textId="77777777" w:rsidR="00526B6B" w:rsidRDefault="00526B6B" w:rsidP="00914863">
            <w:pPr>
              <w:pStyle w:val="TableText0"/>
              <w:numPr>
                <w:ilvl w:val="0"/>
                <w:numId w:val="21"/>
              </w:numPr>
              <w:ind w:left="114" w:hanging="114"/>
            </w:pPr>
            <w:r>
              <w:t>Unadjusted OS data from ITT population from SPARTAN used.</w:t>
            </w:r>
          </w:p>
          <w:p w14:paraId="2EE54B2A" w14:textId="77777777" w:rsidR="00526B6B" w:rsidRDefault="00526B6B" w:rsidP="00914863">
            <w:pPr>
              <w:pStyle w:val="TableText0"/>
              <w:numPr>
                <w:ilvl w:val="0"/>
                <w:numId w:val="21"/>
              </w:numPr>
              <w:ind w:left="114" w:hanging="114"/>
            </w:pPr>
            <w:r>
              <w:t>Previous model changes based on the July 2019 PBAC recommendations retained.</w:t>
            </w:r>
          </w:p>
          <w:p w14:paraId="2D816932" w14:textId="77777777" w:rsidR="00305B42" w:rsidRPr="004546DF" w:rsidRDefault="00305B42" w:rsidP="00305B42">
            <w:pPr>
              <w:pStyle w:val="TableText0"/>
            </w:pPr>
            <w:r>
              <w:t>The pre-PBAC response, noting that darolutamide was listed on the PBS on 1 November 2021 for the same indication, considered it would be more appropriate to compare apalutamide to darolutamide based on a cost minimisation approach.</w:t>
            </w:r>
          </w:p>
        </w:tc>
      </w:tr>
      <w:tr w:rsidR="00526B6B" w:rsidRPr="004546DF" w14:paraId="0B1B66B1" w14:textId="77777777" w:rsidTr="004767A5">
        <w:trPr>
          <w:cantSplit/>
        </w:trPr>
        <w:tc>
          <w:tcPr>
            <w:tcW w:w="501" w:type="pct"/>
          </w:tcPr>
          <w:p w14:paraId="0DADBA12" w14:textId="77777777" w:rsidR="00526B6B" w:rsidRPr="003F3B5A" w:rsidRDefault="00526B6B" w:rsidP="004767A5">
            <w:pPr>
              <w:pStyle w:val="TableText0"/>
            </w:pPr>
            <w:r w:rsidRPr="003F3B5A">
              <w:t>Financial estimates &amp; risk share</w:t>
            </w:r>
          </w:p>
        </w:tc>
        <w:tc>
          <w:tcPr>
            <w:tcW w:w="1854" w:type="pct"/>
            <w:tcMar>
              <w:left w:w="28" w:type="dxa"/>
              <w:right w:w="28" w:type="dxa"/>
            </w:tcMar>
          </w:tcPr>
          <w:p w14:paraId="5CC805E0" w14:textId="77777777" w:rsidR="00526B6B" w:rsidRDefault="00526B6B" w:rsidP="004767A5">
            <w:pPr>
              <w:pStyle w:val="TableText0"/>
            </w:pPr>
            <w:r>
              <w:t>The PBAC requested the following changes in the financial estimates:</w:t>
            </w:r>
          </w:p>
          <w:p w14:paraId="00964B34" w14:textId="77777777" w:rsidR="00526B6B" w:rsidRDefault="00526B6B" w:rsidP="00914863">
            <w:pPr>
              <w:pStyle w:val="TableText0"/>
              <w:numPr>
                <w:ilvl w:val="0"/>
                <w:numId w:val="21"/>
              </w:numPr>
              <w:ind w:left="249" w:hanging="142"/>
            </w:pPr>
            <w:r w:rsidRPr="004546DF">
              <w:t>update the financial estimates to reflect the dose int</w:t>
            </w:r>
            <w:r>
              <w:t>ensity applied in the model and</w:t>
            </w:r>
          </w:p>
          <w:p w14:paraId="20CFC1CA" w14:textId="77777777" w:rsidR="00526B6B" w:rsidRPr="004546DF" w:rsidRDefault="00526B6B" w:rsidP="00914863">
            <w:pPr>
              <w:pStyle w:val="TableText0"/>
              <w:numPr>
                <w:ilvl w:val="0"/>
                <w:numId w:val="21"/>
              </w:numPr>
              <w:ind w:left="249" w:hanging="142"/>
            </w:pPr>
            <w:r w:rsidRPr="004546DF">
              <w:t>include details of a RSA which appropriately addressed the uncertainty with the financial estimates.</w:t>
            </w:r>
          </w:p>
        </w:tc>
        <w:tc>
          <w:tcPr>
            <w:tcW w:w="2644" w:type="pct"/>
            <w:tcMar>
              <w:left w:w="28" w:type="dxa"/>
              <w:right w:w="28" w:type="dxa"/>
            </w:tcMar>
          </w:tcPr>
          <w:p w14:paraId="5D4A2931" w14:textId="77777777" w:rsidR="00526B6B" w:rsidRDefault="00526B6B" w:rsidP="004767A5">
            <w:pPr>
              <w:pStyle w:val="TableText0"/>
            </w:pPr>
            <w:r>
              <w:t>Revised financial estimates, incorporating above changes in the economics model using the:</w:t>
            </w:r>
          </w:p>
          <w:p w14:paraId="011B14BC" w14:textId="77777777" w:rsidR="00526B6B" w:rsidRDefault="00526B6B" w:rsidP="00914863">
            <w:pPr>
              <w:pStyle w:val="TableText0"/>
              <w:numPr>
                <w:ilvl w:val="0"/>
                <w:numId w:val="21"/>
              </w:numPr>
              <w:ind w:left="114" w:hanging="114"/>
            </w:pPr>
            <w:r>
              <w:t>lower effective DPMQ and</w:t>
            </w:r>
          </w:p>
          <w:p w14:paraId="06F71684" w14:textId="77777777" w:rsidR="00526B6B" w:rsidRDefault="00526B6B" w:rsidP="00914863">
            <w:pPr>
              <w:pStyle w:val="TableText0"/>
              <w:numPr>
                <w:ilvl w:val="0"/>
                <w:numId w:val="21"/>
              </w:numPr>
              <w:ind w:left="114" w:hanging="114"/>
            </w:pPr>
            <w:r>
              <w:t>higher dose intensity for apalutamide</w:t>
            </w:r>
          </w:p>
          <w:p w14:paraId="50276B7E" w14:textId="77777777" w:rsidR="00526B6B" w:rsidRDefault="00526B6B" w:rsidP="004767A5">
            <w:pPr>
              <w:pStyle w:val="TableText0"/>
              <w:ind w:left="114"/>
            </w:pPr>
          </w:p>
          <w:p w14:paraId="1353A631" w14:textId="77777777" w:rsidR="00526B6B" w:rsidRPr="004546DF" w:rsidRDefault="00526B6B" w:rsidP="005060EB">
            <w:pPr>
              <w:pStyle w:val="TableText0"/>
            </w:pPr>
            <w:r>
              <w:t xml:space="preserve">The resubmission proposed a </w:t>
            </w:r>
            <w:r w:rsidR="00E61E4A">
              <w:rPr>
                <w:noProof/>
                <w:color w:val="000000"/>
                <w:highlight w:val="black"/>
              </w:rPr>
              <w:t>''''''</w:t>
            </w:r>
            <w:r>
              <w:t xml:space="preserve">% rebate over subsidisation caps (previously </w:t>
            </w:r>
            <w:r w:rsidR="00E61E4A">
              <w:rPr>
                <w:noProof/>
                <w:color w:val="000000"/>
                <w:highlight w:val="black"/>
              </w:rPr>
              <w:t>'''''''</w:t>
            </w:r>
            <w:r>
              <w:t xml:space="preserve">% as per the Pre-PBAC response in Nov 2020). The subsidisation caps were reduced to </w:t>
            </w:r>
            <w:r w:rsidR="00E61E4A">
              <w:rPr>
                <w:noProof/>
                <w:color w:val="000000"/>
                <w:highlight w:val="black"/>
              </w:rPr>
              <w:t>'''''''''''' ''''''''''''''''</w:t>
            </w:r>
            <w:r w:rsidR="00A52F97" w:rsidRPr="00A52F97">
              <w:rPr>
                <w:vertAlign w:val="superscript"/>
              </w:rPr>
              <w:t>2</w:t>
            </w:r>
            <w:r>
              <w:t xml:space="preserve"> over 5 years (previously </w:t>
            </w:r>
            <w:r w:rsidR="00E61E4A">
              <w:rPr>
                <w:noProof/>
                <w:color w:val="000000"/>
                <w:highlight w:val="black"/>
              </w:rPr>
              <w:t>''''''''''' ''''''''''''''</w:t>
            </w:r>
            <w:r w:rsidR="00A52F97" w:rsidRPr="00A52F97">
              <w:rPr>
                <w:vertAlign w:val="superscript"/>
              </w:rPr>
              <w:t>2</w:t>
            </w:r>
            <w:r>
              <w:t>) by assuming a shorter duration of treatment.</w:t>
            </w:r>
          </w:p>
        </w:tc>
      </w:tr>
    </w:tbl>
    <w:p w14:paraId="353F5351" w14:textId="77777777" w:rsidR="00526B6B" w:rsidRPr="004546DF" w:rsidRDefault="00526B6B" w:rsidP="00526B6B">
      <w:pPr>
        <w:rPr>
          <w:rFonts w:ascii="Arial Narrow" w:hAnsi="Arial Narrow"/>
          <w:sz w:val="18"/>
          <w:szCs w:val="18"/>
        </w:rPr>
      </w:pPr>
      <w:r>
        <w:rPr>
          <w:rFonts w:ascii="Arial Narrow" w:hAnsi="Arial Narrow"/>
          <w:sz w:val="18"/>
          <w:szCs w:val="18"/>
        </w:rPr>
        <w:t>Source: paragraphs 3.6 and 7.17, p36</w:t>
      </w:r>
      <w:r w:rsidRPr="004546DF">
        <w:rPr>
          <w:rFonts w:ascii="Arial Narrow" w:hAnsi="Arial Narrow"/>
          <w:sz w:val="18"/>
          <w:szCs w:val="18"/>
        </w:rPr>
        <w:t xml:space="preserve"> of the </w:t>
      </w:r>
      <w:r>
        <w:rPr>
          <w:rFonts w:ascii="Arial Narrow" w:hAnsi="Arial Narrow"/>
          <w:sz w:val="18"/>
          <w:szCs w:val="18"/>
        </w:rPr>
        <w:t xml:space="preserve">apalutamide </w:t>
      </w:r>
      <w:r w:rsidRPr="004546DF">
        <w:rPr>
          <w:rFonts w:ascii="Arial Narrow" w:hAnsi="Arial Narrow"/>
          <w:sz w:val="18"/>
          <w:szCs w:val="18"/>
        </w:rPr>
        <w:t xml:space="preserve">PBAC </w:t>
      </w:r>
      <w:r w:rsidR="00115A69">
        <w:rPr>
          <w:rFonts w:ascii="Arial Narrow" w:hAnsi="Arial Narrow"/>
          <w:sz w:val="18"/>
          <w:szCs w:val="18"/>
        </w:rPr>
        <w:t>Public Summary Document (PSD)</w:t>
      </w:r>
      <w:r w:rsidRPr="00647C3E">
        <w:rPr>
          <w:rFonts w:ascii="Arial Narrow" w:hAnsi="Arial Narrow"/>
          <w:sz w:val="18"/>
          <w:szCs w:val="18"/>
        </w:rPr>
        <w:t xml:space="preserve"> </w:t>
      </w:r>
      <w:r>
        <w:rPr>
          <w:rFonts w:ascii="Arial Narrow" w:hAnsi="Arial Narrow"/>
          <w:sz w:val="18"/>
          <w:szCs w:val="18"/>
        </w:rPr>
        <w:t xml:space="preserve">November </w:t>
      </w:r>
      <w:r w:rsidRPr="004546DF">
        <w:rPr>
          <w:rFonts w:ascii="Arial Narrow" w:hAnsi="Arial Narrow"/>
          <w:sz w:val="18"/>
          <w:szCs w:val="18"/>
        </w:rPr>
        <w:t>202</w:t>
      </w:r>
      <w:r>
        <w:rPr>
          <w:rFonts w:ascii="Arial Narrow" w:hAnsi="Arial Narrow"/>
          <w:sz w:val="18"/>
          <w:szCs w:val="18"/>
        </w:rPr>
        <w:t>0</w:t>
      </w:r>
    </w:p>
    <w:p w14:paraId="596C1B0C" w14:textId="77777777" w:rsidR="00526B6B" w:rsidRDefault="00A42EC4" w:rsidP="00526B6B">
      <w:pPr>
        <w:rPr>
          <w:rFonts w:ascii="Arial Narrow" w:hAnsi="Arial Narrow"/>
          <w:sz w:val="18"/>
          <w:szCs w:val="18"/>
        </w:rPr>
      </w:pPr>
      <w:r>
        <w:rPr>
          <w:rFonts w:ascii="Arial Narrow" w:hAnsi="Arial Narrow"/>
          <w:sz w:val="18"/>
          <w:szCs w:val="18"/>
        </w:rPr>
        <w:t xml:space="preserve">DPMQ = </w:t>
      </w:r>
      <w:r w:rsidR="00D376B9">
        <w:rPr>
          <w:rFonts w:ascii="Arial Narrow" w:hAnsi="Arial Narrow"/>
          <w:sz w:val="18"/>
          <w:szCs w:val="18"/>
        </w:rPr>
        <w:t>dispended price for maximum quantity</w:t>
      </w:r>
      <w:r w:rsidR="009926F1">
        <w:rPr>
          <w:rFonts w:ascii="Arial Narrow" w:hAnsi="Arial Narrow"/>
          <w:sz w:val="18"/>
          <w:szCs w:val="18"/>
        </w:rPr>
        <w:t>,</w:t>
      </w:r>
      <w:r w:rsidR="00D376B9">
        <w:rPr>
          <w:rFonts w:ascii="Arial Narrow" w:hAnsi="Arial Narrow"/>
          <w:sz w:val="18"/>
          <w:szCs w:val="18"/>
        </w:rPr>
        <w:t xml:space="preserve"> </w:t>
      </w:r>
      <w:r>
        <w:rPr>
          <w:rFonts w:ascii="Arial Narrow" w:hAnsi="Arial Narrow"/>
          <w:sz w:val="18"/>
          <w:szCs w:val="18"/>
        </w:rPr>
        <w:t>ICER =</w:t>
      </w:r>
      <w:r w:rsidR="00AD6D36">
        <w:rPr>
          <w:rFonts w:ascii="Arial Narrow" w:hAnsi="Arial Narrow"/>
          <w:sz w:val="18"/>
          <w:szCs w:val="18"/>
        </w:rPr>
        <w:t xml:space="preserve"> </w:t>
      </w:r>
      <w:r w:rsidR="00D376B9">
        <w:rPr>
          <w:rFonts w:ascii="Arial Narrow" w:hAnsi="Arial Narrow"/>
          <w:sz w:val="18"/>
          <w:szCs w:val="18"/>
        </w:rPr>
        <w:t>incremental cost effectiveness ratio</w:t>
      </w:r>
      <w:r w:rsidR="009926F1">
        <w:rPr>
          <w:rFonts w:ascii="Arial Narrow" w:hAnsi="Arial Narrow"/>
          <w:sz w:val="18"/>
          <w:szCs w:val="18"/>
        </w:rPr>
        <w:t>,</w:t>
      </w:r>
      <w:r>
        <w:rPr>
          <w:rFonts w:ascii="Arial Narrow" w:hAnsi="Arial Narrow"/>
          <w:sz w:val="18"/>
          <w:szCs w:val="18"/>
        </w:rPr>
        <w:t xml:space="preserve"> ITT =</w:t>
      </w:r>
      <w:r w:rsidR="00D376B9">
        <w:rPr>
          <w:rFonts w:ascii="Arial Narrow" w:hAnsi="Arial Narrow"/>
          <w:sz w:val="18"/>
          <w:szCs w:val="18"/>
        </w:rPr>
        <w:t xml:space="preserve"> intention to treat</w:t>
      </w:r>
      <w:r w:rsidR="009926F1">
        <w:rPr>
          <w:rFonts w:ascii="Arial Narrow" w:hAnsi="Arial Narrow"/>
          <w:sz w:val="18"/>
          <w:szCs w:val="18"/>
        </w:rPr>
        <w:t xml:space="preserve">, </w:t>
      </w:r>
      <w:r>
        <w:rPr>
          <w:rFonts w:ascii="Arial Narrow" w:hAnsi="Arial Narrow"/>
          <w:sz w:val="18"/>
          <w:szCs w:val="18"/>
        </w:rPr>
        <w:t xml:space="preserve">OS = </w:t>
      </w:r>
      <w:r w:rsidR="00D376B9">
        <w:rPr>
          <w:rFonts w:ascii="Arial Narrow" w:hAnsi="Arial Narrow"/>
          <w:sz w:val="18"/>
          <w:szCs w:val="18"/>
        </w:rPr>
        <w:t xml:space="preserve">overall survival </w:t>
      </w:r>
      <w:r>
        <w:rPr>
          <w:rFonts w:ascii="Arial Narrow" w:hAnsi="Arial Narrow"/>
          <w:sz w:val="18"/>
          <w:szCs w:val="18"/>
        </w:rPr>
        <w:t>PSA =</w:t>
      </w:r>
      <w:r w:rsidR="00D376B9">
        <w:rPr>
          <w:rFonts w:ascii="Arial Narrow" w:hAnsi="Arial Narrow"/>
          <w:sz w:val="18"/>
          <w:szCs w:val="18"/>
        </w:rPr>
        <w:t xml:space="preserve"> p</w:t>
      </w:r>
      <w:r w:rsidR="007D1465">
        <w:rPr>
          <w:rFonts w:ascii="Arial Narrow" w:hAnsi="Arial Narrow"/>
          <w:sz w:val="18"/>
          <w:szCs w:val="18"/>
        </w:rPr>
        <w:t>rostate specific antigen</w:t>
      </w:r>
      <w:r w:rsidR="009926F1">
        <w:rPr>
          <w:rFonts w:ascii="Arial Narrow" w:hAnsi="Arial Narrow"/>
          <w:sz w:val="18"/>
          <w:szCs w:val="18"/>
        </w:rPr>
        <w:t>,</w:t>
      </w:r>
      <w:r w:rsidR="00526B6B" w:rsidRPr="004546DF">
        <w:rPr>
          <w:rFonts w:ascii="Arial Narrow" w:hAnsi="Arial Narrow"/>
          <w:sz w:val="18"/>
          <w:szCs w:val="18"/>
        </w:rPr>
        <w:t xml:space="preserve"> </w:t>
      </w:r>
      <w:r>
        <w:rPr>
          <w:rFonts w:ascii="Arial Narrow" w:hAnsi="Arial Narrow"/>
          <w:sz w:val="18"/>
          <w:szCs w:val="18"/>
        </w:rPr>
        <w:t xml:space="preserve">QALY = </w:t>
      </w:r>
      <w:r w:rsidR="007D1465">
        <w:rPr>
          <w:rFonts w:ascii="Arial Narrow" w:hAnsi="Arial Narrow"/>
          <w:sz w:val="18"/>
          <w:szCs w:val="18"/>
        </w:rPr>
        <w:t>quality adjusted life years</w:t>
      </w:r>
      <w:r w:rsidR="009926F1">
        <w:rPr>
          <w:rFonts w:ascii="Arial Narrow" w:hAnsi="Arial Narrow"/>
          <w:sz w:val="18"/>
          <w:szCs w:val="18"/>
        </w:rPr>
        <w:t>,</w:t>
      </w:r>
      <w:r w:rsidR="007D1465">
        <w:rPr>
          <w:rFonts w:ascii="Arial Narrow" w:hAnsi="Arial Narrow"/>
          <w:sz w:val="18"/>
          <w:szCs w:val="18"/>
        </w:rPr>
        <w:t xml:space="preserve"> </w:t>
      </w:r>
      <w:r>
        <w:rPr>
          <w:rFonts w:ascii="Arial Narrow" w:hAnsi="Arial Narrow"/>
          <w:sz w:val="18"/>
          <w:szCs w:val="18"/>
        </w:rPr>
        <w:t xml:space="preserve">RSA = </w:t>
      </w:r>
      <w:r w:rsidR="007D1465">
        <w:rPr>
          <w:rFonts w:ascii="Arial Narrow" w:hAnsi="Arial Narrow"/>
          <w:sz w:val="18"/>
          <w:szCs w:val="18"/>
        </w:rPr>
        <w:t>risk sharing arrang</w:t>
      </w:r>
      <w:r w:rsidR="00663762">
        <w:rPr>
          <w:rFonts w:ascii="Arial Narrow" w:hAnsi="Arial Narrow"/>
          <w:sz w:val="18"/>
          <w:szCs w:val="18"/>
        </w:rPr>
        <w:t>e</w:t>
      </w:r>
      <w:r w:rsidR="007D1465">
        <w:rPr>
          <w:rFonts w:ascii="Arial Narrow" w:hAnsi="Arial Narrow"/>
          <w:sz w:val="18"/>
          <w:szCs w:val="18"/>
        </w:rPr>
        <w:t>ment</w:t>
      </w:r>
    </w:p>
    <w:p w14:paraId="23568649" w14:textId="77777777" w:rsidR="009B7921" w:rsidRPr="009B7921" w:rsidRDefault="009B7921" w:rsidP="00526B6B">
      <w:pPr>
        <w:rPr>
          <w:rFonts w:ascii="Arial Narrow" w:hAnsi="Arial Narrow"/>
          <w:i/>
          <w:sz w:val="18"/>
          <w:szCs w:val="18"/>
        </w:rPr>
      </w:pPr>
      <w:r w:rsidRPr="009B7921">
        <w:rPr>
          <w:rFonts w:ascii="Arial Narrow" w:hAnsi="Arial Narrow"/>
          <w:i/>
          <w:sz w:val="18"/>
          <w:szCs w:val="18"/>
        </w:rPr>
        <w:t xml:space="preserve">The </w:t>
      </w:r>
      <w:r>
        <w:rPr>
          <w:rFonts w:ascii="Arial Narrow" w:hAnsi="Arial Narrow"/>
          <w:i/>
          <w:sz w:val="18"/>
          <w:szCs w:val="18"/>
        </w:rPr>
        <w:t>redacted value</w:t>
      </w:r>
      <w:r w:rsidR="005060EB">
        <w:rPr>
          <w:rFonts w:ascii="Arial Narrow" w:hAnsi="Arial Narrow"/>
          <w:i/>
          <w:sz w:val="18"/>
          <w:szCs w:val="18"/>
        </w:rPr>
        <w:t>s</w:t>
      </w:r>
      <w:r w:rsidRPr="009B7921">
        <w:rPr>
          <w:rFonts w:ascii="Arial Narrow" w:hAnsi="Arial Narrow"/>
          <w:i/>
          <w:sz w:val="18"/>
          <w:szCs w:val="18"/>
        </w:rPr>
        <w:t xml:space="preserve"> correspond to the following range</w:t>
      </w:r>
      <w:r w:rsidR="005060EB">
        <w:rPr>
          <w:rFonts w:ascii="Arial Narrow" w:hAnsi="Arial Narrow"/>
          <w:i/>
          <w:sz w:val="18"/>
          <w:szCs w:val="18"/>
        </w:rPr>
        <w:t>s</w:t>
      </w:r>
      <w:r w:rsidRPr="009B7921">
        <w:rPr>
          <w:rFonts w:ascii="Arial Narrow" w:hAnsi="Arial Narrow"/>
          <w:i/>
          <w:sz w:val="18"/>
          <w:szCs w:val="18"/>
        </w:rPr>
        <w:t>:</w:t>
      </w:r>
    </w:p>
    <w:p w14:paraId="496A59B6" w14:textId="77777777" w:rsidR="009B7921" w:rsidRDefault="009B7921" w:rsidP="00526B6B">
      <w:pPr>
        <w:rPr>
          <w:rFonts w:ascii="Arial Narrow" w:hAnsi="Arial Narrow"/>
          <w:i/>
          <w:sz w:val="18"/>
          <w:szCs w:val="18"/>
        </w:rPr>
      </w:pPr>
      <w:r w:rsidRPr="009B7921">
        <w:rPr>
          <w:rFonts w:ascii="Arial Narrow" w:hAnsi="Arial Narrow"/>
          <w:i/>
          <w:sz w:val="18"/>
          <w:szCs w:val="18"/>
          <w:vertAlign w:val="superscript"/>
        </w:rPr>
        <w:t>1</w:t>
      </w:r>
      <w:r w:rsidRPr="009B7921">
        <w:rPr>
          <w:rFonts w:ascii="Arial Narrow" w:hAnsi="Arial Narrow"/>
          <w:i/>
          <w:sz w:val="18"/>
          <w:szCs w:val="18"/>
        </w:rPr>
        <w:t xml:space="preserve"> $35,000 to &lt; $45,000</w:t>
      </w:r>
    </w:p>
    <w:p w14:paraId="100087FE" w14:textId="77777777" w:rsidR="005060EB" w:rsidRPr="005060EB" w:rsidRDefault="005060EB" w:rsidP="00526B6B">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$200 million to &lt; $300 million</w:t>
      </w:r>
    </w:p>
    <w:p w14:paraId="7F6DCBD3" w14:textId="77777777" w:rsidR="00526B6B" w:rsidRDefault="00526B6B" w:rsidP="00526B6B">
      <w:pPr>
        <w:pStyle w:val="TableFigureFooter"/>
      </w:pPr>
    </w:p>
    <w:p w14:paraId="32315277" w14:textId="77777777" w:rsidR="00337846" w:rsidRPr="00337846" w:rsidRDefault="00337846" w:rsidP="00337846">
      <w:pPr>
        <w:rPr>
          <w:i/>
          <w:iCs/>
        </w:rPr>
      </w:pPr>
      <w:r>
        <w:tab/>
      </w:r>
      <w:r>
        <w:tab/>
      </w:r>
      <w:r>
        <w:tab/>
      </w:r>
      <w:r w:rsidRPr="00337846">
        <w:rPr>
          <w:i/>
          <w:iCs/>
        </w:rPr>
        <w:t>For more detail on PBAC’s view, see section 7 PBAC outcome.</w:t>
      </w:r>
    </w:p>
    <w:p w14:paraId="29357FF7" w14:textId="77777777" w:rsidR="00526B6B" w:rsidRDefault="00526B6B" w:rsidP="00394D79">
      <w:pPr>
        <w:pStyle w:val="2-SectionHeading"/>
        <w:numPr>
          <w:ilvl w:val="0"/>
          <w:numId w:val="1"/>
        </w:numPr>
      </w:pPr>
      <w:bookmarkStart w:id="7" w:name="_Toc82426504"/>
      <w:r w:rsidRPr="00D379EA">
        <w:lastRenderedPageBreak/>
        <w:t>Requested listing</w:t>
      </w:r>
      <w:bookmarkEnd w:id="7"/>
    </w:p>
    <w:tbl>
      <w:tblPr>
        <w:tblW w:w="4963" w:type="pct"/>
        <w:tblCellMar>
          <w:left w:w="28" w:type="dxa"/>
          <w:right w:w="28" w:type="dxa"/>
        </w:tblCellMar>
        <w:tblLook w:val="0000" w:firstRow="0" w:lastRow="0" w:firstColumn="0" w:lastColumn="0" w:noHBand="0" w:noVBand="0"/>
      </w:tblPr>
      <w:tblGrid>
        <w:gridCol w:w="29"/>
        <w:gridCol w:w="1814"/>
        <w:gridCol w:w="358"/>
        <w:gridCol w:w="622"/>
        <w:gridCol w:w="471"/>
        <w:gridCol w:w="246"/>
        <w:gridCol w:w="747"/>
        <w:gridCol w:w="143"/>
        <w:gridCol w:w="706"/>
        <w:gridCol w:w="1647"/>
        <w:gridCol w:w="444"/>
        <w:gridCol w:w="1710"/>
        <w:gridCol w:w="23"/>
      </w:tblGrid>
      <w:tr w:rsidR="00526B6B" w:rsidRPr="00D379EA" w14:paraId="73609E33" w14:textId="77777777" w:rsidTr="004767A5">
        <w:trPr>
          <w:gridBefore w:val="1"/>
          <w:gridAfter w:val="1"/>
          <w:wBefore w:w="16" w:type="pct"/>
          <w:wAfter w:w="13" w:type="pct"/>
          <w:cantSplit/>
          <w:trHeight w:val="463"/>
        </w:trPr>
        <w:tc>
          <w:tcPr>
            <w:tcW w:w="1559" w:type="pct"/>
            <w:gridSpan w:val="3"/>
            <w:tcBorders>
              <w:top w:val="single" w:sz="4" w:space="0" w:color="auto"/>
              <w:bottom w:val="single" w:sz="4" w:space="0" w:color="auto"/>
            </w:tcBorders>
            <w:vAlign w:val="center"/>
          </w:tcPr>
          <w:p w14:paraId="047AED51" w14:textId="77777777" w:rsidR="00526B6B" w:rsidRPr="00D379EA" w:rsidRDefault="00526B6B" w:rsidP="00394D79">
            <w:pPr>
              <w:keepNext/>
              <w:jc w:val="left"/>
              <w:rPr>
                <w:rFonts w:ascii="Arial Narrow" w:hAnsi="Arial Narrow"/>
                <w:b/>
                <w:sz w:val="20"/>
              </w:rPr>
            </w:pPr>
            <w:r w:rsidRPr="00D379EA">
              <w:rPr>
                <w:rFonts w:ascii="Arial Narrow" w:hAnsi="Arial Narrow"/>
                <w:b/>
                <w:sz w:val="20"/>
              </w:rPr>
              <w:t>Name, Restriction,</w:t>
            </w:r>
          </w:p>
          <w:p w14:paraId="7AEEF3F2" w14:textId="77777777" w:rsidR="00526B6B" w:rsidRPr="00D379EA" w:rsidRDefault="00526B6B" w:rsidP="00394D79">
            <w:pPr>
              <w:keepNext/>
              <w:jc w:val="left"/>
              <w:rPr>
                <w:rFonts w:ascii="Arial Narrow" w:hAnsi="Arial Narrow"/>
                <w:b/>
                <w:sz w:val="20"/>
              </w:rPr>
            </w:pPr>
            <w:r w:rsidRPr="00D379EA">
              <w:rPr>
                <w:rFonts w:ascii="Arial Narrow" w:hAnsi="Arial Narrow"/>
                <w:b/>
                <w:sz w:val="20"/>
              </w:rPr>
              <w:t>Manner of administration and form</w:t>
            </w:r>
          </w:p>
        </w:tc>
        <w:tc>
          <w:tcPr>
            <w:tcW w:w="400" w:type="pct"/>
            <w:gridSpan w:val="2"/>
            <w:tcBorders>
              <w:top w:val="single" w:sz="4" w:space="0" w:color="auto"/>
              <w:bottom w:val="single" w:sz="4" w:space="0" w:color="auto"/>
            </w:tcBorders>
            <w:vAlign w:val="center"/>
          </w:tcPr>
          <w:p w14:paraId="3C117B9B" w14:textId="77777777" w:rsidR="00526B6B" w:rsidRPr="00D379EA" w:rsidRDefault="00526B6B" w:rsidP="00394D79">
            <w:pPr>
              <w:keepNext/>
              <w:jc w:val="center"/>
              <w:rPr>
                <w:rFonts w:ascii="Arial Narrow" w:hAnsi="Arial Narrow"/>
                <w:b/>
                <w:sz w:val="20"/>
              </w:rPr>
            </w:pPr>
            <w:r w:rsidRPr="00D379EA">
              <w:rPr>
                <w:rFonts w:ascii="Arial Narrow" w:hAnsi="Arial Narrow"/>
                <w:b/>
                <w:sz w:val="20"/>
              </w:rPr>
              <w:t>Max.</w:t>
            </w:r>
          </w:p>
          <w:p w14:paraId="05BFCA58" w14:textId="77777777" w:rsidR="00526B6B" w:rsidRPr="00D379EA" w:rsidRDefault="00526B6B" w:rsidP="00394D79">
            <w:pPr>
              <w:keepNext/>
              <w:jc w:val="center"/>
              <w:rPr>
                <w:rFonts w:ascii="Arial Narrow" w:hAnsi="Arial Narrow"/>
                <w:b/>
                <w:sz w:val="20"/>
              </w:rPr>
            </w:pPr>
            <w:r w:rsidRPr="00D379EA">
              <w:rPr>
                <w:rFonts w:ascii="Arial Narrow" w:hAnsi="Arial Narrow"/>
                <w:b/>
                <w:sz w:val="20"/>
              </w:rPr>
              <w:t>Qty</w:t>
            </w:r>
          </w:p>
        </w:tc>
        <w:tc>
          <w:tcPr>
            <w:tcW w:w="497" w:type="pct"/>
            <w:gridSpan w:val="2"/>
            <w:tcBorders>
              <w:top w:val="single" w:sz="4" w:space="0" w:color="auto"/>
              <w:bottom w:val="single" w:sz="4" w:space="0" w:color="auto"/>
            </w:tcBorders>
            <w:vAlign w:val="center"/>
          </w:tcPr>
          <w:p w14:paraId="29C24E10" w14:textId="77777777" w:rsidR="00526B6B" w:rsidRPr="00D379EA" w:rsidRDefault="00526B6B" w:rsidP="00394D79">
            <w:pPr>
              <w:keepNext/>
              <w:jc w:val="center"/>
              <w:rPr>
                <w:rFonts w:ascii="Arial Narrow" w:hAnsi="Arial Narrow"/>
                <w:b/>
                <w:sz w:val="20"/>
              </w:rPr>
            </w:pPr>
            <w:r w:rsidRPr="00D379EA">
              <w:rPr>
                <w:rFonts w:ascii="Arial Narrow" w:hAnsi="Arial Narrow"/>
                <w:b/>
                <w:sz w:val="20"/>
              </w:rPr>
              <w:t>№.of</w:t>
            </w:r>
          </w:p>
          <w:p w14:paraId="1E398937" w14:textId="77777777" w:rsidR="00526B6B" w:rsidRPr="00D379EA" w:rsidRDefault="00526B6B" w:rsidP="00394D79">
            <w:pPr>
              <w:keepNext/>
              <w:jc w:val="center"/>
              <w:rPr>
                <w:rFonts w:ascii="Arial Narrow" w:hAnsi="Arial Narrow"/>
                <w:b/>
                <w:sz w:val="20"/>
              </w:rPr>
            </w:pPr>
            <w:r w:rsidRPr="00D379EA">
              <w:rPr>
                <w:rFonts w:ascii="Arial Narrow" w:hAnsi="Arial Narrow"/>
                <w:b/>
                <w:sz w:val="20"/>
              </w:rPr>
              <w:t>Rpts</w:t>
            </w:r>
          </w:p>
        </w:tc>
        <w:tc>
          <w:tcPr>
            <w:tcW w:w="1313" w:type="pct"/>
            <w:gridSpan w:val="2"/>
            <w:tcBorders>
              <w:top w:val="single" w:sz="4" w:space="0" w:color="auto"/>
              <w:bottom w:val="single" w:sz="4" w:space="0" w:color="auto"/>
            </w:tcBorders>
            <w:vAlign w:val="center"/>
          </w:tcPr>
          <w:p w14:paraId="2051CECF" w14:textId="77777777" w:rsidR="00526B6B" w:rsidRPr="00D379EA" w:rsidRDefault="00526B6B" w:rsidP="00394D79">
            <w:pPr>
              <w:keepNext/>
              <w:jc w:val="center"/>
              <w:rPr>
                <w:rFonts w:ascii="Arial Narrow" w:hAnsi="Arial Narrow"/>
                <w:b/>
                <w:sz w:val="20"/>
              </w:rPr>
            </w:pPr>
            <w:r w:rsidRPr="00D379EA">
              <w:rPr>
                <w:rFonts w:ascii="Arial Narrow" w:hAnsi="Arial Narrow"/>
                <w:b/>
                <w:sz w:val="20"/>
              </w:rPr>
              <w:t>Dispensed Price for Max. Qty</w:t>
            </w:r>
          </w:p>
        </w:tc>
        <w:tc>
          <w:tcPr>
            <w:tcW w:w="1202" w:type="pct"/>
            <w:gridSpan w:val="2"/>
            <w:tcBorders>
              <w:top w:val="single" w:sz="4" w:space="0" w:color="auto"/>
              <w:bottom w:val="single" w:sz="4" w:space="0" w:color="auto"/>
            </w:tcBorders>
            <w:vAlign w:val="center"/>
          </w:tcPr>
          <w:p w14:paraId="7D77AE24" w14:textId="77777777" w:rsidR="00526B6B" w:rsidRPr="00D379EA" w:rsidRDefault="00526B6B" w:rsidP="00394D79">
            <w:pPr>
              <w:keepNext/>
              <w:jc w:val="center"/>
              <w:rPr>
                <w:rFonts w:ascii="Arial Narrow" w:hAnsi="Arial Narrow"/>
                <w:b/>
                <w:sz w:val="20"/>
              </w:rPr>
            </w:pPr>
            <w:r w:rsidRPr="00D379EA">
              <w:rPr>
                <w:rFonts w:ascii="Arial Narrow" w:hAnsi="Arial Narrow"/>
                <w:b/>
                <w:sz w:val="20"/>
              </w:rPr>
              <w:t>Proprietary Name and Manufacturer</w:t>
            </w:r>
          </w:p>
        </w:tc>
      </w:tr>
      <w:tr w:rsidR="00526B6B" w:rsidRPr="004546DF" w14:paraId="7CA00873" w14:textId="77777777" w:rsidTr="004767A5">
        <w:tblPrEx>
          <w:tblBorders>
            <w:top w:val="single" w:sz="4" w:space="0" w:color="auto"/>
            <w:bottom w:val="single" w:sz="4" w:space="0" w:color="auto"/>
            <w:insideH w:val="single" w:sz="4" w:space="0" w:color="auto"/>
          </w:tblBorders>
          <w:tblLook w:val="04A0" w:firstRow="1" w:lastRow="0" w:firstColumn="1" w:lastColumn="0" w:noHBand="0" w:noVBand="1"/>
        </w:tblPrEx>
        <w:tc>
          <w:tcPr>
            <w:tcW w:w="1228" w:type="pct"/>
            <w:gridSpan w:val="3"/>
            <w:shd w:val="clear" w:color="auto" w:fill="auto"/>
            <w:vAlign w:val="center"/>
          </w:tcPr>
          <w:p w14:paraId="5CA205EF" w14:textId="77777777" w:rsidR="00526B6B" w:rsidRPr="00204679" w:rsidRDefault="00526B6B" w:rsidP="00394D79">
            <w:pPr>
              <w:pStyle w:val="Tabletext"/>
              <w:keepNext/>
              <w:shd w:val="clear" w:color="auto" w:fill="FFFFFF" w:themeFill="background1"/>
            </w:pPr>
            <w:r w:rsidRPr="00204679">
              <w:t>APALUTAMIDE</w:t>
            </w:r>
          </w:p>
          <w:p w14:paraId="4ECA81F5" w14:textId="77777777" w:rsidR="00526B6B" w:rsidRDefault="00526B6B" w:rsidP="00394D79">
            <w:pPr>
              <w:pStyle w:val="Tabletext"/>
              <w:keepNext/>
              <w:shd w:val="clear" w:color="auto" w:fill="FFFFFF" w:themeFill="background1"/>
            </w:pPr>
            <w:r w:rsidRPr="00204679">
              <w:t xml:space="preserve">Tablet, 60 mg </w:t>
            </w:r>
          </w:p>
          <w:p w14:paraId="49E86F91" w14:textId="77777777" w:rsidR="00394D79" w:rsidRPr="00204679" w:rsidRDefault="00394D79" w:rsidP="00394D79">
            <w:pPr>
              <w:pStyle w:val="Tabletext"/>
              <w:keepNext/>
              <w:shd w:val="clear" w:color="auto" w:fill="FFFFFF" w:themeFill="background1"/>
              <w:rPr>
                <w:b/>
                <w:bCs/>
              </w:rPr>
            </w:pPr>
          </w:p>
        </w:tc>
        <w:tc>
          <w:tcPr>
            <w:tcW w:w="610" w:type="pct"/>
            <w:gridSpan w:val="2"/>
            <w:shd w:val="clear" w:color="auto" w:fill="auto"/>
            <w:vAlign w:val="center"/>
          </w:tcPr>
          <w:p w14:paraId="750CE62A" w14:textId="77777777" w:rsidR="00526B6B" w:rsidRPr="00204679" w:rsidRDefault="00526B6B" w:rsidP="00394D79">
            <w:pPr>
              <w:pStyle w:val="Tabletext"/>
              <w:keepNext/>
              <w:shd w:val="clear" w:color="auto" w:fill="FFFFFF" w:themeFill="background1"/>
              <w:rPr>
                <w:rFonts w:ascii="Times" w:hAnsi="Times"/>
              </w:rPr>
            </w:pPr>
            <w:r w:rsidRPr="00204679">
              <w:t>1</w:t>
            </w:r>
          </w:p>
        </w:tc>
        <w:tc>
          <w:tcPr>
            <w:tcW w:w="554" w:type="pct"/>
            <w:gridSpan w:val="2"/>
            <w:shd w:val="clear" w:color="auto" w:fill="auto"/>
            <w:vAlign w:val="center"/>
          </w:tcPr>
          <w:p w14:paraId="0AE6C6F5" w14:textId="77777777" w:rsidR="00526B6B" w:rsidRPr="00204679" w:rsidRDefault="00526B6B" w:rsidP="00394D79">
            <w:pPr>
              <w:pStyle w:val="Tabletext"/>
              <w:keepNext/>
              <w:shd w:val="clear" w:color="auto" w:fill="FFFFFF" w:themeFill="background1"/>
              <w:rPr>
                <w:rFonts w:ascii="Times" w:hAnsi="Times"/>
              </w:rPr>
            </w:pPr>
            <w:r w:rsidRPr="00204679">
              <w:t>120</w:t>
            </w:r>
          </w:p>
        </w:tc>
        <w:tc>
          <w:tcPr>
            <w:tcW w:w="474" w:type="pct"/>
            <w:gridSpan w:val="2"/>
            <w:shd w:val="clear" w:color="auto" w:fill="auto"/>
            <w:vAlign w:val="center"/>
          </w:tcPr>
          <w:p w14:paraId="526B557B" w14:textId="77777777" w:rsidR="00526B6B" w:rsidRPr="00204679" w:rsidRDefault="00526B6B" w:rsidP="00394D79">
            <w:pPr>
              <w:pStyle w:val="Tabletext"/>
              <w:keepNext/>
              <w:shd w:val="clear" w:color="auto" w:fill="FFFFFF" w:themeFill="background1"/>
              <w:rPr>
                <w:rFonts w:ascii="Times" w:hAnsi="Times"/>
              </w:rPr>
            </w:pPr>
            <w:r w:rsidRPr="00204679">
              <w:t>5</w:t>
            </w:r>
          </w:p>
        </w:tc>
        <w:tc>
          <w:tcPr>
            <w:tcW w:w="1167" w:type="pct"/>
            <w:gridSpan w:val="2"/>
            <w:shd w:val="clear" w:color="auto" w:fill="auto"/>
            <w:vAlign w:val="center"/>
          </w:tcPr>
          <w:p w14:paraId="7ABB3D86" w14:textId="77777777" w:rsidR="00526B6B" w:rsidRPr="00204679" w:rsidRDefault="00526B6B" w:rsidP="00CE3EC2">
            <w:pPr>
              <w:pStyle w:val="Tabletext"/>
              <w:keepNext/>
              <w:rPr>
                <w:iCs/>
              </w:rPr>
            </w:pPr>
            <w:r w:rsidRPr="00204679">
              <w:rPr>
                <w:iCs/>
              </w:rPr>
              <w:t>$</w:t>
            </w:r>
            <w:r w:rsidR="00E61E4A">
              <w:rPr>
                <w:iCs/>
                <w:noProof/>
                <w:color w:val="000000"/>
                <w:highlight w:val="black"/>
              </w:rPr>
              <w:t>'''''''''''''''''''''</w:t>
            </w:r>
            <w:r w:rsidRPr="00204679">
              <w:rPr>
                <w:iCs/>
              </w:rPr>
              <w:t xml:space="preserve"> published price</w:t>
            </w:r>
          </w:p>
          <w:p w14:paraId="7C3448D1" w14:textId="77777777" w:rsidR="00526B6B" w:rsidRPr="00204679" w:rsidRDefault="00526B6B" w:rsidP="00394D79">
            <w:pPr>
              <w:pStyle w:val="Tabletext"/>
              <w:keepNext/>
              <w:shd w:val="clear" w:color="auto" w:fill="FFFFFF" w:themeFill="background1"/>
              <w:rPr>
                <w:rFonts w:ascii="Times" w:hAnsi="Times"/>
              </w:rPr>
            </w:pPr>
            <w:r w:rsidRPr="00204679">
              <w:rPr>
                <w:iCs/>
              </w:rPr>
              <w:t>$</w:t>
            </w:r>
            <w:r w:rsidR="00E61E4A">
              <w:rPr>
                <w:iCs/>
                <w:noProof/>
                <w:color w:val="000000"/>
                <w:highlight w:val="black"/>
              </w:rPr>
              <w:t>''''''''''''''''''''</w:t>
            </w:r>
            <w:r w:rsidRPr="00204679">
              <w:rPr>
                <w:iCs/>
              </w:rPr>
              <w:t xml:space="preserve"> effective price</w:t>
            </w:r>
          </w:p>
        </w:tc>
        <w:tc>
          <w:tcPr>
            <w:tcW w:w="967" w:type="pct"/>
            <w:gridSpan w:val="2"/>
            <w:shd w:val="clear" w:color="auto" w:fill="auto"/>
            <w:vAlign w:val="center"/>
          </w:tcPr>
          <w:p w14:paraId="7CDA85F7" w14:textId="77777777" w:rsidR="00526B6B" w:rsidRPr="00204679" w:rsidRDefault="00526B6B" w:rsidP="00394D79">
            <w:pPr>
              <w:pStyle w:val="Tabletext"/>
              <w:keepNext/>
              <w:shd w:val="clear" w:color="auto" w:fill="FFFFFF" w:themeFill="background1"/>
            </w:pPr>
            <w:r w:rsidRPr="00204679">
              <w:t>Eryland</w:t>
            </w:r>
            <w:r w:rsidRPr="00204679">
              <w:rPr>
                <w:vertAlign w:val="superscript"/>
              </w:rPr>
              <w:t>®</w:t>
            </w:r>
            <w:r w:rsidRPr="00204679">
              <w:t xml:space="preserve">, </w:t>
            </w:r>
          </w:p>
          <w:p w14:paraId="6652414D" w14:textId="77777777" w:rsidR="00526B6B" w:rsidRPr="00972544" w:rsidRDefault="00526B6B" w:rsidP="00394D79">
            <w:pPr>
              <w:pStyle w:val="Tabletext"/>
              <w:keepNext/>
              <w:shd w:val="clear" w:color="auto" w:fill="FFFFFF" w:themeFill="background1"/>
              <w:rPr>
                <w:rFonts w:ascii="Times" w:hAnsi="Times"/>
              </w:rPr>
            </w:pPr>
            <w:r w:rsidRPr="00204679">
              <w:t>Janssen-Cilag Pty Ltd</w:t>
            </w:r>
          </w:p>
        </w:tc>
      </w:tr>
      <w:tr w:rsidR="00526B6B" w:rsidRPr="00D379EA" w14:paraId="01C7B459"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1300C" w14:textId="77777777" w:rsidR="00526B6B" w:rsidRPr="00D379EA" w:rsidRDefault="00526B6B" w:rsidP="00394D79">
            <w:pPr>
              <w:pStyle w:val="Tabletext"/>
              <w:keepNext/>
            </w:pPr>
            <w:r w:rsidRPr="00D379EA">
              <w:rPr>
                <w:rFonts w:eastAsia="Calibri"/>
                <w:b/>
                <w:szCs w:val="20"/>
              </w:rPr>
              <w:t>Category/ Program</w:t>
            </w:r>
          </w:p>
        </w:tc>
        <w:tc>
          <w:tcPr>
            <w:tcW w:w="395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B4CF108" w14:textId="77777777" w:rsidR="00526B6B" w:rsidRPr="00D379EA" w:rsidRDefault="00526B6B" w:rsidP="00394D79">
            <w:pPr>
              <w:pStyle w:val="Tabletext"/>
              <w:keepNext/>
            </w:pPr>
            <w:r w:rsidRPr="00D379EA">
              <w:rPr>
                <w:rFonts w:eastAsia="Calibri"/>
                <w:szCs w:val="20"/>
              </w:rPr>
              <w:t>GENERAL – General Schedule (GE)</w:t>
            </w:r>
          </w:p>
        </w:tc>
      </w:tr>
      <w:tr w:rsidR="00526B6B" w:rsidRPr="00D379EA" w14:paraId="6AFD9718"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E784C" w14:textId="77777777" w:rsidR="00526B6B" w:rsidRPr="00D379EA" w:rsidRDefault="00526B6B" w:rsidP="00394D79">
            <w:pPr>
              <w:pStyle w:val="Tabletext"/>
              <w:keepNext/>
            </w:pPr>
            <w:r w:rsidRPr="00D379EA">
              <w:rPr>
                <w:rFonts w:eastAsia="Calibri"/>
                <w:b/>
                <w:szCs w:val="20"/>
              </w:rPr>
              <w:t>Prescriber type</w:t>
            </w:r>
          </w:p>
        </w:tc>
        <w:tc>
          <w:tcPr>
            <w:tcW w:w="395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39DDC4" w14:textId="77777777" w:rsidR="00526B6B" w:rsidRPr="00D379EA" w:rsidRDefault="00526B6B" w:rsidP="00394D79">
            <w:pPr>
              <w:pStyle w:val="Tabletext"/>
              <w:keepNext/>
            </w:pPr>
            <w:r w:rsidRPr="00D379EA">
              <w:rPr>
                <w:rFonts w:eastAsia="Calibri"/>
                <w:szCs w:val="20"/>
              </w:rPr>
              <w:t>Medical Practitioners</w:t>
            </w:r>
          </w:p>
        </w:tc>
      </w:tr>
      <w:tr w:rsidR="00526B6B" w:rsidRPr="00D379EA" w14:paraId="4C9146AA"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A6D54" w14:textId="77777777" w:rsidR="00526B6B" w:rsidRPr="00D379EA" w:rsidRDefault="00526B6B" w:rsidP="00394D79">
            <w:pPr>
              <w:pStyle w:val="Tabletext"/>
              <w:keepNext/>
            </w:pPr>
            <w:r w:rsidRPr="00D379EA">
              <w:rPr>
                <w:rFonts w:eastAsia="Calibri"/>
                <w:b/>
                <w:szCs w:val="20"/>
              </w:rPr>
              <w:t>Condition</w:t>
            </w:r>
          </w:p>
        </w:tc>
        <w:tc>
          <w:tcPr>
            <w:tcW w:w="395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6101DD" w14:textId="77777777" w:rsidR="00526B6B" w:rsidRPr="00D379EA" w:rsidRDefault="00526B6B" w:rsidP="00394D79">
            <w:pPr>
              <w:pStyle w:val="Tabletext"/>
              <w:keepNext/>
            </w:pPr>
            <w:r w:rsidRPr="00D379EA">
              <w:rPr>
                <w:rFonts w:eastAsia="Calibri"/>
                <w:szCs w:val="20"/>
              </w:rPr>
              <w:t>Castration resistant carcinoma of the prostate</w:t>
            </w:r>
          </w:p>
        </w:tc>
      </w:tr>
      <w:tr w:rsidR="00526B6B" w:rsidRPr="00D379EA" w14:paraId="0C5C6E18"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0B741" w14:textId="77777777" w:rsidR="00526B6B" w:rsidRPr="00D379EA" w:rsidRDefault="00526B6B" w:rsidP="00394D79">
            <w:pPr>
              <w:pStyle w:val="Tabletext"/>
              <w:keepNext/>
            </w:pPr>
            <w:r w:rsidRPr="00D379EA">
              <w:rPr>
                <w:rFonts w:eastAsia="Calibri"/>
                <w:b/>
                <w:szCs w:val="20"/>
              </w:rPr>
              <w:t>PBS indication</w:t>
            </w:r>
          </w:p>
        </w:tc>
        <w:tc>
          <w:tcPr>
            <w:tcW w:w="395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932E1A" w14:textId="77777777" w:rsidR="00526B6B" w:rsidRPr="00D379EA" w:rsidRDefault="00526B6B" w:rsidP="00394D79">
            <w:pPr>
              <w:pStyle w:val="Tabletext"/>
              <w:keepNext/>
            </w:pPr>
            <w:r w:rsidRPr="00D379EA">
              <w:rPr>
                <w:rFonts w:eastAsia="Calibri"/>
                <w:szCs w:val="20"/>
              </w:rPr>
              <w:t>Castration resistant carcinoma of the prostate</w:t>
            </w:r>
          </w:p>
        </w:tc>
      </w:tr>
      <w:tr w:rsidR="00526B6B" w:rsidRPr="00D379EA" w14:paraId="2A297A90"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84F9B" w14:textId="77777777" w:rsidR="00526B6B" w:rsidRPr="00D379EA" w:rsidRDefault="00526B6B" w:rsidP="004767A5">
            <w:pPr>
              <w:pStyle w:val="Tabletext"/>
            </w:pPr>
            <w:r w:rsidRPr="00D379EA">
              <w:rPr>
                <w:b/>
              </w:rPr>
              <w:t>Restriction:</w:t>
            </w:r>
          </w:p>
        </w:tc>
        <w:tc>
          <w:tcPr>
            <w:tcW w:w="395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12D2AF" w14:textId="77777777" w:rsidR="00526B6B" w:rsidRPr="00D379EA" w:rsidRDefault="00526B6B" w:rsidP="004767A5">
            <w:pPr>
              <w:pStyle w:val="Tabletext"/>
            </w:pPr>
            <w:r w:rsidRPr="00D379EA">
              <w:fldChar w:fldCharType="begin">
                <w:ffData>
                  <w:name w:val=""/>
                  <w:enabled/>
                  <w:calcOnExit w:val="0"/>
                  <w:checkBox>
                    <w:sizeAuto/>
                    <w:default w:val="1"/>
                  </w:checkBox>
                </w:ffData>
              </w:fldChar>
            </w:r>
            <w:r w:rsidRPr="00D379EA">
              <w:instrText xml:space="preserve"> FORMCHECKBOX </w:instrText>
            </w:r>
            <w:r w:rsidR="00F86915">
              <w:fldChar w:fldCharType="separate"/>
            </w:r>
            <w:r w:rsidRPr="00D379EA">
              <w:fldChar w:fldCharType="end"/>
            </w:r>
            <w:r w:rsidRPr="00D379EA">
              <w:t>Authority Required - Telephone</w:t>
            </w:r>
          </w:p>
        </w:tc>
      </w:tr>
      <w:tr w:rsidR="00526B6B" w:rsidRPr="00D379EA" w14:paraId="734ABD8B"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FAAE0" w14:textId="77777777" w:rsidR="00526B6B" w:rsidRPr="00D379EA" w:rsidRDefault="00526B6B" w:rsidP="004767A5">
            <w:pPr>
              <w:pStyle w:val="Tabletext"/>
            </w:pPr>
            <w:r w:rsidRPr="00D379EA">
              <w:rPr>
                <w:b/>
              </w:rPr>
              <w:t>Treatment phase:</w:t>
            </w:r>
          </w:p>
        </w:tc>
        <w:tc>
          <w:tcPr>
            <w:tcW w:w="395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5B0E91" w14:textId="77777777" w:rsidR="00526B6B" w:rsidRPr="00D379EA" w:rsidRDefault="00526B6B" w:rsidP="004767A5">
            <w:pPr>
              <w:pStyle w:val="Tabletext"/>
            </w:pPr>
            <w:r w:rsidRPr="00D379EA">
              <w:t>Initial</w:t>
            </w:r>
          </w:p>
        </w:tc>
      </w:tr>
      <w:tr w:rsidR="00526B6B" w:rsidRPr="00D379EA" w14:paraId="3DE2D4BF"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single" w:sz="4" w:space="0" w:color="auto"/>
              <w:left w:val="single" w:sz="4" w:space="0" w:color="auto"/>
              <w:bottom w:val="double" w:sz="4" w:space="0" w:color="auto"/>
              <w:right w:val="single" w:sz="4" w:space="0" w:color="auto"/>
            </w:tcBorders>
            <w:shd w:val="clear" w:color="auto" w:fill="auto"/>
            <w:vAlign w:val="center"/>
          </w:tcPr>
          <w:p w14:paraId="15567AC7" w14:textId="77777777" w:rsidR="00526B6B" w:rsidRPr="00D379EA" w:rsidRDefault="00526B6B" w:rsidP="004767A5">
            <w:pPr>
              <w:pStyle w:val="Tabletext"/>
            </w:pPr>
            <w:r w:rsidRPr="00D379EA">
              <w:rPr>
                <w:b/>
              </w:rPr>
              <w:t>Clinical criteria:</w:t>
            </w:r>
          </w:p>
        </w:tc>
        <w:tc>
          <w:tcPr>
            <w:tcW w:w="3959" w:type="pct"/>
            <w:gridSpan w:val="10"/>
            <w:tcBorders>
              <w:top w:val="single" w:sz="4" w:space="0" w:color="auto"/>
              <w:left w:val="single" w:sz="4" w:space="0" w:color="auto"/>
              <w:bottom w:val="double" w:sz="4" w:space="0" w:color="auto"/>
              <w:right w:val="single" w:sz="4" w:space="0" w:color="auto"/>
            </w:tcBorders>
            <w:shd w:val="clear" w:color="auto" w:fill="auto"/>
            <w:vAlign w:val="center"/>
          </w:tcPr>
          <w:p w14:paraId="31B0F2BE" w14:textId="77777777" w:rsidR="00526B6B" w:rsidRPr="00D379EA" w:rsidRDefault="00526B6B" w:rsidP="00CE3EC2">
            <w:pPr>
              <w:rPr>
                <w:rFonts w:ascii="Arial Narrow" w:eastAsia="Calibri" w:hAnsi="Arial Narrow"/>
                <w:sz w:val="20"/>
                <w:szCs w:val="20"/>
              </w:rPr>
            </w:pPr>
            <w:r w:rsidRPr="00D379EA">
              <w:rPr>
                <w:rFonts w:ascii="Arial Narrow" w:eastAsia="Calibri" w:hAnsi="Arial Narrow"/>
                <w:sz w:val="20"/>
                <w:szCs w:val="20"/>
              </w:rPr>
              <w:t>Patient must not have distant metastasis on conventional imaging</w:t>
            </w:r>
          </w:p>
          <w:p w14:paraId="6C5D43AE" w14:textId="77777777" w:rsidR="00526B6B" w:rsidRPr="00D379EA" w:rsidRDefault="00526B6B" w:rsidP="00CE3EC2">
            <w:pPr>
              <w:rPr>
                <w:rFonts w:ascii="Arial Narrow" w:eastAsia="Calibri" w:hAnsi="Arial Narrow"/>
                <w:sz w:val="20"/>
                <w:szCs w:val="20"/>
              </w:rPr>
            </w:pPr>
            <w:r w:rsidRPr="00D379EA">
              <w:rPr>
                <w:rFonts w:ascii="Arial Narrow" w:eastAsia="Calibri" w:hAnsi="Arial Narrow"/>
                <w:sz w:val="20"/>
                <w:szCs w:val="20"/>
              </w:rPr>
              <w:t>AND</w:t>
            </w:r>
          </w:p>
          <w:p w14:paraId="50FA5030" w14:textId="77777777" w:rsidR="00526B6B" w:rsidRPr="00D379EA" w:rsidRDefault="00526B6B" w:rsidP="00CE3EC2">
            <w:pPr>
              <w:rPr>
                <w:rFonts w:ascii="Arial Narrow" w:eastAsia="Calibri" w:hAnsi="Arial Narrow"/>
                <w:sz w:val="20"/>
                <w:szCs w:val="20"/>
              </w:rPr>
            </w:pPr>
            <w:r w:rsidRPr="00D379EA">
              <w:rPr>
                <w:rFonts w:ascii="Arial Narrow" w:eastAsia="Calibri" w:hAnsi="Arial Narrow"/>
                <w:sz w:val="20"/>
                <w:szCs w:val="20"/>
              </w:rPr>
              <w:t>Treatment must be used in combination with androgen deprivation therapy</w:t>
            </w:r>
          </w:p>
          <w:p w14:paraId="2DE32385" w14:textId="77777777" w:rsidR="00526B6B" w:rsidRPr="00D379EA" w:rsidRDefault="00526B6B" w:rsidP="00CE3EC2">
            <w:pPr>
              <w:rPr>
                <w:rFonts w:ascii="Arial Narrow" w:eastAsia="Calibri" w:hAnsi="Arial Narrow"/>
                <w:sz w:val="20"/>
                <w:szCs w:val="20"/>
              </w:rPr>
            </w:pPr>
            <w:r w:rsidRPr="00D379EA">
              <w:rPr>
                <w:rFonts w:ascii="Arial Narrow" w:eastAsia="Calibri" w:hAnsi="Arial Narrow"/>
                <w:sz w:val="20"/>
                <w:szCs w:val="20"/>
              </w:rPr>
              <w:t>AND</w:t>
            </w:r>
          </w:p>
          <w:p w14:paraId="7DD6763C" w14:textId="77777777" w:rsidR="00526B6B" w:rsidRPr="00D379EA" w:rsidRDefault="00526B6B" w:rsidP="00CE3EC2">
            <w:pPr>
              <w:rPr>
                <w:rFonts w:ascii="Arial Narrow" w:eastAsia="Calibri" w:hAnsi="Arial Narrow"/>
                <w:sz w:val="20"/>
                <w:szCs w:val="20"/>
              </w:rPr>
            </w:pPr>
            <w:r w:rsidRPr="00D379EA">
              <w:rPr>
                <w:rFonts w:ascii="Arial Narrow" w:eastAsia="Calibri" w:hAnsi="Arial Narrow"/>
                <w:sz w:val="20"/>
                <w:szCs w:val="20"/>
              </w:rPr>
              <w:t>Patient must have a PSA doubling time of 10 months or less</w:t>
            </w:r>
          </w:p>
          <w:p w14:paraId="2782E298" w14:textId="77777777" w:rsidR="00526B6B" w:rsidRDefault="00526B6B" w:rsidP="00CE3EC2">
            <w:pPr>
              <w:rPr>
                <w:rFonts w:ascii="Arial Narrow" w:eastAsia="Calibri" w:hAnsi="Arial Narrow"/>
                <w:sz w:val="20"/>
                <w:szCs w:val="20"/>
              </w:rPr>
            </w:pPr>
            <w:r w:rsidRPr="00D379EA">
              <w:rPr>
                <w:rFonts w:ascii="Arial Narrow" w:eastAsia="Calibri" w:hAnsi="Arial Narrow"/>
                <w:sz w:val="20"/>
                <w:szCs w:val="20"/>
              </w:rPr>
              <w:t>AND</w:t>
            </w:r>
          </w:p>
          <w:p w14:paraId="633BB25D" w14:textId="77777777" w:rsidR="00526B6B" w:rsidRPr="004546DF" w:rsidRDefault="00526B6B" w:rsidP="004767A5">
            <w:pPr>
              <w:rPr>
                <w:rFonts w:ascii="Arial Narrow" w:eastAsia="Calibri" w:hAnsi="Arial Narrow"/>
                <w:sz w:val="20"/>
                <w:szCs w:val="20"/>
              </w:rPr>
            </w:pPr>
            <w:r w:rsidRPr="004546DF">
              <w:rPr>
                <w:rFonts w:ascii="Arial Narrow" w:eastAsia="Calibri" w:hAnsi="Arial Narrow"/>
                <w:sz w:val="20"/>
                <w:szCs w:val="20"/>
              </w:rPr>
              <w:t>Patient must have a PSA level of at least 2 ng/mL</w:t>
            </w:r>
          </w:p>
          <w:p w14:paraId="04368F20" w14:textId="77777777" w:rsidR="00526B6B" w:rsidRPr="00D379EA" w:rsidRDefault="00526B6B" w:rsidP="004767A5">
            <w:pPr>
              <w:rPr>
                <w:rFonts w:ascii="Arial Narrow" w:eastAsia="Calibri" w:hAnsi="Arial Narrow"/>
                <w:sz w:val="20"/>
                <w:szCs w:val="20"/>
              </w:rPr>
            </w:pPr>
            <w:r>
              <w:rPr>
                <w:rFonts w:ascii="Arial Narrow" w:eastAsia="Calibri" w:hAnsi="Arial Narrow"/>
                <w:sz w:val="20"/>
                <w:szCs w:val="20"/>
              </w:rPr>
              <w:t>AND</w:t>
            </w:r>
          </w:p>
          <w:p w14:paraId="3C1D8356" w14:textId="77777777" w:rsidR="00526B6B" w:rsidRPr="00D379EA" w:rsidRDefault="00526B6B" w:rsidP="00CE3EC2">
            <w:pPr>
              <w:rPr>
                <w:rFonts w:ascii="Arial Narrow" w:eastAsia="Calibri" w:hAnsi="Arial Narrow"/>
                <w:sz w:val="20"/>
                <w:szCs w:val="20"/>
              </w:rPr>
            </w:pPr>
            <w:r w:rsidRPr="00D379EA">
              <w:rPr>
                <w:rFonts w:ascii="Arial Narrow" w:eastAsia="Calibri" w:hAnsi="Arial Narrow"/>
                <w:sz w:val="20"/>
                <w:szCs w:val="20"/>
              </w:rPr>
              <w:t>Patient must have a WHO performance score of 0 or 1</w:t>
            </w:r>
          </w:p>
          <w:p w14:paraId="5344435F" w14:textId="77777777" w:rsidR="00526B6B" w:rsidRPr="00D379EA" w:rsidRDefault="00526B6B" w:rsidP="00CE3EC2">
            <w:pPr>
              <w:rPr>
                <w:rFonts w:ascii="Arial Narrow" w:eastAsia="Calibri" w:hAnsi="Arial Narrow"/>
                <w:sz w:val="20"/>
                <w:szCs w:val="20"/>
              </w:rPr>
            </w:pPr>
            <w:r w:rsidRPr="00D379EA">
              <w:rPr>
                <w:rFonts w:ascii="Arial Narrow" w:eastAsia="Calibri" w:hAnsi="Arial Narrow"/>
                <w:sz w:val="20"/>
                <w:szCs w:val="20"/>
              </w:rPr>
              <w:t>AND</w:t>
            </w:r>
          </w:p>
          <w:p w14:paraId="7CD97823" w14:textId="77777777" w:rsidR="00526B6B" w:rsidRPr="00D379EA" w:rsidRDefault="00526B6B" w:rsidP="00CE3EC2">
            <w:pPr>
              <w:pStyle w:val="Tabletext"/>
            </w:pPr>
            <w:r w:rsidRPr="00D379EA">
              <w:rPr>
                <w:rFonts w:eastAsia="Calibri"/>
                <w:szCs w:val="20"/>
              </w:rPr>
              <w:t>Patients who have progressive disease while on this drug are no longer eligible for PBS-subsidised treatment with this drug</w:t>
            </w:r>
          </w:p>
        </w:tc>
      </w:tr>
      <w:tr w:rsidR="00526B6B" w:rsidRPr="00D379EA" w14:paraId="681BC417"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double" w:sz="4" w:space="0" w:color="auto"/>
              <w:left w:val="single" w:sz="4" w:space="0" w:color="auto"/>
              <w:bottom w:val="single" w:sz="4" w:space="0" w:color="auto"/>
              <w:right w:val="single" w:sz="4" w:space="0" w:color="auto"/>
            </w:tcBorders>
            <w:shd w:val="clear" w:color="auto" w:fill="auto"/>
            <w:vAlign w:val="center"/>
          </w:tcPr>
          <w:p w14:paraId="42086AF2" w14:textId="77777777" w:rsidR="00526B6B" w:rsidRPr="00D379EA" w:rsidRDefault="00526B6B" w:rsidP="004767A5">
            <w:pPr>
              <w:pStyle w:val="Tabletext"/>
              <w:rPr>
                <w:b/>
              </w:rPr>
            </w:pPr>
            <w:r w:rsidRPr="00D379EA">
              <w:rPr>
                <w:b/>
              </w:rPr>
              <w:t>Treatment phase:</w:t>
            </w:r>
          </w:p>
        </w:tc>
        <w:tc>
          <w:tcPr>
            <w:tcW w:w="3959"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14:paraId="57FB8B4C" w14:textId="77777777" w:rsidR="00526B6B" w:rsidRPr="00D379EA" w:rsidRDefault="00526B6B" w:rsidP="004767A5">
            <w:pPr>
              <w:rPr>
                <w:rFonts w:ascii="Arial Narrow" w:eastAsia="Calibri" w:hAnsi="Arial Narrow"/>
                <w:sz w:val="20"/>
                <w:szCs w:val="20"/>
              </w:rPr>
            </w:pPr>
            <w:r w:rsidRPr="00D379EA">
              <w:rPr>
                <w:rFonts w:ascii="Arial Narrow" w:hAnsi="Arial Narrow"/>
                <w:sz w:val="20"/>
                <w:szCs w:val="20"/>
              </w:rPr>
              <w:t>Continuing</w:t>
            </w:r>
          </w:p>
        </w:tc>
      </w:tr>
      <w:tr w:rsidR="00526B6B" w:rsidRPr="00D379EA" w14:paraId="001D0600"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single" w:sz="4" w:space="0" w:color="auto"/>
              <w:left w:val="single" w:sz="4" w:space="0" w:color="auto"/>
              <w:bottom w:val="double" w:sz="4" w:space="0" w:color="auto"/>
              <w:right w:val="single" w:sz="4" w:space="0" w:color="auto"/>
            </w:tcBorders>
            <w:shd w:val="clear" w:color="auto" w:fill="auto"/>
            <w:vAlign w:val="center"/>
          </w:tcPr>
          <w:p w14:paraId="0C3E8C43" w14:textId="77777777" w:rsidR="00526B6B" w:rsidRPr="00D379EA" w:rsidRDefault="00526B6B" w:rsidP="004767A5">
            <w:pPr>
              <w:pStyle w:val="Tabletext"/>
              <w:rPr>
                <w:b/>
              </w:rPr>
            </w:pPr>
            <w:r w:rsidRPr="00D379EA">
              <w:rPr>
                <w:b/>
              </w:rPr>
              <w:t>Clinical criteria:</w:t>
            </w:r>
          </w:p>
        </w:tc>
        <w:tc>
          <w:tcPr>
            <w:tcW w:w="3959" w:type="pct"/>
            <w:gridSpan w:val="10"/>
            <w:tcBorders>
              <w:top w:val="single" w:sz="4" w:space="0" w:color="auto"/>
              <w:left w:val="single" w:sz="4" w:space="0" w:color="auto"/>
              <w:bottom w:val="double" w:sz="4" w:space="0" w:color="auto"/>
              <w:right w:val="single" w:sz="4" w:space="0" w:color="auto"/>
            </w:tcBorders>
            <w:shd w:val="clear" w:color="auto" w:fill="auto"/>
            <w:vAlign w:val="center"/>
          </w:tcPr>
          <w:p w14:paraId="56979B03" w14:textId="77777777" w:rsidR="00526B6B" w:rsidRPr="00D379EA" w:rsidRDefault="00526B6B" w:rsidP="004767A5">
            <w:pPr>
              <w:keepNext/>
              <w:rPr>
                <w:rFonts w:ascii="Arial Narrow" w:eastAsia="Calibri" w:hAnsi="Arial Narrow"/>
                <w:sz w:val="20"/>
                <w:szCs w:val="20"/>
              </w:rPr>
            </w:pPr>
            <w:r w:rsidRPr="00D379EA">
              <w:rPr>
                <w:rFonts w:ascii="Arial Narrow" w:eastAsia="Calibri" w:hAnsi="Arial Narrow"/>
                <w:sz w:val="20"/>
                <w:szCs w:val="20"/>
              </w:rPr>
              <w:t>Patient must have previously received PBS-subsidised treatment with this drug for this condition</w:t>
            </w:r>
          </w:p>
          <w:p w14:paraId="1122B688" w14:textId="77777777" w:rsidR="00526B6B" w:rsidRPr="00D379EA" w:rsidRDefault="00526B6B" w:rsidP="004767A5">
            <w:pPr>
              <w:keepNext/>
              <w:rPr>
                <w:rFonts w:ascii="Arial Narrow" w:eastAsia="Calibri" w:hAnsi="Arial Narrow"/>
                <w:sz w:val="20"/>
                <w:szCs w:val="20"/>
              </w:rPr>
            </w:pPr>
            <w:r w:rsidRPr="00D379EA">
              <w:rPr>
                <w:rFonts w:ascii="Arial Narrow" w:eastAsia="Calibri" w:hAnsi="Arial Narrow"/>
                <w:sz w:val="20"/>
                <w:szCs w:val="20"/>
              </w:rPr>
              <w:t>AND</w:t>
            </w:r>
          </w:p>
          <w:p w14:paraId="7BC13D38" w14:textId="77777777" w:rsidR="00526B6B" w:rsidRPr="00D379EA" w:rsidRDefault="00526B6B" w:rsidP="004767A5">
            <w:pPr>
              <w:keepNext/>
              <w:rPr>
                <w:rFonts w:ascii="Arial Narrow" w:eastAsia="Calibri" w:hAnsi="Arial Narrow"/>
                <w:sz w:val="20"/>
                <w:szCs w:val="20"/>
              </w:rPr>
            </w:pPr>
            <w:r w:rsidRPr="00D379EA">
              <w:rPr>
                <w:rFonts w:ascii="Arial Narrow" w:eastAsia="Calibri" w:hAnsi="Arial Narrow"/>
                <w:sz w:val="20"/>
                <w:szCs w:val="20"/>
              </w:rPr>
              <w:t>Treatment must be used in combination with androgen deprivation therapy</w:t>
            </w:r>
          </w:p>
          <w:p w14:paraId="3F5687ED" w14:textId="77777777" w:rsidR="00526B6B" w:rsidRPr="00D379EA" w:rsidRDefault="00526B6B" w:rsidP="004767A5">
            <w:pPr>
              <w:keepNext/>
              <w:rPr>
                <w:rFonts w:ascii="Arial Narrow" w:eastAsia="Calibri" w:hAnsi="Arial Narrow"/>
                <w:sz w:val="20"/>
                <w:szCs w:val="20"/>
              </w:rPr>
            </w:pPr>
            <w:r w:rsidRPr="00D379EA">
              <w:rPr>
                <w:rFonts w:ascii="Arial Narrow" w:eastAsia="Calibri" w:hAnsi="Arial Narrow"/>
                <w:sz w:val="20"/>
                <w:szCs w:val="20"/>
              </w:rPr>
              <w:t>AND</w:t>
            </w:r>
          </w:p>
          <w:p w14:paraId="75A96F3A" w14:textId="77777777" w:rsidR="00526B6B" w:rsidRPr="00D379EA" w:rsidRDefault="00526B6B" w:rsidP="004767A5">
            <w:pPr>
              <w:rPr>
                <w:rFonts w:ascii="Arial Narrow" w:eastAsia="Calibri" w:hAnsi="Arial Narrow"/>
                <w:sz w:val="20"/>
                <w:szCs w:val="20"/>
              </w:rPr>
            </w:pPr>
            <w:r w:rsidRPr="00D379EA">
              <w:rPr>
                <w:rFonts w:ascii="Arial Narrow" w:eastAsia="Calibri" w:hAnsi="Arial Narrow"/>
                <w:sz w:val="20"/>
                <w:szCs w:val="20"/>
              </w:rPr>
              <w:t>Patient must not develop radiographic disease progression while receiving PBS-subsidised treatment with this drug for this condition</w:t>
            </w:r>
          </w:p>
        </w:tc>
      </w:tr>
      <w:tr w:rsidR="00526B6B" w:rsidRPr="00D379EA" w14:paraId="782F17CC"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double" w:sz="4" w:space="0" w:color="auto"/>
              <w:left w:val="single" w:sz="4" w:space="0" w:color="auto"/>
              <w:bottom w:val="single" w:sz="4" w:space="0" w:color="auto"/>
              <w:right w:val="single" w:sz="4" w:space="0" w:color="auto"/>
            </w:tcBorders>
            <w:shd w:val="clear" w:color="auto" w:fill="auto"/>
            <w:vAlign w:val="center"/>
          </w:tcPr>
          <w:p w14:paraId="747BE046" w14:textId="77777777" w:rsidR="00526B6B" w:rsidRPr="00D379EA" w:rsidRDefault="00526B6B" w:rsidP="004767A5">
            <w:pPr>
              <w:pStyle w:val="Tabletext"/>
              <w:rPr>
                <w:b/>
              </w:rPr>
            </w:pPr>
            <w:r w:rsidRPr="00D379EA">
              <w:rPr>
                <w:b/>
              </w:rPr>
              <w:t>Treatment phase:</w:t>
            </w:r>
          </w:p>
        </w:tc>
        <w:tc>
          <w:tcPr>
            <w:tcW w:w="3959"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14:paraId="4F57D910" w14:textId="77777777" w:rsidR="00526B6B" w:rsidRPr="00D379EA" w:rsidRDefault="00526B6B" w:rsidP="004767A5">
            <w:pPr>
              <w:rPr>
                <w:rFonts w:ascii="Arial Narrow" w:eastAsia="Calibri" w:hAnsi="Arial Narrow"/>
                <w:sz w:val="20"/>
                <w:szCs w:val="20"/>
              </w:rPr>
            </w:pPr>
            <w:r w:rsidRPr="00D379EA">
              <w:rPr>
                <w:rFonts w:ascii="Arial Narrow" w:hAnsi="Arial Narrow"/>
                <w:sz w:val="20"/>
                <w:szCs w:val="20"/>
              </w:rPr>
              <w:t>Initial – grandfather patients</w:t>
            </w:r>
          </w:p>
        </w:tc>
      </w:tr>
      <w:tr w:rsidR="00526B6B" w:rsidRPr="00D379EA" w14:paraId="1D73C1FD"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41B0D6E9" w14:textId="77777777" w:rsidR="00526B6B" w:rsidRPr="00D379EA" w:rsidRDefault="00526B6B" w:rsidP="004767A5">
            <w:pPr>
              <w:pStyle w:val="Tabletext"/>
              <w:rPr>
                <w:b/>
              </w:rPr>
            </w:pPr>
            <w:r w:rsidRPr="00D379EA">
              <w:rPr>
                <w:b/>
              </w:rPr>
              <w:t>Clinical criteria:</w:t>
            </w:r>
          </w:p>
        </w:tc>
        <w:tc>
          <w:tcPr>
            <w:tcW w:w="395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8316E67" w14:textId="77777777" w:rsidR="00526B6B" w:rsidRPr="00D379EA" w:rsidRDefault="00526B6B" w:rsidP="00CE3EC2">
            <w:pPr>
              <w:keepNext/>
              <w:rPr>
                <w:rFonts w:ascii="Arial Narrow" w:eastAsia="Calibri" w:hAnsi="Arial Narrow"/>
                <w:sz w:val="20"/>
                <w:szCs w:val="20"/>
              </w:rPr>
            </w:pPr>
            <w:r w:rsidRPr="00D379EA">
              <w:rPr>
                <w:rFonts w:ascii="Arial Narrow" w:eastAsia="Calibri" w:hAnsi="Arial Narrow"/>
                <w:sz w:val="20"/>
                <w:szCs w:val="20"/>
              </w:rPr>
              <w:t>Patient must have previously received non PBS-subsidised treatment with this drug for this condition prior to &lt;date&gt;</w:t>
            </w:r>
          </w:p>
          <w:p w14:paraId="5B654360" w14:textId="77777777" w:rsidR="00526B6B" w:rsidRPr="00D379EA" w:rsidRDefault="00526B6B" w:rsidP="00CE3EC2">
            <w:pPr>
              <w:keepNext/>
              <w:rPr>
                <w:rFonts w:ascii="Arial Narrow" w:eastAsia="Calibri" w:hAnsi="Arial Narrow"/>
                <w:sz w:val="20"/>
                <w:szCs w:val="20"/>
              </w:rPr>
            </w:pPr>
            <w:r w:rsidRPr="00D379EA">
              <w:rPr>
                <w:rFonts w:ascii="Arial Narrow" w:eastAsia="Calibri" w:hAnsi="Arial Narrow"/>
                <w:sz w:val="20"/>
                <w:szCs w:val="20"/>
              </w:rPr>
              <w:t>AND</w:t>
            </w:r>
          </w:p>
          <w:p w14:paraId="56D6B189" w14:textId="77777777" w:rsidR="00526B6B" w:rsidRPr="00D379EA" w:rsidRDefault="00526B6B" w:rsidP="00CE3EC2">
            <w:pPr>
              <w:keepNext/>
              <w:rPr>
                <w:rFonts w:ascii="Arial Narrow" w:eastAsia="Calibri" w:hAnsi="Arial Narrow"/>
                <w:sz w:val="20"/>
                <w:szCs w:val="20"/>
              </w:rPr>
            </w:pPr>
            <w:r w:rsidRPr="00D379EA">
              <w:rPr>
                <w:rFonts w:ascii="Arial Narrow" w:eastAsia="Calibri" w:hAnsi="Arial Narrow"/>
                <w:sz w:val="20"/>
                <w:szCs w:val="20"/>
              </w:rPr>
              <w:t>Patient does not have distant metastasis on conventional imaging</w:t>
            </w:r>
          </w:p>
          <w:p w14:paraId="0565B1AF" w14:textId="77777777" w:rsidR="00526B6B" w:rsidRPr="00D379EA" w:rsidRDefault="00526B6B" w:rsidP="00CE3EC2">
            <w:pPr>
              <w:keepNext/>
              <w:rPr>
                <w:rFonts w:ascii="Arial Narrow" w:eastAsia="Calibri" w:hAnsi="Arial Narrow"/>
                <w:sz w:val="20"/>
                <w:szCs w:val="20"/>
              </w:rPr>
            </w:pPr>
            <w:r w:rsidRPr="00D379EA">
              <w:rPr>
                <w:rFonts w:ascii="Arial Narrow" w:eastAsia="Calibri" w:hAnsi="Arial Narrow"/>
                <w:sz w:val="20"/>
                <w:szCs w:val="20"/>
              </w:rPr>
              <w:t>AND</w:t>
            </w:r>
          </w:p>
          <w:p w14:paraId="295E430B" w14:textId="77777777" w:rsidR="00526B6B" w:rsidRPr="00D379EA" w:rsidRDefault="00526B6B" w:rsidP="00CE3EC2">
            <w:pPr>
              <w:keepNext/>
              <w:rPr>
                <w:rFonts w:ascii="Arial Narrow" w:eastAsia="Calibri" w:hAnsi="Arial Narrow"/>
                <w:sz w:val="20"/>
                <w:szCs w:val="20"/>
              </w:rPr>
            </w:pPr>
            <w:r w:rsidRPr="00D379EA">
              <w:rPr>
                <w:rFonts w:ascii="Arial Narrow" w:eastAsia="Calibri" w:hAnsi="Arial Narrow"/>
                <w:sz w:val="20"/>
                <w:szCs w:val="20"/>
              </w:rPr>
              <w:t>Treatment must be used in combination with androgen deprivation therapy</w:t>
            </w:r>
          </w:p>
          <w:p w14:paraId="203EC6E1" w14:textId="77777777" w:rsidR="00526B6B" w:rsidRPr="00D379EA" w:rsidRDefault="00526B6B" w:rsidP="00CE3EC2">
            <w:pPr>
              <w:keepNext/>
              <w:rPr>
                <w:rFonts w:ascii="Arial Narrow" w:eastAsia="Calibri" w:hAnsi="Arial Narrow"/>
                <w:sz w:val="20"/>
                <w:szCs w:val="20"/>
              </w:rPr>
            </w:pPr>
            <w:r w:rsidRPr="00D379EA">
              <w:rPr>
                <w:rFonts w:ascii="Arial Narrow" w:eastAsia="Calibri" w:hAnsi="Arial Narrow"/>
                <w:sz w:val="20"/>
                <w:szCs w:val="20"/>
              </w:rPr>
              <w:t>AND</w:t>
            </w:r>
          </w:p>
          <w:p w14:paraId="23605CF6" w14:textId="77777777" w:rsidR="00526B6B" w:rsidRDefault="00526B6B" w:rsidP="00CE3EC2">
            <w:pPr>
              <w:keepNext/>
              <w:rPr>
                <w:rFonts w:ascii="Arial Narrow" w:eastAsia="Calibri" w:hAnsi="Arial Narrow"/>
                <w:sz w:val="20"/>
                <w:szCs w:val="20"/>
              </w:rPr>
            </w:pPr>
            <w:r w:rsidRPr="00D379EA">
              <w:rPr>
                <w:rFonts w:ascii="Arial Narrow" w:eastAsia="Calibri" w:hAnsi="Arial Narrow"/>
                <w:sz w:val="20"/>
                <w:szCs w:val="20"/>
              </w:rPr>
              <w:t>Patient must have had a PSA doubling time of 10 months or less prior to receiving non-PBS-subsidised treatment with this drug</w:t>
            </w:r>
          </w:p>
          <w:p w14:paraId="42DB1E30" w14:textId="77777777" w:rsidR="00526B6B" w:rsidRPr="004546DF" w:rsidRDefault="00526B6B" w:rsidP="00CE3EC2">
            <w:pPr>
              <w:keepNext/>
              <w:rPr>
                <w:rFonts w:ascii="Arial Narrow" w:eastAsia="Calibri" w:hAnsi="Arial Narrow"/>
                <w:sz w:val="20"/>
                <w:szCs w:val="20"/>
              </w:rPr>
            </w:pPr>
            <w:r w:rsidRPr="004546DF">
              <w:rPr>
                <w:rFonts w:ascii="Arial Narrow" w:eastAsia="Calibri" w:hAnsi="Arial Narrow"/>
                <w:sz w:val="20"/>
                <w:szCs w:val="20"/>
              </w:rPr>
              <w:t>AND</w:t>
            </w:r>
          </w:p>
          <w:p w14:paraId="6B21E297" w14:textId="77777777" w:rsidR="00526B6B" w:rsidRPr="004546DF" w:rsidRDefault="00526B6B" w:rsidP="004767A5">
            <w:pPr>
              <w:keepNext/>
              <w:rPr>
                <w:rFonts w:ascii="Arial Narrow" w:eastAsia="Calibri" w:hAnsi="Arial Narrow"/>
                <w:sz w:val="20"/>
                <w:szCs w:val="20"/>
              </w:rPr>
            </w:pPr>
            <w:r w:rsidRPr="004546DF">
              <w:rPr>
                <w:rFonts w:ascii="Arial Narrow" w:eastAsia="Calibri" w:hAnsi="Arial Narrow"/>
                <w:sz w:val="20"/>
                <w:szCs w:val="20"/>
              </w:rPr>
              <w:t>Patient must have a PSA level of at least 2 ng/mL prior to receiving non-PBS-subsidised treatment with this drug</w:t>
            </w:r>
          </w:p>
          <w:p w14:paraId="0DFE9BD1" w14:textId="77777777" w:rsidR="00526B6B" w:rsidRPr="00D379EA" w:rsidRDefault="00526B6B" w:rsidP="004767A5">
            <w:pPr>
              <w:keepNext/>
              <w:rPr>
                <w:rFonts w:ascii="Arial Narrow" w:eastAsia="Calibri" w:hAnsi="Arial Narrow"/>
                <w:sz w:val="20"/>
                <w:szCs w:val="20"/>
              </w:rPr>
            </w:pPr>
            <w:r w:rsidRPr="00D379EA">
              <w:rPr>
                <w:rFonts w:ascii="Arial Narrow" w:eastAsia="Calibri" w:hAnsi="Arial Narrow"/>
                <w:sz w:val="20"/>
                <w:szCs w:val="20"/>
              </w:rPr>
              <w:t>AND</w:t>
            </w:r>
          </w:p>
          <w:p w14:paraId="7BAC5632" w14:textId="77777777" w:rsidR="00526B6B" w:rsidRPr="00D379EA" w:rsidRDefault="00526B6B" w:rsidP="004767A5">
            <w:pPr>
              <w:rPr>
                <w:rFonts w:ascii="Arial Narrow" w:eastAsia="Calibri" w:hAnsi="Arial Narrow"/>
                <w:sz w:val="20"/>
                <w:szCs w:val="20"/>
              </w:rPr>
            </w:pPr>
            <w:r w:rsidRPr="00CE3EC2">
              <w:rPr>
                <w:rFonts w:ascii="Arial Narrow" w:eastAsia="Calibri" w:hAnsi="Arial Narrow"/>
                <w:sz w:val="20"/>
                <w:szCs w:val="20"/>
              </w:rPr>
              <w:t>Patients who have progressive disease while on this drug are no longer eligible for PBS-subsidised treatment with this drug</w:t>
            </w:r>
          </w:p>
        </w:tc>
      </w:tr>
      <w:tr w:rsidR="00526B6B" w:rsidRPr="00D379EA" w14:paraId="51FBAC93"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7CE5CA44" w14:textId="77777777" w:rsidR="00526B6B" w:rsidRPr="00D379EA" w:rsidRDefault="00526B6B" w:rsidP="004767A5">
            <w:pPr>
              <w:pStyle w:val="Tabletext"/>
            </w:pPr>
            <w:r w:rsidRPr="00D379EA">
              <w:rPr>
                <w:b/>
              </w:rPr>
              <w:t>Prescriber instruction:</w:t>
            </w:r>
          </w:p>
        </w:tc>
        <w:tc>
          <w:tcPr>
            <w:tcW w:w="395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68D9E39" w14:textId="77777777" w:rsidR="00526B6B" w:rsidRPr="00D379EA" w:rsidRDefault="00526B6B" w:rsidP="004767A5">
            <w:pPr>
              <w:pStyle w:val="Tabletext"/>
              <w:rPr>
                <w:szCs w:val="20"/>
              </w:rPr>
            </w:pPr>
            <w:r w:rsidRPr="00D379EA">
              <w:rPr>
                <w:szCs w:val="20"/>
              </w:rPr>
              <w:t>The PSA doubling time must be calculated using at least three PSA values obtained during androgen deprivation therapy</w:t>
            </w:r>
          </w:p>
        </w:tc>
      </w:tr>
      <w:tr w:rsidR="00526B6B" w:rsidRPr="00D379EA" w14:paraId="4394BE0A" w14:textId="77777777" w:rsidTr="00A0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6" w:type="pct"/>
          <w:wAfter w:w="13" w:type="pct"/>
          <w:trHeight w:val="20"/>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F186243" w14:textId="77777777" w:rsidR="00526B6B" w:rsidRPr="00D379EA" w:rsidRDefault="00526B6B" w:rsidP="004767A5">
            <w:pPr>
              <w:pStyle w:val="Tabletext"/>
            </w:pPr>
            <w:r w:rsidRPr="00D379EA">
              <w:rPr>
                <w:b/>
              </w:rPr>
              <w:t>Administrative advice:</w:t>
            </w:r>
          </w:p>
        </w:tc>
        <w:tc>
          <w:tcPr>
            <w:tcW w:w="395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7E7C88" w14:textId="77777777" w:rsidR="00526B6B" w:rsidRPr="00D379EA" w:rsidRDefault="00526B6B" w:rsidP="004767A5">
            <w:pPr>
              <w:pStyle w:val="Tabletext"/>
              <w:rPr>
                <w:szCs w:val="20"/>
              </w:rPr>
            </w:pPr>
            <w:r w:rsidRPr="00D379EA">
              <w:rPr>
                <w:szCs w:val="20"/>
              </w:rPr>
              <w:t>Special Pricing Arrangements apply</w:t>
            </w:r>
          </w:p>
          <w:p w14:paraId="007C3F3B" w14:textId="77777777" w:rsidR="00526B6B" w:rsidRPr="00D379EA" w:rsidRDefault="00526B6B" w:rsidP="004767A5">
            <w:pPr>
              <w:rPr>
                <w:rFonts w:ascii="Arial Narrow" w:eastAsia="Calibri" w:hAnsi="Arial Narrow"/>
                <w:sz w:val="20"/>
                <w:szCs w:val="20"/>
              </w:rPr>
            </w:pPr>
            <w:r w:rsidRPr="00D379EA">
              <w:rPr>
                <w:rFonts w:ascii="Arial Narrow" w:eastAsia="Calibri" w:hAnsi="Arial Narrow"/>
                <w:sz w:val="20"/>
                <w:szCs w:val="20"/>
              </w:rPr>
              <w:t>No increase in the maximum quantity or number of units may be authorised</w:t>
            </w:r>
          </w:p>
          <w:p w14:paraId="39927B66" w14:textId="77777777" w:rsidR="00526B6B" w:rsidRPr="00D379EA" w:rsidRDefault="00526B6B" w:rsidP="004767A5">
            <w:pPr>
              <w:pStyle w:val="Tabletext"/>
              <w:rPr>
                <w:szCs w:val="20"/>
              </w:rPr>
            </w:pPr>
            <w:r w:rsidRPr="00D379EA">
              <w:rPr>
                <w:rFonts w:eastAsia="Calibri"/>
                <w:szCs w:val="20"/>
              </w:rPr>
              <w:t>No increase in the maximum number of repeats may be authorised</w:t>
            </w:r>
          </w:p>
        </w:tc>
      </w:tr>
    </w:tbl>
    <w:p w14:paraId="3C4B5D99" w14:textId="77777777" w:rsidR="00526B6B" w:rsidRPr="00D379EA" w:rsidRDefault="00526B6B" w:rsidP="00526B6B">
      <w:pPr>
        <w:rPr>
          <w:rFonts w:ascii="Arial Narrow" w:hAnsi="Arial Narrow"/>
          <w:sz w:val="18"/>
          <w:szCs w:val="20"/>
        </w:rPr>
      </w:pPr>
      <w:r w:rsidRPr="00D379EA">
        <w:rPr>
          <w:rFonts w:ascii="Arial Narrow" w:hAnsi="Arial Narrow"/>
          <w:sz w:val="18"/>
          <w:szCs w:val="20"/>
        </w:rPr>
        <w:t>Source: Table</w:t>
      </w:r>
      <w:r>
        <w:rPr>
          <w:rFonts w:ascii="Arial Narrow" w:hAnsi="Arial Narrow"/>
          <w:sz w:val="18"/>
          <w:szCs w:val="20"/>
        </w:rPr>
        <w:t>s</w:t>
      </w:r>
      <w:r w:rsidRPr="00D379EA">
        <w:rPr>
          <w:rFonts w:ascii="Arial Narrow" w:hAnsi="Arial Narrow"/>
          <w:sz w:val="18"/>
          <w:szCs w:val="20"/>
        </w:rPr>
        <w:t xml:space="preserve"> 1.</w:t>
      </w:r>
      <w:r>
        <w:rPr>
          <w:rFonts w:ascii="Arial Narrow" w:hAnsi="Arial Narrow"/>
          <w:sz w:val="18"/>
          <w:szCs w:val="20"/>
        </w:rPr>
        <w:t>5</w:t>
      </w:r>
      <w:r w:rsidRPr="00D379EA">
        <w:rPr>
          <w:rFonts w:ascii="Arial Narrow" w:hAnsi="Arial Narrow"/>
          <w:sz w:val="18"/>
          <w:szCs w:val="20"/>
        </w:rPr>
        <w:t xml:space="preserve"> and 1.</w:t>
      </w:r>
      <w:r>
        <w:rPr>
          <w:rFonts w:ascii="Arial Narrow" w:hAnsi="Arial Narrow"/>
          <w:sz w:val="18"/>
          <w:szCs w:val="20"/>
        </w:rPr>
        <w:t>6</w:t>
      </w:r>
      <w:r w:rsidRPr="00D379EA">
        <w:rPr>
          <w:rFonts w:ascii="Arial Narrow" w:hAnsi="Arial Narrow"/>
          <w:sz w:val="18"/>
          <w:szCs w:val="20"/>
        </w:rPr>
        <w:t>, pp22-23 of the resubmission.</w:t>
      </w:r>
    </w:p>
    <w:p w14:paraId="325299DD" w14:textId="77777777" w:rsidR="00526B6B" w:rsidRPr="00D379EA" w:rsidRDefault="00526B6B" w:rsidP="00526B6B"/>
    <w:p w14:paraId="25E5809D" w14:textId="77777777" w:rsidR="00526B6B" w:rsidRPr="001642B2" w:rsidRDefault="00526B6B" w:rsidP="002D5B24">
      <w:pPr>
        <w:pStyle w:val="3-BodyText"/>
        <w:ind w:left="709"/>
      </w:pPr>
      <w:r w:rsidRPr="001642B2">
        <w:t xml:space="preserve">The requested restriction was updated to include the changes proposed by the PBAC that “patient must have a </w:t>
      </w:r>
      <w:r w:rsidR="00FD49EC">
        <w:t>prostate specific antigen (</w:t>
      </w:r>
      <w:r w:rsidRPr="001642B2">
        <w:t>PSA</w:t>
      </w:r>
      <w:r w:rsidR="00FD49EC">
        <w:t>)</w:t>
      </w:r>
      <w:r w:rsidRPr="001642B2">
        <w:t xml:space="preserve"> level of at least 2 ng/mL” prior to receiving subsidised or non-PBS-subsidised treatment with apalutamide. </w:t>
      </w:r>
    </w:p>
    <w:p w14:paraId="7083CBE4" w14:textId="77777777" w:rsidR="008D3398" w:rsidRPr="001642B2" w:rsidRDefault="008D3398" w:rsidP="002D5B24">
      <w:pPr>
        <w:pStyle w:val="3-BodyText"/>
        <w:ind w:left="709"/>
      </w:pPr>
      <w:r w:rsidRPr="001642B2">
        <w:t xml:space="preserve">The resubmission also agreed to include clinical criteria to precluding use of abiraterone </w:t>
      </w:r>
      <w:r w:rsidR="004A2C6C" w:rsidRPr="001642B2">
        <w:t>(also the sponsor’s drug) in metastatic castration resistant prostate cancer (</w:t>
      </w:r>
      <w:r w:rsidRPr="001642B2">
        <w:t>mCRPC</w:t>
      </w:r>
      <w:r w:rsidR="004A2C6C" w:rsidRPr="001642B2">
        <w:t>)</w:t>
      </w:r>
      <w:r w:rsidRPr="001642B2">
        <w:t xml:space="preserve"> post apalutamide and suggested that the same would be required for enzalutamide. This was appropriate and reflected the PBAC’s previous advice of no sequential use </w:t>
      </w:r>
      <w:r w:rsidR="00FD49EC">
        <w:t>novel hormonal agents (</w:t>
      </w:r>
      <w:r w:rsidRPr="001642B2">
        <w:t>NHAs</w:t>
      </w:r>
      <w:r w:rsidR="00FD49EC">
        <w:t>)</w:t>
      </w:r>
      <w:r w:rsidRPr="001642B2">
        <w:t xml:space="preserve"> on the PBS, which, due to cross resistance, were considered to be of uncertain benefit and cost effectiveness </w:t>
      </w:r>
      <w:r w:rsidRPr="001642B2">
        <w:rPr>
          <w:rFonts w:cs="Times New Roman"/>
        </w:rPr>
        <w:t>(see paragraphs 2.7, 4.7, 6.46, 7.4, 7.13</w:t>
      </w:r>
      <w:r w:rsidR="00394D79" w:rsidRPr="001642B2">
        <w:rPr>
          <w:rFonts w:cs="Times New Roman"/>
        </w:rPr>
        <w:t>,</w:t>
      </w:r>
      <w:r w:rsidRPr="001642B2">
        <w:rPr>
          <w:rFonts w:cs="Times New Roman"/>
        </w:rPr>
        <w:t xml:space="preserve"> apalutamide </w:t>
      </w:r>
      <w:r w:rsidR="00394D79" w:rsidRPr="001642B2">
        <w:rPr>
          <w:rFonts w:cs="Times New Roman"/>
        </w:rPr>
        <w:t xml:space="preserve">PSD, </w:t>
      </w:r>
      <w:r w:rsidRPr="001642B2">
        <w:rPr>
          <w:rFonts w:cs="Times New Roman"/>
        </w:rPr>
        <w:t>November 2018</w:t>
      </w:r>
      <w:r w:rsidR="00394D79" w:rsidRPr="001642B2">
        <w:rPr>
          <w:rFonts w:cs="Times New Roman"/>
        </w:rPr>
        <w:t>; paragraphs</w:t>
      </w:r>
      <w:r w:rsidRPr="001642B2">
        <w:rPr>
          <w:rFonts w:cs="Times New Roman"/>
        </w:rPr>
        <w:t xml:space="preserve"> 2.5, 2.6, 7.3</w:t>
      </w:r>
      <w:r w:rsidR="00394D79" w:rsidRPr="001642B2">
        <w:rPr>
          <w:rFonts w:cs="Times New Roman"/>
        </w:rPr>
        <w:t>,</w:t>
      </w:r>
      <w:r w:rsidRPr="001642B2">
        <w:rPr>
          <w:rFonts w:cs="Times New Roman"/>
        </w:rPr>
        <w:t xml:space="preserve"> 7.4</w:t>
      </w:r>
      <w:r w:rsidR="00394D79" w:rsidRPr="001642B2">
        <w:rPr>
          <w:rFonts w:cs="Times New Roman"/>
        </w:rPr>
        <w:t>,</w:t>
      </w:r>
      <w:r w:rsidRPr="001642B2">
        <w:rPr>
          <w:rFonts w:cs="Times New Roman"/>
        </w:rPr>
        <w:t xml:space="preserve"> apalutamide </w:t>
      </w:r>
      <w:r w:rsidR="00394D79" w:rsidRPr="001642B2">
        <w:rPr>
          <w:rFonts w:cs="Times New Roman"/>
        </w:rPr>
        <w:t xml:space="preserve">PSD, </w:t>
      </w:r>
      <w:r w:rsidRPr="001642B2">
        <w:rPr>
          <w:rFonts w:cs="Times New Roman"/>
        </w:rPr>
        <w:t>July 2019</w:t>
      </w:r>
      <w:r w:rsidR="00394D79" w:rsidRPr="001642B2">
        <w:rPr>
          <w:rFonts w:cs="Times New Roman"/>
        </w:rPr>
        <w:t>;</w:t>
      </w:r>
      <w:r w:rsidRPr="001642B2">
        <w:rPr>
          <w:rFonts w:cs="Times New Roman"/>
        </w:rPr>
        <w:t xml:space="preserve"> and </w:t>
      </w:r>
      <w:r w:rsidR="00394D79" w:rsidRPr="001642B2">
        <w:rPr>
          <w:rFonts w:cs="Times New Roman"/>
        </w:rPr>
        <w:t xml:space="preserve">paragraphs </w:t>
      </w:r>
      <w:r w:rsidRPr="001642B2">
        <w:rPr>
          <w:rFonts w:cs="Times New Roman"/>
        </w:rPr>
        <w:t>3.1, 7.4</w:t>
      </w:r>
      <w:r w:rsidR="00394D79" w:rsidRPr="001642B2">
        <w:rPr>
          <w:rFonts w:cs="Times New Roman"/>
        </w:rPr>
        <w:t>,</w:t>
      </w:r>
      <w:r w:rsidRPr="001642B2">
        <w:rPr>
          <w:rFonts w:cs="Times New Roman"/>
        </w:rPr>
        <w:t xml:space="preserve"> darolutamide </w:t>
      </w:r>
      <w:r w:rsidR="00394D79" w:rsidRPr="001642B2">
        <w:rPr>
          <w:rFonts w:cs="Times New Roman"/>
        </w:rPr>
        <w:t xml:space="preserve">PSD, </w:t>
      </w:r>
      <w:r w:rsidRPr="001642B2">
        <w:rPr>
          <w:rFonts w:cs="Times New Roman"/>
        </w:rPr>
        <w:t>July 2020).</w:t>
      </w:r>
    </w:p>
    <w:p w14:paraId="0B31E743" w14:textId="77777777" w:rsidR="008D3398" w:rsidRPr="002163A4" w:rsidRDefault="007101C4" w:rsidP="002D5B24">
      <w:pPr>
        <w:pStyle w:val="3-BodyText"/>
        <w:ind w:left="709"/>
      </w:pPr>
      <w:r>
        <w:t xml:space="preserve">The </w:t>
      </w:r>
      <w:r w:rsidR="008D3398" w:rsidRPr="001642B2">
        <w:t xml:space="preserve">resubmission maintained its request for a </w:t>
      </w:r>
      <w:r w:rsidR="005F5D7F">
        <w:t>‘</w:t>
      </w:r>
      <w:r w:rsidR="008D3398" w:rsidRPr="001642B2">
        <w:t>grandfather</w:t>
      </w:r>
      <w:r w:rsidR="005F5D7F">
        <w:t>’</w:t>
      </w:r>
      <w:r w:rsidR="008D3398" w:rsidRPr="001642B2">
        <w:t xml:space="preserve"> </w:t>
      </w:r>
      <w:r w:rsidR="005F5D7F">
        <w:t xml:space="preserve">transitioning arrangement </w:t>
      </w:r>
      <w:r w:rsidR="008D3398" w:rsidRPr="001642B2">
        <w:t>given the sponsor’s intention</w:t>
      </w:r>
      <w:r w:rsidR="008D3398" w:rsidRPr="001642B2">
        <w:rPr>
          <w:rFonts w:cs="Times New Roman"/>
        </w:rPr>
        <w:t xml:space="preserve"> to establish a patient familiarisation program (PFP) prior to PBS listing. The resubmission estimated that 52 patients would require</w:t>
      </w:r>
      <w:r w:rsidR="00A01C84">
        <w:rPr>
          <w:rFonts w:cs="Times New Roman"/>
        </w:rPr>
        <w:t xml:space="preserve"> </w:t>
      </w:r>
      <w:r w:rsidR="005F5D7F">
        <w:t>movement</w:t>
      </w:r>
      <w:r w:rsidR="008D3398" w:rsidRPr="001642B2">
        <w:rPr>
          <w:rFonts w:cs="Times New Roman"/>
        </w:rPr>
        <w:t xml:space="preserve"> to PBS-subsidised apalutamide (down from 294 previously estimated) by the time of PBS listing. At the time of this resubmission, the proposed PFP had not yet started.</w:t>
      </w:r>
      <w:r w:rsidR="005F5D7F">
        <w:rPr>
          <w:rFonts w:cs="Times New Roman"/>
        </w:rPr>
        <w:t xml:space="preserve">  The Secretariat advised that ‘grandfather’ arrangements are only necessary where the usual restriction contains an entry clause that the patient cannot meet if read literally.  This is not the case with the recommended restriction.</w:t>
      </w:r>
    </w:p>
    <w:p w14:paraId="1481AB84" w14:textId="77777777" w:rsidR="002163A4" w:rsidRPr="00CE3EC2" w:rsidRDefault="002163A4" w:rsidP="002D5B24">
      <w:pPr>
        <w:pStyle w:val="3-BodyText"/>
        <w:ind w:left="709"/>
      </w:pPr>
      <w:r w:rsidRPr="00CE3EC2">
        <w:t xml:space="preserve">Noting that the July 2021 PBAC recommendation for darolutamide for the same indication was proceeding for PBS listing, the </w:t>
      </w:r>
      <w:r w:rsidR="00305B42">
        <w:t>PBAC</w:t>
      </w:r>
      <w:r w:rsidR="00305B42" w:rsidRPr="00CE3EC2">
        <w:t xml:space="preserve"> </w:t>
      </w:r>
      <w:r w:rsidRPr="00CE3EC2">
        <w:t>considered that the restriction for apalutamide should align with th</w:t>
      </w:r>
      <w:r w:rsidR="00305B42">
        <w:t>at</w:t>
      </w:r>
      <w:r w:rsidRPr="00CE3EC2">
        <w:t xml:space="preserve"> recommended for darolutamide.</w:t>
      </w:r>
    </w:p>
    <w:p w14:paraId="4D9DA6F1" w14:textId="77777777" w:rsidR="00337846" w:rsidRPr="00337846" w:rsidRDefault="00337846" w:rsidP="00337846">
      <w:pPr>
        <w:pStyle w:val="3-BodyText"/>
        <w:numPr>
          <w:ilvl w:val="0"/>
          <w:numId w:val="0"/>
        </w:numPr>
        <w:ind w:left="720"/>
        <w:rPr>
          <w:i/>
          <w:iCs/>
        </w:rPr>
      </w:pPr>
      <w:r w:rsidRPr="00337846">
        <w:rPr>
          <w:i/>
          <w:iCs/>
        </w:rPr>
        <w:t>For more detail on PBAC’s view, see section 7 PBAC outcome.</w:t>
      </w:r>
    </w:p>
    <w:p w14:paraId="341A4A09" w14:textId="77777777" w:rsidR="00526B6B" w:rsidRPr="00D379EA" w:rsidRDefault="00526B6B" w:rsidP="00526B6B">
      <w:pPr>
        <w:pStyle w:val="2-SectionHeading"/>
        <w:numPr>
          <w:ilvl w:val="0"/>
          <w:numId w:val="1"/>
        </w:numPr>
      </w:pPr>
      <w:bookmarkStart w:id="8" w:name="_Toc82426505"/>
      <w:r w:rsidRPr="00D379EA">
        <w:t>Population and disease</w:t>
      </w:r>
      <w:bookmarkEnd w:id="8"/>
    </w:p>
    <w:p w14:paraId="6F9716FB" w14:textId="77777777" w:rsidR="00526B6B" w:rsidRPr="001642B2" w:rsidRDefault="00526B6B" w:rsidP="002D5B24">
      <w:pPr>
        <w:pStyle w:val="3-BodyText"/>
        <w:ind w:left="709"/>
      </w:pPr>
      <w:r w:rsidRPr="001642B2">
        <w:t>m0CRPC is a disease stage of prostate cancer where patients have rising levels PSA but no radiographic evidence of distant metastatic disease. Patients with m0CRPC are classified into two groups based on PSA doubling time (PSADT) – patients with PSADT &gt;</w:t>
      </w:r>
      <w:r w:rsidR="00A42EC4" w:rsidRPr="001642B2">
        <w:t xml:space="preserve"> </w:t>
      </w:r>
      <w:r w:rsidRPr="001642B2">
        <w:t>10 months are at low risk while patients with a PSADT ≤</w:t>
      </w:r>
      <w:r w:rsidR="00A42EC4" w:rsidRPr="001642B2">
        <w:t xml:space="preserve"> </w:t>
      </w:r>
      <w:r w:rsidRPr="001642B2">
        <w:t xml:space="preserve">10 months are classified as high risk. </w:t>
      </w:r>
    </w:p>
    <w:p w14:paraId="1259819D" w14:textId="77777777" w:rsidR="00526B6B" w:rsidRPr="001642B2" w:rsidRDefault="00526B6B" w:rsidP="002D5B24">
      <w:pPr>
        <w:pStyle w:val="3-BodyText"/>
        <w:ind w:left="709"/>
      </w:pPr>
      <w:r w:rsidRPr="001642B2">
        <w:t xml:space="preserve">Patients with m0CRPC are currently managed with </w:t>
      </w:r>
      <w:r w:rsidR="00FD49EC">
        <w:t>androgen deprivation therapy (</w:t>
      </w:r>
      <w:r w:rsidRPr="001642B2">
        <w:t>ADT</w:t>
      </w:r>
      <w:r w:rsidR="00FD49EC">
        <w:t>)</w:t>
      </w:r>
      <w:r w:rsidRPr="001642B2">
        <w:t xml:space="preserve"> with possible use of secondary hormonal therapies. The PBS listing of apalutamide was requested for treatment of patients at high risk of distant metastases with m0CRPC. The PBAC noted that treatment of high risk m0CRPC patients with apalutamide is consistent with a trend in using active treatments earlier in the pathway (paragraph 7.3, apalutamide</w:t>
      </w:r>
      <w:r w:rsidR="00FD49EC">
        <w:t xml:space="preserve"> PSD</w:t>
      </w:r>
      <w:r w:rsidRPr="001642B2">
        <w:t>, November 2018).</w:t>
      </w:r>
    </w:p>
    <w:p w14:paraId="0ECE2334" w14:textId="77777777" w:rsidR="00526B6B" w:rsidRDefault="00526B6B" w:rsidP="002D5B24">
      <w:pPr>
        <w:pStyle w:val="3-BodyText"/>
        <w:ind w:left="709"/>
      </w:pPr>
      <w:r w:rsidRPr="001642B2">
        <w:t xml:space="preserve">There is also a trend to use NHAs earlier in the treatment pathway in preference of chemotherapeutic agents. The PBAC recently recommended to amend the PBS listings of abiraterone and enzalutamide in mCRPC to remove the need for prior docetaxel. This </w:t>
      </w:r>
      <w:r w:rsidR="008D3398" w:rsidRPr="001642B2">
        <w:t xml:space="preserve">decision was based on </w:t>
      </w:r>
      <w:r w:rsidRPr="001642B2">
        <w:t>recent data provided by the DUSC Secretariat which indicated that in 2020</w:t>
      </w:r>
      <w:r w:rsidR="00A42EC4" w:rsidRPr="001642B2">
        <w:t>,</w:t>
      </w:r>
      <w:r w:rsidRPr="001642B2">
        <w:t xml:space="preserve"> 69% of use of abiraterone and enzalutamide was in patients who had not received a prior supply of docetaxel. The PBAC thus considered this amendment would better align the restrictions for abiraterone and enzalutamide with how these drugs are being used in clinical practice and with their TGA indications (paragraphs 5.1 and 5.2, abiraterone </w:t>
      </w:r>
      <w:r w:rsidR="00394D79" w:rsidRPr="001642B2">
        <w:t xml:space="preserve">and </w:t>
      </w:r>
      <w:r w:rsidRPr="001642B2">
        <w:t xml:space="preserve">enzalutamide PBAC </w:t>
      </w:r>
      <w:r w:rsidR="00115A69">
        <w:t>PSD</w:t>
      </w:r>
      <w:r w:rsidRPr="001642B2">
        <w:t>, March 2021).</w:t>
      </w:r>
    </w:p>
    <w:p w14:paraId="15293A17" w14:textId="77777777" w:rsidR="00337846" w:rsidRPr="00337846" w:rsidRDefault="00337846" w:rsidP="00337846">
      <w:pPr>
        <w:pStyle w:val="3-BodyText"/>
        <w:numPr>
          <w:ilvl w:val="0"/>
          <w:numId w:val="0"/>
        </w:numPr>
        <w:ind w:left="709"/>
        <w:rPr>
          <w:i/>
          <w:iCs/>
        </w:rPr>
      </w:pPr>
      <w:r w:rsidRPr="00337846">
        <w:rPr>
          <w:i/>
          <w:iCs/>
        </w:rPr>
        <w:t>For more detail on PBAC’s view, see section 7 PBAC outcome.</w:t>
      </w:r>
    </w:p>
    <w:p w14:paraId="69A640AC" w14:textId="77777777" w:rsidR="00526B6B" w:rsidRPr="00D379EA" w:rsidRDefault="00526B6B" w:rsidP="00526B6B">
      <w:pPr>
        <w:pStyle w:val="2-SectionHeading"/>
        <w:numPr>
          <w:ilvl w:val="0"/>
          <w:numId w:val="1"/>
        </w:numPr>
      </w:pPr>
      <w:bookmarkStart w:id="9" w:name="_Toc82426506"/>
      <w:r w:rsidRPr="00D379EA">
        <w:t>Comparator</w:t>
      </w:r>
      <w:bookmarkEnd w:id="9"/>
    </w:p>
    <w:p w14:paraId="2A0BE8CB" w14:textId="77777777" w:rsidR="00526B6B" w:rsidRPr="001642B2" w:rsidRDefault="00526B6B" w:rsidP="002D5B24">
      <w:pPr>
        <w:pStyle w:val="3-BodyText"/>
        <w:ind w:left="709"/>
      </w:pPr>
      <w:r w:rsidRPr="001642B2">
        <w:t>The resubmission maintained watchful waiting (also termed placebo), comprised of ongoing ADT with or without the addition of secondary hormonal therapies, as the main comparator. The PBAC had previously accepted this to be appropriate (paragraph 7.5, apalutamide PSD, November 2018; and paragraph 7.5, apalutamide PSD, July 2019).</w:t>
      </w:r>
    </w:p>
    <w:p w14:paraId="25EE7336" w14:textId="77777777" w:rsidR="00A81EF2" w:rsidRPr="001642B2" w:rsidRDefault="00526B6B" w:rsidP="002D5B24">
      <w:pPr>
        <w:pStyle w:val="3-BodyText"/>
        <w:ind w:left="709"/>
        <w:rPr>
          <w:snapToGrid/>
        </w:rPr>
      </w:pPr>
      <w:r w:rsidRPr="001642B2">
        <w:rPr>
          <w:snapToGrid/>
        </w:rPr>
        <w:t xml:space="preserve">The resubmission also nominated darolutamide as a supplementary near market </w:t>
      </w:r>
      <w:r w:rsidRPr="001642B2">
        <w:t>comparator</w:t>
      </w:r>
      <w:r w:rsidR="008D3398" w:rsidRPr="001642B2">
        <w:rPr>
          <w:snapToGrid/>
        </w:rPr>
        <w:t>. A</w:t>
      </w:r>
      <w:r w:rsidRPr="001642B2">
        <w:rPr>
          <w:snapToGrid/>
        </w:rPr>
        <w:t xml:space="preserve">n indirect comparison with </w:t>
      </w:r>
      <w:r w:rsidR="008D3398" w:rsidRPr="001642B2">
        <w:rPr>
          <w:snapToGrid/>
        </w:rPr>
        <w:t xml:space="preserve">darolutamide </w:t>
      </w:r>
      <w:r w:rsidRPr="001642B2">
        <w:rPr>
          <w:snapToGrid/>
        </w:rPr>
        <w:t xml:space="preserve">was included as supplementary evidence in the November 2020 resubmission, using published data from the ARAMIS trial. </w:t>
      </w:r>
      <w:r w:rsidR="00305B42">
        <w:rPr>
          <w:snapToGrid/>
        </w:rPr>
        <w:t>The PBAC considered that this was appropriate.</w:t>
      </w:r>
    </w:p>
    <w:p w14:paraId="47C6B2B0" w14:textId="256035E6" w:rsidR="00526B6B" w:rsidRPr="00337846" w:rsidRDefault="00526B6B" w:rsidP="002D5B24">
      <w:pPr>
        <w:pStyle w:val="3-BodyText"/>
        <w:ind w:left="709"/>
        <w:rPr>
          <w:snapToGrid/>
        </w:rPr>
      </w:pPr>
      <w:r w:rsidRPr="001642B2">
        <w:rPr>
          <w:snapToGrid/>
        </w:rPr>
        <w:t xml:space="preserve">The </w:t>
      </w:r>
      <w:r w:rsidRPr="001642B2">
        <w:t>resubmission</w:t>
      </w:r>
      <w:r w:rsidRPr="001642B2">
        <w:rPr>
          <w:snapToGrid/>
        </w:rPr>
        <w:t xml:space="preserve"> maintained that enzalutamide was not considered </w:t>
      </w:r>
      <w:r w:rsidR="008D3398" w:rsidRPr="001642B2">
        <w:rPr>
          <w:snapToGrid/>
        </w:rPr>
        <w:t xml:space="preserve">as </w:t>
      </w:r>
      <w:r w:rsidRPr="001642B2">
        <w:rPr>
          <w:snapToGrid/>
        </w:rPr>
        <w:t xml:space="preserve">a comparator </w:t>
      </w:r>
      <w:r w:rsidR="008D3398" w:rsidRPr="001642B2">
        <w:rPr>
          <w:snapToGrid/>
        </w:rPr>
        <w:t xml:space="preserve">as </w:t>
      </w:r>
      <w:r w:rsidRPr="001642B2">
        <w:rPr>
          <w:snapToGrid/>
        </w:rPr>
        <w:t>it has not been considered by the PBAC despite its TGA registration for this population.</w:t>
      </w:r>
      <w:r w:rsidR="00A81EF2" w:rsidRPr="001642B2">
        <w:rPr>
          <w:snapToGrid/>
        </w:rPr>
        <w:t xml:space="preserve"> </w:t>
      </w:r>
      <w:r w:rsidRPr="001642B2">
        <w:t>While enzalutamide is yet to submit to the PBAC for listing in high risk m0CRPC, it is also a potentially relevant comparator. The PBAC indicated that “enzalutamide is likely to enter the same market as apalutamide, based on the PROSPER study” (paragraph 7.5, apalutamide PSD, July 2019). Enzalutamide is already PBS listed for</w:t>
      </w:r>
      <w:r w:rsidRPr="001642B2" w:rsidDel="002E05C8">
        <w:t xml:space="preserve"> </w:t>
      </w:r>
      <w:r w:rsidRPr="001642B2">
        <w:t>mCRPC and given recent PBAC recommendation to remove the need for prior docetaxel, it is possible that patients classified as m0CRPC in the apalutamide trial (SPARTAN) may be identified as mCRPC and treated with enzalutamide on the PBS, given that more sensitive imaging techniques currently used in Australia allow earlier detection of metastasis than conventional imaging in SPARTAN.</w:t>
      </w:r>
    </w:p>
    <w:p w14:paraId="2CC1DC23" w14:textId="77777777" w:rsidR="00337846" w:rsidRPr="00337846" w:rsidRDefault="00337846" w:rsidP="00337846">
      <w:pPr>
        <w:pStyle w:val="3-BodyText"/>
        <w:numPr>
          <w:ilvl w:val="0"/>
          <w:numId w:val="0"/>
        </w:numPr>
        <w:ind w:left="709"/>
        <w:rPr>
          <w:i/>
          <w:iCs/>
          <w:snapToGrid/>
        </w:rPr>
      </w:pPr>
      <w:r w:rsidRPr="00337846">
        <w:rPr>
          <w:i/>
          <w:iCs/>
        </w:rPr>
        <w:t>For more detail on PBAC’s view, see section 7 PBAC outcome.</w:t>
      </w:r>
    </w:p>
    <w:p w14:paraId="2426E828" w14:textId="77777777" w:rsidR="00526B6B" w:rsidRPr="00D379EA" w:rsidRDefault="00526B6B" w:rsidP="00526B6B">
      <w:pPr>
        <w:pStyle w:val="2-SectionHeading"/>
        <w:numPr>
          <w:ilvl w:val="0"/>
          <w:numId w:val="1"/>
        </w:numPr>
      </w:pPr>
      <w:bookmarkStart w:id="10" w:name="_Toc82426507"/>
      <w:r w:rsidRPr="00D379EA">
        <w:t>Consideration of the evidence</w:t>
      </w:r>
      <w:bookmarkEnd w:id="10"/>
    </w:p>
    <w:p w14:paraId="03A51E47" w14:textId="77777777" w:rsidR="00337846" w:rsidRPr="006E1229" w:rsidRDefault="00337846" w:rsidP="00337846">
      <w:pPr>
        <w:pStyle w:val="4-SubsectionHeading"/>
      </w:pPr>
      <w:bookmarkStart w:id="11" w:name="_Hlk76375935"/>
      <w:bookmarkStart w:id="12" w:name="_Toc82426508"/>
      <w:r w:rsidRPr="006E1229">
        <w:t>Sponsor hearing</w:t>
      </w:r>
    </w:p>
    <w:p w14:paraId="708731CD" w14:textId="77777777" w:rsidR="00337846" w:rsidRPr="00EB1A9F" w:rsidRDefault="00337846" w:rsidP="00EB1A9F">
      <w:pPr>
        <w:widowControl w:val="0"/>
        <w:numPr>
          <w:ilvl w:val="1"/>
          <w:numId w:val="1"/>
        </w:numPr>
        <w:spacing w:after="120"/>
        <w:ind w:left="720"/>
        <w:rPr>
          <w:rFonts w:cs="Calibri"/>
          <w:bCs/>
          <w:snapToGrid w:val="0"/>
        </w:rPr>
      </w:pPr>
      <w:r w:rsidRPr="00F91542">
        <w:rPr>
          <w:rFonts w:cs="Calibri"/>
          <w:bCs/>
          <w:snapToGrid w:val="0"/>
        </w:rPr>
        <w:t>There was no hearing for this item.</w:t>
      </w:r>
    </w:p>
    <w:p w14:paraId="0D8E8587" w14:textId="77777777" w:rsidR="00337846" w:rsidRPr="006E1229" w:rsidRDefault="00337846" w:rsidP="00337846">
      <w:pPr>
        <w:pStyle w:val="4-SubsectionHeading"/>
      </w:pPr>
      <w:r w:rsidRPr="006E1229">
        <w:t>Consumer comments</w:t>
      </w:r>
    </w:p>
    <w:p w14:paraId="2FA54FDB" w14:textId="77777777" w:rsidR="00337846" w:rsidRPr="00836F75" w:rsidRDefault="00337846" w:rsidP="00337846">
      <w:pPr>
        <w:widowControl w:val="0"/>
        <w:numPr>
          <w:ilvl w:val="1"/>
          <w:numId w:val="1"/>
        </w:numPr>
        <w:spacing w:after="120"/>
        <w:ind w:left="720"/>
        <w:rPr>
          <w:rFonts w:asciiTheme="minorHAnsi" w:hAnsiTheme="minorHAnsi"/>
          <w:bCs/>
          <w:snapToGrid w:val="0"/>
        </w:rPr>
      </w:pPr>
      <w:bookmarkStart w:id="13" w:name="_Hlk76382618"/>
      <w:r w:rsidRPr="00836F75">
        <w:rPr>
          <w:rFonts w:asciiTheme="minorHAnsi" w:hAnsiTheme="minorHAnsi"/>
          <w:bCs/>
          <w:snapToGrid w:val="0"/>
        </w:rPr>
        <w:t>The PBAC note</w:t>
      </w:r>
      <w:r w:rsidR="00337163">
        <w:rPr>
          <w:rFonts w:asciiTheme="minorHAnsi" w:hAnsiTheme="minorHAnsi"/>
          <w:bCs/>
          <w:snapToGrid w:val="0"/>
        </w:rPr>
        <w:t xml:space="preserve">d </w:t>
      </w:r>
      <w:r w:rsidRPr="00836F75">
        <w:rPr>
          <w:rFonts w:asciiTheme="minorHAnsi" w:hAnsiTheme="minorHAnsi"/>
          <w:bCs/>
          <w:snapToGrid w:val="0"/>
        </w:rPr>
        <w:t xml:space="preserve">and welcomed the input from </w:t>
      </w:r>
      <w:r w:rsidR="00337163">
        <w:rPr>
          <w:rFonts w:asciiTheme="minorHAnsi" w:hAnsiTheme="minorHAnsi"/>
          <w:bCs/>
          <w:snapToGrid w:val="0"/>
        </w:rPr>
        <w:t xml:space="preserve">a number of </w:t>
      </w:r>
      <w:r w:rsidRPr="00836F75">
        <w:rPr>
          <w:rFonts w:asciiTheme="minorHAnsi" w:hAnsiTheme="minorHAnsi"/>
          <w:bCs/>
          <w:snapToGrid w:val="0"/>
        </w:rPr>
        <w:t xml:space="preserve">individuals </w:t>
      </w:r>
      <w:r w:rsidR="00337163">
        <w:rPr>
          <w:rFonts w:asciiTheme="minorHAnsi" w:hAnsiTheme="minorHAnsi"/>
          <w:bCs/>
          <w:snapToGrid w:val="0"/>
        </w:rPr>
        <w:t>and</w:t>
      </w:r>
      <w:r w:rsidRPr="00836F75">
        <w:rPr>
          <w:rFonts w:asciiTheme="minorHAnsi" w:hAnsiTheme="minorHAnsi"/>
          <w:bCs/>
          <w:snapToGrid w:val="0"/>
        </w:rPr>
        <w:t xml:space="preserve"> health care professionals</w:t>
      </w:r>
      <w:r w:rsidR="0044615F">
        <w:rPr>
          <w:rFonts w:asciiTheme="minorHAnsi" w:hAnsiTheme="minorHAnsi"/>
          <w:bCs/>
          <w:snapToGrid w:val="0"/>
        </w:rPr>
        <w:t xml:space="preserve">, as well as </w:t>
      </w:r>
      <w:r w:rsidRPr="00836F75">
        <w:rPr>
          <w:rFonts w:asciiTheme="minorHAnsi" w:hAnsiTheme="minorHAnsi"/>
          <w:bCs/>
          <w:snapToGrid w:val="0"/>
        </w:rPr>
        <w:t>organisations (</w:t>
      </w:r>
      <w:r w:rsidR="00337163">
        <w:rPr>
          <w:rFonts w:asciiTheme="minorHAnsi" w:hAnsiTheme="minorHAnsi"/>
          <w:bCs/>
          <w:snapToGrid w:val="0"/>
        </w:rPr>
        <w:t>8</w:t>
      </w:r>
      <w:r w:rsidRPr="00836F75">
        <w:rPr>
          <w:rFonts w:asciiTheme="minorHAnsi" w:hAnsiTheme="minorHAnsi"/>
          <w:bCs/>
          <w:snapToGrid w:val="0"/>
        </w:rPr>
        <w:t xml:space="preserve">) via the Consumer Comments facility on the PBS website.  The comments described a range of benefits </w:t>
      </w:r>
      <w:r w:rsidR="0044615F">
        <w:rPr>
          <w:rFonts w:asciiTheme="minorHAnsi" w:hAnsiTheme="minorHAnsi"/>
          <w:bCs/>
          <w:snapToGrid w:val="0"/>
        </w:rPr>
        <w:t xml:space="preserve">associated with </w:t>
      </w:r>
      <w:r w:rsidRPr="00836F75">
        <w:rPr>
          <w:rFonts w:asciiTheme="minorHAnsi" w:hAnsiTheme="minorHAnsi"/>
          <w:bCs/>
          <w:snapToGrid w:val="0"/>
        </w:rPr>
        <w:t xml:space="preserve">treatment with </w:t>
      </w:r>
      <w:r w:rsidR="0044615F">
        <w:rPr>
          <w:rFonts w:asciiTheme="minorHAnsi" w:hAnsiTheme="minorHAnsi"/>
          <w:bCs/>
          <w:snapToGrid w:val="0"/>
        </w:rPr>
        <w:t xml:space="preserve">apalutamide </w:t>
      </w:r>
      <w:r w:rsidRPr="00836F75">
        <w:rPr>
          <w:rFonts w:asciiTheme="minorHAnsi" w:hAnsiTheme="minorHAnsi"/>
          <w:bCs/>
          <w:snapToGrid w:val="0"/>
        </w:rPr>
        <w:t xml:space="preserve">including the </w:t>
      </w:r>
      <w:r w:rsidR="0044615F">
        <w:rPr>
          <w:rFonts w:asciiTheme="minorHAnsi" w:hAnsiTheme="minorHAnsi"/>
          <w:bCs/>
          <w:snapToGrid w:val="0"/>
        </w:rPr>
        <w:t>potential for an improved life expectancy and improvements in quality of life.</w:t>
      </w:r>
      <w:r w:rsidRPr="00836F75">
        <w:rPr>
          <w:rFonts w:asciiTheme="minorHAnsi" w:hAnsiTheme="minorHAnsi"/>
          <w:bCs/>
          <w:snapToGrid w:val="0"/>
        </w:rPr>
        <w:t xml:space="preserve">  </w:t>
      </w:r>
    </w:p>
    <w:p w14:paraId="73F546CB" w14:textId="77777777" w:rsidR="00337163" w:rsidRDefault="00337846" w:rsidP="00337163">
      <w:pPr>
        <w:widowControl w:val="0"/>
        <w:numPr>
          <w:ilvl w:val="1"/>
          <w:numId w:val="1"/>
        </w:numPr>
        <w:spacing w:after="120"/>
        <w:ind w:left="720"/>
        <w:rPr>
          <w:bCs/>
        </w:rPr>
      </w:pPr>
      <w:r w:rsidRPr="00836F75">
        <w:rPr>
          <w:rFonts w:asciiTheme="minorHAnsi" w:hAnsiTheme="minorHAnsi"/>
          <w:bCs/>
          <w:snapToGrid w:val="0"/>
        </w:rPr>
        <w:t xml:space="preserve">The PBAC noted the advice received from </w:t>
      </w:r>
      <w:r w:rsidR="005C4EBF">
        <w:rPr>
          <w:rFonts w:asciiTheme="minorHAnsi" w:hAnsiTheme="minorHAnsi"/>
          <w:bCs/>
          <w:snapToGrid w:val="0"/>
        </w:rPr>
        <w:t>the following prostate cancer support groups: Tamworth and District, Ocean Reef, South Eastern, Heidelberg, and Nepean/Blue Mountains</w:t>
      </w:r>
      <w:r w:rsidR="00337163">
        <w:rPr>
          <w:rFonts w:asciiTheme="minorHAnsi" w:hAnsiTheme="minorHAnsi"/>
          <w:bCs/>
          <w:snapToGrid w:val="0"/>
        </w:rPr>
        <w:t xml:space="preserve">, outlining the need for additional prostate cancer treatments. Support for the submission was also received from Movember and the Prostate Cancer Foundation of Australia. </w:t>
      </w:r>
      <w:bookmarkEnd w:id="11"/>
      <w:bookmarkEnd w:id="13"/>
    </w:p>
    <w:p w14:paraId="23A9C977" w14:textId="77777777" w:rsidR="00337163" w:rsidRDefault="00337846" w:rsidP="00337163">
      <w:pPr>
        <w:widowControl w:val="0"/>
        <w:numPr>
          <w:ilvl w:val="1"/>
          <w:numId w:val="1"/>
        </w:numPr>
        <w:spacing w:after="120"/>
        <w:ind w:left="720"/>
      </w:pPr>
      <w:r w:rsidRPr="00337163">
        <w:rPr>
          <w:rFonts w:asciiTheme="minorHAnsi" w:hAnsiTheme="minorHAnsi"/>
          <w:bCs/>
          <w:snapToGrid w:val="0"/>
        </w:rPr>
        <w:t xml:space="preserve">The Medical Oncology Group of Australia (MOGA) also expressed its strong support for the </w:t>
      </w:r>
      <w:r w:rsidR="00337163" w:rsidRPr="00337163">
        <w:rPr>
          <w:rFonts w:asciiTheme="minorHAnsi" w:hAnsiTheme="minorHAnsi"/>
          <w:bCs/>
          <w:snapToGrid w:val="0"/>
        </w:rPr>
        <w:t xml:space="preserve">apalutamide in m0CRPC </w:t>
      </w:r>
      <w:r w:rsidRPr="00337163">
        <w:rPr>
          <w:rFonts w:asciiTheme="minorHAnsi" w:hAnsiTheme="minorHAnsi"/>
          <w:bCs/>
          <w:snapToGrid w:val="0"/>
        </w:rPr>
        <w:t xml:space="preserve">submission, categorising it as one of the therapies of “highest priority for PBS listing” on the basis of the </w:t>
      </w:r>
      <w:r w:rsidR="00337163" w:rsidRPr="00337163">
        <w:rPr>
          <w:rFonts w:asciiTheme="minorHAnsi" w:hAnsiTheme="minorHAnsi"/>
          <w:bCs/>
          <w:snapToGrid w:val="0"/>
        </w:rPr>
        <w:t>SPARTAN</w:t>
      </w:r>
      <w:r w:rsidRPr="00337163">
        <w:rPr>
          <w:rFonts w:asciiTheme="minorHAnsi" w:hAnsiTheme="minorHAnsi"/>
          <w:bCs/>
          <w:snapToGrid w:val="0"/>
        </w:rPr>
        <w:t xml:space="preserve"> trial. The PBAC noted that the MOGA presented a European Society for Medical Oncology Magnitude of Clinical Benefit Scale (ESMO-MCBS) for </w:t>
      </w:r>
      <w:r w:rsidR="00337163" w:rsidRPr="00337163">
        <w:rPr>
          <w:rFonts w:asciiTheme="minorHAnsi" w:hAnsiTheme="minorHAnsi"/>
          <w:bCs/>
          <w:snapToGrid w:val="0"/>
        </w:rPr>
        <w:t>apalutamide</w:t>
      </w:r>
      <w:r w:rsidRPr="00337163">
        <w:rPr>
          <w:rFonts w:asciiTheme="minorHAnsi" w:hAnsiTheme="minorHAnsi"/>
          <w:bCs/>
          <w:snapToGrid w:val="0"/>
        </w:rPr>
        <w:t xml:space="preserve">, which was limited to </w:t>
      </w:r>
      <w:r w:rsidR="00337163" w:rsidRPr="00337163">
        <w:rPr>
          <w:rFonts w:asciiTheme="minorHAnsi" w:hAnsiTheme="minorHAnsi"/>
          <w:bCs/>
          <w:snapToGrid w:val="0"/>
        </w:rPr>
        <w:t>5</w:t>
      </w:r>
      <w:r w:rsidRPr="00337163">
        <w:rPr>
          <w:rFonts w:asciiTheme="minorHAnsi" w:hAnsiTheme="minorHAnsi"/>
          <w:bCs/>
          <w:snapToGrid w:val="0"/>
        </w:rPr>
        <w:t xml:space="preserve"> (out of a maximum of 5, where 5 and 4 represent the grades with substantial improvement)</w:t>
      </w:r>
      <w:r w:rsidRPr="00337163">
        <w:rPr>
          <w:rFonts w:asciiTheme="minorHAnsi" w:hAnsiTheme="minorHAnsi"/>
          <w:bCs/>
          <w:snapToGrid w:val="0"/>
          <w:vertAlign w:val="superscript"/>
        </w:rPr>
        <w:t>[1]</w:t>
      </w:r>
      <w:r w:rsidRPr="00337163">
        <w:rPr>
          <w:rFonts w:asciiTheme="minorHAnsi" w:hAnsiTheme="minorHAnsi"/>
          <w:bCs/>
          <w:snapToGrid w:val="0"/>
        </w:rPr>
        <w:t xml:space="preserve">, based on a comparison with </w:t>
      </w:r>
      <w:r w:rsidR="00337163" w:rsidRPr="00337163">
        <w:rPr>
          <w:rFonts w:asciiTheme="minorHAnsi" w:hAnsiTheme="minorHAnsi"/>
          <w:bCs/>
          <w:snapToGrid w:val="0"/>
        </w:rPr>
        <w:t>placebo</w:t>
      </w:r>
      <w:r w:rsidRPr="00337163">
        <w:rPr>
          <w:rFonts w:asciiTheme="minorHAnsi" w:hAnsiTheme="minorHAnsi"/>
          <w:bCs/>
          <w:snapToGrid w:val="0"/>
        </w:rPr>
        <w:t>.</w:t>
      </w:r>
      <w:r w:rsidR="00337163">
        <w:rPr>
          <w:rStyle w:val="FootnoteReference"/>
          <w:rFonts w:asciiTheme="minorHAnsi" w:hAnsiTheme="minorHAnsi"/>
          <w:bCs/>
          <w:snapToGrid w:val="0"/>
        </w:rPr>
        <w:footnoteReference w:id="1"/>
      </w:r>
      <w:r w:rsidRPr="00337163">
        <w:rPr>
          <w:rFonts w:asciiTheme="minorHAnsi" w:hAnsiTheme="minorHAnsi"/>
          <w:bCs/>
          <w:snapToGrid w:val="0"/>
        </w:rPr>
        <w:t xml:space="preserve">  </w:t>
      </w:r>
    </w:p>
    <w:p w14:paraId="43A2AD7A" w14:textId="77777777" w:rsidR="00526B6B" w:rsidRPr="00D379EA" w:rsidRDefault="00526B6B" w:rsidP="00526B6B">
      <w:pPr>
        <w:pStyle w:val="4-SubsectionHeading"/>
      </w:pPr>
      <w:r w:rsidRPr="00D379EA">
        <w:t>Clinical trials</w:t>
      </w:r>
      <w:bookmarkEnd w:id="12"/>
    </w:p>
    <w:p w14:paraId="52E5F397" w14:textId="77777777" w:rsidR="00526B6B" w:rsidRDefault="00526B6B" w:rsidP="002D5B24">
      <w:pPr>
        <w:pStyle w:val="3-BodyText"/>
        <w:ind w:left="709"/>
      </w:pPr>
      <w:r>
        <w:t xml:space="preserve">No new clinical data was presented in the resubmission. The November 2020 </w:t>
      </w:r>
      <w:r w:rsidRPr="00394D79">
        <w:rPr>
          <w:iCs/>
        </w:rPr>
        <w:t>resubmission h</w:t>
      </w:r>
      <w:r>
        <w:t>ad presented the results of final analyses from both the SPARTAN trial (for apalutamide) and the ARAMIS trial (for darolutamide). The median duration of follow up from SPARTAN and ARAMIS at final analyses were 52 months and 29 months respectively with no further clinical data expected.</w:t>
      </w:r>
    </w:p>
    <w:p w14:paraId="5ABED2A1" w14:textId="77777777" w:rsidR="00526B6B" w:rsidRPr="00D379EA" w:rsidRDefault="00526B6B" w:rsidP="002D5B24">
      <w:pPr>
        <w:pStyle w:val="3-BodyText"/>
        <w:ind w:left="709"/>
      </w:pPr>
      <w:r>
        <w:t xml:space="preserve">Details of the SPARTAN and ARAMIS </w:t>
      </w:r>
      <w:r w:rsidRPr="00D379EA">
        <w:t xml:space="preserve">trials </w:t>
      </w:r>
      <w:r>
        <w:t xml:space="preserve">were unchanged from </w:t>
      </w:r>
      <w:r w:rsidRPr="00D379EA">
        <w:t xml:space="preserve">the </w:t>
      </w:r>
      <w:r>
        <w:t>November 2020 resubmission and are represented in the table below</w:t>
      </w:r>
      <w:r w:rsidRPr="00D379EA">
        <w:t>.</w:t>
      </w:r>
    </w:p>
    <w:p w14:paraId="65A33E1B" w14:textId="77777777" w:rsidR="00526B6B" w:rsidRPr="00D379EA" w:rsidRDefault="00526B6B" w:rsidP="00526B6B">
      <w:pPr>
        <w:pStyle w:val="TableFigureHeading"/>
        <w:rPr>
          <w:rStyle w:val="CommentReference"/>
          <w:szCs w:val="24"/>
        </w:rPr>
      </w:pPr>
      <w:r w:rsidRPr="00D379EA">
        <w:rPr>
          <w:rStyle w:val="CommentReference"/>
          <w:b/>
          <w:szCs w:val="24"/>
        </w:rPr>
        <w:t>Table 3: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845"/>
        <w:gridCol w:w="6049"/>
        <w:gridCol w:w="2123"/>
      </w:tblGrid>
      <w:tr w:rsidR="00526B6B" w:rsidRPr="001539A6" w14:paraId="39770FA6" w14:textId="77777777" w:rsidTr="00CE3EC2">
        <w:trPr>
          <w:tblHeader/>
        </w:trPr>
        <w:tc>
          <w:tcPr>
            <w:tcW w:w="469" w:type="pct"/>
            <w:shd w:val="clear" w:color="auto" w:fill="auto"/>
            <w:vAlign w:val="center"/>
          </w:tcPr>
          <w:p w14:paraId="429286EC" w14:textId="77777777" w:rsidR="00526B6B" w:rsidRPr="001539A6" w:rsidRDefault="00526B6B" w:rsidP="001539A6">
            <w:pPr>
              <w:pStyle w:val="TableText0"/>
              <w:widowControl w:val="0"/>
              <w:rPr>
                <w:b/>
              </w:rPr>
            </w:pPr>
            <w:r w:rsidRPr="001539A6">
              <w:rPr>
                <w:b/>
              </w:rPr>
              <w:t>Trial ID</w:t>
            </w:r>
          </w:p>
        </w:tc>
        <w:tc>
          <w:tcPr>
            <w:tcW w:w="3354" w:type="pct"/>
            <w:shd w:val="clear" w:color="auto" w:fill="auto"/>
            <w:vAlign w:val="center"/>
          </w:tcPr>
          <w:p w14:paraId="0A4EE1E8" w14:textId="77777777" w:rsidR="00526B6B" w:rsidRPr="001539A6" w:rsidRDefault="00526B6B" w:rsidP="001539A6">
            <w:pPr>
              <w:pStyle w:val="TableText0"/>
              <w:widowControl w:val="0"/>
              <w:rPr>
                <w:b/>
              </w:rPr>
            </w:pPr>
            <w:r w:rsidRPr="001539A6">
              <w:rPr>
                <w:b/>
              </w:rPr>
              <w:t>Protocol title/ Publication title</w:t>
            </w:r>
          </w:p>
        </w:tc>
        <w:tc>
          <w:tcPr>
            <w:tcW w:w="1177" w:type="pct"/>
            <w:shd w:val="clear" w:color="auto" w:fill="auto"/>
            <w:vAlign w:val="center"/>
          </w:tcPr>
          <w:p w14:paraId="0F3D306A" w14:textId="77777777" w:rsidR="00526B6B" w:rsidRPr="001539A6" w:rsidRDefault="00526B6B" w:rsidP="001539A6">
            <w:pPr>
              <w:pStyle w:val="TableText0"/>
              <w:widowControl w:val="0"/>
              <w:rPr>
                <w:b/>
              </w:rPr>
            </w:pPr>
            <w:r w:rsidRPr="001539A6">
              <w:rPr>
                <w:b/>
              </w:rPr>
              <w:t>Publication citation</w:t>
            </w:r>
          </w:p>
        </w:tc>
      </w:tr>
      <w:tr w:rsidR="00526B6B" w:rsidRPr="00D379EA" w14:paraId="22751C09" w14:textId="77777777" w:rsidTr="00CE3EC2">
        <w:tc>
          <w:tcPr>
            <w:tcW w:w="469" w:type="pct"/>
            <w:vMerge w:val="restart"/>
            <w:shd w:val="clear" w:color="auto" w:fill="auto"/>
            <w:vAlign w:val="center"/>
          </w:tcPr>
          <w:p w14:paraId="27A0358A" w14:textId="77777777" w:rsidR="00526B6B" w:rsidRPr="00D379EA" w:rsidRDefault="00526B6B" w:rsidP="001539A6">
            <w:pPr>
              <w:pStyle w:val="TableText0"/>
              <w:widowControl w:val="0"/>
            </w:pPr>
            <w:r w:rsidRPr="00D379EA">
              <w:t>SPARTAN</w:t>
            </w:r>
          </w:p>
        </w:tc>
        <w:tc>
          <w:tcPr>
            <w:tcW w:w="3354" w:type="pct"/>
            <w:tcBorders>
              <w:bottom w:val="nil"/>
            </w:tcBorders>
            <w:shd w:val="clear" w:color="auto" w:fill="auto"/>
            <w:vAlign w:val="center"/>
          </w:tcPr>
          <w:p w14:paraId="4832A7A1" w14:textId="77777777" w:rsidR="00526B6B" w:rsidRPr="001539A6" w:rsidRDefault="00526B6B" w:rsidP="001539A6">
            <w:pPr>
              <w:pStyle w:val="TableText0"/>
              <w:widowControl w:val="0"/>
            </w:pPr>
            <w:r w:rsidRPr="001539A6">
              <w:t>A study of apalutamide (ARN-509) in men with non-metastatic castration-resistant prostate cancer.</w:t>
            </w:r>
          </w:p>
        </w:tc>
        <w:tc>
          <w:tcPr>
            <w:tcW w:w="1177" w:type="pct"/>
            <w:tcBorders>
              <w:bottom w:val="nil"/>
            </w:tcBorders>
            <w:shd w:val="clear" w:color="auto" w:fill="auto"/>
            <w:vAlign w:val="center"/>
          </w:tcPr>
          <w:p w14:paraId="5A55A3AD" w14:textId="77777777" w:rsidR="00526B6B" w:rsidRPr="00D379EA" w:rsidRDefault="00526B6B" w:rsidP="001539A6">
            <w:pPr>
              <w:pStyle w:val="TableText0"/>
              <w:widowControl w:val="0"/>
            </w:pPr>
            <w:r w:rsidRPr="00D379EA">
              <w:t>September 2017</w:t>
            </w:r>
          </w:p>
        </w:tc>
      </w:tr>
      <w:tr w:rsidR="00526B6B" w:rsidRPr="00D379EA" w14:paraId="5E5E0AD4" w14:textId="77777777" w:rsidTr="00CE3EC2">
        <w:tc>
          <w:tcPr>
            <w:tcW w:w="469" w:type="pct"/>
            <w:vMerge/>
            <w:tcBorders>
              <w:bottom w:val="nil"/>
            </w:tcBorders>
            <w:shd w:val="clear" w:color="auto" w:fill="auto"/>
            <w:vAlign w:val="center"/>
          </w:tcPr>
          <w:p w14:paraId="01C1463D" w14:textId="77777777" w:rsidR="00526B6B" w:rsidRPr="00D379EA" w:rsidRDefault="00526B6B" w:rsidP="001539A6">
            <w:pPr>
              <w:pStyle w:val="TableText0"/>
              <w:widowControl w:val="0"/>
            </w:pPr>
          </w:p>
        </w:tc>
        <w:tc>
          <w:tcPr>
            <w:tcW w:w="3354" w:type="pct"/>
            <w:tcBorders>
              <w:top w:val="nil"/>
              <w:bottom w:val="nil"/>
            </w:tcBorders>
            <w:shd w:val="clear" w:color="auto" w:fill="auto"/>
            <w:vAlign w:val="center"/>
          </w:tcPr>
          <w:p w14:paraId="6EB031C7" w14:textId="77777777" w:rsidR="00526B6B" w:rsidRPr="001539A6" w:rsidRDefault="00526B6B" w:rsidP="001539A6">
            <w:pPr>
              <w:pStyle w:val="TableText0"/>
              <w:widowControl w:val="0"/>
            </w:pPr>
            <w:r w:rsidRPr="00D379EA">
              <w:t>Smith MR, Saad F, Chowdhury S et al.  Apalutamide treatment and metastasis-free survival in prostate cancer.</w:t>
            </w:r>
          </w:p>
        </w:tc>
        <w:tc>
          <w:tcPr>
            <w:tcW w:w="1177" w:type="pct"/>
            <w:tcBorders>
              <w:top w:val="nil"/>
              <w:bottom w:val="nil"/>
            </w:tcBorders>
            <w:shd w:val="clear" w:color="auto" w:fill="auto"/>
            <w:vAlign w:val="center"/>
          </w:tcPr>
          <w:p w14:paraId="78729228" w14:textId="77777777" w:rsidR="00526B6B" w:rsidRPr="001539A6" w:rsidRDefault="00526B6B" w:rsidP="001539A6">
            <w:pPr>
              <w:pStyle w:val="TableText0"/>
              <w:widowControl w:val="0"/>
            </w:pPr>
            <w:r w:rsidRPr="001539A6">
              <w:t>NEJM 2018; 378:1408-1418</w:t>
            </w:r>
          </w:p>
        </w:tc>
      </w:tr>
      <w:tr w:rsidR="00526B6B" w:rsidRPr="00D379EA" w14:paraId="5300F2B7" w14:textId="77777777" w:rsidTr="00CE3EC2">
        <w:tc>
          <w:tcPr>
            <w:tcW w:w="469" w:type="pct"/>
            <w:tcBorders>
              <w:top w:val="single" w:sz="4" w:space="0" w:color="auto"/>
              <w:bottom w:val="single" w:sz="4" w:space="0" w:color="auto"/>
            </w:tcBorders>
            <w:shd w:val="clear" w:color="auto" w:fill="auto"/>
            <w:vAlign w:val="center"/>
          </w:tcPr>
          <w:p w14:paraId="58D2626C" w14:textId="77777777" w:rsidR="00526B6B" w:rsidRPr="00D379EA" w:rsidRDefault="00526B6B" w:rsidP="001539A6">
            <w:pPr>
              <w:pStyle w:val="TableText0"/>
              <w:widowControl w:val="0"/>
            </w:pPr>
            <w:r w:rsidRPr="00D379EA">
              <w:t>ARAMIS</w:t>
            </w:r>
          </w:p>
        </w:tc>
        <w:tc>
          <w:tcPr>
            <w:tcW w:w="3354" w:type="pct"/>
            <w:tcBorders>
              <w:top w:val="single" w:sz="4" w:space="0" w:color="auto"/>
              <w:bottom w:val="single" w:sz="4" w:space="0" w:color="auto"/>
            </w:tcBorders>
            <w:shd w:val="clear" w:color="auto" w:fill="auto"/>
            <w:vAlign w:val="center"/>
          </w:tcPr>
          <w:p w14:paraId="1A16A94C" w14:textId="77777777" w:rsidR="00526B6B" w:rsidRPr="001539A6" w:rsidRDefault="00526B6B" w:rsidP="001539A6">
            <w:pPr>
              <w:pStyle w:val="TableText0"/>
              <w:widowControl w:val="0"/>
            </w:pPr>
            <w:r w:rsidRPr="001539A6">
              <w:t>Fizazi K, Shore N, Tammela TL, et al. Darolutamide in non-metastatic castration-resistant prostate cancer.</w:t>
            </w:r>
          </w:p>
        </w:tc>
        <w:tc>
          <w:tcPr>
            <w:tcW w:w="1177" w:type="pct"/>
            <w:tcBorders>
              <w:top w:val="single" w:sz="4" w:space="0" w:color="auto"/>
              <w:bottom w:val="single" w:sz="4" w:space="0" w:color="auto"/>
            </w:tcBorders>
            <w:shd w:val="clear" w:color="auto" w:fill="auto"/>
            <w:vAlign w:val="center"/>
          </w:tcPr>
          <w:p w14:paraId="726976D6" w14:textId="77777777" w:rsidR="00526B6B" w:rsidRPr="00D379EA" w:rsidRDefault="00526B6B" w:rsidP="001539A6">
            <w:pPr>
              <w:pStyle w:val="TableText0"/>
              <w:widowControl w:val="0"/>
            </w:pPr>
            <w:r w:rsidRPr="001539A6">
              <w:t>NEJM 2019; DOI: 10.1056/NEJMoa1815671</w:t>
            </w:r>
          </w:p>
        </w:tc>
      </w:tr>
    </w:tbl>
    <w:p w14:paraId="666C43CC" w14:textId="77777777" w:rsidR="00526B6B" w:rsidRPr="00D379EA" w:rsidRDefault="00526B6B" w:rsidP="00526B6B">
      <w:pPr>
        <w:pStyle w:val="TableFigureFooter"/>
      </w:pPr>
      <w:r w:rsidRPr="00D379EA">
        <w:t xml:space="preserve">Source: Table </w:t>
      </w:r>
      <w:r>
        <w:t xml:space="preserve">4, apalutamide PBAC </w:t>
      </w:r>
      <w:r w:rsidR="00115A69">
        <w:t>PSD</w:t>
      </w:r>
      <w:r>
        <w:t>, November 2020.</w:t>
      </w:r>
    </w:p>
    <w:p w14:paraId="6271E9D6" w14:textId="77777777" w:rsidR="00526B6B" w:rsidRPr="00D379EA" w:rsidRDefault="00526B6B" w:rsidP="002D5B24">
      <w:pPr>
        <w:pStyle w:val="3-BodyText"/>
        <w:ind w:left="709"/>
      </w:pPr>
      <w:r w:rsidRPr="00D379EA">
        <w:t xml:space="preserve">The key features of SPARTAN and ARAMIS </w:t>
      </w:r>
      <w:r>
        <w:t xml:space="preserve">(unchanged from November 2020) </w:t>
      </w:r>
      <w:r w:rsidRPr="00D379EA">
        <w:t xml:space="preserve">are </w:t>
      </w:r>
      <w:r w:rsidRPr="00394D79">
        <w:rPr>
          <w:iCs/>
        </w:rPr>
        <w:t>presented in</w:t>
      </w:r>
      <w:r w:rsidRPr="00D379EA">
        <w:t xml:space="preserve"> the table below. </w:t>
      </w:r>
    </w:p>
    <w:p w14:paraId="472492D4" w14:textId="77777777" w:rsidR="00526B6B" w:rsidRPr="00D379EA" w:rsidRDefault="00526B6B" w:rsidP="00526B6B">
      <w:pPr>
        <w:pStyle w:val="TableHeading1"/>
        <w:spacing w:after="0"/>
        <w:rPr>
          <w:rStyle w:val="CommentReference"/>
          <w:b/>
          <w:szCs w:val="24"/>
        </w:rPr>
      </w:pPr>
      <w:r w:rsidRPr="00D379EA">
        <w:rPr>
          <w:rStyle w:val="CommentReference"/>
          <w:b/>
          <w:szCs w:val="24"/>
        </w:rPr>
        <w:t>Table 4: Key features of the included evidence: Apalutamide + ADT vs. placebo + ADT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Apalutamide + ADT vs. placebo + ADT"/>
      </w:tblPr>
      <w:tblGrid>
        <w:gridCol w:w="988"/>
        <w:gridCol w:w="1704"/>
        <w:gridCol w:w="1414"/>
        <w:gridCol w:w="1275"/>
        <w:gridCol w:w="2269"/>
        <w:gridCol w:w="1367"/>
      </w:tblGrid>
      <w:tr w:rsidR="00526B6B" w:rsidRPr="001539A6" w14:paraId="6BE44852" w14:textId="77777777" w:rsidTr="00AD6D36">
        <w:trPr>
          <w:cantSplit/>
          <w:tblHeader/>
        </w:trPr>
        <w:tc>
          <w:tcPr>
            <w:tcW w:w="548" w:type="pct"/>
            <w:tcBorders>
              <w:bottom w:val="single" w:sz="4" w:space="0" w:color="auto"/>
            </w:tcBorders>
            <w:shd w:val="clear" w:color="auto" w:fill="auto"/>
            <w:vAlign w:val="center"/>
          </w:tcPr>
          <w:p w14:paraId="6121B1EB" w14:textId="77777777" w:rsidR="00526B6B" w:rsidRPr="001539A6" w:rsidRDefault="00526B6B" w:rsidP="001539A6">
            <w:pPr>
              <w:pStyle w:val="TableText0"/>
              <w:widowControl w:val="0"/>
              <w:rPr>
                <w:b/>
              </w:rPr>
            </w:pPr>
            <w:r w:rsidRPr="001539A6">
              <w:rPr>
                <w:b/>
              </w:rPr>
              <w:t>Trial</w:t>
            </w:r>
          </w:p>
        </w:tc>
        <w:tc>
          <w:tcPr>
            <w:tcW w:w="945" w:type="pct"/>
            <w:tcBorders>
              <w:bottom w:val="single" w:sz="4" w:space="0" w:color="auto"/>
            </w:tcBorders>
            <w:shd w:val="clear" w:color="auto" w:fill="auto"/>
            <w:vAlign w:val="center"/>
          </w:tcPr>
          <w:p w14:paraId="64B37B95" w14:textId="77777777" w:rsidR="00526B6B" w:rsidRPr="001539A6" w:rsidRDefault="00526B6B" w:rsidP="001539A6">
            <w:pPr>
              <w:pStyle w:val="TableText0"/>
              <w:widowControl w:val="0"/>
              <w:rPr>
                <w:b/>
              </w:rPr>
            </w:pPr>
            <w:r w:rsidRPr="001539A6">
              <w:rPr>
                <w:b/>
              </w:rPr>
              <w:t>N</w:t>
            </w:r>
          </w:p>
        </w:tc>
        <w:tc>
          <w:tcPr>
            <w:tcW w:w="784" w:type="pct"/>
            <w:tcBorders>
              <w:bottom w:val="single" w:sz="4" w:space="0" w:color="auto"/>
            </w:tcBorders>
            <w:shd w:val="clear" w:color="auto" w:fill="auto"/>
            <w:vAlign w:val="center"/>
          </w:tcPr>
          <w:p w14:paraId="5498DC98" w14:textId="77777777" w:rsidR="00526B6B" w:rsidRPr="001539A6" w:rsidRDefault="00526B6B" w:rsidP="00AD6D36">
            <w:pPr>
              <w:pStyle w:val="TableText0"/>
              <w:widowControl w:val="0"/>
              <w:jc w:val="center"/>
              <w:rPr>
                <w:b/>
              </w:rPr>
            </w:pPr>
            <w:r w:rsidRPr="001539A6">
              <w:rPr>
                <w:b/>
              </w:rPr>
              <w:t>Design/duration</w:t>
            </w:r>
          </w:p>
        </w:tc>
        <w:tc>
          <w:tcPr>
            <w:tcW w:w="707" w:type="pct"/>
            <w:tcBorders>
              <w:bottom w:val="single" w:sz="4" w:space="0" w:color="auto"/>
            </w:tcBorders>
            <w:shd w:val="clear" w:color="auto" w:fill="auto"/>
            <w:vAlign w:val="center"/>
          </w:tcPr>
          <w:p w14:paraId="0753886A" w14:textId="77777777" w:rsidR="00526B6B" w:rsidRPr="001539A6" w:rsidRDefault="00526B6B" w:rsidP="00AD6D36">
            <w:pPr>
              <w:pStyle w:val="TableText0"/>
              <w:widowControl w:val="0"/>
              <w:jc w:val="center"/>
              <w:rPr>
                <w:b/>
              </w:rPr>
            </w:pPr>
            <w:r w:rsidRPr="001539A6">
              <w:rPr>
                <w:b/>
              </w:rPr>
              <w:t>Patient population</w:t>
            </w:r>
          </w:p>
        </w:tc>
        <w:tc>
          <w:tcPr>
            <w:tcW w:w="1258" w:type="pct"/>
            <w:tcBorders>
              <w:bottom w:val="single" w:sz="4" w:space="0" w:color="auto"/>
            </w:tcBorders>
            <w:shd w:val="clear" w:color="auto" w:fill="auto"/>
            <w:vAlign w:val="center"/>
          </w:tcPr>
          <w:p w14:paraId="2AA51224" w14:textId="77777777" w:rsidR="00526B6B" w:rsidRPr="001539A6" w:rsidRDefault="00526B6B" w:rsidP="00AD6D36">
            <w:pPr>
              <w:pStyle w:val="TableText0"/>
              <w:widowControl w:val="0"/>
              <w:jc w:val="center"/>
              <w:rPr>
                <w:b/>
              </w:rPr>
            </w:pPr>
            <w:r w:rsidRPr="001539A6">
              <w:rPr>
                <w:b/>
              </w:rPr>
              <w:t>Outcome(s)</w:t>
            </w:r>
          </w:p>
        </w:tc>
        <w:tc>
          <w:tcPr>
            <w:tcW w:w="758" w:type="pct"/>
            <w:tcBorders>
              <w:bottom w:val="single" w:sz="4" w:space="0" w:color="auto"/>
            </w:tcBorders>
            <w:shd w:val="clear" w:color="auto" w:fill="auto"/>
            <w:vAlign w:val="center"/>
          </w:tcPr>
          <w:p w14:paraId="19B5BB6F" w14:textId="77777777" w:rsidR="00526B6B" w:rsidRPr="001539A6" w:rsidRDefault="00526B6B" w:rsidP="00AD6D36">
            <w:pPr>
              <w:pStyle w:val="TableText0"/>
              <w:widowControl w:val="0"/>
              <w:jc w:val="center"/>
              <w:rPr>
                <w:b/>
              </w:rPr>
            </w:pPr>
            <w:r w:rsidRPr="001539A6">
              <w:rPr>
                <w:b/>
              </w:rPr>
              <w:t>Use in modelled evaluation</w:t>
            </w:r>
          </w:p>
        </w:tc>
      </w:tr>
      <w:tr w:rsidR="00526B6B" w:rsidRPr="00D379EA" w14:paraId="06D69170" w14:textId="77777777" w:rsidTr="00AD6D36">
        <w:trPr>
          <w:cantSplit/>
        </w:trPr>
        <w:tc>
          <w:tcPr>
            <w:tcW w:w="548" w:type="pct"/>
            <w:shd w:val="clear" w:color="auto" w:fill="auto"/>
            <w:vAlign w:val="center"/>
          </w:tcPr>
          <w:p w14:paraId="2FB75811" w14:textId="77777777" w:rsidR="00526B6B" w:rsidRPr="00D379EA" w:rsidRDefault="00526B6B" w:rsidP="001539A6">
            <w:pPr>
              <w:pStyle w:val="TableText0"/>
              <w:widowControl w:val="0"/>
            </w:pPr>
            <w:r w:rsidRPr="00D379EA">
              <w:t>SPARTAN</w:t>
            </w:r>
          </w:p>
        </w:tc>
        <w:tc>
          <w:tcPr>
            <w:tcW w:w="945" w:type="pct"/>
            <w:shd w:val="clear" w:color="auto" w:fill="auto"/>
            <w:vAlign w:val="center"/>
          </w:tcPr>
          <w:p w14:paraId="27BA5BC5" w14:textId="77777777" w:rsidR="00526B6B" w:rsidRPr="00D379EA" w:rsidRDefault="00526B6B" w:rsidP="001539A6">
            <w:pPr>
              <w:pStyle w:val="TableText0"/>
              <w:widowControl w:val="0"/>
            </w:pPr>
            <w:r w:rsidRPr="00D379EA">
              <w:t>Apalutamide: N</w:t>
            </w:r>
            <w:r w:rsidR="00AD6D36">
              <w:t xml:space="preserve"> </w:t>
            </w:r>
            <w:r w:rsidRPr="00D379EA">
              <w:t>=</w:t>
            </w:r>
            <w:r w:rsidR="00AD6D36">
              <w:t xml:space="preserve"> </w:t>
            </w:r>
            <w:r w:rsidRPr="00D379EA">
              <w:t>806</w:t>
            </w:r>
          </w:p>
          <w:p w14:paraId="335F5501" w14:textId="77777777" w:rsidR="00526B6B" w:rsidRPr="00D379EA" w:rsidRDefault="00526B6B" w:rsidP="001539A6">
            <w:pPr>
              <w:pStyle w:val="TableText0"/>
              <w:widowControl w:val="0"/>
            </w:pPr>
            <w:r w:rsidRPr="00D379EA">
              <w:t>Placebo: N</w:t>
            </w:r>
            <w:r w:rsidR="00AD6D36">
              <w:t xml:space="preserve"> </w:t>
            </w:r>
            <w:r w:rsidRPr="00D379EA">
              <w:t>=</w:t>
            </w:r>
            <w:r w:rsidR="00AD6D36">
              <w:t xml:space="preserve"> </w:t>
            </w:r>
            <w:r w:rsidRPr="00D379EA">
              <w:t>401</w:t>
            </w:r>
          </w:p>
          <w:p w14:paraId="6B4CE94B" w14:textId="77777777" w:rsidR="00526B6B" w:rsidRPr="00D379EA" w:rsidRDefault="00526B6B" w:rsidP="001539A6">
            <w:pPr>
              <w:pStyle w:val="TableText0"/>
              <w:widowControl w:val="0"/>
            </w:pPr>
            <w:r w:rsidRPr="00D379EA">
              <w:t>Total: N</w:t>
            </w:r>
            <w:r w:rsidR="00AD6D36">
              <w:t xml:space="preserve"> </w:t>
            </w:r>
            <w:r w:rsidRPr="00D379EA">
              <w:t>=</w:t>
            </w:r>
            <w:r w:rsidR="00AD6D36">
              <w:t xml:space="preserve"> </w:t>
            </w:r>
            <w:r w:rsidRPr="00D379EA">
              <w:t>1,207</w:t>
            </w:r>
          </w:p>
        </w:tc>
        <w:tc>
          <w:tcPr>
            <w:tcW w:w="784" w:type="pct"/>
            <w:shd w:val="clear" w:color="auto" w:fill="auto"/>
            <w:vAlign w:val="center"/>
          </w:tcPr>
          <w:p w14:paraId="009ECB99" w14:textId="77777777" w:rsidR="00AD6D36" w:rsidRDefault="00526B6B" w:rsidP="00AD6D36">
            <w:pPr>
              <w:pStyle w:val="TableText0"/>
              <w:widowControl w:val="0"/>
              <w:jc w:val="center"/>
            </w:pPr>
            <w:r w:rsidRPr="00F3793B">
              <w:t>R, DB, MC</w:t>
            </w:r>
            <w:r w:rsidR="00AD6D36">
              <w:t>;</w:t>
            </w:r>
          </w:p>
          <w:p w14:paraId="66F56F0B" w14:textId="77777777" w:rsidR="00526B6B" w:rsidRPr="00F3793B" w:rsidRDefault="00526B6B" w:rsidP="00AD6D36">
            <w:pPr>
              <w:pStyle w:val="TableText0"/>
              <w:widowControl w:val="0"/>
              <w:jc w:val="center"/>
            </w:pPr>
            <w:r w:rsidRPr="00F3793B">
              <w:t>52 m</w:t>
            </w:r>
            <w:r w:rsidR="00AD6D36">
              <w:t>on</w:t>
            </w:r>
            <w:r w:rsidRPr="00F3793B">
              <w:t>ths (FA)</w:t>
            </w:r>
          </w:p>
        </w:tc>
        <w:tc>
          <w:tcPr>
            <w:tcW w:w="707" w:type="pct"/>
            <w:vMerge w:val="restart"/>
            <w:shd w:val="clear" w:color="auto" w:fill="auto"/>
            <w:vAlign w:val="center"/>
          </w:tcPr>
          <w:p w14:paraId="70B1D741" w14:textId="77777777" w:rsidR="00526B6B" w:rsidRPr="00D379EA" w:rsidRDefault="00526B6B" w:rsidP="00AD6D36">
            <w:pPr>
              <w:pStyle w:val="TableText0"/>
              <w:widowControl w:val="0"/>
              <w:jc w:val="center"/>
            </w:pPr>
            <w:r w:rsidRPr="00D379EA">
              <w:t>m0CRPC with high risk of distant metastases</w:t>
            </w:r>
          </w:p>
          <w:p w14:paraId="719BD13F" w14:textId="77777777" w:rsidR="00526B6B" w:rsidRPr="00D379EA" w:rsidRDefault="00526B6B" w:rsidP="00AD6D36">
            <w:pPr>
              <w:pStyle w:val="TableText0"/>
              <w:widowControl w:val="0"/>
              <w:jc w:val="center"/>
            </w:pPr>
            <w:r w:rsidRPr="00D379EA">
              <w:t>(PSADT ≤</w:t>
            </w:r>
            <w:r w:rsidR="00BF2149">
              <w:t xml:space="preserve"> </w:t>
            </w:r>
            <w:r w:rsidRPr="00D379EA">
              <w:t>10 months)</w:t>
            </w:r>
          </w:p>
        </w:tc>
        <w:tc>
          <w:tcPr>
            <w:tcW w:w="1258" w:type="pct"/>
            <w:shd w:val="clear" w:color="auto" w:fill="auto"/>
            <w:vAlign w:val="center"/>
          </w:tcPr>
          <w:p w14:paraId="01B748D0" w14:textId="77777777" w:rsidR="00526B6B" w:rsidRPr="00D379EA" w:rsidRDefault="00526B6B" w:rsidP="00AD6D36">
            <w:pPr>
              <w:pStyle w:val="TableText0"/>
              <w:widowControl w:val="0"/>
              <w:jc w:val="center"/>
            </w:pPr>
            <w:r w:rsidRPr="00D379EA">
              <w:t>Primary: MFS</w:t>
            </w:r>
          </w:p>
          <w:p w14:paraId="6F710ED4" w14:textId="77777777" w:rsidR="00526B6B" w:rsidRPr="00D379EA" w:rsidRDefault="00526B6B" w:rsidP="00AD6D36">
            <w:pPr>
              <w:pStyle w:val="TableText0"/>
              <w:widowControl w:val="0"/>
              <w:jc w:val="center"/>
            </w:pPr>
            <w:r w:rsidRPr="00D379EA">
              <w:t>Secondary: PFS2, time to symptomatic progression, TTC, OS</w:t>
            </w:r>
          </w:p>
        </w:tc>
        <w:tc>
          <w:tcPr>
            <w:tcW w:w="758" w:type="pct"/>
            <w:shd w:val="clear" w:color="auto" w:fill="auto"/>
            <w:vAlign w:val="center"/>
          </w:tcPr>
          <w:p w14:paraId="5F52CEDB" w14:textId="77777777" w:rsidR="00526B6B" w:rsidRPr="00D379EA" w:rsidRDefault="00526B6B" w:rsidP="00AD6D36">
            <w:pPr>
              <w:pStyle w:val="TableText0"/>
              <w:widowControl w:val="0"/>
              <w:jc w:val="center"/>
            </w:pPr>
            <w:r w:rsidRPr="00D379EA">
              <w:t>Used</w:t>
            </w:r>
          </w:p>
        </w:tc>
      </w:tr>
      <w:tr w:rsidR="00526B6B" w:rsidRPr="00D379EA" w14:paraId="1EE65BB2" w14:textId="77777777" w:rsidTr="00AD6D36">
        <w:trPr>
          <w:cantSplit/>
        </w:trPr>
        <w:tc>
          <w:tcPr>
            <w:tcW w:w="548" w:type="pct"/>
            <w:shd w:val="clear" w:color="auto" w:fill="auto"/>
            <w:vAlign w:val="center"/>
          </w:tcPr>
          <w:p w14:paraId="70961C0C" w14:textId="77777777" w:rsidR="00526B6B" w:rsidRPr="00D379EA" w:rsidRDefault="00526B6B" w:rsidP="001539A6">
            <w:pPr>
              <w:pStyle w:val="TableText0"/>
              <w:widowControl w:val="0"/>
            </w:pPr>
            <w:r w:rsidRPr="00D379EA">
              <w:t>ARAMIS</w:t>
            </w:r>
          </w:p>
        </w:tc>
        <w:tc>
          <w:tcPr>
            <w:tcW w:w="945" w:type="pct"/>
            <w:shd w:val="clear" w:color="auto" w:fill="auto"/>
            <w:vAlign w:val="center"/>
          </w:tcPr>
          <w:p w14:paraId="49BEF890" w14:textId="77777777" w:rsidR="00526B6B" w:rsidRPr="00D379EA" w:rsidRDefault="00526B6B" w:rsidP="001539A6">
            <w:pPr>
              <w:pStyle w:val="TableText0"/>
              <w:widowControl w:val="0"/>
            </w:pPr>
            <w:r w:rsidRPr="00D379EA">
              <w:t>Darolutamide: N</w:t>
            </w:r>
            <w:r w:rsidR="00AD6D36">
              <w:t xml:space="preserve"> </w:t>
            </w:r>
            <w:r w:rsidRPr="00D379EA">
              <w:t>=</w:t>
            </w:r>
            <w:r w:rsidR="00AD6D36">
              <w:t xml:space="preserve"> </w:t>
            </w:r>
            <w:r w:rsidRPr="00D379EA">
              <w:t>954</w:t>
            </w:r>
          </w:p>
          <w:p w14:paraId="3E527E0F" w14:textId="77777777" w:rsidR="00526B6B" w:rsidRPr="00D379EA" w:rsidRDefault="00526B6B" w:rsidP="001539A6">
            <w:pPr>
              <w:pStyle w:val="TableText0"/>
              <w:widowControl w:val="0"/>
            </w:pPr>
            <w:r w:rsidRPr="00D379EA">
              <w:t>Placebo: N</w:t>
            </w:r>
            <w:r w:rsidR="00AD6D36">
              <w:t xml:space="preserve"> </w:t>
            </w:r>
            <w:r w:rsidRPr="00D379EA">
              <w:t>=</w:t>
            </w:r>
            <w:r w:rsidR="00AD6D36">
              <w:t xml:space="preserve"> </w:t>
            </w:r>
            <w:r w:rsidRPr="00D379EA">
              <w:t>554</w:t>
            </w:r>
          </w:p>
          <w:p w14:paraId="7DBAE5CE" w14:textId="77777777" w:rsidR="00526B6B" w:rsidRPr="00D379EA" w:rsidRDefault="00526B6B" w:rsidP="001539A6">
            <w:pPr>
              <w:pStyle w:val="TableText0"/>
              <w:widowControl w:val="0"/>
            </w:pPr>
            <w:r w:rsidRPr="00D379EA">
              <w:t>Total: N</w:t>
            </w:r>
            <w:r w:rsidR="00AD6D36">
              <w:t xml:space="preserve"> </w:t>
            </w:r>
            <w:r w:rsidRPr="00D379EA">
              <w:t>=</w:t>
            </w:r>
            <w:r w:rsidR="00AD6D36">
              <w:t xml:space="preserve"> </w:t>
            </w:r>
            <w:r w:rsidRPr="00D379EA">
              <w:t>1,508</w:t>
            </w:r>
          </w:p>
        </w:tc>
        <w:tc>
          <w:tcPr>
            <w:tcW w:w="784" w:type="pct"/>
            <w:shd w:val="clear" w:color="auto" w:fill="auto"/>
            <w:vAlign w:val="center"/>
          </w:tcPr>
          <w:p w14:paraId="060F004F" w14:textId="77777777" w:rsidR="00AD6D36" w:rsidRDefault="00526B6B" w:rsidP="00AD6D36">
            <w:pPr>
              <w:pStyle w:val="TableText0"/>
              <w:widowControl w:val="0"/>
              <w:jc w:val="center"/>
            </w:pPr>
            <w:r w:rsidRPr="00D379EA">
              <w:t>R, DB, MC</w:t>
            </w:r>
            <w:r w:rsidR="00AD6D36">
              <w:t>;</w:t>
            </w:r>
          </w:p>
          <w:p w14:paraId="088B7C8B" w14:textId="77777777" w:rsidR="00526B6B" w:rsidRPr="001539A6" w:rsidRDefault="00526B6B" w:rsidP="00AD6D36">
            <w:pPr>
              <w:pStyle w:val="TableText0"/>
              <w:widowControl w:val="0"/>
              <w:jc w:val="center"/>
            </w:pPr>
            <w:r w:rsidRPr="001539A6">
              <w:t>9.1 m</w:t>
            </w:r>
            <w:r w:rsidR="00AD6D36">
              <w:t>on</w:t>
            </w:r>
            <w:r w:rsidRPr="001539A6">
              <w:t>ths</w:t>
            </w:r>
          </w:p>
        </w:tc>
        <w:tc>
          <w:tcPr>
            <w:tcW w:w="707" w:type="pct"/>
            <w:vMerge/>
            <w:shd w:val="clear" w:color="auto" w:fill="auto"/>
            <w:vAlign w:val="center"/>
          </w:tcPr>
          <w:p w14:paraId="6A35898E" w14:textId="77777777" w:rsidR="00526B6B" w:rsidRPr="00D379EA" w:rsidRDefault="00526B6B" w:rsidP="001539A6">
            <w:pPr>
              <w:pStyle w:val="TableText0"/>
              <w:widowControl w:val="0"/>
            </w:pPr>
          </w:p>
        </w:tc>
        <w:tc>
          <w:tcPr>
            <w:tcW w:w="1258" w:type="pct"/>
            <w:shd w:val="clear" w:color="auto" w:fill="auto"/>
            <w:vAlign w:val="center"/>
          </w:tcPr>
          <w:p w14:paraId="22EAFB1B" w14:textId="77777777" w:rsidR="00526B6B" w:rsidRDefault="00526B6B" w:rsidP="00AD6D36">
            <w:pPr>
              <w:pStyle w:val="TableText0"/>
              <w:widowControl w:val="0"/>
              <w:jc w:val="center"/>
            </w:pPr>
            <w:r w:rsidRPr="00D379EA">
              <w:t>Primary: MFS</w:t>
            </w:r>
          </w:p>
          <w:p w14:paraId="2BB01194" w14:textId="77777777" w:rsidR="00526B6B" w:rsidRPr="001539A6" w:rsidRDefault="00526B6B" w:rsidP="00AD6D36">
            <w:pPr>
              <w:pStyle w:val="TableText0"/>
              <w:widowControl w:val="0"/>
              <w:jc w:val="center"/>
            </w:pPr>
            <w:r w:rsidRPr="00D379EA">
              <w:t>Secondary: time to pain progression, time to first skeletal-related event, OS</w:t>
            </w:r>
          </w:p>
        </w:tc>
        <w:tc>
          <w:tcPr>
            <w:tcW w:w="758" w:type="pct"/>
            <w:shd w:val="clear" w:color="auto" w:fill="auto"/>
            <w:vAlign w:val="center"/>
          </w:tcPr>
          <w:p w14:paraId="1C9F1B48" w14:textId="77777777" w:rsidR="00526B6B" w:rsidRPr="00D379EA" w:rsidRDefault="00526B6B" w:rsidP="00AD6D36">
            <w:pPr>
              <w:pStyle w:val="TableText0"/>
              <w:widowControl w:val="0"/>
              <w:jc w:val="center"/>
            </w:pPr>
            <w:r w:rsidRPr="00D379EA">
              <w:t>Not used</w:t>
            </w:r>
          </w:p>
        </w:tc>
      </w:tr>
    </w:tbl>
    <w:p w14:paraId="06587A88" w14:textId="77777777" w:rsidR="00526B6B" w:rsidRPr="00D379EA" w:rsidRDefault="00526B6B" w:rsidP="00526B6B">
      <w:pPr>
        <w:pStyle w:val="TableFooter"/>
      </w:pPr>
      <w:r w:rsidRPr="00D379EA">
        <w:t xml:space="preserve">Source: Table </w:t>
      </w:r>
      <w:r>
        <w:t xml:space="preserve">5, apalutamide PBAC </w:t>
      </w:r>
      <w:r w:rsidR="00115A69">
        <w:t>PSD</w:t>
      </w:r>
      <w:r>
        <w:t xml:space="preserve">, November 2020. </w:t>
      </w:r>
    </w:p>
    <w:p w14:paraId="0B617619" w14:textId="77777777" w:rsidR="00526B6B" w:rsidRPr="00D379EA" w:rsidRDefault="00526B6B" w:rsidP="00526B6B">
      <w:pPr>
        <w:pStyle w:val="TableFooter"/>
      </w:pPr>
      <w:r w:rsidRPr="00D379EA">
        <w:t>ADT</w:t>
      </w:r>
      <w:r w:rsidR="00BF2149">
        <w:t xml:space="preserve"> </w:t>
      </w:r>
      <w:r w:rsidRPr="00D379EA">
        <w:t>=</w:t>
      </w:r>
      <w:r w:rsidR="00BF2149">
        <w:t xml:space="preserve"> </w:t>
      </w:r>
      <w:r w:rsidRPr="00D379EA">
        <w:t>androgen deprivation therapy; DB</w:t>
      </w:r>
      <w:r w:rsidR="00BF2149">
        <w:t xml:space="preserve"> </w:t>
      </w:r>
      <w:r w:rsidRPr="00D379EA">
        <w:t>=</w:t>
      </w:r>
      <w:r w:rsidR="00BF2149">
        <w:t xml:space="preserve"> </w:t>
      </w:r>
      <w:r w:rsidRPr="00D379EA">
        <w:t>double blind; FA</w:t>
      </w:r>
      <w:r w:rsidR="00BF2149">
        <w:t xml:space="preserve"> </w:t>
      </w:r>
      <w:r w:rsidRPr="00D379EA">
        <w:t>=</w:t>
      </w:r>
      <w:r w:rsidR="00BF2149">
        <w:t xml:space="preserve"> </w:t>
      </w:r>
      <w:r w:rsidRPr="00D379EA">
        <w:t>final analysis; MC</w:t>
      </w:r>
      <w:r w:rsidR="00BF2149">
        <w:t xml:space="preserve"> </w:t>
      </w:r>
      <w:r w:rsidRPr="00D379EA">
        <w:t>=</w:t>
      </w:r>
      <w:r w:rsidR="00BF2149">
        <w:t xml:space="preserve"> </w:t>
      </w:r>
      <w:r w:rsidRPr="00D379EA">
        <w:t>multi-centre; MFS</w:t>
      </w:r>
      <w:r w:rsidR="00BF2149">
        <w:t xml:space="preserve"> </w:t>
      </w:r>
      <w:r w:rsidRPr="00D379EA">
        <w:t>=</w:t>
      </w:r>
      <w:r w:rsidR="00BF2149">
        <w:t xml:space="preserve"> </w:t>
      </w:r>
      <w:r w:rsidRPr="00D379EA">
        <w:t>metastasis-free survival; m0CRPC</w:t>
      </w:r>
      <w:r w:rsidR="00BF2149">
        <w:t xml:space="preserve"> </w:t>
      </w:r>
      <w:r w:rsidRPr="00D379EA">
        <w:t>=</w:t>
      </w:r>
      <w:r w:rsidR="00BF2149">
        <w:t xml:space="preserve"> </w:t>
      </w:r>
      <w:r w:rsidRPr="00D379EA">
        <w:t>non-metastatic castration resistant prostate cancer; OS</w:t>
      </w:r>
      <w:r w:rsidR="00BF2149">
        <w:t xml:space="preserve"> </w:t>
      </w:r>
      <w:r w:rsidRPr="00D379EA">
        <w:t>=</w:t>
      </w:r>
      <w:r w:rsidR="00BF2149">
        <w:t xml:space="preserve"> </w:t>
      </w:r>
      <w:r w:rsidRPr="00D379EA">
        <w:t>overall survival; PFS2</w:t>
      </w:r>
      <w:r w:rsidR="00BF2149">
        <w:t xml:space="preserve"> </w:t>
      </w:r>
      <w:r w:rsidRPr="00D379EA">
        <w:t>=</w:t>
      </w:r>
      <w:r w:rsidR="00BF2149">
        <w:t xml:space="preserve"> </w:t>
      </w:r>
      <w:r w:rsidRPr="00D379EA">
        <w:t xml:space="preserve">progression free survival for first subsequent therapy; </w:t>
      </w:r>
      <w:r w:rsidR="00BF2149">
        <w:t xml:space="preserve">PSADT = prostate specific antigen doubling time, </w:t>
      </w:r>
      <w:r w:rsidRPr="00D379EA">
        <w:t>R</w:t>
      </w:r>
      <w:r w:rsidR="00BF2149">
        <w:t xml:space="preserve"> </w:t>
      </w:r>
      <w:r w:rsidRPr="00D379EA">
        <w:t>=</w:t>
      </w:r>
      <w:r w:rsidR="00BF2149">
        <w:t xml:space="preserve"> </w:t>
      </w:r>
      <w:r w:rsidRPr="00D379EA">
        <w:t>randomised, TTC</w:t>
      </w:r>
      <w:r w:rsidR="00BF2149">
        <w:t xml:space="preserve"> </w:t>
      </w:r>
      <w:r w:rsidRPr="00D379EA">
        <w:t>=</w:t>
      </w:r>
      <w:r w:rsidR="00BF2149">
        <w:t xml:space="preserve"> </w:t>
      </w:r>
      <w:r w:rsidRPr="00D379EA">
        <w:t>time to cytotoxic chemotherapy</w:t>
      </w:r>
    </w:p>
    <w:p w14:paraId="34FC4385" w14:textId="77777777" w:rsidR="00526B6B" w:rsidRPr="00D379EA" w:rsidRDefault="00526B6B" w:rsidP="00526B6B">
      <w:pPr>
        <w:pStyle w:val="TableFooter"/>
      </w:pPr>
    </w:p>
    <w:p w14:paraId="4CB72620" w14:textId="77777777" w:rsidR="00526B6B" w:rsidRPr="001642B2" w:rsidRDefault="00526B6B" w:rsidP="002D5B24">
      <w:pPr>
        <w:pStyle w:val="3-BodyText"/>
        <w:ind w:left="709"/>
      </w:pPr>
      <w:r w:rsidRPr="001642B2">
        <w:t>Of the 46% of patients in the apalutamide arm who received subsequent therapy, 84.1% received abiraterone and 39.3% received enzalutamide. This high proportion of abiraterone treatment in the trial is not consistent with the PBS restriction precluding abiraterone treatment after apalutamide and limits the applicability of the trial to the Australian setting.</w:t>
      </w:r>
    </w:p>
    <w:p w14:paraId="293E672D" w14:textId="77777777" w:rsidR="00526B6B" w:rsidRPr="00D379EA" w:rsidRDefault="00526B6B" w:rsidP="00526B6B">
      <w:pPr>
        <w:pStyle w:val="4-SubsectionHeading"/>
      </w:pPr>
      <w:bookmarkStart w:id="14" w:name="_Toc82426509"/>
      <w:r w:rsidRPr="00D379EA">
        <w:t>Comparative effectiveness</w:t>
      </w:r>
      <w:bookmarkEnd w:id="14"/>
    </w:p>
    <w:p w14:paraId="5A09031C" w14:textId="77777777" w:rsidR="00526B6B" w:rsidRPr="00D379EA" w:rsidRDefault="00526B6B" w:rsidP="002D5B24">
      <w:pPr>
        <w:pStyle w:val="3-BodyText"/>
        <w:ind w:left="709"/>
      </w:pPr>
      <w:r>
        <w:t xml:space="preserve">Key </w:t>
      </w:r>
      <w:r w:rsidRPr="00394D79">
        <w:rPr>
          <w:iCs/>
        </w:rPr>
        <w:t xml:space="preserve">clinical </w:t>
      </w:r>
      <w:r w:rsidRPr="00D379EA">
        <w:t xml:space="preserve">evidence </w:t>
      </w:r>
      <w:r>
        <w:t xml:space="preserve">from the SPARTAN </w:t>
      </w:r>
      <w:r w:rsidR="00FD49EC">
        <w:t>final analysis</w:t>
      </w:r>
      <w:r>
        <w:t xml:space="preserve"> is summarised in below. </w:t>
      </w:r>
    </w:p>
    <w:p w14:paraId="26C93A3E" w14:textId="77777777" w:rsidR="00526B6B" w:rsidRDefault="00526B6B" w:rsidP="007549CA">
      <w:pPr>
        <w:pStyle w:val="In-tableHeading"/>
        <w:rPr>
          <w:lang w:val="en-AU"/>
        </w:rPr>
      </w:pPr>
      <w:r w:rsidRPr="00D379EA">
        <w:rPr>
          <w:lang w:val="en-AU"/>
        </w:rPr>
        <w:t>Table 5: MFS and OS Apalutamide vs. Placebo, SPARTAN trial</w:t>
      </w:r>
    </w:p>
    <w:tbl>
      <w:tblPr>
        <w:tblStyle w:val="TableGrid"/>
        <w:tblW w:w="5000" w:type="pct"/>
        <w:tblCellMar>
          <w:left w:w="28" w:type="dxa"/>
          <w:right w:w="28" w:type="dxa"/>
        </w:tblCellMar>
        <w:tblLook w:val="04A0" w:firstRow="1" w:lastRow="0" w:firstColumn="1" w:lastColumn="0" w:noHBand="0" w:noVBand="1"/>
        <w:tblCaption w:val="Table 5: MFS and OS Apalutamide vs. Placebo, SPARTAN trial"/>
      </w:tblPr>
      <w:tblGrid>
        <w:gridCol w:w="5949"/>
        <w:gridCol w:w="3068"/>
      </w:tblGrid>
      <w:tr w:rsidR="00526B6B" w:rsidRPr="001539A6" w14:paraId="39576184" w14:textId="77777777" w:rsidTr="00D010FD">
        <w:trPr>
          <w:tblHeader/>
        </w:trPr>
        <w:tc>
          <w:tcPr>
            <w:tcW w:w="3299" w:type="pct"/>
            <w:shd w:val="clear" w:color="auto" w:fill="auto"/>
            <w:vAlign w:val="center"/>
          </w:tcPr>
          <w:p w14:paraId="10CC13AD" w14:textId="77777777" w:rsidR="00526B6B" w:rsidRPr="001539A6" w:rsidRDefault="00526B6B" w:rsidP="001539A6">
            <w:pPr>
              <w:pStyle w:val="TableText0"/>
              <w:widowControl w:val="0"/>
              <w:rPr>
                <w:b/>
              </w:rPr>
            </w:pPr>
            <w:r w:rsidRPr="001539A6">
              <w:rPr>
                <w:b/>
              </w:rPr>
              <w:t>MFS results</w:t>
            </w:r>
          </w:p>
        </w:tc>
        <w:tc>
          <w:tcPr>
            <w:tcW w:w="1701" w:type="pct"/>
            <w:shd w:val="clear" w:color="auto" w:fill="auto"/>
            <w:vAlign w:val="center"/>
          </w:tcPr>
          <w:p w14:paraId="001B7B57" w14:textId="77777777" w:rsidR="00526B6B" w:rsidRPr="001539A6" w:rsidRDefault="00526B6B" w:rsidP="001539A6">
            <w:pPr>
              <w:pStyle w:val="TableText0"/>
              <w:widowControl w:val="0"/>
              <w:rPr>
                <w:b/>
              </w:rPr>
            </w:pPr>
            <w:r w:rsidRPr="001539A6">
              <w:rPr>
                <w:b/>
              </w:rPr>
              <w:t>Apalutamide vs. Placebo</w:t>
            </w:r>
            <w:r w:rsidR="00AD6D36">
              <w:rPr>
                <w:b/>
              </w:rPr>
              <w:t>;</w:t>
            </w:r>
            <w:r w:rsidRPr="001539A6">
              <w:rPr>
                <w:b/>
              </w:rPr>
              <w:t xml:space="preserve"> HR (95% CI)</w:t>
            </w:r>
          </w:p>
        </w:tc>
      </w:tr>
      <w:tr w:rsidR="00526B6B" w:rsidRPr="00D929BE" w14:paraId="0AD9BD93" w14:textId="77777777" w:rsidTr="00CE3EC2">
        <w:tc>
          <w:tcPr>
            <w:tcW w:w="3299" w:type="pct"/>
            <w:tcBorders>
              <w:bottom w:val="nil"/>
            </w:tcBorders>
            <w:shd w:val="clear" w:color="auto" w:fill="auto"/>
            <w:vAlign w:val="center"/>
          </w:tcPr>
          <w:p w14:paraId="6844E589" w14:textId="77777777" w:rsidR="00526B6B" w:rsidRPr="00D929BE" w:rsidRDefault="00526B6B" w:rsidP="001539A6">
            <w:pPr>
              <w:pStyle w:val="TableText0"/>
              <w:widowControl w:val="0"/>
            </w:pPr>
            <w:r w:rsidRPr="00D929BE">
              <w:t>Investigator assessed</w:t>
            </w:r>
          </w:p>
          <w:p w14:paraId="3626A62A" w14:textId="77777777" w:rsidR="00526B6B" w:rsidRPr="00D929BE" w:rsidRDefault="00526B6B" w:rsidP="001539A6">
            <w:pPr>
              <w:pStyle w:val="TableText0"/>
              <w:widowControl w:val="0"/>
            </w:pPr>
            <w:r w:rsidRPr="00D929BE">
              <w:t>ex-USA regulatory definition for censoring</w:t>
            </w:r>
          </w:p>
        </w:tc>
        <w:tc>
          <w:tcPr>
            <w:tcW w:w="1701" w:type="pct"/>
            <w:tcBorders>
              <w:bottom w:val="nil"/>
            </w:tcBorders>
            <w:shd w:val="clear" w:color="auto" w:fill="auto"/>
            <w:vAlign w:val="center"/>
          </w:tcPr>
          <w:p w14:paraId="03C17A98" w14:textId="77777777" w:rsidR="00526B6B" w:rsidRPr="00D929BE" w:rsidRDefault="00526B6B" w:rsidP="001539A6">
            <w:pPr>
              <w:pStyle w:val="TableText0"/>
              <w:widowControl w:val="0"/>
            </w:pPr>
          </w:p>
          <w:p w14:paraId="3088CAD3" w14:textId="77777777" w:rsidR="00526B6B" w:rsidRPr="00D929BE" w:rsidRDefault="00526B6B" w:rsidP="001539A6">
            <w:pPr>
              <w:pStyle w:val="TableText0"/>
              <w:widowControl w:val="0"/>
            </w:pPr>
            <w:r w:rsidRPr="00D929BE">
              <w:t>0.25 (0.21, 0.31); p &lt; 0.0001</w:t>
            </w:r>
          </w:p>
        </w:tc>
      </w:tr>
      <w:tr w:rsidR="00526B6B" w:rsidRPr="00D929BE" w14:paraId="43EA01CB" w14:textId="77777777" w:rsidTr="00CE3EC2">
        <w:tc>
          <w:tcPr>
            <w:tcW w:w="3299" w:type="pct"/>
            <w:tcBorders>
              <w:top w:val="nil"/>
              <w:bottom w:val="nil"/>
            </w:tcBorders>
            <w:shd w:val="clear" w:color="auto" w:fill="auto"/>
            <w:vAlign w:val="center"/>
          </w:tcPr>
          <w:p w14:paraId="5E4A575D" w14:textId="77777777" w:rsidR="00526B6B" w:rsidRPr="001539A6" w:rsidRDefault="00526B6B" w:rsidP="001539A6">
            <w:pPr>
              <w:pStyle w:val="TableText0"/>
              <w:widowControl w:val="0"/>
            </w:pPr>
            <w:r w:rsidRPr="001539A6">
              <w:t xml:space="preserve">USA </w:t>
            </w:r>
            <w:r w:rsidRPr="00D929BE">
              <w:t>regulatory</w:t>
            </w:r>
            <w:r w:rsidRPr="001539A6">
              <w:t xml:space="preserve"> definition for censoring* </w:t>
            </w:r>
          </w:p>
        </w:tc>
        <w:tc>
          <w:tcPr>
            <w:tcW w:w="1701" w:type="pct"/>
            <w:tcBorders>
              <w:top w:val="nil"/>
              <w:bottom w:val="nil"/>
            </w:tcBorders>
            <w:shd w:val="clear" w:color="auto" w:fill="auto"/>
            <w:vAlign w:val="center"/>
          </w:tcPr>
          <w:p w14:paraId="65067601" w14:textId="77777777" w:rsidR="00526B6B" w:rsidRPr="00D929BE" w:rsidRDefault="00526B6B" w:rsidP="001539A6">
            <w:pPr>
              <w:pStyle w:val="TableText0"/>
              <w:widowControl w:val="0"/>
            </w:pPr>
            <w:r w:rsidRPr="00D929BE">
              <w:t>0.27 (0.22,0.33); p &lt; 0.0001</w:t>
            </w:r>
          </w:p>
        </w:tc>
      </w:tr>
      <w:tr w:rsidR="00526B6B" w:rsidRPr="00D929BE" w14:paraId="12CC02EF" w14:textId="77777777" w:rsidTr="00CE3EC2">
        <w:tc>
          <w:tcPr>
            <w:tcW w:w="3299" w:type="pct"/>
            <w:tcBorders>
              <w:top w:val="nil"/>
              <w:bottom w:val="nil"/>
            </w:tcBorders>
            <w:shd w:val="clear" w:color="auto" w:fill="auto"/>
            <w:vAlign w:val="center"/>
          </w:tcPr>
          <w:p w14:paraId="0353A523" w14:textId="77777777" w:rsidR="00526B6B" w:rsidRPr="00D929BE" w:rsidRDefault="00526B6B" w:rsidP="001539A6">
            <w:pPr>
              <w:pStyle w:val="TableText0"/>
              <w:widowControl w:val="0"/>
            </w:pPr>
            <w:r w:rsidRPr="00D929BE">
              <w:t>BICR-assessed</w:t>
            </w:r>
          </w:p>
        </w:tc>
        <w:tc>
          <w:tcPr>
            <w:tcW w:w="1701" w:type="pct"/>
            <w:tcBorders>
              <w:top w:val="nil"/>
              <w:bottom w:val="nil"/>
            </w:tcBorders>
            <w:shd w:val="clear" w:color="auto" w:fill="auto"/>
            <w:vAlign w:val="center"/>
          </w:tcPr>
          <w:p w14:paraId="3AF2E1C5" w14:textId="77777777" w:rsidR="00526B6B" w:rsidRPr="00D929BE" w:rsidRDefault="00526B6B" w:rsidP="001539A6">
            <w:pPr>
              <w:pStyle w:val="TableText0"/>
              <w:widowControl w:val="0"/>
            </w:pPr>
          </w:p>
        </w:tc>
      </w:tr>
      <w:tr w:rsidR="00526B6B" w:rsidRPr="00D929BE" w14:paraId="51298120" w14:textId="77777777" w:rsidTr="00CE3EC2">
        <w:tc>
          <w:tcPr>
            <w:tcW w:w="3299" w:type="pct"/>
            <w:tcBorders>
              <w:top w:val="nil"/>
              <w:bottom w:val="nil"/>
            </w:tcBorders>
            <w:shd w:val="clear" w:color="auto" w:fill="auto"/>
            <w:vAlign w:val="center"/>
          </w:tcPr>
          <w:p w14:paraId="3799566D" w14:textId="77777777" w:rsidR="00526B6B" w:rsidRPr="00D929BE" w:rsidDel="00D31C89" w:rsidRDefault="00526B6B" w:rsidP="001539A6">
            <w:pPr>
              <w:pStyle w:val="TableText0"/>
              <w:widowControl w:val="0"/>
            </w:pPr>
            <w:r w:rsidRPr="00D929BE">
              <w:t xml:space="preserve">ex-USA </w:t>
            </w:r>
            <w:r w:rsidRPr="001539A6">
              <w:t>regulatory definition for censoring</w:t>
            </w:r>
          </w:p>
        </w:tc>
        <w:tc>
          <w:tcPr>
            <w:tcW w:w="1701" w:type="pct"/>
            <w:tcBorders>
              <w:top w:val="nil"/>
              <w:bottom w:val="nil"/>
            </w:tcBorders>
            <w:shd w:val="clear" w:color="auto" w:fill="auto"/>
            <w:vAlign w:val="center"/>
          </w:tcPr>
          <w:p w14:paraId="10957801" w14:textId="77777777" w:rsidR="00526B6B" w:rsidRPr="00D929BE" w:rsidRDefault="00526B6B" w:rsidP="001539A6">
            <w:pPr>
              <w:pStyle w:val="TableText0"/>
              <w:widowControl w:val="0"/>
            </w:pPr>
            <w:r w:rsidRPr="00D929BE">
              <w:t>0.30 (0.24, 0.36); p &lt; 0.0001</w:t>
            </w:r>
          </w:p>
        </w:tc>
      </w:tr>
      <w:tr w:rsidR="00526B6B" w:rsidRPr="00D929BE" w14:paraId="55F1562A" w14:textId="77777777" w:rsidTr="00CE3EC2">
        <w:tc>
          <w:tcPr>
            <w:tcW w:w="3299" w:type="pct"/>
            <w:tcBorders>
              <w:top w:val="nil"/>
              <w:bottom w:val="single" w:sz="4" w:space="0" w:color="auto"/>
            </w:tcBorders>
            <w:shd w:val="clear" w:color="auto" w:fill="auto"/>
            <w:vAlign w:val="center"/>
          </w:tcPr>
          <w:p w14:paraId="404B7C65" w14:textId="77777777" w:rsidR="00526B6B" w:rsidRPr="001539A6" w:rsidRDefault="00526B6B" w:rsidP="001539A6">
            <w:pPr>
              <w:pStyle w:val="TableText0"/>
              <w:widowControl w:val="0"/>
            </w:pPr>
            <w:r w:rsidRPr="001539A6">
              <w:t>USA regulatory definition for censoring*</w:t>
            </w:r>
          </w:p>
        </w:tc>
        <w:tc>
          <w:tcPr>
            <w:tcW w:w="1701" w:type="pct"/>
            <w:tcBorders>
              <w:top w:val="nil"/>
              <w:bottom w:val="single" w:sz="4" w:space="0" w:color="auto"/>
            </w:tcBorders>
            <w:shd w:val="clear" w:color="auto" w:fill="auto"/>
            <w:vAlign w:val="center"/>
          </w:tcPr>
          <w:p w14:paraId="2AF00B61" w14:textId="77777777" w:rsidR="00526B6B" w:rsidRPr="00D929BE" w:rsidRDefault="00526B6B" w:rsidP="001539A6">
            <w:pPr>
              <w:pStyle w:val="TableText0"/>
              <w:widowControl w:val="0"/>
            </w:pPr>
            <w:r w:rsidRPr="00D929BE">
              <w:t>0.28 (0.23, 0.35); p &lt; 0.0001</w:t>
            </w:r>
          </w:p>
        </w:tc>
      </w:tr>
      <w:tr w:rsidR="00526B6B" w:rsidRPr="001539A6" w14:paraId="5299F5C0" w14:textId="77777777" w:rsidTr="00CE3EC2">
        <w:trPr>
          <w:trHeight w:val="171"/>
        </w:trPr>
        <w:tc>
          <w:tcPr>
            <w:tcW w:w="3299" w:type="pct"/>
            <w:tcBorders>
              <w:bottom w:val="single" w:sz="4" w:space="0" w:color="auto"/>
            </w:tcBorders>
            <w:shd w:val="clear" w:color="auto" w:fill="auto"/>
            <w:vAlign w:val="center"/>
          </w:tcPr>
          <w:p w14:paraId="26835F81" w14:textId="77777777" w:rsidR="00526B6B" w:rsidRPr="001539A6" w:rsidRDefault="00526B6B" w:rsidP="001539A6">
            <w:pPr>
              <w:pStyle w:val="TableText0"/>
              <w:widowControl w:val="0"/>
              <w:rPr>
                <w:b/>
              </w:rPr>
            </w:pPr>
            <w:r w:rsidRPr="001539A6">
              <w:rPr>
                <w:b/>
              </w:rPr>
              <w:t>OS results</w:t>
            </w:r>
          </w:p>
        </w:tc>
        <w:tc>
          <w:tcPr>
            <w:tcW w:w="1701" w:type="pct"/>
            <w:tcBorders>
              <w:bottom w:val="single" w:sz="4" w:space="0" w:color="auto"/>
            </w:tcBorders>
            <w:shd w:val="clear" w:color="auto" w:fill="auto"/>
            <w:vAlign w:val="center"/>
          </w:tcPr>
          <w:p w14:paraId="18F38DF7" w14:textId="77777777" w:rsidR="00526B6B" w:rsidRPr="001539A6" w:rsidRDefault="00526B6B" w:rsidP="001539A6">
            <w:pPr>
              <w:pStyle w:val="TableText0"/>
              <w:widowControl w:val="0"/>
              <w:rPr>
                <w:b/>
              </w:rPr>
            </w:pPr>
            <w:r w:rsidRPr="001539A6">
              <w:rPr>
                <w:b/>
              </w:rPr>
              <w:t>Apalutamide vs. Placebo</w:t>
            </w:r>
            <w:r w:rsidR="00AD6D36">
              <w:rPr>
                <w:b/>
              </w:rPr>
              <w:t>;</w:t>
            </w:r>
            <w:r w:rsidRPr="001539A6">
              <w:rPr>
                <w:b/>
              </w:rPr>
              <w:t xml:space="preserve"> HR (95% CI)</w:t>
            </w:r>
          </w:p>
        </w:tc>
      </w:tr>
      <w:tr w:rsidR="00526B6B" w:rsidRPr="00D929BE" w14:paraId="229683B8" w14:textId="77777777" w:rsidTr="00CE3EC2">
        <w:tc>
          <w:tcPr>
            <w:tcW w:w="3299" w:type="pct"/>
            <w:tcBorders>
              <w:top w:val="single" w:sz="4" w:space="0" w:color="auto"/>
              <w:bottom w:val="nil"/>
            </w:tcBorders>
            <w:shd w:val="clear" w:color="auto" w:fill="auto"/>
            <w:vAlign w:val="center"/>
          </w:tcPr>
          <w:p w14:paraId="7775A95A" w14:textId="77777777" w:rsidR="00526B6B" w:rsidRPr="001539A6" w:rsidRDefault="00526B6B" w:rsidP="001539A6">
            <w:pPr>
              <w:pStyle w:val="TableText0"/>
              <w:widowControl w:val="0"/>
            </w:pPr>
            <w:r w:rsidRPr="001539A6">
              <w:t>ITT IA1 (median follow up 20.3 months, no treatment switching)*</w:t>
            </w:r>
          </w:p>
        </w:tc>
        <w:tc>
          <w:tcPr>
            <w:tcW w:w="1701" w:type="pct"/>
            <w:tcBorders>
              <w:top w:val="single" w:sz="4" w:space="0" w:color="auto"/>
              <w:bottom w:val="nil"/>
            </w:tcBorders>
            <w:shd w:val="clear" w:color="auto" w:fill="auto"/>
            <w:vAlign w:val="center"/>
          </w:tcPr>
          <w:p w14:paraId="77EEE365" w14:textId="77777777" w:rsidR="00526B6B" w:rsidRPr="00D929BE" w:rsidRDefault="00526B6B" w:rsidP="001539A6">
            <w:pPr>
              <w:pStyle w:val="TableText0"/>
              <w:widowControl w:val="0"/>
            </w:pPr>
            <w:r w:rsidRPr="00D929BE">
              <w:t>0.70 (0.47,1.04); p = 0.074</w:t>
            </w:r>
          </w:p>
        </w:tc>
      </w:tr>
      <w:tr w:rsidR="00526B6B" w:rsidRPr="00D929BE" w14:paraId="5D21D2F2" w14:textId="77777777" w:rsidTr="00CE3EC2">
        <w:trPr>
          <w:trHeight w:val="243"/>
        </w:trPr>
        <w:tc>
          <w:tcPr>
            <w:tcW w:w="3299" w:type="pct"/>
            <w:tcBorders>
              <w:top w:val="nil"/>
              <w:bottom w:val="nil"/>
            </w:tcBorders>
            <w:shd w:val="clear" w:color="auto" w:fill="auto"/>
            <w:vAlign w:val="center"/>
          </w:tcPr>
          <w:p w14:paraId="0347DE39" w14:textId="77777777" w:rsidR="00526B6B" w:rsidRPr="001539A6" w:rsidRDefault="00526B6B" w:rsidP="001539A6">
            <w:pPr>
              <w:pStyle w:val="TableText0"/>
              <w:widowControl w:val="0"/>
            </w:pPr>
            <w:r w:rsidRPr="001539A6">
              <w:t>ITT IA2 (median follow up 41 months, 19% switched#)^</w:t>
            </w:r>
          </w:p>
        </w:tc>
        <w:tc>
          <w:tcPr>
            <w:tcW w:w="1701" w:type="pct"/>
            <w:tcBorders>
              <w:top w:val="nil"/>
              <w:bottom w:val="nil"/>
            </w:tcBorders>
            <w:shd w:val="clear" w:color="auto" w:fill="auto"/>
            <w:vAlign w:val="center"/>
          </w:tcPr>
          <w:p w14:paraId="7724E2E8" w14:textId="77777777" w:rsidR="00526B6B" w:rsidRPr="00D929BE" w:rsidRDefault="00526B6B" w:rsidP="001539A6">
            <w:pPr>
              <w:pStyle w:val="TableText0"/>
              <w:widowControl w:val="0"/>
            </w:pPr>
            <w:r w:rsidRPr="00D929BE">
              <w:t>0.75 (0.59; 0.96); p = 0.0201</w:t>
            </w:r>
          </w:p>
        </w:tc>
      </w:tr>
      <w:tr w:rsidR="00526B6B" w:rsidRPr="00D929BE" w14:paraId="10643162" w14:textId="77777777" w:rsidTr="00CE3EC2">
        <w:trPr>
          <w:trHeight w:val="243"/>
        </w:trPr>
        <w:tc>
          <w:tcPr>
            <w:tcW w:w="3299" w:type="pct"/>
            <w:tcBorders>
              <w:top w:val="nil"/>
              <w:bottom w:val="nil"/>
            </w:tcBorders>
            <w:shd w:val="clear" w:color="auto" w:fill="auto"/>
            <w:vAlign w:val="center"/>
          </w:tcPr>
          <w:p w14:paraId="75A677A3" w14:textId="77777777" w:rsidR="00526B6B" w:rsidRPr="001539A6" w:rsidRDefault="00526B6B" w:rsidP="001539A6">
            <w:pPr>
              <w:pStyle w:val="TableText0"/>
              <w:widowControl w:val="0"/>
            </w:pPr>
            <w:r w:rsidRPr="001539A6">
              <w:t>FA (median follow up 52 months, 19% switched#):</w:t>
            </w:r>
          </w:p>
        </w:tc>
        <w:tc>
          <w:tcPr>
            <w:tcW w:w="1701" w:type="pct"/>
            <w:tcBorders>
              <w:top w:val="nil"/>
              <w:bottom w:val="nil"/>
            </w:tcBorders>
            <w:shd w:val="clear" w:color="auto" w:fill="auto"/>
            <w:vAlign w:val="center"/>
          </w:tcPr>
          <w:p w14:paraId="0E488D5F" w14:textId="77777777" w:rsidR="00526B6B" w:rsidRPr="00D929BE" w:rsidRDefault="00526B6B" w:rsidP="001539A6">
            <w:pPr>
              <w:pStyle w:val="TableText0"/>
              <w:widowControl w:val="0"/>
            </w:pPr>
          </w:p>
        </w:tc>
      </w:tr>
      <w:tr w:rsidR="00526B6B" w:rsidRPr="00D929BE" w14:paraId="7E11C753" w14:textId="77777777" w:rsidTr="00CE3EC2">
        <w:tc>
          <w:tcPr>
            <w:tcW w:w="3299" w:type="pct"/>
            <w:tcBorders>
              <w:top w:val="nil"/>
              <w:bottom w:val="nil"/>
            </w:tcBorders>
            <w:shd w:val="clear" w:color="auto" w:fill="auto"/>
            <w:vAlign w:val="center"/>
          </w:tcPr>
          <w:p w14:paraId="6EC73518" w14:textId="77777777" w:rsidR="00526B6B" w:rsidRPr="00D929BE" w:rsidRDefault="00526B6B" w:rsidP="001539A6">
            <w:pPr>
              <w:pStyle w:val="TableText0"/>
              <w:widowControl w:val="0"/>
            </w:pPr>
            <w:r w:rsidRPr="00D929BE">
              <w:t>ITT (unadjusted for switching)</w:t>
            </w:r>
          </w:p>
        </w:tc>
        <w:tc>
          <w:tcPr>
            <w:tcW w:w="1701" w:type="pct"/>
            <w:tcBorders>
              <w:top w:val="nil"/>
              <w:bottom w:val="nil"/>
            </w:tcBorders>
            <w:shd w:val="clear" w:color="auto" w:fill="auto"/>
            <w:vAlign w:val="center"/>
          </w:tcPr>
          <w:p w14:paraId="6B4CD845" w14:textId="77777777" w:rsidR="00526B6B" w:rsidRPr="00D929BE" w:rsidRDefault="00526B6B" w:rsidP="001539A6">
            <w:pPr>
              <w:pStyle w:val="TableText0"/>
              <w:widowControl w:val="0"/>
            </w:pPr>
            <w:r w:rsidRPr="00D929BE">
              <w:t>0.78 (0.64, 0.96); p = 0.0164</w:t>
            </w:r>
          </w:p>
        </w:tc>
      </w:tr>
      <w:tr w:rsidR="00526B6B" w:rsidRPr="00D929BE" w14:paraId="59034437" w14:textId="77777777" w:rsidTr="00CE3EC2">
        <w:tc>
          <w:tcPr>
            <w:tcW w:w="3299" w:type="pct"/>
            <w:tcBorders>
              <w:top w:val="nil"/>
              <w:bottom w:val="nil"/>
            </w:tcBorders>
            <w:shd w:val="clear" w:color="auto" w:fill="auto"/>
            <w:vAlign w:val="center"/>
          </w:tcPr>
          <w:p w14:paraId="0B18A986" w14:textId="77777777" w:rsidR="00526B6B" w:rsidRPr="00D929BE" w:rsidRDefault="00526B6B" w:rsidP="001539A6">
            <w:pPr>
              <w:pStyle w:val="TableText0"/>
              <w:widowControl w:val="0"/>
            </w:pPr>
            <w:r w:rsidRPr="00D929BE">
              <w:t>ITT (censored at switch)</w:t>
            </w:r>
          </w:p>
        </w:tc>
        <w:tc>
          <w:tcPr>
            <w:tcW w:w="1701" w:type="pct"/>
            <w:tcBorders>
              <w:top w:val="nil"/>
              <w:bottom w:val="nil"/>
            </w:tcBorders>
            <w:shd w:val="clear" w:color="auto" w:fill="auto"/>
            <w:vAlign w:val="center"/>
          </w:tcPr>
          <w:p w14:paraId="4C2C4296" w14:textId="77777777" w:rsidR="00526B6B" w:rsidRPr="00D929BE" w:rsidRDefault="00526B6B" w:rsidP="001539A6">
            <w:pPr>
              <w:pStyle w:val="TableText0"/>
              <w:widowControl w:val="0"/>
            </w:pPr>
            <w:r w:rsidRPr="00D929BE">
              <w:t>0.69 (0.56, 0.84); p = 0.0003</w:t>
            </w:r>
          </w:p>
        </w:tc>
      </w:tr>
      <w:tr w:rsidR="00526B6B" w:rsidRPr="00D929BE" w14:paraId="7740E009" w14:textId="77777777" w:rsidTr="00CE3EC2">
        <w:tc>
          <w:tcPr>
            <w:tcW w:w="3299" w:type="pct"/>
            <w:tcBorders>
              <w:top w:val="nil"/>
              <w:bottom w:val="nil"/>
            </w:tcBorders>
            <w:shd w:val="clear" w:color="auto" w:fill="auto"/>
            <w:vAlign w:val="center"/>
          </w:tcPr>
          <w:p w14:paraId="6D5CD602" w14:textId="77777777" w:rsidR="00526B6B" w:rsidRPr="00D929BE" w:rsidRDefault="00526B6B" w:rsidP="001539A6">
            <w:pPr>
              <w:pStyle w:val="TableText0"/>
              <w:widowControl w:val="0"/>
            </w:pPr>
            <w:r w:rsidRPr="00D929BE">
              <w:t>RPSFTM (unadjusted for baseline covariates)</w:t>
            </w:r>
          </w:p>
        </w:tc>
        <w:tc>
          <w:tcPr>
            <w:tcW w:w="1701" w:type="pct"/>
            <w:tcBorders>
              <w:top w:val="nil"/>
              <w:bottom w:val="nil"/>
            </w:tcBorders>
            <w:shd w:val="clear" w:color="auto" w:fill="auto"/>
            <w:vAlign w:val="center"/>
          </w:tcPr>
          <w:p w14:paraId="1D8AF760" w14:textId="77777777" w:rsidR="00526B6B" w:rsidRPr="00D929BE" w:rsidRDefault="00526B6B" w:rsidP="001539A6">
            <w:pPr>
              <w:pStyle w:val="TableText0"/>
              <w:widowControl w:val="0"/>
            </w:pPr>
            <w:r w:rsidRPr="00D929BE">
              <w:t>0.72 (0.55, 0.94); p = 0.0164</w:t>
            </w:r>
          </w:p>
        </w:tc>
      </w:tr>
      <w:tr w:rsidR="00526B6B" w:rsidRPr="00D929BE" w14:paraId="19A0C9D8" w14:textId="77777777" w:rsidTr="00CE3EC2">
        <w:trPr>
          <w:trHeight w:val="43"/>
        </w:trPr>
        <w:tc>
          <w:tcPr>
            <w:tcW w:w="3299" w:type="pct"/>
            <w:tcBorders>
              <w:top w:val="nil"/>
              <w:bottom w:val="nil"/>
            </w:tcBorders>
            <w:shd w:val="clear" w:color="auto" w:fill="auto"/>
            <w:vAlign w:val="center"/>
          </w:tcPr>
          <w:p w14:paraId="0EDFA206" w14:textId="77777777" w:rsidR="00526B6B" w:rsidRPr="00D929BE" w:rsidRDefault="00526B6B" w:rsidP="001539A6">
            <w:pPr>
              <w:pStyle w:val="TableText0"/>
              <w:widowControl w:val="0"/>
            </w:pPr>
            <w:r w:rsidRPr="00D929BE">
              <w:t>RPSFTM (adjusted for baseline covariates)</w:t>
            </w:r>
          </w:p>
        </w:tc>
        <w:tc>
          <w:tcPr>
            <w:tcW w:w="1701" w:type="pct"/>
            <w:tcBorders>
              <w:top w:val="nil"/>
              <w:bottom w:val="nil"/>
            </w:tcBorders>
            <w:shd w:val="clear" w:color="auto" w:fill="auto"/>
            <w:vAlign w:val="center"/>
          </w:tcPr>
          <w:p w14:paraId="34577142" w14:textId="77777777" w:rsidR="00526B6B" w:rsidRPr="00D929BE" w:rsidRDefault="00526B6B" w:rsidP="001539A6">
            <w:pPr>
              <w:pStyle w:val="TableText0"/>
              <w:widowControl w:val="0"/>
            </w:pPr>
            <w:r w:rsidRPr="00D929BE">
              <w:t>0.74 (0.57, 0.95); p = 0.0191</w:t>
            </w:r>
          </w:p>
        </w:tc>
      </w:tr>
      <w:tr w:rsidR="00526B6B" w:rsidRPr="00D929BE" w14:paraId="4027670C" w14:textId="77777777" w:rsidTr="00CE3EC2">
        <w:tc>
          <w:tcPr>
            <w:tcW w:w="3299" w:type="pct"/>
            <w:tcBorders>
              <w:top w:val="nil"/>
            </w:tcBorders>
            <w:shd w:val="clear" w:color="auto" w:fill="auto"/>
            <w:vAlign w:val="center"/>
          </w:tcPr>
          <w:p w14:paraId="486C2747" w14:textId="77777777" w:rsidR="00526B6B" w:rsidRPr="00D929BE" w:rsidRDefault="00526B6B" w:rsidP="001539A6">
            <w:pPr>
              <w:pStyle w:val="TableText0"/>
              <w:widowControl w:val="0"/>
            </w:pPr>
            <w:r w:rsidRPr="00D929BE">
              <w:t>IPCW</w:t>
            </w:r>
          </w:p>
        </w:tc>
        <w:tc>
          <w:tcPr>
            <w:tcW w:w="1701" w:type="pct"/>
            <w:tcBorders>
              <w:top w:val="nil"/>
            </w:tcBorders>
            <w:shd w:val="clear" w:color="auto" w:fill="auto"/>
            <w:vAlign w:val="center"/>
          </w:tcPr>
          <w:p w14:paraId="782BB764" w14:textId="77777777" w:rsidR="00526B6B" w:rsidRPr="00D929BE" w:rsidRDefault="00526B6B" w:rsidP="001539A6">
            <w:pPr>
              <w:pStyle w:val="TableText0"/>
              <w:widowControl w:val="0"/>
            </w:pPr>
            <w:r w:rsidRPr="00D929BE">
              <w:t>0.68 (0.55; 0.84); p = 0.0003</w:t>
            </w:r>
          </w:p>
        </w:tc>
      </w:tr>
    </w:tbl>
    <w:p w14:paraId="42A90A9B" w14:textId="77777777" w:rsidR="00526B6B" w:rsidRPr="007605CE" w:rsidRDefault="00526B6B" w:rsidP="00526B6B">
      <w:pPr>
        <w:jc w:val="left"/>
        <w:rPr>
          <w:rFonts w:ascii="Arial Narrow" w:hAnsi="Arial Narrow"/>
          <w:sz w:val="18"/>
        </w:rPr>
      </w:pPr>
      <w:r w:rsidRPr="007605CE">
        <w:rPr>
          <w:rFonts w:ascii="Arial Narrow" w:hAnsi="Arial Narrow"/>
          <w:sz w:val="18"/>
        </w:rPr>
        <w:t>Source: Table 7, apalutamide PSD, November 2020</w:t>
      </w:r>
      <w:r>
        <w:rPr>
          <w:rFonts w:ascii="Arial Narrow" w:hAnsi="Arial Narrow"/>
          <w:sz w:val="18"/>
        </w:rPr>
        <w:t>.</w:t>
      </w:r>
    </w:p>
    <w:p w14:paraId="6A08AE94" w14:textId="77777777" w:rsidR="00526B6B" w:rsidRPr="007605CE" w:rsidRDefault="00526B6B" w:rsidP="00526B6B">
      <w:pPr>
        <w:jc w:val="left"/>
        <w:rPr>
          <w:rFonts w:ascii="Arial Narrow" w:hAnsi="Arial Narrow"/>
          <w:sz w:val="18"/>
        </w:rPr>
      </w:pPr>
      <w:r w:rsidRPr="007605CE">
        <w:rPr>
          <w:rFonts w:ascii="Arial Narrow" w:hAnsi="Arial Narrow"/>
          <w:sz w:val="18"/>
        </w:rPr>
        <w:t xml:space="preserve">BICR = blinded independent central review; CI = confidence interval; FA = final analysis; HR = hazard ratio; IPCW = inverse probability of censoring weights; IA1 = interim analysis 1; IA2 = interim analysis 2; ITT = intent to treat; MFS = metastasis-free survival; OS = overall survival; RPSFTM = rank preserving structural failure time model; USA = United States of America </w:t>
      </w:r>
    </w:p>
    <w:p w14:paraId="6A1E4E89" w14:textId="77777777" w:rsidR="00526B6B" w:rsidRPr="007605CE" w:rsidRDefault="00526B6B" w:rsidP="00526B6B">
      <w:pPr>
        <w:jc w:val="left"/>
        <w:rPr>
          <w:rFonts w:ascii="Arial Narrow" w:hAnsi="Arial Narrow"/>
          <w:sz w:val="18"/>
        </w:rPr>
      </w:pPr>
      <w:r w:rsidRPr="007605CE">
        <w:rPr>
          <w:rFonts w:ascii="Arial Narrow" w:hAnsi="Arial Narrow"/>
          <w:sz w:val="18"/>
        </w:rPr>
        <w:t>* Reported in Jul 2019 submissions,</w:t>
      </w:r>
    </w:p>
    <w:p w14:paraId="27B7D7C1" w14:textId="77777777" w:rsidR="00526B6B" w:rsidRPr="007605CE" w:rsidRDefault="00526B6B" w:rsidP="00526B6B">
      <w:pPr>
        <w:jc w:val="left"/>
        <w:rPr>
          <w:rFonts w:ascii="Arial Narrow" w:hAnsi="Arial Narrow"/>
          <w:sz w:val="18"/>
        </w:rPr>
      </w:pPr>
      <w:r w:rsidRPr="007605CE">
        <w:rPr>
          <w:rFonts w:ascii="Arial Narrow" w:hAnsi="Arial Narrow"/>
          <w:sz w:val="18"/>
        </w:rPr>
        <w:t xml:space="preserve">^ Reported in the PSCR to Jul 2019 resubmission. </w:t>
      </w:r>
    </w:p>
    <w:p w14:paraId="52DCD5DD" w14:textId="77777777" w:rsidR="00526B6B" w:rsidRPr="00D379EA" w:rsidRDefault="00526B6B" w:rsidP="00526B6B">
      <w:pPr>
        <w:pStyle w:val="TableFooter"/>
      </w:pPr>
      <w:r w:rsidRPr="007605CE">
        <w:t># From placebo to apalutamide at treatment unblinding which happened after IA1.</w:t>
      </w:r>
    </w:p>
    <w:p w14:paraId="7D055573" w14:textId="77777777" w:rsidR="00526B6B" w:rsidRPr="00D379EA" w:rsidRDefault="00526B6B" w:rsidP="00526B6B">
      <w:pPr>
        <w:pStyle w:val="TableFooter"/>
      </w:pPr>
    </w:p>
    <w:p w14:paraId="50AC18A2" w14:textId="77777777" w:rsidR="00526B6B" w:rsidRPr="00D379EA" w:rsidRDefault="00526B6B" w:rsidP="00526B6B">
      <w:pPr>
        <w:pStyle w:val="In-tableHeading"/>
        <w:rPr>
          <w:lang w:val="en-AU"/>
        </w:rPr>
      </w:pPr>
      <w:r w:rsidRPr="00D379EA">
        <w:rPr>
          <w:lang w:val="en-AU"/>
        </w:rPr>
        <w:t>Figure 1: Kaplan-Meier curve for MFS (BIRC-assessed), SPARTAN IA1</w:t>
      </w:r>
    </w:p>
    <w:p w14:paraId="7539E26E" w14:textId="77777777" w:rsidR="00526B6B" w:rsidRPr="00D379EA" w:rsidRDefault="00526B6B" w:rsidP="00526B6B">
      <w:pPr>
        <w:pStyle w:val="TableFooter"/>
      </w:pPr>
      <w:r w:rsidRPr="00D379EA">
        <w:rPr>
          <w:b/>
          <w:noProof/>
        </w:rPr>
        <w:drawing>
          <wp:inline distT="0" distB="0" distL="0" distR="0" wp14:anchorId="4C950A2F" wp14:editId="24C131D8">
            <wp:extent cx="4535588" cy="3165585"/>
            <wp:effectExtent l="19050" t="19050" r="17780" b="15875"/>
            <wp:docPr id="4" name="Picture 4" descr="Figure 1: Kaplan-Meier curve for MFS (BIRC-assessed), SPARTAN 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Kaplan-Meier curve for MFS (BIRC-assessed), SPARTAN I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0806" cy="3183186"/>
                    </a:xfrm>
                    <a:prstGeom prst="rect">
                      <a:avLst/>
                    </a:prstGeom>
                    <a:noFill/>
                    <a:ln>
                      <a:solidFill>
                        <a:schemeClr val="tx1"/>
                      </a:solidFill>
                    </a:ln>
                  </pic:spPr>
                </pic:pic>
              </a:graphicData>
            </a:graphic>
          </wp:inline>
        </w:drawing>
      </w:r>
    </w:p>
    <w:p w14:paraId="48B07F29" w14:textId="77777777" w:rsidR="00526B6B" w:rsidRPr="00CB2E92" w:rsidRDefault="00526B6B" w:rsidP="00526B6B">
      <w:pPr>
        <w:pStyle w:val="TableFooter"/>
        <w:rPr>
          <w:rFonts w:eastAsia="TimesNewRoman"/>
        </w:rPr>
      </w:pPr>
      <w:r w:rsidRPr="00D379EA">
        <w:t xml:space="preserve">Source: </w:t>
      </w:r>
      <w:r>
        <w:rPr>
          <w:rFonts w:eastAsia="TimesNewRoman"/>
        </w:rPr>
        <w:t>Figure 1, apalutamide PSD, November 2020</w:t>
      </w:r>
    </w:p>
    <w:p w14:paraId="360B22A2" w14:textId="77777777" w:rsidR="00526B6B" w:rsidRPr="00D379EA" w:rsidRDefault="00BF2149" w:rsidP="00526B6B">
      <w:pPr>
        <w:pStyle w:val="TableFooter"/>
      </w:pPr>
      <w:r w:rsidRPr="00D379EA">
        <w:rPr>
          <w:rFonts w:eastAsia="TimesNewRoman"/>
        </w:rPr>
        <w:t>BICR</w:t>
      </w:r>
      <w:r>
        <w:rPr>
          <w:rFonts w:eastAsia="TimesNewRoman"/>
        </w:rPr>
        <w:t xml:space="preserve"> </w:t>
      </w:r>
      <w:r w:rsidRPr="00D379EA">
        <w:rPr>
          <w:rFonts w:eastAsia="TimesNewRoman"/>
        </w:rPr>
        <w:t>=</w:t>
      </w:r>
      <w:r>
        <w:rPr>
          <w:rFonts w:eastAsia="TimesNewRoman"/>
        </w:rPr>
        <w:t xml:space="preserve"> </w:t>
      </w:r>
      <w:r w:rsidRPr="00D379EA">
        <w:rPr>
          <w:rFonts w:eastAsia="TimesNewRoman"/>
        </w:rPr>
        <w:t>blinded independent central review;</w:t>
      </w:r>
      <w:r w:rsidR="00AD6D36">
        <w:rPr>
          <w:rFonts w:eastAsia="TimesNewRoman"/>
        </w:rPr>
        <w:t xml:space="preserve"> </w:t>
      </w:r>
      <w:r w:rsidR="00526B6B" w:rsidRPr="00D379EA">
        <w:rPr>
          <w:rFonts w:eastAsia="TimesNewRoman"/>
        </w:rPr>
        <w:t>IA1</w:t>
      </w:r>
      <w:r>
        <w:rPr>
          <w:rFonts w:eastAsia="TimesNewRoman"/>
        </w:rPr>
        <w:t xml:space="preserve"> </w:t>
      </w:r>
      <w:r w:rsidR="00526B6B" w:rsidRPr="00D379EA">
        <w:rPr>
          <w:rFonts w:eastAsia="TimesNewRoman"/>
        </w:rPr>
        <w:t>=</w:t>
      </w:r>
      <w:r>
        <w:rPr>
          <w:rFonts w:eastAsia="TimesNewRoman"/>
        </w:rPr>
        <w:t xml:space="preserve"> </w:t>
      </w:r>
      <w:r w:rsidR="00526B6B" w:rsidRPr="00D379EA">
        <w:rPr>
          <w:rFonts w:eastAsia="TimesNewRoman"/>
        </w:rPr>
        <w:t>interim analysis 1</w:t>
      </w:r>
      <w:r w:rsidR="00AD6D36">
        <w:rPr>
          <w:rFonts w:eastAsia="TimesNewRoman"/>
        </w:rPr>
        <w:t>;</w:t>
      </w:r>
      <w:r w:rsidR="00526B6B" w:rsidRPr="00D379EA">
        <w:rPr>
          <w:rFonts w:eastAsia="TimesNewRoman"/>
        </w:rPr>
        <w:t xml:space="preserve"> MFS</w:t>
      </w:r>
      <w:r>
        <w:rPr>
          <w:rFonts w:eastAsia="TimesNewRoman"/>
        </w:rPr>
        <w:t xml:space="preserve"> </w:t>
      </w:r>
      <w:r w:rsidR="00526B6B" w:rsidRPr="00D379EA">
        <w:rPr>
          <w:rFonts w:eastAsia="TimesNewRoman"/>
        </w:rPr>
        <w:t>=</w:t>
      </w:r>
      <w:r>
        <w:rPr>
          <w:rFonts w:eastAsia="TimesNewRoman"/>
        </w:rPr>
        <w:t xml:space="preserve"> </w:t>
      </w:r>
      <w:r w:rsidR="00526B6B" w:rsidRPr="00D379EA">
        <w:rPr>
          <w:rFonts w:eastAsia="TimesNewRoman"/>
        </w:rPr>
        <w:t>metastasis-free survival.</w:t>
      </w:r>
      <w:r w:rsidR="00526B6B" w:rsidRPr="00D379EA">
        <w:t xml:space="preserve"> </w:t>
      </w:r>
    </w:p>
    <w:p w14:paraId="643C796A" w14:textId="77777777" w:rsidR="00526B6B" w:rsidRPr="00D379EA" w:rsidRDefault="00526B6B" w:rsidP="00526B6B">
      <w:pPr>
        <w:pStyle w:val="TableFooter"/>
      </w:pPr>
    </w:p>
    <w:p w14:paraId="7F0ACC2B" w14:textId="77777777" w:rsidR="00526B6B" w:rsidRPr="00D379EA" w:rsidRDefault="00526B6B" w:rsidP="00526B6B">
      <w:pPr>
        <w:pStyle w:val="In-tableHeading"/>
        <w:rPr>
          <w:lang w:val="en-AU"/>
        </w:rPr>
      </w:pPr>
      <w:r w:rsidRPr="00D379EA">
        <w:rPr>
          <w:lang w:val="en-AU"/>
        </w:rPr>
        <w:t>Figure 2</w:t>
      </w:r>
      <w:r w:rsidR="007168BE">
        <w:rPr>
          <w:lang w:val="en-AU"/>
        </w:rPr>
        <w:t>:</w:t>
      </w:r>
      <w:r w:rsidRPr="00D379EA">
        <w:rPr>
          <w:lang w:val="en-AU"/>
        </w:rPr>
        <w:t xml:space="preserve"> Kaplan Meier curve for OS (ITT), SPARTAN FA not adjusted for treatment switching</w:t>
      </w:r>
    </w:p>
    <w:p w14:paraId="5C4786B4" w14:textId="77777777" w:rsidR="00526B6B" w:rsidRPr="00D379EA" w:rsidRDefault="00526B6B" w:rsidP="00526B6B">
      <w:pPr>
        <w:pStyle w:val="TableFooter"/>
      </w:pPr>
      <w:r w:rsidRPr="00D379EA">
        <w:rPr>
          <w:b/>
          <w:iCs/>
          <w:noProof/>
          <w:szCs w:val="18"/>
        </w:rPr>
        <w:drawing>
          <wp:inline distT="0" distB="0" distL="0" distR="0" wp14:anchorId="033B811C" wp14:editId="33F1F5FE">
            <wp:extent cx="4518226" cy="3273643"/>
            <wp:effectExtent l="19050" t="19050" r="15875" b="22225"/>
            <wp:docPr id="2" name="Picture 2" descr="Figure 2: Kaplan Meier curve for OS (ITT), SPARTAN FA not adjusted for treatment 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Kaplan Meier curve for OS (ITT), SPARTAN FA not adjusted for treatment switching"/>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4570776" cy="3311718"/>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F07959C" w14:textId="77777777" w:rsidR="00526B6B" w:rsidRPr="00D379EA" w:rsidRDefault="00526B6B" w:rsidP="00526B6B">
      <w:pPr>
        <w:pStyle w:val="TableFooter"/>
        <w:rPr>
          <w:rFonts w:eastAsia="TimesNewRoman"/>
        </w:rPr>
      </w:pPr>
      <w:r w:rsidRPr="00D379EA">
        <w:rPr>
          <w:rFonts w:eastAsia="TimesNewRoman"/>
        </w:rPr>
        <w:t xml:space="preserve">Source: </w:t>
      </w:r>
      <w:r>
        <w:rPr>
          <w:rFonts w:eastAsia="TimesNewRoman"/>
        </w:rPr>
        <w:t>Figure 2, apalutamide PSD, November 2020, Figure 2.1, p26 of the resubmission.</w:t>
      </w:r>
    </w:p>
    <w:p w14:paraId="210362EE" w14:textId="77777777" w:rsidR="00526B6B" w:rsidRPr="00D379EA" w:rsidRDefault="00526B6B" w:rsidP="00526B6B">
      <w:pPr>
        <w:pStyle w:val="TableFooter"/>
        <w:rPr>
          <w:rFonts w:eastAsia="TimesNewRoman"/>
        </w:rPr>
      </w:pPr>
      <w:r w:rsidRPr="00D379EA">
        <w:rPr>
          <w:rFonts w:eastAsia="TimesNewRoman"/>
        </w:rPr>
        <w:t>FA</w:t>
      </w:r>
      <w:r w:rsidR="00BF2149">
        <w:rPr>
          <w:rFonts w:eastAsia="TimesNewRoman"/>
        </w:rPr>
        <w:t xml:space="preserve"> </w:t>
      </w:r>
      <w:r w:rsidRPr="00D379EA">
        <w:rPr>
          <w:rFonts w:eastAsia="TimesNewRoman"/>
        </w:rPr>
        <w:t>=</w:t>
      </w:r>
      <w:r w:rsidR="00BF2149">
        <w:rPr>
          <w:rFonts w:eastAsia="TimesNewRoman"/>
        </w:rPr>
        <w:t xml:space="preserve"> </w:t>
      </w:r>
      <w:r w:rsidRPr="00D379EA">
        <w:rPr>
          <w:rFonts w:eastAsia="TimesNewRoman"/>
        </w:rPr>
        <w:t>final analysis</w:t>
      </w:r>
      <w:r w:rsidRPr="00D379EA">
        <w:t xml:space="preserve">; </w:t>
      </w:r>
      <w:r w:rsidRPr="00D379EA">
        <w:rPr>
          <w:rFonts w:eastAsia="TimesNewRoman"/>
        </w:rPr>
        <w:t>ITT</w:t>
      </w:r>
      <w:r w:rsidR="00BF2149">
        <w:rPr>
          <w:rFonts w:eastAsia="TimesNewRoman"/>
        </w:rPr>
        <w:t xml:space="preserve"> </w:t>
      </w:r>
      <w:r w:rsidRPr="00D379EA">
        <w:rPr>
          <w:rFonts w:eastAsia="TimesNewRoman"/>
        </w:rPr>
        <w:t>=</w:t>
      </w:r>
      <w:r w:rsidR="00BF2149">
        <w:rPr>
          <w:rFonts w:eastAsia="TimesNewRoman"/>
        </w:rPr>
        <w:t xml:space="preserve"> </w:t>
      </w:r>
      <w:r w:rsidRPr="00D379EA">
        <w:rPr>
          <w:rFonts w:eastAsia="TimesNewRoman"/>
        </w:rPr>
        <w:t>intention-to-treat; OS</w:t>
      </w:r>
      <w:r w:rsidR="00BF2149">
        <w:rPr>
          <w:rFonts w:eastAsia="TimesNewRoman"/>
        </w:rPr>
        <w:t xml:space="preserve"> </w:t>
      </w:r>
      <w:r w:rsidRPr="00D379EA">
        <w:rPr>
          <w:rFonts w:eastAsia="TimesNewRoman"/>
        </w:rPr>
        <w:t>=</w:t>
      </w:r>
      <w:r w:rsidR="00BF2149">
        <w:rPr>
          <w:rFonts w:eastAsia="TimesNewRoman"/>
        </w:rPr>
        <w:t xml:space="preserve"> </w:t>
      </w:r>
      <w:r w:rsidRPr="00D379EA">
        <w:rPr>
          <w:rFonts w:eastAsia="TimesNewRoman"/>
        </w:rPr>
        <w:t>overall survival</w:t>
      </w:r>
    </w:p>
    <w:p w14:paraId="19F71576" w14:textId="77777777" w:rsidR="00526B6B" w:rsidRDefault="00526B6B" w:rsidP="00526B6B">
      <w:pPr>
        <w:pStyle w:val="TableFooter"/>
      </w:pPr>
    </w:p>
    <w:p w14:paraId="36FF10E8" w14:textId="77777777" w:rsidR="00526B6B" w:rsidRDefault="00526B6B" w:rsidP="002D5B24">
      <w:pPr>
        <w:pStyle w:val="3-BodyText"/>
        <w:ind w:left="709"/>
      </w:pPr>
      <w:r w:rsidRPr="00964BD7">
        <w:t xml:space="preserve">The resubmission also noted that PBAC </w:t>
      </w:r>
      <w:r w:rsidR="00462C80">
        <w:t xml:space="preserve">had previously </w:t>
      </w:r>
      <w:r w:rsidRPr="00964BD7">
        <w:t>considered that apalutamide was likely to be non-inferior compared to darolutamide in terms of efficacy and safety (paragraph 6.40, apalutamide PSD, November 2020). Results of the indirect comparison presented in the November 2020 resubmission comparing apalutamide and darolutamide using SPARTAN (</w:t>
      </w:r>
      <w:r w:rsidR="00FD49EC">
        <w:t xml:space="preserve">interim analysis </w:t>
      </w:r>
      <w:r w:rsidRPr="00964BD7">
        <w:t xml:space="preserve">1 for metastasis-free survival [MFS], </w:t>
      </w:r>
      <w:r w:rsidR="00FD49EC">
        <w:t>and interim analysis 1 and final analysis</w:t>
      </w:r>
      <w:r w:rsidRPr="00964BD7">
        <w:t xml:space="preserve"> for overall survival [OS]) and published results from the ARAMIS trial are presented </w:t>
      </w:r>
      <w:r w:rsidR="00BD1BA8">
        <w:t>below</w:t>
      </w:r>
      <w:r w:rsidRPr="00964BD7">
        <w:t>. While the resubmission’s analysis showed a significant MFS benefit for apalutamide compared to darolutamide, the PBAC noted “that the misclassification of patients in the ARAMIS trial may have impacted on the indirect comparison for MFS and that a sensitivity analysis excluding the misclassified patients resulted in a hazard ratio (HR) for darolutamide closer to results observed in SPARTAN (paragraph 6.39, apalutamide PSD</w:t>
      </w:r>
      <w:r w:rsidR="00FD49EC">
        <w:t>,</w:t>
      </w:r>
      <w:r w:rsidRPr="00964BD7">
        <w:t xml:space="preserve"> July 2021) and the difference were no longer statistically significant (paragraph 6.19, darolutamide PSD, March 2021). A much higher proportion of patients had crossed over from placebo to active treatment in the ARAMIS trial compared to SPARTAN (31% versus 19%). </w:t>
      </w:r>
    </w:p>
    <w:p w14:paraId="7238613B" w14:textId="77777777" w:rsidR="00BD1BA8" w:rsidRDefault="00BD1BA8" w:rsidP="00BD1BA8">
      <w:pPr>
        <w:pStyle w:val="TableHeading1"/>
      </w:pPr>
      <w:r>
        <w:t xml:space="preserve">Table </w:t>
      </w:r>
      <w:r w:rsidR="00F2524C">
        <w:t>6</w:t>
      </w:r>
      <w:r>
        <w:t xml:space="preserve">: MFS and OS in SPARTAN and ARAMIS </w:t>
      </w:r>
    </w:p>
    <w:tbl>
      <w:tblPr>
        <w:tblStyle w:val="TableGrid"/>
        <w:tblW w:w="0" w:type="auto"/>
        <w:tblLook w:val="04A0" w:firstRow="1" w:lastRow="0" w:firstColumn="1" w:lastColumn="0" w:noHBand="0" w:noVBand="1"/>
        <w:tblCaption w:val="Table 6: MFS and OS in SPARTAN and ARAMIS "/>
      </w:tblPr>
      <w:tblGrid>
        <w:gridCol w:w="731"/>
        <w:gridCol w:w="2808"/>
        <w:gridCol w:w="1418"/>
        <w:gridCol w:w="1417"/>
        <w:gridCol w:w="1276"/>
        <w:gridCol w:w="1367"/>
      </w:tblGrid>
      <w:tr w:rsidR="00337846" w:rsidRPr="00616820" w14:paraId="14B4C218" w14:textId="77777777" w:rsidTr="00D010FD">
        <w:trPr>
          <w:tblHeader/>
        </w:trPr>
        <w:tc>
          <w:tcPr>
            <w:tcW w:w="731" w:type="dxa"/>
            <w:vMerge w:val="restart"/>
            <w:tcMar>
              <w:left w:w="28" w:type="dxa"/>
              <w:right w:w="28" w:type="dxa"/>
            </w:tcMar>
            <w:vAlign w:val="center"/>
          </w:tcPr>
          <w:p w14:paraId="77F7032D" w14:textId="77777777" w:rsidR="00337846" w:rsidRPr="00616820" w:rsidRDefault="00337846" w:rsidP="00AD6D36">
            <w:pPr>
              <w:pStyle w:val="Tablefootnote"/>
              <w:spacing w:before="0" w:after="0"/>
              <w:rPr>
                <w:b/>
                <w:bCs/>
                <w:sz w:val="20"/>
                <w:szCs w:val="20"/>
              </w:rPr>
            </w:pPr>
            <w:r w:rsidRPr="00616820">
              <w:rPr>
                <w:b/>
                <w:bCs/>
                <w:sz w:val="20"/>
                <w:szCs w:val="20"/>
              </w:rPr>
              <w:t>Analysis</w:t>
            </w:r>
          </w:p>
        </w:tc>
        <w:tc>
          <w:tcPr>
            <w:tcW w:w="2808" w:type="dxa"/>
            <w:vMerge w:val="restart"/>
            <w:tcMar>
              <w:left w:w="28" w:type="dxa"/>
              <w:right w:w="28" w:type="dxa"/>
            </w:tcMar>
            <w:vAlign w:val="center"/>
          </w:tcPr>
          <w:p w14:paraId="5A41C12B" w14:textId="77777777" w:rsidR="00337846" w:rsidRPr="00616820" w:rsidRDefault="00337846" w:rsidP="00AD6D36">
            <w:pPr>
              <w:pStyle w:val="Tablefootnote"/>
              <w:spacing w:before="0" w:after="0"/>
              <w:rPr>
                <w:b/>
                <w:bCs/>
                <w:sz w:val="20"/>
                <w:szCs w:val="20"/>
              </w:rPr>
            </w:pPr>
            <w:r w:rsidRPr="00616820">
              <w:rPr>
                <w:b/>
                <w:bCs/>
                <w:sz w:val="20"/>
                <w:szCs w:val="20"/>
              </w:rPr>
              <w:t>Outcomes</w:t>
            </w:r>
          </w:p>
        </w:tc>
        <w:tc>
          <w:tcPr>
            <w:tcW w:w="2835" w:type="dxa"/>
            <w:gridSpan w:val="2"/>
            <w:tcMar>
              <w:left w:w="28" w:type="dxa"/>
              <w:right w:w="28" w:type="dxa"/>
            </w:tcMar>
          </w:tcPr>
          <w:p w14:paraId="279C7726" w14:textId="77777777" w:rsidR="00337846" w:rsidRPr="00616820" w:rsidRDefault="00337846" w:rsidP="00EB1A9F">
            <w:pPr>
              <w:pStyle w:val="Tablefootnote"/>
              <w:spacing w:before="0" w:after="0"/>
              <w:jc w:val="center"/>
              <w:rPr>
                <w:b/>
                <w:bCs/>
                <w:sz w:val="20"/>
                <w:szCs w:val="20"/>
              </w:rPr>
            </w:pPr>
            <w:r w:rsidRPr="00616820">
              <w:rPr>
                <w:b/>
                <w:bCs/>
                <w:sz w:val="20"/>
                <w:szCs w:val="20"/>
              </w:rPr>
              <w:t>SPARTAN</w:t>
            </w:r>
          </w:p>
        </w:tc>
        <w:tc>
          <w:tcPr>
            <w:tcW w:w="2643" w:type="dxa"/>
            <w:gridSpan w:val="2"/>
            <w:tcMar>
              <w:left w:w="28" w:type="dxa"/>
              <w:right w:w="28" w:type="dxa"/>
            </w:tcMar>
          </w:tcPr>
          <w:p w14:paraId="3893AF31" w14:textId="77777777" w:rsidR="00337846" w:rsidRPr="00616820" w:rsidRDefault="00337846" w:rsidP="00EB1A9F">
            <w:pPr>
              <w:pStyle w:val="Tablefootnote"/>
              <w:spacing w:before="0" w:after="0"/>
              <w:jc w:val="center"/>
              <w:rPr>
                <w:b/>
                <w:bCs/>
                <w:sz w:val="20"/>
                <w:szCs w:val="20"/>
              </w:rPr>
            </w:pPr>
            <w:r w:rsidRPr="00616820">
              <w:rPr>
                <w:b/>
                <w:bCs/>
                <w:sz w:val="20"/>
                <w:szCs w:val="20"/>
              </w:rPr>
              <w:t>ARAMIS</w:t>
            </w:r>
          </w:p>
        </w:tc>
      </w:tr>
      <w:tr w:rsidR="00337846" w:rsidRPr="00616820" w14:paraId="4D6D97D8" w14:textId="77777777" w:rsidTr="00D010FD">
        <w:trPr>
          <w:tblHeader/>
        </w:trPr>
        <w:tc>
          <w:tcPr>
            <w:tcW w:w="731" w:type="dxa"/>
            <w:vMerge/>
            <w:tcMar>
              <w:left w:w="28" w:type="dxa"/>
              <w:right w:w="28" w:type="dxa"/>
            </w:tcMar>
          </w:tcPr>
          <w:p w14:paraId="7586DDA5" w14:textId="77777777" w:rsidR="00337846" w:rsidRPr="00616820" w:rsidRDefault="00337846" w:rsidP="00EB1A9F">
            <w:pPr>
              <w:pStyle w:val="Tablefootnote"/>
              <w:spacing w:before="0" w:after="0"/>
              <w:rPr>
                <w:b/>
                <w:bCs/>
                <w:sz w:val="20"/>
                <w:szCs w:val="20"/>
              </w:rPr>
            </w:pPr>
          </w:p>
        </w:tc>
        <w:tc>
          <w:tcPr>
            <w:tcW w:w="2808" w:type="dxa"/>
            <w:vMerge/>
            <w:tcMar>
              <w:left w:w="28" w:type="dxa"/>
              <w:right w:w="28" w:type="dxa"/>
            </w:tcMar>
          </w:tcPr>
          <w:p w14:paraId="51F1F55B" w14:textId="77777777" w:rsidR="00337846" w:rsidRPr="00616820" w:rsidRDefault="00337846" w:rsidP="00EB1A9F">
            <w:pPr>
              <w:pStyle w:val="Tablefootnote"/>
              <w:spacing w:before="0" w:after="0"/>
              <w:rPr>
                <w:b/>
                <w:bCs/>
                <w:sz w:val="20"/>
                <w:szCs w:val="20"/>
              </w:rPr>
            </w:pPr>
          </w:p>
        </w:tc>
        <w:tc>
          <w:tcPr>
            <w:tcW w:w="1418" w:type="dxa"/>
            <w:tcMar>
              <w:left w:w="28" w:type="dxa"/>
              <w:right w:w="28" w:type="dxa"/>
            </w:tcMar>
          </w:tcPr>
          <w:p w14:paraId="4A5E8BFC" w14:textId="77777777" w:rsidR="00337846" w:rsidRPr="00616820" w:rsidRDefault="00337846" w:rsidP="00EB1A9F">
            <w:pPr>
              <w:pStyle w:val="Tablefootnote"/>
              <w:spacing w:before="0" w:after="0"/>
              <w:jc w:val="center"/>
              <w:rPr>
                <w:b/>
                <w:bCs/>
                <w:sz w:val="20"/>
                <w:szCs w:val="20"/>
              </w:rPr>
            </w:pPr>
            <w:r w:rsidRPr="00616820">
              <w:rPr>
                <w:b/>
                <w:bCs/>
                <w:sz w:val="20"/>
                <w:szCs w:val="20"/>
              </w:rPr>
              <w:t>Apalutamide</w:t>
            </w:r>
          </w:p>
          <w:p w14:paraId="282D19EA" w14:textId="77777777" w:rsidR="00337846" w:rsidRPr="00616820" w:rsidRDefault="00337846" w:rsidP="00EB1A9F">
            <w:pPr>
              <w:pStyle w:val="Tablefootnote"/>
              <w:spacing w:before="0" w:after="0"/>
              <w:jc w:val="center"/>
              <w:rPr>
                <w:b/>
                <w:bCs/>
                <w:sz w:val="20"/>
                <w:szCs w:val="20"/>
              </w:rPr>
            </w:pPr>
            <w:r w:rsidRPr="00616820">
              <w:rPr>
                <w:b/>
                <w:bCs/>
                <w:sz w:val="20"/>
                <w:szCs w:val="20"/>
              </w:rPr>
              <w:t>N=806</w:t>
            </w:r>
          </w:p>
        </w:tc>
        <w:tc>
          <w:tcPr>
            <w:tcW w:w="1417" w:type="dxa"/>
            <w:tcMar>
              <w:left w:w="28" w:type="dxa"/>
              <w:right w:w="28" w:type="dxa"/>
            </w:tcMar>
          </w:tcPr>
          <w:p w14:paraId="6547F7E7" w14:textId="77777777" w:rsidR="00337846" w:rsidRPr="00616820" w:rsidRDefault="00337846" w:rsidP="00EB1A9F">
            <w:pPr>
              <w:pStyle w:val="Tablefootnote"/>
              <w:spacing w:before="0" w:after="0"/>
              <w:jc w:val="center"/>
              <w:rPr>
                <w:b/>
                <w:bCs/>
                <w:sz w:val="20"/>
                <w:szCs w:val="20"/>
              </w:rPr>
            </w:pPr>
            <w:r w:rsidRPr="00616820">
              <w:rPr>
                <w:b/>
                <w:bCs/>
                <w:sz w:val="20"/>
                <w:szCs w:val="20"/>
              </w:rPr>
              <w:t>Placebo</w:t>
            </w:r>
          </w:p>
          <w:p w14:paraId="14FE4737" w14:textId="77777777" w:rsidR="00337846" w:rsidRPr="00616820" w:rsidRDefault="00337846" w:rsidP="00EB1A9F">
            <w:pPr>
              <w:pStyle w:val="Tablefootnote"/>
              <w:spacing w:before="0" w:after="0"/>
              <w:jc w:val="center"/>
              <w:rPr>
                <w:b/>
                <w:bCs/>
                <w:sz w:val="20"/>
                <w:szCs w:val="20"/>
              </w:rPr>
            </w:pPr>
            <w:r w:rsidRPr="00616820">
              <w:rPr>
                <w:b/>
                <w:bCs/>
                <w:sz w:val="20"/>
                <w:szCs w:val="20"/>
              </w:rPr>
              <w:t>N=401</w:t>
            </w:r>
          </w:p>
        </w:tc>
        <w:tc>
          <w:tcPr>
            <w:tcW w:w="1276" w:type="dxa"/>
            <w:tcMar>
              <w:left w:w="28" w:type="dxa"/>
              <w:right w:w="28" w:type="dxa"/>
            </w:tcMar>
          </w:tcPr>
          <w:p w14:paraId="79FECAD7" w14:textId="77777777" w:rsidR="00337846" w:rsidRPr="00616820" w:rsidRDefault="00337846" w:rsidP="00EB1A9F">
            <w:pPr>
              <w:pStyle w:val="Tablefootnote"/>
              <w:spacing w:before="0" w:after="0"/>
              <w:jc w:val="center"/>
              <w:rPr>
                <w:b/>
                <w:bCs/>
                <w:sz w:val="20"/>
                <w:szCs w:val="20"/>
              </w:rPr>
            </w:pPr>
            <w:r w:rsidRPr="00616820">
              <w:rPr>
                <w:b/>
                <w:bCs/>
                <w:sz w:val="20"/>
                <w:szCs w:val="20"/>
              </w:rPr>
              <w:t>Darolutamide</w:t>
            </w:r>
          </w:p>
          <w:p w14:paraId="3EB88D58" w14:textId="77777777" w:rsidR="00337846" w:rsidRPr="00616820" w:rsidRDefault="00337846" w:rsidP="00EB1A9F">
            <w:pPr>
              <w:pStyle w:val="Tablefootnote"/>
              <w:spacing w:before="0" w:after="0"/>
              <w:jc w:val="center"/>
              <w:rPr>
                <w:b/>
                <w:bCs/>
                <w:sz w:val="20"/>
                <w:szCs w:val="20"/>
              </w:rPr>
            </w:pPr>
            <w:r w:rsidRPr="00616820">
              <w:rPr>
                <w:b/>
                <w:bCs/>
                <w:sz w:val="20"/>
                <w:szCs w:val="20"/>
              </w:rPr>
              <w:t>N=955</w:t>
            </w:r>
          </w:p>
        </w:tc>
        <w:tc>
          <w:tcPr>
            <w:tcW w:w="1367" w:type="dxa"/>
            <w:tcMar>
              <w:left w:w="28" w:type="dxa"/>
              <w:right w:w="28" w:type="dxa"/>
            </w:tcMar>
          </w:tcPr>
          <w:p w14:paraId="491350E5" w14:textId="77777777" w:rsidR="00337846" w:rsidRPr="00616820" w:rsidRDefault="00337846" w:rsidP="00EB1A9F">
            <w:pPr>
              <w:pStyle w:val="Tablefootnote"/>
              <w:spacing w:before="0" w:after="0"/>
              <w:jc w:val="center"/>
              <w:rPr>
                <w:b/>
                <w:bCs/>
                <w:sz w:val="20"/>
                <w:szCs w:val="20"/>
              </w:rPr>
            </w:pPr>
            <w:r w:rsidRPr="00616820">
              <w:rPr>
                <w:b/>
                <w:bCs/>
                <w:sz w:val="20"/>
                <w:szCs w:val="20"/>
              </w:rPr>
              <w:t>Placebo</w:t>
            </w:r>
          </w:p>
          <w:p w14:paraId="05133890" w14:textId="77777777" w:rsidR="00337846" w:rsidRPr="00616820" w:rsidRDefault="00337846" w:rsidP="00EB1A9F">
            <w:pPr>
              <w:pStyle w:val="Tablefootnote"/>
              <w:spacing w:before="0" w:after="0"/>
              <w:jc w:val="center"/>
              <w:rPr>
                <w:b/>
                <w:bCs/>
                <w:sz w:val="20"/>
                <w:szCs w:val="20"/>
              </w:rPr>
            </w:pPr>
            <w:r w:rsidRPr="00616820">
              <w:rPr>
                <w:b/>
                <w:bCs/>
                <w:sz w:val="20"/>
                <w:szCs w:val="20"/>
              </w:rPr>
              <w:t>N=554</w:t>
            </w:r>
          </w:p>
        </w:tc>
      </w:tr>
      <w:tr w:rsidR="00337846" w:rsidRPr="00616820" w14:paraId="26BAC98F" w14:textId="77777777" w:rsidTr="00EB1A9F">
        <w:tc>
          <w:tcPr>
            <w:tcW w:w="731" w:type="dxa"/>
            <w:vMerge w:val="restart"/>
            <w:tcMar>
              <w:left w:w="28" w:type="dxa"/>
              <w:right w:w="28" w:type="dxa"/>
            </w:tcMar>
            <w:vAlign w:val="center"/>
          </w:tcPr>
          <w:p w14:paraId="006727C4" w14:textId="77777777" w:rsidR="00337846" w:rsidRPr="00616820" w:rsidRDefault="00337846" w:rsidP="00EB1A9F">
            <w:pPr>
              <w:pStyle w:val="Tablefootnote"/>
              <w:spacing w:before="0" w:after="0"/>
              <w:rPr>
                <w:sz w:val="20"/>
                <w:szCs w:val="20"/>
              </w:rPr>
            </w:pPr>
            <w:r>
              <w:rPr>
                <w:sz w:val="20"/>
                <w:szCs w:val="20"/>
              </w:rPr>
              <w:t>MFS IA1</w:t>
            </w:r>
          </w:p>
        </w:tc>
        <w:tc>
          <w:tcPr>
            <w:tcW w:w="2808" w:type="dxa"/>
            <w:tcMar>
              <w:left w:w="28" w:type="dxa"/>
              <w:right w:w="28" w:type="dxa"/>
            </w:tcMar>
          </w:tcPr>
          <w:p w14:paraId="106D4C11" w14:textId="77777777" w:rsidR="00337846" w:rsidRPr="00616820" w:rsidRDefault="00337846" w:rsidP="00EB1A9F">
            <w:pPr>
              <w:pStyle w:val="Tablefootnote"/>
              <w:spacing w:before="0" w:after="0"/>
              <w:rPr>
                <w:sz w:val="20"/>
                <w:szCs w:val="20"/>
              </w:rPr>
            </w:pPr>
            <w:r>
              <w:rPr>
                <w:sz w:val="20"/>
                <w:szCs w:val="20"/>
              </w:rPr>
              <w:t>Progressed, n (%)</w:t>
            </w:r>
          </w:p>
        </w:tc>
        <w:tc>
          <w:tcPr>
            <w:tcW w:w="1418" w:type="dxa"/>
            <w:tcMar>
              <w:left w:w="28" w:type="dxa"/>
              <w:right w:w="28" w:type="dxa"/>
            </w:tcMar>
          </w:tcPr>
          <w:p w14:paraId="4C0BF50E" w14:textId="77777777" w:rsidR="00337846" w:rsidRPr="00616820" w:rsidRDefault="00337846" w:rsidP="00EB1A9F">
            <w:pPr>
              <w:pStyle w:val="Tablefootnote"/>
              <w:spacing w:before="0" w:after="0"/>
              <w:jc w:val="center"/>
              <w:rPr>
                <w:sz w:val="20"/>
                <w:szCs w:val="20"/>
              </w:rPr>
            </w:pPr>
            <w:r>
              <w:rPr>
                <w:sz w:val="20"/>
                <w:szCs w:val="20"/>
              </w:rPr>
              <w:t>209 (25.9)</w:t>
            </w:r>
          </w:p>
        </w:tc>
        <w:tc>
          <w:tcPr>
            <w:tcW w:w="1417" w:type="dxa"/>
            <w:tcMar>
              <w:left w:w="28" w:type="dxa"/>
              <w:right w:w="28" w:type="dxa"/>
            </w:tcMar>
          </w:tcPr>
          <w:p w14:paraId="01C4E9DF" w14:textId="77777777" w:rsidR="00337846" w:rsidRPr="00616820" w:rsidRDefault="00337846" w:rsidP="00EB1A9F">
            <w:pPr>
              <w:pStyle w:val="Tablefootnote"/>
              <w:spacing w:before="0" w:after="0"/>
              <w:jc w:val="center"/>
              <w:rPr>
                <w:sz w:val="20"/>
                <w:szCs w:val="20"/>
              </w:rPr>
            </w:pPr>
            <w:r>
              <w:rPr>
                <w:sz w:val="20"/>
                <w:szCs w:val="20"/>
              </w:rPr>
              <w:t>210 (52.4)</w:t>
            </w:r>
          </w:p>
        </w:tc>
        <w:tc>
          <w:tcPr>
            <w:tcW w:w="1276" w:type="dxa"/>
            <w:tcMar>
              <w:left w:w="28" w:type="dxa"/>
              <w:right w:w="28" w:type="dxa"/>
            </w:tcMar>
          </w:tcPr>
          <w:p w14:paraId="7A4CB626" w14:textId="77777777" w:rsidR="00337846" w:rsidRPr="00616820" w:rsidRDefault="00337846" w:rsidP="00EB1A9F">
            <w:pPr>
              <w:pStyle w:val="Tablefootnote"/>
              <w:spacing w:before="0" w:after="0"/>
              <w:jc w:val="center"/>
              <w:rPr>
                <w:sz w:val="20"/>
                <w:szCs w:val="20"/>
              </w:rPr>
            </w:pPr>
            <w:r>
              <w:rPr>
                <w:sz w:val="20"/>
                <w:szCs w:val="20"/>
              </w:rPr>
              <w:t>221 (23.1)</w:t>
            </w:r>
          </w:p>
        </w:tc>
        <w:tc>
          <w:tcPr>
            <w:tcW w:w="1367" w:type="dxa"/>
            <w:tcMar>
              <w:left w:w="28" w:type="dxa"/>
              <w:right w:w="28" w:type="dxa"/>
            </w:tcMar>
          </w:tcPr>
          <w:p w14:paraId="6BF4BB1A" w14:textId="77777777" w:rsidR="00337846" w:rsidRPr="00616820" w:rsidRDefault="00337846" w:rsidP="00EB1A9F">
            <w:pPr>
              <w:pStyle w:val="Tablefootnote"/>
              <w:spacing w:before="0" w:after="0"/>
              <w:jc w:val="center"/>
              <w:rPr>
                <w:sz w:val="20"/>
                <w:szCs w:val="20"/>
              </w:rPr>
            </w:pPr>
            <w:r>
              <w:rPr>
                <w:sz w:val="20"/>
                <w:szCs w:val="20"/>
              </w:rPr>
              <w:t>216 (39.0)</w:t>
            </w:r>
          </w:p>
        </w:tc>
      </w:tr>
      <w:tr w:rsidR="00337846" w:rsidRPr="00616820" w14:paraId="2DE7A08F" w14:textId="77777777" w:rsidTr="00EB1A9F">
        <w:tc>
          <w:tcPr>
            <w:tcW w:w="731" w:type="dxa"/>
            <w:vMerge/>
            <w:tcMar>
              <w:left w:w="28" w:type="dxa"/>
              <w:right w:w="28" w:type="dxa"/>
            </w:tcMar>
          </w:tcPr>
          <w:p w14:paraId="66D34931" w14:textId="77777777" w:rsidR="00337846" w:rsidRPr="00616820" w:rsidRDefault="00337846" w:rsidP="00EB1A9F">
            <w:pPr>
              <w:pStyle w:val="Tablefootnote"/>
              <w:spacing w:before="0" w:after="0"/>
              <w:rPr>
                <w:sz w:val="20"/>
                <w:szCs w:val="20"/>
              </w:rPr>
            </w:pPr>
          </w:p>
        </w:tc>
        <w:tc>
          <w:tcPr>
            <w:tcW w:w="2808" w:type="dxa"/>
            <w:tcMar>
              <w:left w:w="28" w:type="dxa"/>
              <w:right w:w="28" w:type="dxa"/>
            </w:tcMar>
          </w:tcPr>
          <w:p w14:paraId="52ABB943" w14:textId="77777777" w:rsidR="00337846" w:rsidRPr="00616820" w:rsidRDefault="00337846" w:rsidP="00EB1A9F">
            <w:pPr>
              <w:pStyle w:val="Tablefootnote"/>
              <w:spacing w:before="0" w:after="0"/>
              <w:rPr>
                <w:sz w:val="20"/>
                <w:szCs w:val="20"/>
              </w:rPr>
            </w:pPr>
            <w:r>
              <w:rPr>
                <w:sz w:val="20"/>
                <w:szCs w:val="20"/>
              </w:rPr>
              <w:t>Median MFS, months</w:t>
            </w:r>
          </w:p>
        </w:tc>
        <w:tc>
          <w:tcPr>
            <w:tcW w:w="1418" w:type="dxa"/>
            <w:tcMar>
              <w:left w:w="28" w:type="dxa"/>
              <w:right w:w="28" w:type="dxa"/>
            </w:tcMar>
          </w:tcPr>
          <w:p w14:paraId="20EF1EBA" w14:textId="77777777" w:rsidR="00337846" w:rsidRPr="00616820" w:rsidRDefault="00337846" w:rsidP="00EB1A9F">
            <w:pPr>
              <w:pStyle w:val="Tablefootnote"/>
              <w:spacing w:before="0" w:after="0"/>
              <w:jc w:val="center"/>
              <w:rPr>
                <w:sz w:val="20"/>
                <w:szCs w:val="20"/>
              </w:rPr>
            </w:pPr>
            <w:r>
              <w:rPr>
                <w:sz w:val="20"/>
                <w:szCs w:val="20"/>
              </w:rPr>
              <w:t>40.51</w:t>
            </w:r>
          </w:p>
        </w:tc>
        <w:tc>
          <w:tcPr>
            <w:tcW w:w="1417" w:type="dxa"/>
            <w:tcMar>
              <w:left w:w="28" w:type="dxa"/>
              <w:right w:w="28" w:type="dxa"/>
            </w:tcMar>
          </w:tcPr>
          <w:p w14:paraId="107A81D1" w14:textId="77777777" w:rsidR="00337846" w:rsidRPr="00616820" w:rsidRDefault="00337846" w:rsidP="00EB1A9F">
            <w:pPr>
              <w:pStyle w:val="Tablefootnote"/>
              <w:spacing w:before="0" w:after="0"/>
              <w:jc w:val="center"/>
              <w:rPr>
                <w:sz w:val="20"/>
                <w:szCs w:val="20"/>
              </w:rPr>
            </w:pPr>
            <w:r>
              <w:rPr>
                <w:sz w:val="20"/>
                <w:szCs w:val="20"/>
              </w:rPr>
              <w:t>15.7</w:t>
            </w:r>
          </w:p>
        </w:tc>
        <w:tc>
          <w:tcPr>
            <w:tcW w:w="1276" w:type="dxa"/>
            <w:tcMar>
              <w:left w:w="28" w:type="dxa"/>
              <w:right w:w="28" w:type="dxa"/>
            </w:tcMar>
          </w:tcPr>
          <w:p w14:paraId="46D2E3E6" w14:textId="77777777" w:rsidR="00337846" w:rsidRPr="00616820" w:rsidRDefault="00337846" w:rsidP="00EB1A9F">
            <w:pPr>
              <w:pStyle w:val="Tablefootnote"/>
              <w:spacing w:before="0" w:after="0"/>
              <w:jc w:val="center"/>
              <w:rPr>
                <w:sz w:val="20"/>
                <w:szCs w:val="20"/>
              </w:rPr>
            </w:pPr>
            <w:r>
              <w:rPr>
                <w:sz w:val="20"/>
                <w:szCs w:val="20"/>
              </w:rPr>
              <w:t>40.4</w:t>
            </w:r>
          </w:p>
        </w:tc>
        <w:tc>
          <w:tcPr>
            <w:tcW w:w="1367" w:type="dxa"/>
            <w:tcMar>
              <w:left w:w="28" w:type="dxa"/>
              <w:right w:w="28" w:type="dxa"/>
            </w:tcMar>
          </w:tcPr>
          <w:p w14:paraId="237DD881" w14:textId="77777777" w:rsidR="00337846" w:rsidRPr="00616820" w:rsidRDefault="00337846" w:rsidP="00EB1A9F">
            <w:pPr>
              <w:pStyle w:val="Tablefootnote"/>
              <w:spacing w:before="0" w:after="0"/>
              <w:jc w:val="center"/>
              <w:rPr>
                <w:sz w:val="20"/>
                <w:szCs w:val="20"/>
              </w:rPr>
            </w:pPr>
            <w:r>
              <w:rPr>
                <w:sz w:val="20"/>
                <w:szCs w:val="20"/>
              </w:rPr>
              <w:t>18.4</w:t>
            </w:r>
          </w:p>
        </w:tc>
      </w:tr>
      <w:tr w:rsidR="00337846" w:rsidRPr="00616820" w14:paraId="4CD9CB22" w14:textId="77777777" w:rsidTr="00EB1A9F">
        <w:tc>
          <w:tcPr>
            <w:tcW w:w="731" w:type="dxa"/>
            <w:vMerge/>
            <w:tcMar>
              <w:left w:w="28" w:type="dxa"/>
              <w:right w:w="28" w:type="dxa"/>
            </w:tcMar>
          </w:tcPr>
          <w:p w14:paraId="2A0763AB" w14:textId="77777777" w:rsidR="00337846" w:rsidRPr="00616820" w:rsidRDefault="00337846" w:rsidP="00EB1A9F">
            <w:pPr>
              <w:pStyle w:val="Tablefootnote"/>
              <w:spacing w:before="0" w:after="0"/>
              <w:rPr>
                <w:sz w:val="20"/>
                <w:szCs w:val="20"/>
              </w:rPr>
            </w:pPr>
          </w:p>
        </w:tc>
        <w:tc>
          <w:tcPr>
            <w:tcW w:w="2808" w:type="dxa"/>
            <w:tcMar>
              <w:left w:w="28" w:type="dxa"/>
              <w:right w:w="28" w:type="dxa"/>
            </w:tcMar>
          </w:tcPr>
          <w:p w14:paraId="7887692A" w14:textId="77777777" w:rsidR="00337846" w:rsidRPr="00616820" w:rsidRDefault="00337846" w:rsidP="00EB1A9F">
            <w:pPr>
              <w:pStyle w:val="Tablefootnote"/>
              <w:spacing w:before="0" w:after="0"/>
              <w:rPr>
                <w:sz w:val="20"/>
                <w:szCs w:val="20"/>
              </w:rPr>
            </w:pPr>
            <w:r>
              <w:rPr>
                <w:sz w:val="20"/>
                <w:szCs w:val="20"/>
              </w:rPr>
              <w:t>HR (95% CI)</w:t>
            </w:r>
          </w:p>
        </w:tc>
        <w:tc>
          <w:tcPr>
            <w:tcW w:w="2835" w:type="dxa"/>
            <w:gridSpan w:val="2"/>
            <w:tcMar>
              <w:left w:w="28" w:type="dxa"/>
              <w:right w:w="28" w:type="dxa"/>
            </w:tcMar>
          </w:tcPr>
          <w:p w14:paraId="7DDA6C7C" w14:textId="77777777" w:rsidR="00337846" w:rsidRPr="00616820" w:rsidRDefault="00337846" w:rsidP="00EB1A9F">
            <w:pPr>
              <w:pStyle w:val="Tablefootnote"/>
              <w:spacing w:before="0" w:after="0"/>
              <w:jc w:val="center"/>
              <w:rPr>
                <w:sz w:val="20"/>
                <w:szCs w:val="20"/>
              </w:rPr>
            </w:pPr>
            <w:r>
              <w:rPr>
                <w:sz w:val="20"/>
                <w:szCs w:val="20"/>
              </w:rPr>
              <w:t>0.30 (0.24, 0.36)</w:t>
            </w:r>
          </w:p>
        </w:tc>
        <w:tc>
          <w:tcPr>
            <w:tcW w:w="2643" w:type="dxa"/>
            <w:gridSpan w:val="2"/>
            <w:tcMar>
              <w:left w:w="28" w:type="dxa"/>
              <w:right w:w="28" w:type="dxa"/>
            </w:tcMar>
          </w:tcPr>
          <w:p w14:paraId="3F80D78B" w14:textId="77777777" w:rsidR="00337846" w:rsidRPr="00616820" w:rsidRDefault="00337846" w:rsidP="00EB1A9F">
            <w:pPr>
              <w:pStyle w:val="Tablefootnote"/>
              <w:spacing w:before="0" w:after="0"/>
              <w:jc w:val="center"/>
              <w:rPr>
                <w:sz w:val="20"/>
                <w:szCs w:val="20"/>
              </w:rPr>
            </w:pPr>
            <w:r>
              <w:rPr>
                <w:sz w:val="20"/>
                <w:szCs w:val="20"/>
              </w:rPr>
              <w:t>0.41 (0.34, 0.50)</w:t>
            </w:r>
          </w:p>
        </w:tc>
      </w:tr>
      <w:tr w:rsidR="00337846" w:rsidRPr="00616820" w14:paraId="6AE0C760" w14:textId="77777777" w:rsidTr="00EB1A9F">
        <w:tc>
          <w:tcPr>
            <w:tcW w:w="731" w:type="dxa"/>
            <w:vMerge/>
            <w:tcMar>
              <w:left w:w="28" w:type="dxa"/>
              <w:right w:w="28" w:type="dxa"/>
            </w:tcMar>
          </w:tcPr>
          <w:p w14:paraId="5A52B6CF" w14:textId="77777777" w:rsidR="00337846" w:rsidRPr="00616820" w:rsidRDefault="00337846" w:rsidP="00EB1A9F">
            <w:pPr>
              <w:pStyle w:val="Tablefootnote"/>
              <w:spacing w:before="0" w:after="0"/>
              <w:rPr>
                <w:sz w:val="20"/>
                <w:szCs w:val="20"/>
              </w:rPr>
            </w:pPr>
          </w:p>
        </w:tc>
        <w:tc>
          <w:tcPr>
            <w:tcW w:w="2808" w:type="dxa"/>
            <w:tcMar>
              <w:left w:w="28" w:type="dxa"/>
              <w:right w:w="28" w:type="dxa"/>
            </w:tcMar>
          </w:tcPr>
          <w:p w14:paraId="323C0CC6" w14:textId="77777777" w:rsidR="00337846" w:rsidRPr="00616820" w:rsidRDefault="00337846" w:rsidP="00EB1A9F">
            <w:pPr>
              <w:pStyle w:val="Tablefootnote"/>
              <w:spacing w:before="0" w:after="0"/>
              <w:rPr>
                <w:sz w:val="20"/>
                <w:szCs w:val="20"/>
              </w:rPr>
            </w:pPr>
            <w:r>
              <w:rPr>
                <w:sz w:val="20"/>
                <w:szCs w:val="20"/>
              </w:rPr>
              <w:t>Median follow-up</w:t>
            </w:r>
          </w:p>
        </w:tc>
        <w:tc>
          <w:tcPr>
            <w:tcW w:w="2835" w:type="dxa"/>
            <w:gridSpan w:val="2"/>
            <w:tcMar>
              <w:left w:w="28" w:type="dxa"/>
              <w:right w:w="28" w:type="dxa"/>
            </w:tcMar>
          </w:tcPr>
          <w:p w14:paraId="44C2DF25" w14:textId="77777777" w:rsidR="00337846" w:rsidRPr="00616820" w:rsidRDefault="00337846" w:rsidP="00EB1A9F">
            <w:pPr>
              <w:pStyle w:val="Tablefootnote"/>
              <w:spacing w:before="0" w:after="0"/>
              <w:jc w:val="center"/>
              <w:rPr>
                <w:sz w:val="20"/>
                <w:szCs w:val="20"/>
              </w:rPr>
            </w:pPr>
            <w:r>
              <w:rPr>
                <w:sz w:val="20"/>
                <w:szCs w:val="20"/>
              </w:rPr>
              <w:t>20.3 months</w:t>
            </w:r>
          </w:p>
        </w:tc>
        <w:tc>
          <w:tcPr>
            <w:tcW w:w="2643" w:type="dxa"/>
            <w:gridSpan w:val="2"/>
            <w:tcMar>
              <w:left w:w="28" w:type="dxa"/>
              <w:right w:w="28" w:type="dxa"/>
            </w:tcMar>
          </w:tcPr>
          <w:p w14:paraId="02F778C5" w14:textId="77777777" w:rsidR="00337846" w:rsidRPr="00616820" w:rsidRDefault="00337846" w:rsidP="00EB1A9F">
            <w:pPr>
              <w:pStyle w:val="Tablefootnote"/>
              <w:spacing w:before="0" w:after="0"/>
              <w:jc w:val="center"/>
              <w:rPr>
                <w:sz w:val="20"/>
                <w:szCs w:val="20"/>
              </w:rPr>
            </w:pPr>
            <w:r>
              <w:rPr>
                <w:sz w:val="20"/>
                <w:szCs w:val="20"/>
              </w:rPr>
              <w:t>17.9 months</w:t>
            </w:r>
          </w:p>
        </w:tc>
      </w:tr>
      <w:tr w:rsidR="00337846" w:rsidRPr="00616820" w14:paraId="6C3EDB82" w14:textId="77777777" w:rsidTr="00EB1A9F">
        <w:tc>
          <w:tcPr>
            <w:tcW w:w="731" w:type="dxa"/>
            <w:vMerge/>
            <w:tcMar>
              <w:left w:w="28" w:type="dxa"/>
              <w:right w:w="28" w:type="dxa"/>
            </w:tcMar>
          </w:tcPr>
          <w:p w14:paraId="4C4D955A" w14:textId="77777777" w:rsidR="00337846" w:rsidRPr="00616820" w:rsidRDefault="00337846" w:rsidP="00EB1A9F">
            <w:pPr>
              <w:pStyle w:val="Tablefootnote"/>
              <w:spacing w:before="0" w:after="0"/>
              <w:rPr>
                <w:sz w:val="20"/>
                <w:szCs w:val="20"/>
              </w:rPr>
            </w:pPr>
          </w:p>
        </w:tc>
        <w:tc>
          <w:tcPr>
            <w:tcW w:w="2808" w:type="dxa"/>
            <w:tcMar>
              <w:left w:w="28" w:type="dxa"/>
              <w:right w:w="28" w:type="dxa"/>
            </w:tcMar>
          </w:tcPr>
          <w:p w14:paraId="5767889E" w14:textId="77777777" w:rsidR="00337846" w:rsidRPr="00616820" w:rsidRDefault="00337846" w:rsidP="00EB1A9F">
            <w:pPr>
              <w:pStyle w:val="Tablefootnote"/>
              <w:spacing w:before="0" w:after="0"/>
              <w:rPr>
                <w:sz w:val="20"/>
                <w:szCs w:val="20"/>
              </w:rPr>
            </w:pPr>
            <w:r>
              <w:rPr>
                <w:sz w:val="20"/>
                <w:szCs w:val="20"/>
              </w:rPr>
              <w:t>Indirect comparison HR (95%</w:t>
            </w:r>
            <w:r w:rsidR="00AD6D36">
              <w:rPr>
                <w:sz w:val="20"/>
                <w:szCs w:val="20"/>
              </w:rPr>
              <w:t xml:space="preserve"> </w:t>
            </w:r>
            <w:r>
              <w:rPr>
                <w:sz w:val="20"/>
                <w:szCs w:val="20"/>
              </w:rPr>
              <w:t>CI) apalutamide vs darolutamide</w:t>
            </w:r>
          </w:p>
        </w:tc>
        <w:tc>
          <w:tcPr>
            <w:tcW w:w="5478" w:type="dxa"/>
            <w:gridSpan w:val="4"/>
            <w:tcMar>
              <w:left w:w="28" w:type="dxa"/>
              <w:right w:w="28" w:type="dxa"/>
            </w:tcMar>
            <w:vAlign w:val="center"/>
          </w:tcPr>
          <w:p w14:paraId="39F0F6F5" w14:textId="77777777" w:rsidR="00337846" w:rsidRPr="00616820" w:rsidRDefault="00337846" w:rsidP="00EB1A9F">
            <w:pPr>
              <w:pStyle w:val="Tablefootnote"/>
              <w:spacing w:before="0" w:after="0"/>
              <w:jc w:val="center"/>
              <w:rPr>
                <w:sz w:val="20"/>
                <w:szCs w:val="20"/>
              </w:rPr>
            </w:pPr>
            <w:r>
              <w:rPr>
                <w:sz w:val="20"/>
                <w:szCs w:val="20"/>
              </w:rPr>
              <w:t>0.724 (0.548, 0.958)</w:t>
            </w:r>
          </w:p>
        </w:tc>
      </w:tr>
      <w:tr w:rsidR="00337846" w:rsidRPr="00616820" w14:paraId="050226F8" w14:textId="77777777" w:rsidTr="00EB1A9F">
        <w:tc>
          <w:tcPr>
            <w:tcW w:w="731" w:type="dxa"/>
            <w:vMerge w:val="restart"/>
            <w:tcMar>
              <w:left w:w="28" w:type="dxa"/>
              <w:right w:w="28" w:type="dxa"/>
            </w:tcMar>
            <w:vAlign w:val="center"/>
          </w:tcPr>
          <w:p w14:paraId="42780782" w14:textId="77777777" w:rsidR="00337846" w:rsidRPr="00616820" w:rsidRDefault="00337846" w:rsidP="00EB1A9F">
            <w:pPr>
              <w:pStyle w:val="Tablefootnote"/>
              <w:spacing w:before="0" w:after="0"/>
              <w:rPr>
                <w:sz w:val="20"/>
                <w:szCs w:val="20"/>
              </w:rPr>
            </w:pPr>
            <w:r>
              <w:rPr>
                <w:sz w:val="20"/>
                <w:szCs w:val="20"/>
              </w:rPr>
              <w:t>OS IA1</w:t>
            </w:r>
          </w:p>
        </w:tc>
        <w:tc>
          <w:tcPr>
            <w:tcW w:w="2808" w:type="dxa"/>
            <w:tcMar>
              <w:left w:w="28" w:type="dxa"/>
              <w:right w:w="28" w:type="dxa"/>
            </w:tcMar>
          </w:tcPr>
          <w:p w14:paraId="11C4D4AE" w14:textId="77777777" w:rsidR="00337846" w:rsidRPr="00616820" w:rsidRDefault="00337846" w:rsidP="00EB1A9F">
            <w:pPr>
              <w:pStyle w:val="Tablefootnote"/>
              <w:spacing w:before="0" w:after="0"/>
              <w:rPr>
                <w:sz w:val="20"/>
                <w:szCs w:val="20"/>
              </w:rPr>
            </w:pPr>
            <w:r>
              <w:rPr>
                <w:sz w:val="20"/>
                <w:szCs w:val="20"/>
              </w:rPr>
              <w:t>Deaths, n (%)</w:t>
            </w:r>
          </w:p>
        </w:tc>
        <w:tc>
          <w:tcPr>
            <w:tcW w:w="1418" w:type="dxa"/>
            <w:tcMar>
              <w:left w:w="28" w:type="dxa"/>
              <w:right w:w="28" w:type="dxa"/>
            </w:tcMar>
          </w:tcPr>
          <w:p w14:paraId="471FD181" w14:textId="77777777" w:rsidR="00337846" w:rsidRPr="00616820" w:rsidRDefault="00337846" w:rsidP="00EB1A9F">
            <w:pPr>
              <w:pStyle w:val="Tablefootnote"/>
              <w:spacing w:before="0" w:after="0"/>
              <w:jc w:val="center"/>
              <w:rPr>
                <w:sz w:val="20"/>
                <w:szCs w:val="20"/>
              </w:rPr>
            </w:pPr>
            <w:r>
              <w:rPr>
                <w:sz w:val="20"/>
                <w:szCs w:val="20"/>
              </w:rPr>
              <w:t>62 (7.7)</w:t>
            </w:r>
          </w:p>
        </w:tc>
        <w:tc>
          <w:tcPr>
            <w:tcW w:w="1417" w:type="dxa"/>
            <w:tcMar>
              <w:left w:w="28" w:type="dxa"/>
              <w:right w:w="28" w:type="dxa"/>
            </w:tcMar>
          </w:tcPr>
          <w:p w14:paraId="2AB527D8" w14:textId="77777777" w:rsidR="00337846" w:rsidRPr="00616820" w:rsidRDefault="00337846" w:rsidP="00EB1A9F">
            <w:pPr>
              <w:pStyle w:val="Tablefootnote"/>
              <w:spacing w:before="0" w:after="0"/>
              <w:jc w:val="center"/>
              <w:rPr>
                <w:sz w:val="20"/>
                <w:szCs w:val="20"/>
              </w:rPr>
            </w:pPr>
            <w:r>
              <w:rPr>
                <w:sz w:val="20"/>
                <w:szCs w:val="20"/>
              </w:rPr>
              <w:t>42 (10.5)</w:t>
            </w:r>
          </w:p>
        </w:tc>
        <w:tc>
          <w:tcPr>
            <w:tcW w:w="1276" w:type="dxa"/>
            <w:tcMar>
              <w:left w:w="28" w:type="dxa"/>
              <w:right w:w="28" w:type="dxa"/>
            </w:tcMar>
          </w:tcPr>
          <w:p w14:paraId="02C6451E" w14:textId="77777777" w:rsidR="00337846" w:rsidRPr="00616820" w:rsidRDefault="00337846" w:rsidP="00EB1A9F">
            <w:pPr>
              <w:pStyle w:val="Tablefootnote"/>
              <w:spacing w:before="0" w:after="0"/>
              <w:jc w:val="center"/>
              <w:rPr>
                <w:sz w:val="20"/>
                <w:szCs w:val="20"/>
              </w:rPr>
            </w:pPr>
            <w:r>
              <w:rPr>
                <w:sz w:val="20"/>
                <w:szCs w:val="20"/>
              </w:rPr>
              <w:t>78 (8.2)</w:t>
            </w:r>
          </w:p>
        </w:tc>
        <w:tc>
          <w:tcPr>
            <w:tcW w:w="1367" w:type="dxa"/>
            <w:tcMar>
              <w:left w:w="28" w:type="dxa"/>
              <w:right w:w="28" w:type="dxa"/>
            </w:tcMar>
          </w:tcPr>
          <w:p w14:paraId="0B56337E" w14:textId="77777777" w:rsidR="00337846" w:rsidRPr="00616820" w:rsidRDefault="00337846" w:rsidP="00EB1A9F">
            <w:pPr>
              <w:pStyle w:val="Tablefootnote"/>
              <w:spacing w:before="0" w:after="0"/>
              <w:jc w:val="center"/>
              <w:rPr>
                <w:sz w:val="20"/>
                <w:szCs w:val="20"/>
              </w:rPr>
            </w:pPr>
            <w:r>
              <w:rPr>
                <w:sz w:val="20"/>
                <w:szCs w:val="20"/>
              </w:rPr>
              <w:t>58 (10.5)</w:t>
            </w:r>
          </w:p>
        </w:tc>
      </w:tr>
      <w:tr w:rsidR="00337846" w:rsidRPr="00616820" w14:paraId="62E9C8FA" w14:textId="77777777" w:rsidTr="00EB1A9F">
        <w:tc>
          <w:tcPr>
            <w:tcW w:w="731" w:type="dxa"/>
            <w:vMerge/>
            <w:tcMar>
              <w:left w:w="28" w:type="dxa"/>
              <w:right w:w="28" w:type="dxa"/>
            </w:tcMar>
          </w:tcPr>
          <w:p w14:paraId="3E9DB96C" w14:textId="77777777" w:rsidR="00337846" w:rsidRPr="00616820" w:rsidRDefault="00337846" w:rsidP="00EB1A9F">
            <w:pPr>
              <w:pStyle w:val="Tablefootnote"/>
              <w:spacing w:before="0" w:after="0"/>
              <w:rPr>
                <w:sz w:val="20"/>
                <w:szCs w:val="20"/>
              </w:rPr>
            </w:pPr>
          </w:p>
        </w:tc>
        <w:tc>
          <w:tcPr>
            <w:tcW w:w="2808" w:type="dxa"/>
            <w:tcMar>
              <w:left w:w="28" w:type="dxa"/>
              <w:right w:w="28" w:type="dxa"/>
            </w:tcMar>
          </w:tcPr>
          <w:p w14:paraId="43DF3DCD" w14:textId="77777777" w:rsidR="00337846" w:rsidRPr="00616820" w:rsidRDefault="00337846" w:rsidP="00EB1A9F">
            <w:pPr>
              <w:pStyle w:val="Tablefootnote"/>
              <w:spacing w:before="0" w:after="0"/>
              <w:rPr>
                <w:sz w:val="20"/>
                <w:szCs w:val="20"/>
              </w:rPr>
            </w:pPr>
            <w:r>
              <w:rPr>
                <w:sz w:val="20"/>
                <w:szCs w:val="20"/>
              </w:rPr>
              <w:t>Median OS, months</w:t>
            </w:r>
          </w:p>
        </w:tc>
        <w:tc>
          <w:tcPr>
            <w:tcW w:w="1418" w:type="dxa"/>
            <w:tcMar>
              <w:left w:w="28" w:type="dxa"/>
              <w:right w:w="28" w:type="dxa"/>
            </w:tcMar>
          </w:tcPr>
          <w:p w14:paraId="6652C50D" w14:textId="77777777" w:rsidR="00337846" w:rsidRPr="00616820" w:rsidRDefault="00337846" w:rsidP="00EB1A9F">
            <w:pPr>
              <w:pStyle w:val="Tablefootnote"/>
              <w:spacing w:before="0" w:after="0"/>
              <w:jc w:val="center"/>
              <w:rPr>
                <w:sz w:val="20"/>
                <w:szCs w:val="20"/>
              </w:rPr>
            </w:pPr>
            <w:r>
              <w:rPr>
                <w:sz w:val="20"/>
                <w:szCs w:val="20"/>
              </w:rPr>
              <w:t>NR</w:t>
            </w:r>
          </w:p>
        </w:tc>
        <w:tc>
          <w:tcPr>
            <w:tcW w:w="1417" w:type="dxa"/>
            <w:tcMar>
              <w:left w:w="28" w:type="dxa"/>
              <w:right w:w="28" w:type="dxa"/>
            </w:tcMar>
          </w:tcPr>
          <w:p w14:paraId="105E6CED" w14:textId="77777777" w:rsidR="00337846" w:rsidRPr="00616820" w:rsidRDefault="00337846" w:rsidP="00EB1A9F">
            <w:pPr>
              <w:pStyle w:val="Tablefootnote"/>
              <w:spacing w:before="0" w:after="0"/>
              <w:jc w:val="center"/>
              <w:rPr>
                <w:sz w:val="20"/>
                <w:szCs w:val="20"/>
              </w:rPr>
            </w:pPr>
            <w:r>
              <w:rPr>
                <w:sz w:val="20"/>
                <w:szCs w:val="20"/>
              </w:rPr>
              <w:t>39.03 (39.03, NR)</w:t>
            </w:r>
          </w:p>
        </w:tc>
        <w:tc>
          <w:tcPr>
            <w:tcW w:w="1276" w:type="dxa"/>
            <w:tcMar>
              <w:left w:w="28" w:type="dxa"/>
              <w:right w:w="28" w:type="dxa"/>
            </w:tcMar>
          </w:tcPr>
          <w:p w14:paraId="1185747A" w14:textId="77777777" w:rsidR="00337846" w:rsidRPr="00616820" w:rsidRDefault="00337846" w:rsidP="00EB1A9F">
            <w:pPr>
              <w:pStyle w:val="Tablefootnote"/>
              <w:spacing w:before="0" w:after="0"/>
              <w:jc w:val="center"/>
              <w:rPr>
                <w:sz w:val="20"/>
                <w:szCs w:val="20"/>
              </w:rPr>
            </w:pPr>
            <w:r>
              <w:rPr>
                <w:sz w:val="20"/>
                <w:szCs w:val="20"/>
              </w:rPr>
              <w:t>NR</w:t>
            </w:r>
          </w:p>
        </w:tc>
        <w:tc>
          <w:tcPr>
            <w:tcW w:w="1367" w:type="dxa"/>
            <w:tcMar>
              <w:left w:w="28" w:type="dxa"/>
              <w:right w:w="28" w:type="dxa"/>
            </w:tcMar>
          </w:tcPr>
          <w:p w14:paraId="47D21E86" w14:textId="77777777" w:rsidR="00337846" w:rsidRPr="00616820" w:rsidRDefault="00337846" w:rsidP="00EB1A9F">
            <w:pPr>
              <w:pStyle w:val="Tablefootnote"/>
              <w:spacing w:before="0" w:after="0"/>
              <w:jc w:val="center"/>
              <w:rPr>
                <w:sz w:val="20"/>
                <w:szCs w:val="20"/>
              </w:rPr>
            </w:pPr>
            <w:r>
              <w:rPr>
                <w:sz w:val="20"/>
                <w:szCs w:val="20"/>
              </w:rPr>
              <w:t>NR</w:t>
            </w:r>
          </w:p>
        </w:tc>
      </w:tr>
      <w:tr w:rsidR="00337846" w:rsidRPr="00616820" w14:paraId="51CEE048" w14:textId="77777777" w:rsidTr="00EB1A9F">
        <w:tc>
          <w:tcPr>
            <w:tcW w:w="731" w:type="dxa"/>
            <w:vMerge/>
            <w:tcMar>
              <w:left w:w="28" w:type="dxa"/>
              <w:right w:w="28" w:type="dxa"/>
            </w:tcMar>
          </w:tcPr>
          <w:p w14:paraId="3DD017E8" w14:textId="77777777" w:rsidR="00337846" w:rsidRPr="00616820" w:rsidRDefault="00337846" w:rsidP="00EB1A9F">
            <w:pPr>
              <w:pStyle w:val="Tablefootnote"/>
              <w:spacing w:before="0" w:after="0"/>
              <w:rPr>
                <w:sz w:val="20"/>
                <w:szCs w:val="20"/>
              </w:rPr>
            </w:pPr>
          </w:p>
        </w:tc>
        <w:tc>
          <w:tcPr>
            <w:tcW w:w="2808" w:type="dxa"/>
            <w:tcMar>
              <w:left w:w="28" w:type="dxa"/>
              <w:right w:w="28" w:type="dxa"/>
            </w:tcMar>
          </w:tcPr>
          <w:p w14:paraId="7331E722" w14:textId="77777777" w:rsidR="00337846" w:rsidRPr="00616820" w:rsidRDefault="00337846" w:rsidP="00EB1A9F">
            <w:pPr>
              <w:pStyle w:val="Tablefootnote"/>
              <w:spacing w:before="0" w:after="0"/>
              <w:rPr>
                <w:sz w:val="20"/>
                <w:szCs w:val="20"/>
              </w:rPr>
            </w:pPr>
            <w:r>
              <w:rPr>
                <w:sz w:val="20"/>
                <w:szCs w:val="20"/>
              </w:rPr>
              <w:t>HR (95% CI)</w:t>
            </w:r>
          </w:p>
        </w:tc>
        <w:tc>
          <w:tcPr>
            <w:tcW w:w="2835" w:type="dxa"/>
            <w:gridSpan w:val="2"/>
            <w:tcMar>
              <w:left w:w="28" w:type="dxa"/>
              <w:right w:w="28" w:type="dxa"/>
            </w:tcMar>
          </w:tcPr>
          <w:p w14:paraId="5C7D0AF8" w14:textId="77777777" w:rsidR="00337846" w:rsidRPr="00616820" w:rsidRDefault="00337846" w:rsidP="00EB1A9F">
            <w:pPr>
              <w:pStyle w:val="Tablefootnote"/>
              <w:spacing w:before="0" w:after="0"/>
              <w:jc w:val="center"/>
              <w:rPr>
                <w:sz w:val="20"/>
                <w:szCs w:val="20"/>
              </w:rPr>
            </w:pPr>
            <w:r>
              <w:rPr>
                <w:sz w:val="20"/>
                <w:szCs w:val="20"/>
              </w:rPr>
              <w:t>0.70 (0.47, 1.04)</w:t>
            </w:r>
          </w:p>
        </w:tc>
        <w:tc>
          <w:tcPr>
            <w:tcW w:w="2643" w:type="dxa"/>
            <w:gridSpan w:val="2"/>
            <w:tcMar>
              <w:left w:w="28" w:type="dxa"/>
              <w:right w:w="28" w:type="dxa"/>
            </w:tcMar>
          </w:tcPr>
          <w:p w14:paraId="441AC39B" w14:textId="77777777" w:rsidR="00337846" w:rsidRPr="00616820" w:rsidRDefault="00337846" w:rsidP="00EB1A9F">
            <w:pPr>
              <w:pStyle w:val="Tablefootnote"/>
              <w:spacing w:before="0" w:after="0"/>
              <w:jc w:val="center"/>
              <w:rPr>
                <w:sz w:val="20"/>
                <w:szCs w:val="20"/>
              </w:rPr>
            </w:pPr>
            <w:r>
              <w:rPr>
                <w:sz w:val="20"/>
                <w:szCs w:val="20"/>
              </w:rPr>
              <w:t>0.71 (0.50, 0.99)</w:t>
            </w:r>
          </w:p>
        </w:tc>
      </w:tr>
      <w:tr w:rsidR="00337846" w:rsidRPr="00616820" w14:paraId="0683A9C1" w14:textId="77777777" w:rsidTr="00EB1A9F">
        <w:tc>
          <w:tcPr>
            <w:tcW w:w="731" w:type="dxa"/>
            <w:vMerge/>
            <w:tcMar>
              <w:left w:w="28" w:type="dxa"/>
              <w:right w:w="28" w:type="dxa"/>
            </w:tcMar>
          </w:tcPr>
          <w:p w14:paraId="087F153C" w14:textId="77777777" w:rsidR="00337846" w:rsidRPr="00616820" w:rsidRDefault="00337846" w:rsidP="00EB1A9F">
            <w:pPr>
              <w:pStyle w:val="Tablefootnote"/>
              <w:spacing w:before="0" w:after="0"/>
              <w:rPr>
                <w:sz w:val="20"/>
                <w:szCs w:val="20"/>
              </w:rPr>
            </w:pPr>
          </w:p>
        </w:tc>
        <w:tc>
          <w:tcPr>
            <w:tcW w:w="2808" w:type="dxa"/>
            <w:tcMar>
              <w:left w:w="28" w:type="dxa"/>
              <w:right w:w="28" w:type="dxa"/>
            </w:tcMar>
          </w:tcPr>
          <w:p w14:paraId="0E5E4191" w14:textId="77777777" w:rsidR="00337846" w:rsidRPr="00616820" w:rsidRDefault="00337846" w:rsidP="00EB1A9F">
            <w:pPr>
              <w:pStyle w:val="Tablefootnote"/>
              <w:spacing w:before="0" w:after="0"/>
              <w:rPr>
                <w:sz w:val="20"/>
                <w:szCs w:val="20"/>
              </w:rPr>
            </w:pPr>
            <w:r>
              <w:rPr>
                <w:sz w:val="20"/>
                <w:szCs w:val="20"/>
              </w:rPr>
              <w:t>Median follow-up</w:t>
            </w:r>
          </w:p>
        </w:tc>
        <w:tc>
          <w:tcPr>
            <w:tcW w:w="2835" w:type="dxa"/>
            <w:gridSpan w:val="2"/>
            <w:tcMar>
              <w:left w:w="28" w:type="dxa"/>
              <w:right w:w="28" w:type="dxa"/>
            </w:tcMar>
          </w:tcPr>
          <w:p w14:paraId="510615F1" w14:textId="77777777" w:rsidR="00337846" w:rsidRPr="00616820" w:rsidRDefault="00337846" w:rsidP="00EB1A9F">
            <w:pPr>
              <w:pStyle w:val="Tablefootnote"/>
              <w:spacing w:before="0" w:after="0"/>
              <w:jc w:val="center"/>
              <w:rPr>
                <w:sz w:val="20"/>
                <w:szCs w:val="20"/>
              </w:rPr>
            </w:pPr>
            <w:r>
              <w:rPr>
                <w:sz w:val="20"/>
                <w:szCs w:val="20"/>
              </w:rPr>
              <w:t>20.3 months</w:t>
            </w:r>
          </w:p>
        </w:tc>
        <w:tc>
          <w:tcPr>
            <w:tcW w:w="2643" w:type="dxa"/>
            <w:gridSpan w:val="2"/>
            <w:tcMar>
              <w:left w:w="28" w:type="dxa"/>
              <w:right w:w="28" w:type="dxa"/>
            </w:tcMar>
          </w:tcPr>
          <w:p w14:paraId="71849637" w14:textId="77777777" w:rsidR="00337846" w:rsidRPr="00616820" w:rsidRDefault="00337846" w:rsidP="00EB1A9F">
            <w:pPr>
              <w:pStyle w:val="Tablefootnote"/>
              <w:spacing w:before="0" w:after="0"/>
              <w:jc w:val="center"/>
              <w:rPr>
                <w:sz w:val="20"/>
                <w:szCs w:val="20"/>
              </w:rPr>
            </w:pPr>
            <w:r>
              <w:rPr>
                <w:sz w:val="20"/>
                <w:szCs w:val="20"/>
              </w:rPr>
              <w:t>17.9 months</w:t>
            </w:r>
          </w:p>
        </w:tc>
      </w:tr>
      <w:tr w:rsidR="00337846" w:rsidRPr="00616820" w14:paraId="1CB53580" w14:textId="77777777" w:rsidTr="00EB1A9F">
        <w:tc>
          <w:tcPr>
            <w:tcW w:w="731" w:type="dxa"/>
            <w:vMerge/>
            <w:tcMar>
              <w:left w:w="28" w:type="dxa"/>
              <w:right w:w="28" w:type="dxa"/>
            </w:tcMar>
          </w:tcPr>
          <w:p w14:paraId="041408A4" w14:textId="77777777" w:rsidR="00337846" w:rsidRPr="00616820" w:rsidRDefault="00337846" w:rsidP="00EB1A9F">
            <w:pPr>
              <w:pStyle w:val="Tablefootnote"/>
              <w:spacing w:before="0" w:after="0"/>
              <w:rPr>
                <w:sz w:val="20"/>
                <w:szCs w:val="20"/>
              </w:rPr>
            </w:pPr>
          </w:p>
        </w:tc>
        <w:tc>
          <w:tcPr>
            <w:tcW w:w="2808" w:type="dxa"/>
            <w:tcMar>
              <w:left w:w="28" w:type="dxa"/>
              <w:right w:w="28" w:type="dxa"/>
            </w:tcMar>
          </w:tcPr>
          <w:p w14:paraId="0F9C1F8C" w14:textId="77777777" w:rsidR="00337846" w:rsidRPr="00616820" w:rsidRDefault="00337846" w:rsidP="00EB1A9F">
            <w:pPr>
              <w:pStyle w:val="Tablefootnote"/>
              <w:spacing w:before="0" w:after="0"/>
              <w:rPr>
                <w:sz w:val="20"/>
                <w:szCs w:val="20"/>
              </w:rPr>
            </w:pPr>
            <w:r>
              <w:rPr>
                <w:sz w:val="20"/>
                <w:szCs w:val="20"/>
              </w:rPr>
              <w:t>Indirect comparison HR (95%</w:t>
            </w:r>
            <w:r w:rsidR="00AD6D36">
              <w:rPr>
                <w:sz w:val="20"/>
                <w:szCs w:val="20"/>
              </w:rPr>
              <w:t xml:space="preserve"> </w:t>
            </w:r>
            <w:r>
              <w:rPr>
                <w:sz w:val="20"/>
                <w:szCs w:val="20"/>
              </w:rPr>
              <w:t>CI) apalutamide vs darolutamide</w:t>
            </w:r>
          </w:p>
        </w:tc>
        <w:tc>
          <w:tcPr>
            <w:tcW w:w="5478" w:type="dxa"/>
            <w:gridSpan w:val="4"/>
            <w:tcMar>
              <w:left w:w="28" w:type="dxa"/>
              <w:right w:w="28" w:type="dxa"/>
            </w:tcMar>
            <w:vAlign w:val="center"/>
          </w:tcPr>
          <w:p w14:paraId="7372F887" w14:textId="77777777" w:rsidR="00337846" w:rsidRPr="00616820" w:rsidRDefault="00337846" w:rsidP="00EB1A9F">
            <w:pPr>
              <w:pStyle w:val="Tablefootnote"/>
              <w:spacing w:before="0" w:after="0"/>
              <w:jc w:val="center"/>
              <w:rPr>
                <w:sz w:val="20"/>
                <w:szCs w:val="20"/>
              </w:rPr>
            </w:pPr>
            <w:r>
              <w:rPr>
                <w:sz w:val="20"/>
                <w:szCs w:val="20"/>
              </w:rPr>
              <w:t>0.986 (0.584, 1.665)</w:t>
            </w:r>
          </w:p>
        </w:tc>
      </w:tr>
      <w:tr w:rsidR="00337846" w:rsidRPr="00616820" w14:paraId="7C1C7725" w14:textId="77777777" w:rsidTr="00EB1A9F">
        <w:tc>
          <w:tcPr>
            <w:tcW w:w="731" w:type="dxa"/>
            <w:vMerge w:val="restart"/>
            <w:tcMar>
              <w:left w:w="28" w:type="dxa"/>
              <w:right w:w="28" w:type="dxa"/>
            </w:tcMar>
            <w:vAlign w:val="center"/>
          </w:tcPr>
          <w:p w14:paraId="6ED23D0C" w14:textId="77777777" w:rsidR="00337846" w:rsidRPr="00616820" w:rsidRDefault="00337846" w:rsidP="00EB1A9F">
            <w:pPr>
              <w:pStyle w:val="Tablefootnote"/>
              <w:spacing w:before="0" w:after="0"/>
              <w:rPr>
                <w:sz w:val="20"/>
                <w:szCs w:val="20"/>
              </w:rPr>
            </w:pPr>
            <w:r>
              <w:rPr>
                <w:sz w:val="20"/>
                <w:szCs w:val="20"/>
              </w:rPr>
              <w:t>OS FA</w:t>
            </w:r>
          </w:p>
        </w:tc>
        <w:tc>
          <w:tcPr>
            <w:tcW w:w="2808" w:type="dxa"/>
            <w:tcMar>
              <w:left w:w="28" w:type="dxa"/>
              <w:right w:w="28" w:type="dxa"/>
            </w:tcMar>
          </w:tcPr>
          <w:p w14:paraId="127CF57D" w14:textId="77777777" w:rsidR="00337846" w:rsidRPr="00616820" w:rsidRDefault="00337846" w:rsidP="00EB1A9F">
            <w:pPr>
              <w:pStyle w:val="Tablefootnote"/>
              <w:spacing w:before="0" w:after="0"/>
              <w:rPr>
                <w:sz w:val="20"/>
                <w:szCs w:val="20"/>
              </w:rPr>
            </w:pPr>
            <w:r>
              <w:rPr>
                <w:sz w:val="20"/>
                <w:szCs w:val="20"/>
              </w:rPr>
              <w:t>Deaths, n (%)</w:t>
            </w:r>
          </w:p>
        </w:tc>
        <w:tc>
          <w:tcPr>
            <w:tcW w:w="1418" w:type="dxa"/>
            <w:tcMar>
              <w:left w:w="28" w:type="dxa"/>
              <w:right w:w="28" w:type="dxa"/>
            </w:tcMar>
          </w:tcPr>
          <w:p w14:paraId="5EE28743" w14:textId="77777777" w:rsidR="00337846" w:rsidRPr="00616820" w:rsidRDefault="00337846" w:rsidP="00EB1A9F">
            <w:pPr>
              <w:pStyle w:val="Tablefootnote"/>
              <w:spacing w:before="0" w:after="0"/>
              <w:jc w:val="center"/>
              <w:rPr>
                <w:sz w:val="20"/>
                <w:szCs w:val="20"/>
              </w:rPr>
            </w:pPr>
            <w:r>
              <w:rPr>
                <w:sz w:val="20"/>
                <w:szCs w:val="20"/>
              </w:rPr>
              <w:t>274 (34.0)</w:t>
            </w:r>
          </w:p>
        </w:tc>
        <w:tc>
          <w:tcPr>
            <w:tcW w:w="1417" w:type="dxa"/>
            <w:tcMar>
              <w:left w:w="28" w:type="dxa"/>
              <w:right w:w="28" w:type="dxa"/>
            </w:tcMar>
          </w:tcPr>
          <w:p w14:paraId="336C00CA" w14:textId="77777777" w:rsidR="00337846" w:rsidRPr="00616820" w:rsidRDefault="00337846" w:rsidP="00EB1A9F">
            <w:pPr>
              <w:pStyle w:val="Tablefootnote"/>
              <w:spacing w:before="0" w:after="0"/>
              <w:jc w:val="center"/>
              <w:rPr>
                <w:sz w:val="20"/>
                <w:szCs w:val="20"/>
              </w:rPr>
            </w:pPr>
            <w:r>
              <w:rPr>
                <w:sz w:val="20"/>
                <w:szCs w:val="20"/>
              </w:rPr>
              <w:t>154 (38.4)</w:t>
            </w:r>
          </w:p>
        </w:tc>
        <w:tc>
          <w:tcPr>
            <w:tcW w:w="1276" w:type="dxa"/>
            <w:tcMar>
              <w:left w:w="28" w:type="dxa"/>
              <w:right w:w="28" w:type="dxa"/>
            </w:tcMar>
          </w:tcPr>
          <w:p w14:paraId="51670AFE" w14:textId="77777777" w:rsidR="00337846" w:rsidRPr="00616820" w:rsidRDefault="00337846" w:rsidP="00EB1A9F">
            <w:pPr>
              <w:pStyle w:val="Tablefootnote"/>
              <w:spacing w:before="0" w:after="0"/>
              <w:jc w:val="center"/>
              <w:rPr>
                <w:sz w:val="20"/>
                <w:szCs w:val="20"/>
              </w:rPr>
            </w:pPr>
            <w:r>
              <w:rPr>
                <w:sz w:val="20"/>
                <w:szCs w:val="20"/>
              </w:rPr>
              <w:t>148 (15.5)</w:t>
            </w:r>
          </w:p>
        </w:tc>
        <w:tc>
          <w:tcPr>
            <w:tcW w:w="1367" w:type="dxa"/>
            <w:tcMar>
              <w:left w:w="28" w:type="dxa"/>
              <w:right w:w="28" w:type="dxa"/>
            </w:tcMar>
          </w:tcPr>
          <w:p w14:paraId="791D824B" w14:textId="77777777" w:rsidR="00337846" w:rsidRPr="00616820" w:rsidRDefault="00337846" w:rsidP="00EB1A9F">
            <w:pPr>
              <w:pStyle w:val="Tablefootnote"/>
              <w:spacing w:before="0" w:after="0"/>
              <w:jc w:val="center"/>
              <w:rPr>
                <w:sz w:val="20"/>
                <w:szCs w:val="20"/>
              </w:rPr>
            </w:pPr>
            <w:r>
              <w:rPr>
                <w:sz w:val="20"/>
                <w:szCs w:val="20"/>
              </w:rPr>
              <w:t>106 (19.1)</w:t>
            </w:r>
          </w:p>
        </w:tc>
      </w:tr>
      <w:tr w:rsidR="00337846" w:rsidRPr="00616820" w14:paraId="16CBEDC8" w14:textId="77777777" w:rsidTr="00EB1A9F">
        <w:tc>
          <w:tcPr>
            <w:tcW w:w="731" w:type="dxa"/>
            <w:vMerge/>
            <w:tcMar>
              <w:left w:w="28" w:type="dxa"/>
              <w:right w:w="28" w:type="dxa"/>
            </w:tcMar>
          </w:tcPr>
          <w:p w14:paraId="6B13C90A" w14:textId="77777777" w:rsidR="00337846" w:rsidRPr="00616820" w:rsidRDefault="00337846" w:rsidP="00EB1A9F">
            <w:pPr>
              <w:pStyle w:val="Tablefootnote"/>
              <w:spacing w:before="0" w:after="0"/>
              <w:rPr>
                <w:sz w:val="20"/>
                <w:szCs w:val="20"/>
              </w:rPr>
            </w:pPr>
          </w:p>
        </w:tc>
        <w:tc>
          <w:tcPr>
            <w:tcW w:w="2808" w:type="dxa"/>
            <w:tcMar>
              <w:left w:w="28" w:type="dxa"/>
              <w:right w:w="28" w:type="dxa"/>
            </w:tcMar>
          </w:tcPr>
          <w:p w14:paraId="7114758C" w14:textId="77777777" w:rsidR="00337846" w:rsidRPr="00616820" w:rsidRDefault="00337846" w:rsidP="00EB1A9F">
            <w:pPr>
              <w:pStyle w:val="Tablefootnote"/>
              <w:spacing w:before="0" w:after="0"/>
              <w:rPr>
                <w:sz w:val="20"/>
                <w:szCs w:val="20"/>
              </w:rPr>
            </w:pPr>
            <w:r>
              <w:rPr>
                <w:sz w:val="20"/>
                <w:szCs w:val="20"/>
              </w:rPr>
              <w:t>Median OS, months</w:t>
            </w:r>
          </w:p>
        </w:tc>
        <w:tc>
          <w:tcPr>
            <w:tcW w:w="1418" w:type="dxa"/>
            <w:tcMar>
              <w:left w:w="28" w:type="dxa"/>
              <w:right w:w="28" w:type="dxa"/>
            </w:tcMar>
          </w:tcPr>
          <w:p w14:paraId="38EE71DF" w14:textId="77777777" w:rsidR="00337846" w:rsidRPr="00616820" w:rsidRDefault="00337846" w:rsidP="00EB1A9F">
            <w:pPr>
              <w:pStyle w:val="Tablefootnote"/>
              <w:spacing w:before="0" w:after="0"/>
              <w:jc w:val="center"/>
              <w:rPr>
                <w:sz w:val="20"/>
                <w:szCs w:val="20"/>
              </w:rPr>
            </w:pPr>
            <w:r>
              <w:rPr>
                <w:sz w:val="20"/>
                <w:szCs w:val="20"/>
              </w:rPr>
              <w:t>73.86</w:t>
            </w:r>
          </w:p>
        </w:tc>
        <w:tc>
          <w:tcPr>
            <w:tcW w:w="1417" w:type="dxa"/>
            <w:tcMar>
              <w:left w:w="28" w:type="dxa"/>
              <w:right w:w="28" w:type="dxa"/>
            </w:tcMar>
          </w:tcPr>
          <w:p w14:paraId="2E935526" w14:textId="77777777" w:rsidR="00337846" w:rsidRPr="00616820" w:rsidRDefault="00337846" w:rsidP="00EB1A9F">
            <w:pPr>
              <w:pStyle w:val="Tablefootnote"/>
              <w:spacing w:before="0" w:after="0"/>
              <w:jc w:val="center"/>
              <w:rPr>
                <w:sz w:val="20"/>
                <w:szCs w:val="20"/>
              </w:rPr>
            </w:pPr>
            <w:r>
              <w:rPr>
                <w:sz w:val="20"/>
                <w:szCs w:val="20"/>
              </w:rPr>
              <w:t>59.89</w:t>
            </w:r>
          </w:p>
        </w:tc>
        <w:tc>
          <w:tcPr>
            <w:tcW w:w="1276" w:type="dxa"/>
            <w:tcMar>
              <w:left w:w="28" w:type="dxa"/>
              <w:right w:w="28" w:type="dxa"/>
            </w:tcMar>
          </w:tcPr>
          <w:p w14:paraId="6536642D" w14:textId="77777777" w:rsidR="00337846" w:rsidRPr="00616820" w:rsidRDefault="00337846" w:rsidP="00EB1A9F">
            <w:pPr>
              <w:pStyle w:val="Tablefootnote"/>
              <w:spacing w:before="0" w:after="0"/>
              <w:jc w:val="center"/>
              <w:rPr>
                <w:sz w:val="20"/>
                <w:szCs w:val="20"/>
              </w:rPr>
            </w:pPr>
            <w:r>
              <w:rPr>
                <w:sz w:val="20"/>
                <w:szCs w:val="20"/>
              </w:rPr>
              <w:t>NR</w:t>
            </w:r>
          </w:p>
        </w:tc>
        <w:tc>
          <w:tcPr>
            <w:tcW w:w="1367" w:type="dxa"/>
            <w:tcMar>
              <w:left w:w="28" w:type="dxa"/>
              <w:right w:w="28" w:type="dxa"/>
            </w:tcMar>
          </w:tcPr>
          <w:p w14:paraId="72ADF639" w14:textId="77777777" w:rsidR="00337846" w:rsidRPr="00616820" w:rsidRDefault="00337846" w:rsidP="00EB1A9F">
            <w:pPr>
              <w:pStyle w:val="Tablefootnote"/>
              <w:spacing w:before="0" w:after="0"/>
              <w:jc w:val="center"/>
              <w:rPr>
                <w:sz w:val="20"/>
                <w:szCs w:val="20"/>
              </w:rPr>
            </w:pPr>
            <w:r>
              <w:rPr>
                <w:sz w:val="20"/>
                <w:szCs w:val="20"/>
              </w:rPr>
              <w:t>NR</w:t>
            </w:r>
          </w:p>
        </w:tc>
      </w:tr>
      <w:tr w:rsidR="00337846" w:rsidRPr="00616820" w14:paraId="1082ADA2" w14:textId="77777777" w:rsidTr="00EB1A9F">
        <w:tc>
          <w:tcPr>
            <w:tcW w:w="731" w:type="dxa"/>
            <w:vMerge/>
            <w:tcMar>
              <w:left w:w="28" w:type="dxa"/>
              <w:right w:w="28" w:type="dxa"/>
            </w:tcMar>
          </w:tcPr>
          <w:p w14:paraId="286DDBE9" w14:textId="77777777" w:rsidR="00337846" w:rsidRPr="00616820" w:rsidRDefault="00337846" w:rsidP="00EB1A9F">
            <w:pPr>
              <w:pStyle w:val="Tablefootnote"/>
              <w:spacing w:before="0" w:after="0"/>
              <w:rPr>
                <w:sz w:val="20"/>
                <w:szCs w:val="20"/>
              </w:rPr>
            </w:pPr>
          </w:p>
        </w:tc>
        <w:tc>
          <w:tcPr>
            <w:tcW w:w="2808" w:type="dxa"/>
            <w:tcMar>
              <w:left w:w="28" w:type="dxa"/>
              <w:right w:w="28" w:type="dxa"/>
            </w:tcMar>
          </w:tcPr>
          <w:p w14:paraId="199A53B6" w14:textId="77777777" w:rsidR="00337846" w:rsidRPr="00616820" w:rsidRDefault="00337846" w:rsidP="00EB1A9F">
            <w:pPr>
              <w:pStyle w:val="Tablefootnote"/>
              <w:spacing w:before="0" w:after="0"/>
              <w:rPr>
                <w:sz w:val="20"/>
                <w:szCs w:val="20"/>
              </w:rPr>
            </w:pPr>
            <w:r>
              <w:rPr>
                <w:sz w:val="20"/>
                <w:szCs w:val="20"/>
              </w:rPr>
              <w:t>HR (95% CI)</w:t>
            </w:r>
          </w:p>
        </w:tc>
        <w:tc>
          <w:tcPr>
            <w:tcW w:w="2835" w:type="dxa"/>
            <w:gridSpan w:val="2"/>
            <w:tcMar>
              <w:left w:w="28" w:type="dxa"/>
              <w:right w:w="28" w:type="dxa"/>
            </w:tcMar>
          </w:tcPr>
          <w:p w14:paraId="508A2D54" w14:textId="77777777" w:rsidR="00337846" w:rsidRPr="00616820" w:rsidRDefault="00337846" w:rsidP="00EB1A9F">
            <w:pPr>
              <w:pStyle w:val="Tablefootnote"/>
              <w:spacing w:before="0" w:after="0"/>
              <w:jc w:val="center"/>
              <w:rPr>
                <w:sz w:val="20"/>
                <w:szCs w:val="20"/>
              </w:rPr>
            </w:pPr>
            <w:r>
              <w:rPr>
                <w:sz w:val="20"/>
                <w:szCs w:val="20"/>
              </w:rPr>
              <w:t>0.784 (0.643, 0.956)</w:t>
            </w:r>
          </w:p>
        </w:tc>
        <w:tc>
          <w:tcPr>
            <w:tcW w:w="2643" w:type="dxa"/>
            <w:gridSpan w:val="2"/>
            <w:tcMar>
              <w:left w:w="28" w:type="dxa"/>
              <w:right w:w="28" w:type="dxa"/>
            </w:tcMar>
          </w:tcPr>
          <w:p w14:paraId="5FF9E2E7" w14:textId="77777777" w:rsidR="00337846" w:rsidRPr="00616820" w:rsidRDefault="00337846" w:rsidP="00EB1A9F">
            <w:pPr>
              <w:pStyle w:val="Tablefootnote"/>
              <w:spacing w:before="0" w:after="0"/>
              <w:jc w:val="center"/>
              <w:rPr>
                <w:sz w:val="20"/>
                <w:szCs w:val="20"/>
              </w:rPr>
            </w:pPr>
            <w:r>
              <w:rPr>
                <w:sz w:val="20"/>
                <w:szCs w:val="20"/>
              </w:rPr>
              <w:t>0.69 (0.53, 0.88)</w:t>
            </w:r>
          </w:p>
        </w:tc>
      </w:tr>
      <w:tr w:rsidR="00337846" w:rsidRPr="00616820" w14:paraId="13E47DF9" w14:textId="77777777" w:rsidTr="00EB1A9F">
        <w:tc>
          <w:tcPr>
            <w:tcW w:w="731" w:type="dxa"/>
            <w:vMerge/>
            <w:tcMar>
              <w:left w:w="28" w:type="dxa"/>
              <w:right w:w="28" w:type="dxa"/>
            </w:tcMar>
          </w:tcPr>
          <w:p w14:paraId="004BE10B" w14:textId="77777777" w:rsidR="00337846" w:rsidRPr="00616820" w:rsidRDefault="00337846" w:rsidP="00EB1A9F">
            <w:pPr>
              <w:pStyle w:val="Tablefootnote"/>
              <w:spacing w:before="0" w:after="0"/>
              <w:rPr>
                <w:sz w:val="20"/>
                <w:szCs w:val="20"/>
              </w:rPr>
            </w:pPr>
          </w:p>
        </w:tc>
        <w:tc>
          <w:tcPr>
            <w:tcW w:w="2808" w:type="dxa"/>
            <w:tcMar>
              <w:left w:w="28" w:type="dxa"/>
              <w:right w:w="28" w:type="dxa"/>
            </w:tcMar>
          </w:tcPr>
          <w:p w14:paraId="7A051785" w14:textId="77777777" w:rsidR="00337846" w:rsidRPr="00616820" w:rsidRDefault="00337846" w:rsidP="00EB1A9F">
            <w:pPr>
              <w:pStyle w:val="Tablefootnote"/>
              <w:spacing w:before="0" w:after="0"/>
              <w:rPr>
                <w:sz w:val="20"/>
                <w:szCs w:val="20"/>
              </w:rPr>
            </w:pPr>
            <w:r>
              <w:rPr>
                <w:sz w:val="20"/>
                <w:szCs w:val="20"/>
              </w:rPr>
              <w:t>Median follow-up</w:t>
            </w:r>
          </w:p>
        </w:tc>
        <w:tc>
          <w:tcPr>
            <w:tcW w:w="2835" w:type="dxa"/>
            <w:gridSpan w:val="2"/>
            <w:tcMar>
              <w:left w:w="28" w:type="dxa"/>
              <w:right w:w="28" w:type="dxa"/>
            </w:tcMar>
          </w:tcPr>
          <w:p w14:paraId="30642FD2" w14:textId="77777777" w:rsidR="00337846" w:rsidRPr="00616820" w:rsidRDefault="00337846" w:rsidP="00EB1A9F">
            <w:pPr>
              <w:pStyle w:val="Tablefootnote"/>
              <w:spacing w:before="0" w:after="0"/>
              <w:jc w:val="center"/>
              <w:rPr>
                <w:sz w:val="20"/>
                <w:szCs w:val="20"/>
              </w:rPr>
            </w:pPr>
            <w:r>
              <w:rPr>
                <w:sz w:val="20"/>
                <w:szCs w:val="20"/>
              </w:rPr>
              <w:t>52.0 months</w:t>
            </w:r>
          </w:p>
        </w:tc>
        <w:tc>
          <w:tcPr>
            <w:tcW w:w="2643" w:type="dxa"/>
            <w:gridSpan w:val="2"/>
            <w:tcMar>
              <w:left w:w="28" w:type="dxa"/>
              <w:right w:w="28" w:type="dxa"/>
            </w:tcMar>
          </w:tcPr>
          <w:p w14:paraId="0E8B5FBD" w14:textId="77777777" w:rsidR="00337846" w:rsidRPr="00616820" w:rsidRDefault="00337846" w:rsidP="00EB1A9F">
            <w:pPr>
              <w:pStyle w:val="Tablefootnote"/>
              <w:spacing w:before="0" w:after="0"/>
              <w:jc w:val="center"/>
              <w:rPr>
                <w:sz w:val="20"/>
                <w:szCs w:val="20"/>
              </w:rPr>
            </w:pPr>
            <w:r>
              <w:rPr>
                <w:sz w:val="20"/>
                <w:szCs w:val="20"/>
              </w:rPr>
              <w:t>29.1 months</w:t>
            </w:r>
          </w:p>
        </w:tc>
      </w:tr>
      <w:tr w:rsidR="00337846" w:rsidRPr="00616820" w14:paraId="7357FF5D" w14:textId="77777777" w:rsidTr="00EB1A9F">
        <w:tc>
          <w:tcPr>
            <w:tcW w:w="731" w:type="dxa"/>
            <w:vMerge/>
            <w:tcMar>
              <w:left w:w="28" w:type="dxa"/>
              <w:right w:w="28" w:type="dxa"/>
            </w:tcMar>
          </w:tcPr>
          <w:p w14:paraId="3FC188A8" w14:textId="77777777" w:rsidR="00337846" w:rsidRPr="00616820" w:rsidRDefault="00337846" w:rsidP="00EB1A9F">
            <w:pPr>
              <w:pStyle w:val="Tablefootnote"/>
              <w:spacing w:before="0" w:after="0"/>
              <w:rPr>
                <w:sz w:val="20"/>
                <w:szCs w:val="20"/>
              </w:rPr>
            </w:pPr>
          </w:p>
        </w:tc>
        <w:tc>
          <w:tcPr>
            <w:tcW w:w="2808" w:type="dxa"/>
            <w:tcMar>
              <w:left w:w="28" w:type="dxa"/>
              <w:right w:w="28" w:type="dxa"/>
            </w:tcMar>
          </w:tcPr>
          <w:p w14:paraId="7EA46EA4" w14:textId="77777777" w:rsidR="00337846" w:rsidRPr="00616820" w:rsidRDefault="00337846" w:rsidP="00EB1A9F">
            <w:pPr>
              <w:pStyle w:val="Tablefootnote"/>
              <w:spacing w:before="0" w:after="0"/>
              <w:rPr>
                <w:sz w:val="20"/>
                <w:szCs w:val="20"/>
              </w:rPr>
            </w:pPr>
            <w:r>
              <w:rPr>
                <w:sz w:val="20"/>
                <w:szCs w:val="20"/>
              </w:rPr>
              <w:t>Indirect comparison HR (95%</w:t>
            </w:r>
            <w:r w:rsidR="00AD6D36">
              <w:rPr>
                <w:sz w:val="20"/>
                <w:szCs w:val="20"/>
              </w:rPr>
              <w:t xml:space="preserve"> </w:t>
            </w:r>
            <w:r>
              <w:rPr>
                <w:sz w:val="20"/>
                <w:szCs w:val="20"/>
              </w:rPr>
              <w:t>CI) apalutamide vs darolutamide</w:t>
            </w:r>
          </w:p>
        </w:tc>
        <w:tc>
          <w:tcPr>
            <w:tcW w:w="5478" w:type="dxa"/>
            <w:gridSpan w:val="4"/>
            <w:tcMar>
              <w:left w:w="28" w:type="dxa"/>
              <w:right w:w="28" w:type="dxa"/>
            </w:tcMar>
            <w:vAlign w:val="center"/>
          </w:tcPr>
          <w:p w14:paraId="05359313" w14:textId="77777777" w:rsidR="00337846" w:rsidRPr="00616820" w:rsidRDefault="00337846" w:rsidP="00EB1A9F">
            <w:pPr>
              <w:pStyle w:val="Tablefootnote"/>
              <w:spacing w:before="0" w:after="0"/>
              <w:jc w:val="center"/>
              <w:rPr>
                <w:sz w:val="20"/>
                <w:szCs w:val="20"/>
              </w:rPr>
            </w:pPr>
            <w:r>
              <w:rPr>
                <w:sz w:val="20"/>
                <w:szCs w:val="20"/>
              </w:rPr>
              <w:t>1.136 (0.824, 1.568)</w:t>
            </w:r>
          </w:p>
        </w:tc>
      </w:tr>
    </w:tbl>
    <w:p w14:paraId="11EC8D39" w14:textId="77777777" w:rsidR="00BD1BA8" w:rsidRDefault="00BD1BA8" w:rsidP="00BD1BA8">
      <w:pPr>
        <w:pStyle w:val="Tablefootnote"/>
        <w:spacing w:before="0"/>
      </w:pPr>
      <w:r>
        <w:t>Source: Table 2-1, p29 of the resubmission, Table 8, apalutamide PSD, November 2020.</w:t>
      </w:r>
    </w:p>
    <w:p w14:paraId="3AF26FB1" w14:textId="77777777" w:rsidR="00616820" w:rsidRDefault="00BD1BA8" w:rsidP="00BD1BA8">
      <w:pPr>
        <w:pStyle w:val="Tablefootnote"/>
      </w:pPr>
      <w:r>
        <w:t xml:space="preserve">CI = confidence interval; HR = hazard ratio; FA = final analysis; IA1 = interim analysis 1; ITT = intent-to-treat; MFS = metastasis-free survival; </w:t>
      </w:r>
      <w:r w:rsidR="00AD6D36">
        <w:t xml:space="preserve">NR = not reported; </w:t>
      </w:r>
      <w:r>
        <w:t>OS = overall survival</w:t>
      </w:r>
    </w:p>
    <w:p w14:paraId="01B3A4AF" w14:textId="77777777" w:rsidR="00526B6B" w:rsidRPr="00D379EA" w:rsidRDefault="00526B6B" w:rsidP="00526B6B">
      <w:pPr>
        <w:pStyle w:val="4-SubsectionHeading"/>
      </w:pPr>
      <w:bookmarkStart w:id="15" w:name="_Toc82426510"/>
      <w:r w:rsidRPr="00D379EA">
        <w:t>Comparative harms</w:t>
      </w:r>
      <w:bookmarkEnd w:id="15"/>
    </w:p>
    <w:p w14:paraId="63C176B5" w14:textId="77777777" w:rsidR="00526B6B" w:rsidRPr="00AA5175" w:rsidRDefault="00526B6B" w:rsidP="002D5B24">
      <w:pPr>
        <w:pStyle w:val="3-BodyText"/>
        <w:ind w:left="709"/>
      </w:pPr>
      <w:r>
        <w:t xml:space="preserve">No new safety data were presented in the resubmission. Key differences in safety outcomes </w:t>
      </w:r>
      <w:r w:rsidRPr="00394D79">
        <w:rPr>
          <w:iCs/>
        </w:rPr>
        <w:t xml:space="preserve">between </w:t>
      </w:r>
      <w:r>
        <w:t xml:space="preserve">apalutamide and placebo are summarised under </w:t>
      </w:r>
      <w:r w:rsidRPr="0092771E">
        <w:t>Benefits</w:t>
      </w:r>
      <w:r>
        <w:t>/h</w:t>
      </w:r>
      <w:r w:rsidRPr="0092771E">
        <w:t>arms</w:t>
      </w:r>
      <w:r>
        <w:t xml:space="preserve">. </w:t>
      </w:r>
      <w:r w:rsidRPr="00BD62C2">
        <w:t>Overall, the</w:t>
      </w:r>
      <w:r>
        <w:t xml:space="preserve"> safety</w:t>
      </w:r>
      <w:r w:rsidRPr="00BD62C2">
        <w:t xml:space="preserve"> data are consistent with the claim of inferior safety</w:t>
      </w:r>
      <w:r>
        <w:t xml:space="preserve"> of apalutamide versus placebo</w:t>
      </w:r>
      <w:r w:rsidRPr="00BD62C2">
        <w:t xml:space="preserve">. </w:t>
      </w:r>
      <w:r>
        <w:t xml:space="preserve">As detailed in the November 2020 resubmission, </w:t>
      </w:r>
      <w:r w:rsidRPr="00D83444">
        <w:t xml:space="preserve">the most common </w:t>
      </w:r>
      <w:r>
        <w:t>adverse events (</w:t>
      </w:r>
      <w:r w:rsidRPr="00D83444">
        <w:t>AEs</w:t>
      </w:r>
      <w:r>
        <w:t>)</w:t>
      </w:r>
      <w:r w:rsidRPr="00D83444">
        <w:t xml:space="preserve"> </w:t>
      </w:r>
      <w:r>
        <w:t xml:space="preserve">for apalutamide </w:t>
      </w:r>
      <w:r w:rsidRPr="00D83444">
        <w:t>included skin rash, fall, fracture, hypothyroidism, ischaemic heart disease and seizures</w:t>
      </w:r>
      <w:r>
        <w:t>.</w:t>
      </w:r>
    </w:p>
    <w:p w14:paraId="0FF3F33F" w14:textId="77777777" w:rsidR="00526B6B" w:rsidRPr="00D379EA" w:rsidRDefault="00526B6B" w:rsidP="00526B6B">
      <w:pPr>
        <w:pStyle w:val="4-SubsectionHeading"/>
      </w:pPr>
      <w:bookmarkStart w:id="16" w:name="_Toc82426511"/>
      <w:r w:rsidRPr="00D379EA">
        <w:t>Benefits/harms</w:t>
      </w:r>
      <w:bookmarkEnd w:id="16"/>
    </w:p>
    <w:p w14:paraId="1CC77B2D" w14:textId="77777777" w:rsidR="00526B6B" w:rsidRPr="00D379EA" w:rsidRDefault="00526B6B" w:rsidP="002D5B24">
      <w:pPr>
        <w:pStyle w:val="3-BodyText"/>
        <w:ind w:left="709"/>
      </w:pPr>
      <w:r w:rsidRPr="00D379EA">
        <w:t xml:space="preserve">A summary of the comparative benefits and harms associated with apalutamide versus </w:t>
      </w:r>
      <w:r w:rsidRPr="00394D79">
        <w:rPr>
          <w:iCs/>
        </w:rPr>
        <w:t xml:space="preserve">placebo </w:t>
      </w:r>
      <w:r w:rsidRPr="00D379EA">
        <w:t xml:space="preserve">is presented in Table </w:t>
      </w:r>
      <w:r w:rsidR="00F2524C">
        <w:t>7</w:t>
      </w:r>
      <w:r w:rsidRPr="00D379EA">
        <w:t xml:space="preserve"> below.</w:t>
      </w:r>
      <w:r>
        <w:t xml:space="preserve"> This was based on data presented in the November 2020 resubmission.</w:t>
      </w:r>
    </w:p>
    <w:p w14:paraId="2BCD252C" w14:textId="77777777" w:rsidR="00526B6B" w:rsidRPr="00D379EA" w:rsidRDefault="00526B6B" w:rsidP="007549CA">
      <w:pPr>
        <w:pStyle w:val="TableFigureHeading"/>
        <w:rPr>
          <w:rStyle w:val="CommentReference"/>
          <w:b/>
          <w:szCs w:val="24"/>
        </w:rPr>
      </w:pPr>
      <w:r w:rsidRPr="00D379EA">
        <w:rPr>
          <w:rStyle w:val="CommentReference"/>
          <w:b/>
          <w:szCs w:val="24"/>
        </w:rPr>
        <w:t xml:space="preserve">Table </w:t>
      </w:r>
      <w:r w:rsidR="00F2524C">
        <w:rPr>
          <w:rStyle w:val="CommentReference"/>
          <w:b/>
          <w:szCs w:val="24"/>
        </w:rPr>
        <w:t>7</w:t>
      </w:r>
      <w:r w:rsidRPr="00D379EA">
        <w:rPr>
          <w:rStyle w:val="CommentReference"/>
          <w:b/>
          <w:szCs w:val="24"/>
        </w:rPr>
        <w:t>: Summary of comparative benefits and harms for Apalutamide and Placebo</w:t>
      </w:r>
    </w:p>
    <w:tbl>
      <w:tblPr>
        <w:tblStyle w:val="TableGrid"/>
        <w:tblW w:w="5000" w:type="pct"/>
        <w:tblLayout w:type="fixed"/>
        <w:tblCellMar>
          <w:left w:w="28" w:type="dxa"/>
          <w:right w:w="28" w:type="dxa"/>
        </w:tblCellMar>
        <w:tblLook w:val="04A0" w:firstRow="1" w:lastRow="0" w:firstColumn="1" w:lastColumn="0" w:noHBand="0" w:noVBand="1"/>
        <w:tblCaption w:val="Table 7: Summary of comparative benefits and harms for Apalutamide and Placebo"/>
      </w:tblPr>
      <w:tblGrid>
        <w:gridCol w:w="1263"/>
        <w:gridCol w:w="1126"/>
        <w:gridCol w:w="301"/>
        <w:gridCol w:w="963"/>
        <w:gridCol w:w="573"/>
        <w:gridCol w:w="974"/>
        <w:gridCol w:w="1003"/>
        <w:gridCol w:w="261"/>
        <w:gridCol w:w="1044"/>
        <w:gridCol w:w="142"/>
        <w:gridCol w:w="1356"/>
        <w:gridCol w:w="11"/>
      </w:tblGrid>
      <w:tr w:rsidR="00526B6B" w:rsidRPr="00D379EA" w14:paraId="43801733" w14:textId="77777777" w:rsidTr="00D010FD">
        <w:trPr>
          <w:trHeight w:val="20"/>
          <w:tblHeader/>
        </w:trPr>
        <w:tc>
          <w:tcPr>
            <w:tcW w:w="5000" w:type="pct"/>
            <w:gridSpan w:val="12"/>
            <w:shd w:val="clear" w:color="auto" w:fill="auto"/>
            <w:vAlign w:val="center"/>
          </w:tcPr>
          <w:p w14:paraId="7817C8D2" w14:textId="77777777" w:rsidR="00526B6B" w:rsidRPr="007E3317" w:rsidRDefault="00526B6B" w:rsidP="007E3317">
            <w:pPr>
              <w:pStyle w:val="TableText0"/>
              <w:widowControl w:val="0"/>
              <w:rPr>
                <w:b/>
              </w:rPr>
            </w:pPr>
            <w:r w:rsidRPr="007E3317">
              <w:rPr>
                <w:b/>
              </w:rPr>
              <w:t>Benefits</w:t>
            </w:r>
          </w:p>
        </w:tc>
      </w:tr>
      <w:tr w:rsidR="00526B6B" w:rsidRPr="00D379EA" w14:paraId="3754AB3C" w14:textId="77777777" w:rsidTr="00CE3EC2">
        <w:trPr>
          <w:trHeight w:val="20"/>
        </w:trPr>
        <w:tc>
          <w:tcPr>
            <w:tcW w:w="5000" w:type="pct"/>
            <w:gridSpan w:val="12"/>
            <w:shd w:val="clear" w:color="auto" w:fill="auto"/>
            <w:vAlign w:val="center"/>
          </w:tcPr>
          <w:p w14:paraId="2406E38F" w14:textId="77777777" w:rsidR="00526B6B" w:rsidRPr="007E3317" w:rsidRDefault="00526B6B" w:rsidP="007E3317">
            <w:pPr>
              <w:pStyle w:val="TableText0"/>
              <w:widowControl w:val="0"/>
              <w:rPr>
                <w:b/>
              </w:rPr>
            </w:pPr>
            <w:r w:rsidRPr="007E3317">
              <w:rPr>
                <w:b/>
              </w:rPr>
              <w:t>Metastasis free survival (median duration of follow up 20.3 months)</w:t>
            </w:r>
          </w:p>
        </w:tc>
      </w:tr>
      <w:tr w:rsidR="00526B6B" w:rsidRPr="00D379EA" w14:paraId="35734861" w14:textId="77777777" w:rsidTr="00CE3EC2">
        <w:trPr>
          <w:trHeight w:val="20"/>
        </w:trPr>
        <w:tc>
          <w:tcPr>
            <w:tcW w:w="1491" w:type="pct"/>
            <w:gridSpan w:val="3"/>
            <w:tcBorders>
              <w:bottom w:val="single" w:sz="4" w:space="0" w:color="auto"/>
            </w:tcBorders>
            <w:shd w:val="clear" w:color="auto" w:fill="auto"/>
            <w:vAlign w:val="center"/>
          </w:tcPr>
          <w:p w14:paraId="4639DECF" w14:textId="77777777" w:rsidR="00526B6B" w:rsidRPr="007E3317" w:rsidRDefault="00526B6B" w:rsidP="007E3317">
            <w:pPr>
              <w:pStyle w:val="TableText0"/>
              <w:widowControl w:val="0"/>
              <w:rPr>
                <w:b/>
              </w:rPr>
            </w:pPr>
            <w:r w:rsidRPr="007E3317">
              <w:rPr>
                <w:b/>
              </w:rPr>
              <w:t>SPARTAN</w:t>
            </w:r>
          </w:p>
        </w:tc>
        <w:tc>
          <w:tcPr>
            <w:tcW w:w="852" w:type="pct"/>
            <w:gridSpan w:val="2"/>
            <w:tcBorders>
              <w:bottom w:val="single" w:sz="4" w:space="0" w:color="auto"/>
            </w:tcBorders>
            <w:shd w:val="clear" w:color="auto" w:fill="auto"/>
            <w:vAlign w:val="center"/>
          </w:tcPr>
          <w:p w14:paraId="35258603" w14:textId="77777777" w:rsidR="00526B6B" w:rsidRPr="007E3317" w:rsidRDefault="00526B6B" w:rsidP="00AD6D36">
            <w:pPr>
              <w:pStyle w:val="TableText0"/>
              <w:widowControl w:val="0"/>
              <w:jc w:val="center"/>
              <w:rPr>
                <w:b/>
              </w:rPr>
            </w:pPr>
            <w:r w:rsidRPr="007E3317">
              <w:rPr>
                <w:b/>
              </w:rPr>
              <w:t>Apalutamide</w:t>
            </w:r>
          </w:p>
          <w:p w14:paraId="7B93009F" w14:textId="77777777" w:rsidR="00526B6B" w:rsidRPr="007E3317" w:rsidRDefault="00526B6B" w:rsidP="00AD6D36">
            <w:pPr>
              <w:pStyle w:val="TableText0"/>
              <w:widowControl w:val="0"/>
              <w:jc w:val="center"/>
              <w:rPr>
                <w:b/>
              </w:rPr>
            </w:pPr>
            <w:r w:rsidRPr="007E3317">
              <w:rPr>
                <w:b/>
              </w:rPr>
              <w:t>N=803</w:t>
            </w:r>
          </w:p>
        </w:tc>
        <w:tc>
          <w:tcPr>
            <w:tcW w:w="1096" w:type="pct"/>
            <w:gridSpan w:val="2"/>
            <w:tcBorders>
              <w:bottom w:val="single" w:sz="4" w:space="0" w:color="auto"/>
            </w:tcBorders>
            <w:shd w:val="clear" w:color="auto" w:fill="auto"/>
            <w:vAlign w:val="center"/>
          </w:tcPr>
          <w:p w14:paraId="518BC44E" w14:textId="77777777" w:rsidR="00526B6B" w:rsidRPr="007E3317" w:rsidRDefault="00526B6B" w:rsidP="00AD6D36">
            <w:pPr>
              <w:pStyle w:val="TableText0"/>
              <w:widowControl w:val="0"/>
              <w:jc w:val="center"/>
              <w:rPr>
                <w:b/>
              </w:rPr>
            </w:pPr>
            <w:r w:rsidRPr="007E3317">
              <w:rPr>
                <w:b/>
              </w:rPr>
              <w:t>Placebo</w:t>
            </w:r>
          </w:p>
          <w:p w14:paraId="79F6B794" w14:textId="77777777" w:rsidR="00526B6B" w:rsidRPr="007E3317" w:rsidRDefault="00526B6B" w:rsidP="00AD6D36">
            <w:pPr>
              <w:pStyle w:val="TableText0"/>
              <w:widowControl w:val="0"/>
              <w:jc w:val="center"/>
              <w:rPr>
                <w:b/>
              </w:rPr>
            </w:pPr>
            <w:r w:rsidRPr="007E3317">
              <w:rPr>
                <w:b/>
              </w:rPr>
              <w:t>N=554</w:t>
            </w:r>
          </w:p>
        </w:tc>
        <w:tc>
          <w:tcPr>
            <w:tcW w:w="803" w:type="pct"/>
            <w:gridSpan w:val="3"/>
            <w:tcBorders>
              <w:bottom w:val="single" w:sz="4" w:space="0" w:color="auto"/>
            </w:tcBorders>
            <w:shd w:val="clear" w:color="auto" w:fill="auto"/>
            <w:vAlign w:val="center"/>
          </w:tcPr>
          <w:p w14:paraId="08EDA167" w14:textId="77777777" w:rsidR="00526B6B" w:rsidRPr="007E3317" w:rsidRDefault="00526B6B" w:rsidP="00AD6D36">
            <w:pPr>
              <w:pStyle w:val="TableText0"/>
              <w:widowControl w:val="0"/>
              <w:jc w:val="center"/>
              <w:rPr>
                <w:b/>
              </w:rPr>
            </w:pPr>
            <w:r w:rsidRPr="007E3317">
              <w:rPr>
                <w:b/>
              </w:rPr>
              <w:t>Absolute Difference</w:t>
            </w:r>
          </w:p>
        </w:tc>
        <w:tc>
          <w:tcPr>
            <w:tcW w:w="758" w:type="pct"/>
            <w:gridSpan w:val="2"/>
            <w:tcBorders>
              <w:bottom w:val="single" w:sz="4" w:space="0" w:color="auto"/>
            </w:tcBorders>
            <w:shd w:val="clear" w:color="auto" w:fill="auto"/>
            <w:vAlign w:val="center"/>
          </w:tcPr>
          <w:p w14:paraId="1F55B0FB" w14:textId="77777777" w:rsidR="00526B6B" w:rsidRPr="007E3317" w:rsidRDefault="00526B6B" w:rsidP="00AD6D36">
            <w:pPr>
              <w:pStyle w:val="TableText0"/>
              <w:widowControl w:val="0"/>
              <w:jc w:val="center"/>
              <w:rPr>
                <w:b/>
              </w:rPr>
            </w:pPr>
            <w:r w:rsidRPr="007E3317">
              <w:rPr>
                <w:b/>
              </w:rPr>
              <w:t>HR (95% CI)</w:t>
            </w:r>
          </w:p>
        </w:tc>
      </w:tr>
      <w:tr w:rsidR="00526B6B" w:rsidRPr="00D379EA" w14:paraId="0FD4DC09" w14:textId="77777777" w:rsidTr="00CE3EC2">
        <w:trPr>
          <w:trHeight w:val="257"/>
        </w:trPr>
        <w:tc>
          <w:tcPr>
            <w:tcW w:w="1491" w:type="pct"/>
            <w:gridSpan w:val="3"/>
            <w:tcBorders>
              <w:bottom w:val="single" w:sz="4" w:space="0" w:color="auto"/>
              <w:right w:val="single" w:sz="4" w:space="0" w:color="auto"/>
            </w:tcBorders>
            <w:shd w:val="clear" w:color="auto" w:fill="auto"/>
            <w:vAlign w:val="center"/>
          </w:tcPr>
          <w:p w14:paraId="22AC77BF" w14:textId="77777777" w:rsidR="00526B6B" w:rsidRPr="00D379EA" w:rsidRDefault="00526B6B" w:rsidP="007E3317">
            <w:pPr>
              <w:pStyle w:val="TableText0"/>
              <w:widowControl w:val="0"/>
            </w:pPr>
            <w:r w:rsidRPr="00D379EA">
              <w:t>Progressed, n (%)</w:t>
            </w:r>
          </w:p>
        </w:tc>
        <w:tc>
          <w:tcPr>
            <w:tcW w:w="852" w:type="pct"/>
            <w:gridSpan w:val="2"/>
            <w:tcBorders>
              <w:left w:val="single" w:sz="4" w:space="0" w:color="auto"/>
              <w:bottom w:val="single" w:sz="4" w:space="0" w:color="auto"/>
              <w:right w:val="single" w:sz="4" w:space="0" w:color="auto"/>
            </w:tcBorders>
            <w:shd w:val="clear" w:color="auto" w:fill="auto"/>
            <w:vAlign w:val="center"/>
          </w:tcPr>
          <w:p w14:paraId="4D7AB14E" w14:textId="77777777" w:rsidR="00526B6B" w:rsidRPr="00D379EA" w:rsidRDefault="00526B6B" w:rsidP="007E3317">
            <w:pPr>
              <w:pStyle w:val="TableText0"/>
              <w:widowControl w:val="0"/>
              <w:jc w:val="center"/>
            </w:pPr>
            <w:r w:rsidRPr="00D379EA">
              <w:t>209 (25.9)</w:t>
            </w:r>
          </w:p>
        </w:tc>
        <w:tc>
          <w:tcPr>
            <w:tcW w:w="1096" w:type="pct"/>
            <w:gridSpan w:val="2"/>
            <w:tcBorders>
              <w:left w:val="single" w:sz="4" w:space="0" w:color="auto"/>
              <w:bottom w:val="single" w:sz="4" w:space="0" w:color="auto"/>
              <w:right w:val="single" w:sz="4" w:space="0" w:color="auto"/>
            </w:tcBorders>
            <w:shd w:val="clear" w:color="auto" w:fill="auto"/>
            <w:vAlign w:val="center"/>
          </w:tcPr>
          <w:p w14:paraId="76F0CBC8" w14:textId="77777777" w:rsidR="00526B6B" w:rsidRPr="00D379EA" w:rsidRDefault="00526B6B" w:rsidP="007E3317">
            <w:pPr>
              <w:pStyle w:val="TableText0"/>
              <w:widowControl w:val="0"/>
              <w:jc w:val="center"/>
            </w:pPr>
            <w:r w:rsidRPr="00D379EA">
              <w:t>210 (52.4)</w:t>
            </w:r>
          </w:p>
        </w:tc>
        <w:tc>
          <w:tcPr>
            <w:tcW w:w="803" w:type="pct"/>
            <w:gridSpan w:val="3"/>
            <w:tcBorders>
              <w:left w:val="single" w:sz="4" w:space="0" w:color="auto"/>
              <w:bottom w:val="single" w:sz="4" w:space="0" w:color="auto"/>
              <w:right w:val="single" w:sz="4" w:space="0" w:color="auto"/>
            </w:tcBorders>
            <w:shd w:val="clear" w:color="auto" w:fill="auto"/>
            <w:vAlign w:val="center"/>
          </w:tcPr>
          <w:p w14:paraId="0EC6BEAE" w14:textId="77777777" w:rsidR="00526B6B" w:rsidRPr="00D379EA" w:rsidRDefault="00526B6B" w:rsidP="007E3317">
            <w:pPr>
              <w:pStyle w:val="TableText0"/>
              <w:widowControl w:val="0"/>
              <w:jc w:val="center"/>
            </w:pPr>
            <w:r w:rsidRPr="00D379EA">
              <w:t>-</w:t>
            </w:r>
          </w:p>
        </w:tc>
        <w:tc>
          <w:tcPr>
            <w:tcW w:w="758" w:type="pct"/>
            <w:gridSpan w:val="2"/>
            <w:vMerge w:val="restart"/>
            <w:tcBorders>
              <w:left w:val="single" w:sz="4" w:space="0" w:color="auto"/>
            </w:tcBorders>
            <w:shd w:val="clear" w:color="auto" w:fill="auto"/>
            <w:vAlign w:val="center"/>
          </w:tcPr>
          <w:p w14:paraId="798DD8F9" w14:textId="77777777" w:rsidR="00526B6B" w:rsidRPr="007E3317" w:rsidRDefault="00526B6B" w:rsidP="007E3317">
            <w:pPr>
              <w:pStyle w:val="TableText0"/>
              <w:widowControl w:val="0"/>
              <w:jc w:val="center"/>
              <w:rPr>
                <w:b/>
              </w:rPr>
            </w:pPr>
            <w:r w:rsidRPr="007E3317">
              <w:rPr>
                <w:b/>
              </w:rPr>
              <w:t>0.297</w:t>
            </w:r>
          </w:p>
          <w:p w14:paraId="51C9B866" w14:textId="77777777" w:rsidR="00526B6B" w:rsidRPr="007E3317" w:rsidRDefault="00526B6B" w:rsidP="007E3317">
            <w:pPr>
              <w:pStyle w:val="TableText0"/>
              <w:widowControl w:val="0"/>
              <w:jc w:val="center"/>
              <w:rPr>
                <w:b/>
              </w:rPr>
            </w:pPr>
            <w:r w:rsidRPr="007E3317">
              <w:rPr>
                <w:b/>
              </w:rPr>
              <w:t>(0.244, 0.362)</w:t>
            </w:r>
          </w:p>
          <w:p w14:paraId="42B40948" w14:textId="77777777" w:rsidR="00526B6B" w:rsidRPr="007E3317" w:rsidRDefault="00526B6B" w:rsidP="007E3317">
            <w:pPr>
              <w:pStyle w:val="TableText0"/>
              <w:widowControl w:val="0"/>
              <w:jc w:val="center"/>
              <w:rPr>
                <w:b/>
              </w:rPr>
            </w:pPr>
            <w:r w:rsidRPr="007E3317">
              <w:rPr>
                <w:b/>
              </w:rPr>
              <w:t>P&lt;0.0001</w:t>
            </w:r>
          </w:p>
        </w:tc>
      </w:tr>
      <w:tr w:rsidR="00526B6B" w:rsidRPr="00D379EA" w14:paraId="48621E6D" w14:textId="77777777" w:rsidTr="00CE3EC2">
        <w:trPr>
          <w:trHeight w:val="20"/>
        </w:trPr>
        <w:tc>
          <w:tcPr>
            <w:tcW w:w="1491" w:type="pct"/>
            <w:gridSpan w:val="3"/>
            <w:tcBorders>
              <w:bottom w:val="single" w:sz="4" w:space="0" w:color="auto"/>
              <w:right w:val="single" w:sz="4" w:space="0" w:color="auto"/>
            </w:tcBorders>
            <w:shd w:val="clear" w:color="auto" w:fill="auto"/>
            <w:vAlign w:val="center"/>
          </w:tcPr>
          <w:p w14:paraId="740A06AE" w14:textId="77777777" w:rsidR="00526B6B" w:rsidRPr="00D379EA" w:rsidRDefault="00526B6B" w:rsidP="007E3317">
            <w:pPr>
              <w:pStyle w:val="TableText0"/>
              <w:widowControl w:val="0"/>
            </w:pPr>
            <w:r w:rsidRPr="00D379EA">
              <w:t>Median MFS, months (95% CI)</w:t>
            </w:r>
          </w:p>
        </w:tc>
        <w:tc>
          <w:tcPr>
            <w:tcW w:w="852" w:type="pct"/>
            <w:gridSpan w:val="2"/>
            <w:tcBorders>
              <w:left w:val="single" w:sz="4" w:space="0" w:color="auto"/>
              <w:bottom w:val="single" w:sz="4" w:space="0" w:color="auto"/>
              <w:right w:val="single" w:sz="4" w:space="0" w:color="auto"/>
            </w:tcBorders>
            <w:shd w:val="clear" w:color="auto" w:fill="auto"/>
            <w:vAlign w:val="center"/>
          </w:tcPr>
          <w:p w14:paraId="3FAF3101" w14:textId="77777777" w:rsidR="00526B6B" w:rsidRPr="007E3317" w:rsidRDefault="00526B6B" w:rsidP="007E3317">
            <w:pPr>
              <w:pStyle w:val="TableText0"/>
              <w:widowControl w:val="0"/>
              <w:jc w:val="center"/>
            </w:pPr>
            <w:r w:rsidRPr="00D379EA">
              <w:t>40.5 (29.70, 40.5)</w:t>
            </w:r>
          </w:p>
        </w:tc>
        <w:tc>
          <w:tcPr>
            <w:tcW w:w="1096" w:type="pct"/>
            <w:gridSpan w:val="2"/>
            <w:tcBorders>
              <w:left w:val="single" w:sz="4" w:space="0" w:color="auto"/>
              <w:bottom w:val="single" w:sz="4" w:space="0" w:color="auto"/>
              <w:right w:val="single" w:sz="4" w:space="0" w:color="auto"/>
            </w:tcBorders>
            <w:shd w:val="clear" w:color="auto" w:fill="auto"/>
            <w:vAlign w:val="center"/>
          </w:tcPr>
          <w:p w14:paraId="3EF7CD81" w14:textId="77777777" w:rsidR="00526B6B" w:rsidRPr="007E3317" w:rsidRDefault="00526B6B" w:rsidP="007E3317">
            <w:pPr>
              <w:pStyle w:val="TableText0"/>
              <w:widowControl w:val="0"/>
              <w:jc w:val="center"/>
            </w:pPr>
            <w:r w:rsidRPr="007E3317">
              <w:t>15.70 (14.55, 18.40)</w:t>
            </w:r>
          </w:p>
        </w:tc>
        <w:tc>
          <w:tcPr>
            <w:tcW w:w="803" w:type="pct"/>
            <w:gridSpan w:val="3"/>
            <w:tcBorders>
              <w:left w:val="single" w:sz="4" w:space="0" w:color="auto"/>
              <w:bottom w:val="single" w:sz="4" w:space="0" w:color="auto"/>
              <w:right w:val="single" w:sz="4" w:space="0" w:color="auto"/>
            </w:tcBorders>
            <w:shd w:val="clear" w:color="auto" w:fill="auto"/>
            <w:vAlign w:val="center"/>
          </w:tcPr>
          <w:p w14:paraId="4393950C" w14:textId="77777777" w:rsidR="00526B6B" w:rsidRPr="00D379EA" w:rsidRDefault="00526B6B" w:rsidP="007E3317">
            <w:pPr>
              <w:pStyle w:val="TableText0"/>
              <w:widowControl w:val="0"/>
              <w:jc w:val="center"/>
            </w:pPr>
            <w:r w:rsidRPr="00D379EA">
              <w:t>24.45 months</w:t>
            </w:r>
          </w:p>
        </w:tc>
        <w:tc>
          <w:tcPr>
            <w:tcW w:w="758" w:type="pct"/>
            <w:gridSpan w:val="2"/>
            <w:vMerge/>
            <w:tcBorders>
              <w:left w:val="single" w:sz="4" w:space="0" w:color="auto"/>
            </w:tcBorders>
            <w:shd w:val="clear" w:color="auto" w:fill="auto"/>
            <w:vAlign w:val="center"/>
          </w:tcPr>
          <w:p w14:paraId="0FC9B645" w14:textId="77777777" w:rsidR="00526B6B" w:rsidRPr="007E3317" w:rsidRDefault="00526B6B" w:rsidP="007E3317">
            <w:pPr>
              <w:pStyle w:val="TableText0"/>
              <w:widowControl w:val="0"/>
              <w:jc w:val="center"/>
              <w:rPr>
                <w:b/>
              </w:rPr>
            </w:pPr>
          </w:p>
        </w:tc>
      </w:tr>
      <w:tr w:rsidR="00526B6B" w:rsidRPr="00D379EA" w14:paraId="5F7EA343" w14:textId="77777777" w:rsidTr="00CE3EC2">
        <w:trPr>
          <w:trHeight w:val="20"/>
        </w:trPr>
        <w:tc>
          <w:tcPr>
            <w:tcW w:w="1491" w:type="pct"/>
            <w:gridSpan w:val="3"/>
            <w:tcBorders>
              <w:bottom w:val="single" w:sz="4" w:space="0" w:color="auto"/>
              <w:right w:val="single" w:sz="4" w:space="0" w:color="auto"/>
            </w:tcBorders>
            <w:shd w:val="clear" w:color="auto" w:fill="auto"/>
            <w:vAlign w:val="center"/>
          </w:tcPr>
          <w:p w14:paraId="77361FA0" w14:textId="77777777" w:rsidR="00526B6B" w:rsidRPr="00D379EA" w:rsidRDefault="00526B6B" w:rsidP="007E3317">
            <w:pPr>
              <w:pStyle w:val="TableText0"/>
              <w:widowControl w:val="0"/>
            </w:pPr>
            <w:r w:rsidRPr="00D379EA">
              <w:t>24-month event-free rate (95% CI)</w:t>
            </w:r>
          </w:p>
        </w:tc>
        <w:tc>
          <w:tcPr>
            <w:tcW w:w="852" w:type="pct"/>
            <w:gridSpan w:val="2"/>
            <w:tcBorders>
              <w:left w:val="single" w:sz="4" w:space="0" w:color="auto"/>
              <w:bottom w:val="single" w:sz="4" w:space="0" w:color="auto"/>
              <w:right w:val="single" w:sz="4" w:space="0" w:color="auto"/>
            </w:tcBorders>
            <w:shd w:val="clear" w:color="auto" w:fill="auto"/>
            <w:vAlign w:val="center"/>
          </w:tcPr>
          <w:p w14:paraId="726829C5" w14:textId="77777777" w:rsidR="00526B6B" w:rsidRPr="00D379EA" w:rsidRDefault="00526B6B" w:rsidP="007E3317">
            <w:pPr>
              <w:pStyle w:val="TableText0"/>
              <w:widowControl w:val="0"/>
              <w:jc w:val="center"/>
            </w:pPr>
            <w:r w:rsidRPr="007E3317">
              <w:t>68.2% (63.8, 72.2)</w:t>
            </w:r>
          </w:p>
        </w:tc>
        <w:tc>
          <w:tcPr>
            <w:tcW w:w="1096" w:type="pct"/>
            <w:gridSpan w:val="2"/>
            <w:tcBorders>
              <w:left w:val="single" w:sz="4" w:space="0" w:color="auto"/>
              <w:bottom w:val="single" w:sz="4" w:space="0" w:color="auto"/>
              <w:right w:val="single" w:sz="4" w:space="0" w:color="auto"/>
            </w:tcBorders>
            <w:shd w:val="clear" w:color="auto" w:fill="auto"/>
            <w:vAlign w:val="center"/>
          </w:tcPr>
          <w:p w14:paraId="21175318" w14:textId="77777777" w:rsidR="00526B6B" w:rsidRPr="007E3317" w:rsidRDefault="00526B6B" w:rsidP="007E3317">
            <w:pPr>
              <w:pStyle w:val="TableText0"/>
              <w:widowControl w:val="0"/>
              <w:jc w:val="center"/>
            </w:pPr>
            <w:r w:rsidRPr="007E3317">
              <w:t>29.6% (23.5, 0.360)</w:t>
            </w:r>
          </w:p>
        </w:tc>
        <w:tc>
          <w:tcPr>
            <w:tcW w:w="803" w:type="pct"/>
            <w:gridSpan w:val="3"/>
            <w:tcBorders>
              <w:left w:val="single" w:sz="4" w:space="0" w:color="auto"/>
              <w:bottom w:val="single" w:sz="4" w:space="0" w:color="auto"/>
              <w:right w:val="single" w:sz="4" w:space="0" w:color="auto"/>
            </w:tcBorders>
            <w:shd w:val="clear" w:color="auto" w:fill="auto"/>
            <w:vAlign w:val="center"/>
          </w:tcPr>
          <w:p w14:paraId="16DB822F" w14:textId="77777777" w:rsidR="00526B6B" w:rsidRPr="00D379EA" w:rsidRDefault="00526B6B" w:rsidP="007E3317">
            <w:pPr>
              <w:pStyle w:val="TableText0"/>
              <w:widowControl w:val="0"/>
              <w:jc w:val="center"/>
            </w:pPr>
            <w:r w:rsidRPr="00D379EA">
              <w:t>38.6%</w:t>
            </w:r>
          </w:p>
        </w:tc>
        <w:tc>
          <w:tcPr>
            <w:tcW w:w="758" w:type="pct"/>
            <w:gridSpan w:val="2"/>
            <w:vMerge/>
            <w:tcBorders>
              <w:left w:val="single" w:sz="4" w:space="0" w:color="auto"/>
            </w:tcBorders>
            <w:shd w:val="clear" w:color="auto" w:fill="auto"/>
            <w:vAlign w:val="center"/>
          </w:tcPr>
          <w:p w14:paraId="7E1DFCF8" w14:textId="77777777" w:rsidR="00526B6B" w:rsidRPr="007E3317" w:rsidRDefault="00526B6B" w:rsidP="007E3317">
            <w:pPr>
              <w:pStyle w:val="TableText0"/>
              <w:widowControl w:val="0"/>
              <w:jc w:val="center"/>
              <w:rPr>
                <w:b/>
              </w:rPr>
            </w:pPr>
          </w:p>
        </w:tc>
      </w:tr>
      <w:tr w:rsidR="00526B6B" w:rsidRPr="00D379EA" w14:paraId="50E29B3B" w14:textId="77777777" w:rsidTr="00CE3EC2">
        <w:trPr>
          <w:trHeight w:val="20"/>
        </w:trPr>
        <w:tc>
          <w:tcPr>
            <w:tcW w:w="1491" w:type="pct"/>
            <w:gridSpan w:val="3"/>
            <w:tcBorders>
              <w:bottom w:val="single" w:sz="4" w:space="0" w:color="auto"/>
              <w:right w:val="single" w:sz="4" w:space="0" w:color="auto"/>
            </w:tcBorders>
            <w:shd w:val="clear" w:color="auto" w:fill="auto"/>
            <w:vAlign w:val="center"/>
          </w:tcPr>
          <w:p w14:paraId="184A3435" w14:textId="77777777" w:rsidR="00526B6B" w:rsidRPr="00D379EA" w:rsidRDefault="00526B6B" w:rsidP="007E3317">
            <w:pPr>
              <w:pStyle w:val="TableText0"/>
              <w:widowControl w:val="0"/>
            </w:pPr>
            <w:r w:rsidRPr="00D379EA">
              <w:t>36-month event-free rate (95% CI)</w:t>
            </w:r>
          </w:p>
        </w:tc>
        <w:tc>
          <w:tcPr>
            <w:tcW w:w="852" w:type="pct"/>
            <w:gridSpan w:val="2"/>
            <w:tcBorders>
              <w:left w:val="single" w:sz="4" w:space="0" w:color="auto"/>
              <w:bottom w:val="single" w:sz="4" w:space="0" w:color="auto"/>
              <w:right w:val="single" w:sz="4" w:space="0" w:color="auto"/>
            </w:tcBorders>
            <w:shd w:val="clear" w:color="auto" w:fill="auto"/>
            <w:vAlign w:val="center"/>
          </w:tcPr>
          <w:p w14:paraId="71C19A2F" w14:textId="77777777" w:rsidR="00526B6B" w:rsidRPr="00D379EA" w:rsidRDefault="00526B6B" w:rsidP="007E3317">
            <w:pPr>
              <w:pStyle w:val="TableText0"/>
              <w:widowControl w:val="0"/>
              <w:jc w:val="center"/>
            </w:pPr>
            <w:r w:rsidRPr="007E3317">
              <w:t>51.4% (44.3, 58.1)</w:t>
            </w:r>
          </w:p>
        </w:tc>
        <w:tc>
          <w:tcPr>
            <w:tcW w:w="1096" w:type="pct"/>
            <w:gridSpan w:val="2"/>
            <w:tcBorders>
              <w:left w:val="single" w:sz="4" w:space="0" w:color="auto"/>
              <w:bottom w:val="single" w:sz="4" w:space="0" w:color="auto"/>
              <w:right w:val="single" w:sz="4" w:space="0" w:color="auto"/>
            </w:tcBorders>
            <w:shd w:val="clear" w:color="auto" w:fill="auto"/>
            <w:vAlign w:val="center"/>
          </w:tcPr>
          <w:p w14:paraId="2B450179" w14:textId="77777777" w:rsidR="00526B6B" w:rsidRPr="007E3317" w:rsidRDefault="00526B6B" w:rsidP="007E3317">
            <w:pPr>
              <w:pStyle w:val="TableText0"/>
              <w:widowControl w:val="0"/>
              <w:jc w:val="center"/>
            </w:pPr>
            <w:r w:rsidRPr="007E3317">
              <w:t>16.5% (0.055, 0.327)</w:t>
            </w:r>
          </w:p>
        </w:tc>
        <w:tc>
          <w:tcPr>
            <w:tcW w:w="803" w:type="pct"/>
            <w:gridSpan w:val="3"/>
            <w:tcBorders>
              <w:left w:val="single" w:sz="4" w:space="0" w:color="auto"/>
              <w:bottom w:val="single" w:sz="4" w:space="0" w:color="auto"/>
              <w:right w:val="single" w:sz="4" w:space="0" w:color="auto"/>
            </w:tcBorders>
            <w:shd w:val="clear" w:color="auto" w:fill="auto"/>
            <w:vAlign w:val="center"/>
          </w:tcPr>
          <w:p w14:paraId="1156574D" w14:textId="77777777" w:rsidR="00526B6B" w:rsidRPr="00D379EA" w:rsidRDefault="00526B6B" w:rsidP="007E3317">
            <w:pPr>
              <w:pStyle w:val="TableText0"/>
              <w:widowControl w:val="0"/>
              <w:jc w:val="center"/>
            </w:pPr>
            <w:r w:rsidRPr="00D379EA">
              <w:t>34.9%</w:t>
            </w:r>
          </w:p>
        </w:tc>
        <w:tc>
          <w:tcPr>
            <w:tcW w:w="758" w:type="pct"/>
            <w:gridSpan w:val="2"/>
            <w:vMerge/>
            <w:tcBorders>
              <w:left w:val="single" w:sz="4" w:space="0" w:color="auto"/>
            </w:tcBorders>
            <w:shd w:val="clear" w:color="auto" w:fill="auto"/>
            <w:vAlign w:val="center"/>
          </w:tcPr>
          <w:p w14:paraId="385FDE5E" w14:textId="77777777" w:rsidR="00526B6B" w:rsidRPr="007E3317" w:rsidRDefault="00526B6B" w:rsidP="007E3317">
            <w:pPr>
              <w:pStyle w:val="TableText0"/>
              <w:widowControl w:val="0"/>
              <w:jc w:val="center"/>
              <w:rPr>
                <w:b/>
              </w:rPr>
            </w:pPr>
          </w:p>
        </w:tc>
      </w:tr>
      <w:tr w:rsidR="00526B6B" w:rsidRPr="00D379EA" w14:paraId="207C0DDE" w14:textId="77777777" w:rsidTr="00CE3EC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06A1388" w14:textId="77777777" w:rsidR="00526B6B" w:rsidRPr="007E3317" w:rsidRDefault="00526B6B" w:rsidP="007E3317">
            <w:pPr>
              <w:pStyle w:val="TableText0"/>
              <w:widowControl w:val="0"/>
              <w:rPr>
                <w:b/>
              </w:rPr>
            </w:pPr>
            <w:r w:rsidRPr="007E3317">
              <w:rPr>
                <w:b/>
              </w:rPr>
              <w:t>Overall survival (median duration of follow up 52.0 months)</w:t>
            </w:r>
          </w:p>
        </w:tc>
      </w:tr>
      <w:tr w:rsidR="00526B6B" w:rsidRPr="00D379EA" w14:paraId="3F372CFB" w14:textId="77777777" w:rsidTr="00CE3EC2">
        <w:trPr>
          <w:trHeight w:val="20"/>
        </w:trPr>
        <w:tc>
          <w:tcPr>
            <w:tcW w:w="14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2CBFBC" w14:textId="77777777" w:rsidR="00526B6B" w:rsidRPr="00D379EA" w:rsidRDefault="00526B6B" w:rsidP="007E3317">
            <w:pPr>
              <w:pStyle w:val="TableText0"/>
              <w:widowControl w:val="0"/>
            </w:pPr>
            <w:r w:rsidRPr="00D379EA">
              <w:t>Deaths, n/N (%)</w:t>
            </w:r>
          </w:p>
        </w:tc>
        <w:tc>
          <w:tcPr>
            <w:tcW w:w="8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47115" w14:textId="77777777" w:rsidR="00526B6B" w:rsidRPr="00D379EA" w:rsidRDefault="00526B6B" w:rsidP="007E3317">
            <w:pPr>
              <w:pStyle w:val="TableText0"/>
              <w:widowControl w:val="0"/>
              <w:jc w:val="center"/>
            </w:pPr>
            <w:r w:rsidRPr="00D379EA">
              <w:t>154 (38.4%)</w:t>
            </w:r>
          </w:p>
        </w:tc>
        <w:tc>
          <w:tcPr>
            <w:tcW w:w="1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2E7AE" w14:textId="77777777" w:rsidR="00526B6B" w:rsidRPr="00D379EA" w:rsidRDefault="00526B6B" w:rsidP="007E3317">
            <w:pPr>
              <w:pStyle w:val="TableText0"/>
              <w:widowControl w:val="0"/>
              <w:jc w:val="center"/>
            </w:pPr>
            <w:r w:rsidRPr="00D379EA">
              <w:t>274 (34.0%)</w:t>
            </w:r>
          </w:p>
        </w:tc>
        <w:tc>
          <w:tcPr>
            <w:tcW w:w="8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EC8C3" w14:textId="77777777" w:rsidR="00526B6B" w:rsidRPr="00D379EA" w:rsidRDefault="00526B6B" w:rsidP="007E3317">
            <w:pPr>
              <w:pStyle w:val="TableText0"/>
              <w:widowControl w:val="0"/>
              <w:jc w:val="center"/>
            </w:pPr>
            <w:r w:rsidRPr="00D379EA">
              <w:t>-</w:t>
            </w:r>
          </w:p>
        </w:tc>
        <w:tc>
          <w:tcPr>
            <w:tcW w:w="758" w:type="pct"/>
            <w:gridSpan w:val="2"/>
            <w:vMerge w:val="restart"/>
            <w:tcBorders>
              <w:top w:val="single" w:sz="4" w:space="0" w:color="auto"/>
              <w:left w:val="single" w:sz="4" w:space="0" w:color="auto"/>
              <w:right w:val="single" w:sz="4" w:space="0" w:color="auto"/>
            </w:tcBorders>
            <w:shd w:val="clear" w:color="auto" w:fill="auto"/>
            <w:vAlign w:val="center"/>
          </w:tcPr>
          <w:p w14:paraId="7298D6C6" w14:textId="77777777" w:rsidR="00526B6B" w:rsidRPr="007E3317" w:rsidRDefault="00526B6B" w:rsidP="007E3317">
            <w:pPr>
              <w:pStyle w:val="TableText0"/>
              <w:widowControl w:val="0"/>
              <w:jc w:val="center"/>
              <w:rPr>
                <w:b/>
              </w:rPr>
            </w:pPr>
            <w:r w:rsidRPr="007E3317">
              <w:rPr>
                <w:b/>
              </w:rPr>
              <w:t>0.784</w:t>
            </w:r>
          </w:p>
          <w:p w14:paraId="6C746662" w14:textId="77777777" w:rsidR="00526B6B" w:rsidRPr="007E3317" w:rsidRDefault="00526B6B" w:rsidP="007E3317">
            <w:pPr>
              <w:pStyle w:val="TableText0"/>
              <w:widowControl w:val="0"/>
              <w:jc w:val="center"/>
              <w:rPr>
                <w:b/>
              </w:rPr>
            </w:pPr>
            <w:r w:rsidRPr="007E3317">
              <w:rPr>
                <w:b/>
              </w:rPr>
              <w:t>(0.643, 0.956)</w:t>
            </w:r>
          </w:p>
          <w:p w14:paraId="4888B290" w14:textId="77777777" w:rsidR="00526B6B" w:rsidRPr="007E3317" w:rsidRDefault="00526B6B" w:rsidP="007E3317">
            <w:pPr>
              <w:pStyle w:val="TableText0"/>
              <w:widowControl w:val="0"/>
              <w:jc w:val="center"/>
              <w:rPr>
                <w:b/>
              </w:rPr>
            </w:pPr>
            <w:r w:rsidRPr="007E3317">
              <w:rPr>
                <w:b/>
              </w:rPr>
              <w:t>p=0.0161</w:t>
            </w:r>
          </w:p>
        </w:tc>
      </w:tr>
      <w:tr w:rsidR="00526B6B" w:rsidRPr="00D379EA" w14:paraId="64A29EDD" w14:textId="77777777" w:rsidTr="00CE3EC2">
        <w:trPr>
          <w:trHeight w:val="153"/>
        </w:trPr>
        <w:tc>
          <w:tcPr>
            <w:tcW w:w="14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C57DE3" w14:textId="77777777" w:rsidR="00526B6B" w:rsidRPr="00D379EA" w:rsidRDefault="00526B6B" w:rsidP="007E3317">
            <w:pPr>
              <w:pStyle w:val="TableText0"/>
              <w:widowControl w:val="0"/>
            </w:pPr>
            <w:r w:rsidRPr="00D379EA">
              <w:t>Median OS, months (95% CI)</w:t>
            </w:r>
          </w:p>
        </w:tc>
        <w:tc>
          <w:tcPr>
            <w:tcW w:w="8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B4C1A" w14:textId="77777777" w:rsidR="00526B6B" w:rsidRPr="007E3317" w:rsidRDefault="00526B6B" w:rsidP="007E3317">
            <w:pPr>
              <w:pStyle w:val="TableText0"/>
              <w:widowControl w:val="0"/>
              <w:jc w:val="center"/>
            </w:pPr>
            <w:r w:rsidRPr="00D379EA">
              <w:t>59.89 (52.80, NE)</w:t>
            </w:r>
          </w:p>
        </w:tc>
        <w:tc>
          <w:tcPr>
            <w:tcW w:w="1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344BA" w14:textId="77777777" w:rsidR="00526B6B" w:rsidRPr="007E3317" w:rsidRDefault="00526B6B" w:rsidP="007E3317">
            <w:pPr>
              <w:pStyle w:val="TableText0"/>
              <w:widowControl w:val="0"/>
              <w:jc w:val="center"/>
            </w:pPr>
            <w:r w:rsidRPr="00D379EA">
              <w:t>73.86 (61.21, NE)</w:t>
            </w:r>
          </w:p>
        </w:tc>
        <w:tc>
          <w:tcPr>
            <w:tcW w:w="8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10981E" w14:textId="77777777" w:rsidR="00526B6B" w:rsidRPr="00D379EA" w:rsidRDefault="00526B6B" w:rsidP="007E3317">
            <w:pPr>
              <w:pStyle w:val="TableText0"/>
              <w:widowControl w:val="0"/>
              <w:jc w:val="center"/>
            </w:pPr>
            <w:r w:rsidRPr="00D379EA">
              <w:t>-13.97 months</w:t>
            </w:r>
          </w:p>
        </w:tc>
        <w:tc>
          <w:tcPr>
            <w:tcW w:w="758" w:type="pct"/>
            <w:gridSpan w:val="2"/>
            <w:vMerge/>
            <w:tcBorders>
              <w:left w:val="single" w:sz="4" w:space="0" w:color="auto"/>
              <w:right w:val="single" w:sz="4" w:space="0" w:color="auto"/>
            </w:tcBorders>
            <w:shd w:val="clear" w:color="auto" w:fill="auto"/>
            <w:vAlign w:val="center"/>
          </w:tcPr>
          <w:p w14:paraId="49A89D2D" w14:textId="77777777" w:rsidR="00526B6B" w:rsidRPr="007E3317" w:rsidRDefault="00526B6B" w:rsidP="007E3317">
            <w:pPr>
              <w:pStyle w:val="TableText0"/>
              <w:widowControl w:val="0"/>
              <w:jc w:val="center"/>
            </w:pPr>
          </w:p>
        </w:tc>
      </w:tr>
      <w:tr w:rsidR="00526B6B" w:rsidRPr="00D379EA" w14:paraId="39188125" w14:textId="77777777" w:rsidTr="00CE3EC2">
        <w:trPr>
          <w:trHeight w:val="20"/>
        </w:trPr>
        <w:tc>
          <w:tcPr>
            <w:tcW w:w="1491" w:type="pct"/>
            <w:gridSpan w:val="3"/>
            <w:tcBorders>
              <w:top w:val="single" w:sz="4" w:space="0" w:color="auto"/>
              <w:left w:val="single" w:sz="4" w:space="0" w:color="auto"/>
              <w:bottom w:val="double" w:sz="4" w:space="0" w:color="auto"/>
              <w:right w:val="single" w:sz="4" w:space="0" w:color="auto"/>
            </w:tcBorders>
            <w:shd w:val="clear" w:color="auto" w:fill="auto"/>
            <w:vAlign w:val="center"/>
          </w:tcPr>
          <w:p w14:paraId="4DB5641E" w14:textId="77777777" w:rsidR="00526B6B" w:rsidRPr="00D379EA" w:rsidRDefault="00526B6B" w:rsidP="007E3317">
            <w:pPr>
              <w:pStyle w:val="TableText0"/>
              <w:widowControl w:val="0"/>
            </w:pPr>
            <w:r w:rsidRPr="00D379EA">
              <w:t>5-year survival rate (95% CI)</w:t>
            </w:r>
          </w:p>
        </w:tc>
        <w:tc>
          <w:tcPr>
            <w:tcW w:w="852"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42CEB8F3" w14:textId="77777777" w:rsidR="00526B6B" w:rsidRPr="00D379EA" w:rsidRDefault="00526B6B" w:rsidP="007E3317">
            <w:pPr>
              <w:pStyle w:val="TableText0"/>
              <w:widowControl w:val="0"/>
              <w:jc w:val="center"/>
            </w:pPr>
            <w:r w:rsidRPr="00D379EA">
              <w:t>49.4% (42.6, 55.9)</w:t>
            </w:r>
          </w:p>
        </w:tc>
        <w:tc>
          <w:tcPr>
            <w:tcW w:w="1096"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0F9A2B41" w14:textId="77777777" w:rsidR="00526B6B" w:rsidRPr="007E3317" w:rsidRDefault="00526B6B" w:rsidP="007E3317">
            <w:pPr>
              <w:pStyle w:val="TableText0"/>
              <w:widowControl w:val="0"/>
              <w:jc w:val="center"/>
            </w:pPr>
            <w:r w:rsidRPr="00D379EA">
              <w:t>55.9 (51.1, 60.4)</w:t>
            </w:r>
          </w:p>
        </w:tc>
        <w:tc>
          <w:tcPr>
            <w:tcW w:w="803" w:type="pct"/>
            <w:gridSpan w:val="3"/>
            <w:tcBorders>
              <w:top w:val="single" w:sz="4" w:space="0" w:color="auto"/>
              <w:left w:val="single" w:sz="4" w:space="0" w:color="auto"/>
              <w:bottom w:val="double" w:sz="4" w:space="0" w:color="auto"/>
              <w:right w:val="single" w:sz="4" w:space="0" w:color="auto"/>
            </w:tcBorders>
            <w:shd w:val="clear" w:color="auto" w:fill="auto"/>
            <w:vAlign w:val="center"/>
          </w:tcPr>
          <w:p w14:paraId="287A2273" w14:textId="77777777" w:rsidR="00526B6B" w:rsidRPr="00D379EA" w:rsidRDefault="00526B6B" w:rsidP="007E3317">
            <w:pPr>
              <w:pStyle w:val="TableText0"/>
              <w:widowControl w:val="0"/>
              <w:jc w:val="center"/>
            </w:pPr>
            <w:r w:rsidRPr="00D379EA">
              <w:t>-6.5%</w:t>
            </w:r>
          </w:p>
        </w:tc>
        <w:tc>
          <w:tcPr>
            <w:tcW w:w="758" w:type="pct"/>
            <w:gridSpan w:val="2"/>
            <w:vMerge/>
            <w:tcBorders>
              <w:left w:val="single" w:sz="4" w:space="0" w:color="auto"/>
              <w:bottom w:val="double" w:sz="4" w:space="0" w:color="auto"/>
              <w:right w:val="single" w:sz="4" w:space="0" w:color="auto"/>
            </w:tcBorders>
            <w:shd w:val="clear" w:color="auto" w:fill="auto"/>
            <w:vAlign w:val="center"/>
          </w:tcPr>
          <w:p w14:paraId="70885457" w14:textId="77777777" w:rsidR="00526B6B" w:rsidRPr="00D379EA" w:rsidRDefault="00526B6B" w:rsidP="007E3317">
            <w:pPr>
              <w:pStyle w:val="TableText0"/>
              <w:widowControl w:val="0"/>
              <w:jc w:val="center"/>
            </w:pPr>
          </w:p>
        </w:tc>
      </w:tr>
      <w:tr w:rsidR="00526B6B" w:rsidRPr="00D379EA" w14:paraId="56C88F9F" w14:textId="77777777" w:rsidTr="00CE3EC2">
        <w:trPr>
          <w:trHeight w:val="20"/>
        </w:trPr>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14:paraId="7C1F45E0" w14:textId="77777777" w:rsidR="00526B6B" w:rsidRPr="007E3317" w:rsidRDefault="00526B6B" w:rsidP="007E3317">
            <w:pPr>
              <w:pStyle w:val="TableText0"/>
              <w:widowControl w:val="0"/>
              <w:rPr>
                <w:b/>
              </w:rPr>
            </w:pPr>
            <w:r w:rsidRPr="007E3317">
              <w:rPr>
                <w:b/>
              </w:rPr>
              <w:t>Harms</w:t>
            </w:r>
          </w:p>
        </w:tc>
      </w:tr>
      <w:tr w:rsidR="00526B6B" w:rsidRPr="00D379EA" w14:paraId="720473AF" w14:textId="77777777" w:rsidTr="00CE3EC2">
        <w:trPr>
          <w:gridAfter w:val="1"/>
          <w:wAfter w:w="6" w:type="pct"/>
          <w:trHeight w:val="211"/>
        </w:trPr>
        <w:tc>
          <w:tcPr>
            <w:tcW w:w="700" w:type="pct"/>
            <w:vMerge w:val="restart"/>
            <w:tcBorders>
              <w:top w:val="single" w:sz="4" w:space="0" w:color="auto"/>
              <w:left w:val="single" w:sz="4" w:space="0" w:color="auto"/>
              <w:right w:val="single" w:sz="4" w:space="0" w:color="auto"/>
            </w:tcBorders>
            <w:shd w:val="clear" w:color="auto" w:fill="auto"/>
            <w:vAlign w:val="center"/>
          </w:tcPr>
          <w:p w14:paraId="673A9A4E" w14:textId="77777777" w:rsidR="00526B6B" w:rsidRPr="007E3317" w:rsidRDefault="00526B6B" w:rsidP="007E3317">
            <w:pPr>
              <w:pStyle w:val="TableText0"/>
              <w:widowControl w:val="0"/>
              <w:rPr>
                <w:b/>
              </w:rPr>
            </w:pPr>
            <w:r w:rsidRPr="007E3317">
              <w:rPr>
                <w:b/>
              </w:rPr>
              <w:t>SPARTAN</w:t>
            </w:r>
          </w:p>
        </w:tc>
        <w:tc>
          <w:tcPr>
            <w:tcW w:w="624" w:type="pct"/>
            <w:vMerge w:val="restart"/>
            <w:tcBorders>
              <w:top w:val="single" w:sz="4" w:space="0" w:color="auto"/>
              <w:left w:val="single" w:sz="4" w:space="0" w:color="auto"/>
              <w:right w:val="single" w:sz="4" w:space="0" w:color="auto"/>
            </w:tcBorders>
            <w:shd w:val="clear" w:color="auto" w:fill="auto"/>
            <w:vAlign w:val="center"/>
          </w:tcPr>
          <w:p w14:paraId="4E3E907B" w14:textId="77777777" w:rsidR="00526B6B" w:rsidRPr="007E3317" w:rsidRDefault="00526B6B" w:rsidP="007E3317">
            <w:pPr>
              <w:pStyle w:val="In-tableHeading"/>
              <w:jc w:val="center"/>
              <w:rPr>
                <w:rFonts w:cstheme="majorBidi"/>
                <w:bCs/>
                <w:lang w:val="en-AU"/>
              </w:rPr>
            </w:pPr>
            <w:r w:rsidRPr="007E3317">
              <w:rPr>
                <w:rFonts w:cstheme="majorBidi"/>
                <w:bCs/>
                <w:lang w:val="en-AU"/>
              </w:rPr>
              <w:t>Apalutamide</w:t>
            </w:r>
          </w:p>
          <w:p w14:paraId="513998F9" w14:textId="77777777" w:rsidR="00526B6B" w:rsidRPr="007E3317" w:rsidRDefault="00526B6B" w:rsidP="007E3317">
            <w:pPr>
              <w:pStyle w:val="TableText0"/>
              <w:widowControl w:val="0"/>
              <w:jc w:val="center"/>
              <w:rPr>
                <w:b/>
              </w:rPr>
            </w:pPr>
            <w:r w:rsidRPr="007E3317">
              <w:rPr>
                <w:b/>
              </w:rPr>
              <w:t>n/N</w:t>
            </w:r>
          </w:p>
        </w:tc>
        <w:tc>
          <w:tcPr>
            <w:tcW w:w="701" w:type="pct"/>
            <w:gridSpan w:val="2"/>
            <w:vMerge w:val="restart"/>
            <w:tcBorders>
              <w:top w:val="single" w:sz="4" w:space="0" w:color="auto"/>
              <w:left w:val="single" w:sz="4" w:space="0" w:color="auto"/>
              <w:right w:val="single" w:sz="4" w:space="0" w:color="auto"/>
            </w:tcBorders>
            <w:shd w:val="clear" w:color="auto" w:fill="auto"/>
            <w:vAlign w:val="center"/>
          </w:tcPr>
          <w:p w14:paraId="29AE5D94" w14:textId="77777777" w:rsidR="00526B6B" w:rsidRPr="007E3317" w:rsidRDefault="00526B6B" w:rsidP="007E3317">
            <w:pPr>
              <w:pStyle w:val="In-tableHeading"/>
              <w:jc w:val="center"/>
              <w:rPr>
                <w:rFonts w:cstheme="majorBidi"/>
                <w:bCs/>
                <w:lang w:val="en-AU"/>
              </w:rPr>
            </w:pPr>
            <w:r w:rsidRPr="007E3317">
              <w:rPr>
                <w:rFonts w:cstheme="majorBidi"/>
                <w:bCs/>
                <w:lang w:val="en-AU"/>
              </w:rPr>
              <w:t>Placebo</w:t>
            </w:r>
          </w:p>
          <w:p w14:paraId="2148B76E" w14:textId="77777777" w:rsidR="00526B6B" w:rsidRPr="007E3317" w:rsidRDefault="00526B6B" w:rsidP="007E3317">
            <w:pPr>
              <w:pStyle w:val="TableText0"/>
              <w:widowControl w:val="0"/>
              <w:jc w:val="center"/>
              <w:rPr>
                <w:b/>
              </w:rPr>
            </w:pPr>
            <w:r w:rsidRPr="007E3317">
              <w:rPr>
                <w:b/>
              </w:rPr>
              <w:t>n/N</w:t>
            </w:r>
          </w:p>
        </w:tc>
        <w:tc>
          <w:tcPr>
            <w:tcW w:w="858" w:type="pct"/>
            <w:gridSpan w:val="2"/>
            <w:vMerge w:val="restart"/>
            <w:tcBorders>
              <w:top w:val="single" w:sz="4" w:space="0" w:color="auto"/>
              <w:left w:val="single" w:sz="4" w:space="0" w:color="auto"/>
              <w:right w:val="single" w:sz="4" w:space="0" w:color="auto"/>
            </w:tcBorders>
            <w:shd w:val="clear" w:color="auto" w:fill="auto"/>
            <w:vAlign w:val="center"/>
          </w:tcPr>
          <w:p w14:paraId="7DB1C76E" w14:textId="77777777" w:rsidR="00526B6B" w:rsidRPr="007E3317" w:rsidRDefault="00526B6B" w:rsidP="007E3317">
            <w:pPr>
              <w:pStyle w:val="In-tableHeading"/>
              <w:jc w:val="center"/>
              <w:rPr>
                <w:rFonts w:cstheme="majorBidi"/>
                <w:bCs/>
                <w:lang w:val="en-AU"/>
              </w:rPr>
            </w:pPr>
            <w:r w:rsidRPr="007E3317">
              <w:rPr>
                <w:rFonts w:cstheme="majorBidi"/>
                <w:bCs/>
                <w:lang w:val="en-AU"/>
              </w:rPr>
              <w:t>RR</w:t>
            </w:r>
          </w:p>
          <w:p w14:paraId="283CCA50" w14:textId="77777777" w:rsidR="00526B6B" w:rsidRPr="007E3317" w:rsidRDefault="00526B6B" w:rsidP="007E3317">
            <w:pPr>
              <w:pStyle w:val="TableText0"/>
              <w:widowControl w:val="0"/>
              <w:jc w:val="center"/>
              <w:rPr>
                <w:b/>
              </w:rPr>
            </w:pPr>
            <w:r w:rsidRPr="007E3317">
              <w:rPr>
                <w:b/>
              </w:rPr>
              <w:t>(95% CI)</w:t>
            </w:r>
          </w:p>
        </w:tc>
        <w:tc>
          <w:tcPr>
            <w:tcW w:w="1280" w:type="pct"/>
            <w:gridSpan w:val="3"/>
            <w:tcBorders>
              <w:top w:val="single" w:sz="4" w:space="0" w:color="auto"/>
              <w:left w:val="single" w:sz="4" w:space="0" w:color="auto"/>
              <w:right w:val="single" w:sz="4" w:space="0" w:color="auto"/>
            </w:tcBorders>
            <w:shd w:val="clear" w:color="auto" w:fill="auto"/>
            <w:vAlign w:val="center"/>
          </w:tcPr>
          <w:p w14:paraId="3F2A2293" w14:textId="77777777" w:rsidR="00526B6B" w:rsidRPr="00AD6D36" w:rsidRDefault="00526B6B" w:rsidP="007E3317">
            <w:pPr>
              <w:pStyle w:val="TableText0"/>
              <w:widowControl w:val="0"/>
              <w:jc w:val="center"/>
              <w:rPr>
                <w:b/>
              </w:rPr>
            </w:pPr>
            <w:r w:rsidRPr="00AD6D36">
              <w:rPr>
                <w:b/>
              </w:rPr>
              <w:t>Events/100 patients</w:t>
            </w:r>
          </w:p>
        </w:tc>
        <w:tc>
          <w:tcPr>
            <w:tcW w:w="831" w:type="pct"/>
            <w:gridSpan w:val="2"/>
            <w:vMerge w:val="restart"/>
            <w:tcBorders>
              <w:top w:val="single" w:sz="4" w:space="0" w:color="auto"/>
              <w:left w:val="single" w:sz="4" w:space="0" w:color="auto"/>
              <w:right w:val="single" w:sz="4" w:space="0" w:color="auto"/>
            </w:tcBorders>
            <w:shd w:val="clear" w:color="auto" w:fill="auto"/>
            <w:vAlign w:val="center"/>
          </w:tcPr>
          <w:p w14:paraId="4E7D2E21" w14:textId="77777777" w:rsidR="00526B6B" w:rsidRPr="007E3317" w:rsidRDefault="00526B6B" w:rsidP="007E3317">
            <w:pPr>
              <w:pStyle w:val="TableText0"/>
              <w:widowControl w:val="0"/>
              <w:jc w:val="center"/>
              <w:rPr>
                <w:b/>
              </w:rPr>
            </w:pPr>
            <w:r w:rsidRPr="007E3317">
              <w:rPr>
                <w:b/>
              </w:rPr>
              <w:t>RD</w:t>
            </w:r>
          </w:p>
          <w:p w14:paraId="335F81D4" w14:textId="77777777" w:rsidR="00526B6B" w:rsidRPr="007E3317" w:rsidRDefault="00526B6B" w:rsidP="007E3317">
            <w:pPr>
              <w:pStyle w:val="TableText0"/>
              <w:widowControl w:val="0"/>
              <w:jc w:val="center"/>
              <w:rPr>
                <w:b/>
              </w:rPr>
            </w:pPr>
            <w:r w:rsidRPr="007E3317">
              <w:rPr>
                <w:b/>
              </w:rPr>
              <w:t>(95%</w:t>
            </w:r>
            <w:r w:rsidR="00AD6D36">
              <w:rPr>
                <w:b/>
              </w:rPr>
              <w:t xml:space="preserve"> </w:t>
            </w:r>
            <w:r w:rsidRPr="007E3317">
              <w:rPr>
                <w:b/>
              </w:rPr>
              <w:t>CI)</w:t>
            </w:r>
          </w:p>
        </w:tc>
      </w:tr>
      <w:tr w:rsidR="00526B6B" w:rsidRPr="00D379EA" w14:paraId="597855DA" w14:textId="77777777" w:rsidTr="00CE3EC2">
        <w:trPr>
          <w:gridAfter w:val="1"/>
          <w:wAfter w:w="6" w:type="pct"/>
          <w:trHeight w:val="210"/>
        </w:trPr>
        <w:tc>
          <w:tcPr>
            <w:tcW w:w="700" w:type="pct"/>
            <w:vMerge/>
            <w:tcBorders>
              <w:left w:val="single" w:sz="4" w:space="0" w:color="auto"/>
              <w:right w:val="single" w:sz="4" w:space="0" w:color="auto"/>
            </w:tcBorders>
            <w:shd w:val="clear" w:color="auto" w:fill="auto"/>
            <w:vAlign w:val="center"/>
          </w:tcPr>
          <w:p w14:paraId="2FD70054" w14:textId="77777777" w:rsidR="00526B6B" w:rsidRPr="007E3317" w:rsidRDefault="00526B6B" w:rsidP="007E3317">
            <w:pPr>
              <w:pStyle w:val="TableText0"/>
              <w:widowControl w:val="0"/>
            </w:pPr>
          </w:p>
        </w:tc>
        <w:tc>
          <w:tcPr>
            <w:tcW w:w="624" w:type="pct"/>
            <w:vMerge/>
            <w:tcBorders>
              <w:left w:val="single" w:sz="4" w:space="0" w:color="auto"/>
              <w:right w:val="single" w:sz="4" w:space="0" w:color="auto"/>
            </w:tcBorders>
            <w:shd w:val="clear" w:color="auto" w:fill="auto"/>
            <w:vAlign w:val="center"/>
          </w:tcPr>
          <w:p w14:paraId="663464D0" w14:textId="77777777" w:rsidR="00526B6B" w:rsidRPr="007E3317" w:rsidRDefault="00526B6B" w:rsidP="007E3317">
            <w:pPr>
              <w:pStyle w:val="In-tableHeading"/>
              <w:jc w:val="center"/>
              <w:rPr>
                <w:rFonts w:cstheme="majorBidi"/>
                <w:b w:val="0"/>
                <w:bCs/>
                <w:lang w:val="en-AU"/>
              </w:rPr>
            </w:pPr>
          </w:p>
        </w:tc>
        <w:tc>
          <w:tcPr>
            <w:tcW w:w="701" w:type="pct"/>
            <w:gridSpan w:val="2"/>
            <w:vMerge/>
            <w:tcBorders>
              <w:left w:val="single" w:sz="4" w:space="0" w:color="auto"/>
              <w:right w:val="single" w:sz="4" w:space="0" w:color="auto"/>
            </w:tcBorders>
            <w:shd w:val="clear" w:color="auto" w:fill="auto"/>
            <w:vAlign w:val="center"/>
          </w:tcPr>
          <w:p w14:paraId="030C78A7" w14:textId="77777777" w:rsidR="00526B6B" w:rsidRPr="007E3317" w:rsidRDefault="00526B6B" w:rsidP="007E3317">
            <w:pPr>
              <w:pStyle w:val="In-tableHeading"/>
              <w:jc w:val="center"/>
              <w:rPr>
                <w:rFonts w:cstheme="majorBidi"/>
                <w:b w:val="0"/>
                <w:bCs/>
                <w:lang w:val="en-AU"/>
              </w:rPr>
            </w:pPr>
          </w:p>
        </w:tc>
        <w:tc>
          <w:tcPr>
            <w:tcW w:w="858" w:type="pct"/>
            <w:gridSpan w:val="2"/>
            <w:vMerge/>
            <w:tcBorders>
              <w:left w:val="single" w:sz="4" w:space="0" w:color="auto"/>
              <w:right w:val="single" w:sz="4" w:space="0" w:color="auto"/>
            </w:tcBorders>
            <w:shd w:val="clear" w:color="auto" w:fill="auto"/>
            <w:vAlign w:val="center"/>
          </w:tcPr>
          <w:p w14:paraId="107D402A" w14:textId="77777777" w:rsidR="00526B6B" w:rsidRPr="007E3317" w:rsidRDefault="00526B6B" w:rsidP="007E3317">
            <w:pPr>
              <w:pStyle w:val="In-tableHeading"/>
              <w:jc w:val="center"/>
              <w:rPr>
                <w:rFonts w:cstheme="majorBidi"/>
                <w:b w:val="0"/>
                <w:bCs/>
                <w:lang w:val="en-AU"/>
              </w:rPr>
            </w:pPr>
          </w:p>
        </w:tc>
        <w:tc>
          <w:tcPr>
            <w:tcW w:w="701" w:type="pct"/>
            <w:gridSpan w:val="2"/>
            <w:tcBorders>
              <w:top w:val="single" w:sz="4" w:space="0" w:color="auto"/>
              <w:left w:val="single" w:sz="4" w:space="0" w:color="auto"/>
              <w:right w:val="single" w:sz="4" w:space="0" w:color="auto"/>
            </w:tcBorders>
            <w:shd w:val="clear" w:color="auto" w:fill="auto"/>
            <w:vAlign w:val="center"/>
          </w:tcPr>
          <w:p w14:paraId="30134628" w14:textId="77777777" w:rsidR="00526B6B" w:rsidRPr="00AD6D36" w:rsidRDefault="00526B6B" w:rsidP="007E3317">
            <w:pPr>
              <w:pStyle w:val="TableText0"/>
              <w:widowControl w:val="0"/>
              <w:jc w:val="center"/>
              <w:rPr>
                <w:b/>
              </w:rPr>
            </w:pPr>
            <w:r w:rsidRPr="00AD6D36">
              <w:rPr>
                <w:b/>
              </w:rPr>
              <w:t>Apalutamide</w:t>
            </w:r>
          </w:p>
        </w:tc>
        <w:tc>
          <w:tcPr>
            <w:tcW w:w="579" w:type="pct"/>
            <w:tcBorders>
              <w:top w:val="single" w:sz="4" w:space="0" w:color="auto"/>
              <w:left w:val="single" w:sz="4" w:space="0" w:color="auto"/>
              <w:right w:val="single" w:sz="4" w:space="0" w:color="auto"/>
            </w:tcBorders>
            <w:shd w:val="clear" w:color="auto" w:fill="auto"/>
            <w:vAlign w:val="center"/>
          </w:tcPr>
          <w:p w14:paraId="6E772E2A" w14:textId="77777777" w:rsidR="00526B6B" w:rsidRPr="00AD6D36" w:rsidRDefault="00AD6D36" w:rsidP="007E3317">
            <w:pPr>
              <w:pStyle w:val="TableText0"/>
              <w:widowControl w:val="0"/>
              <w:jc w:val="center"/>
              <w:rPr>
                <w:b/>
              </w:rPr>
            </w:pPr>
            <w:r>
              <w:rPr>
                <w:b/>
              </w:rPr>
              <w:t>P</w:t>
            </w:r>
            <w:r w:rsidR="00526B6B" w:rsidRPr="00AD6D36">
              <w:rPr>
                <w:b/>
              </w:rPr>
              <w:t>lacebo</w:t>
            </w:r>
          </w:p>
        </w:tc>
        <w:tc>
          <w:tcPr>
            <w:tcW w:w="831" w:type="pct"/>
            <w:gridSpan w:val="2"/>
            <w:vMerge/>
            <w:tcBorders>
              <w:left w:val="single" w:sz="4" w:space="0" w:color="auto"/>
              <w:right w:val="single" w:sz="4" w:space="0" w:color="auto"/>
            </w:tcBorders>
            <w:shd w:val="clear" w:color="auto" w:fill="auto"/>
            <w:vAlign w:val="center"/>
          </w:tcPr>
          <w:p w14:paraId="6D3305F4" w14:textId="77777777" w:rsidR="00526B6B" w:rsidRPr="007E3317" w:rsidRDefault="00526B6B" w:rsidP="007E3317">
            <w:pPr>
              <w:pStyle w:val="TableText0"/>
              <w:widowControl w:val="0"/>
              <w:jc w:val="center"/>
            </w:pPr>
          </w:p>
        </w:tc>
      </w:tr>
      <w:tr w:rsidR="00526B6B" w:rsidRPr="00D379EA" w14:paraId="1333205B" w14:textId="77777777" w:rsidTr="00CE3EC2">
        <w:trPr>
          <w:gridAfter w:val="1"/>
          <w:wAfter w:w="6" w:type="pct"/>
          <w:trHeight w:val="215"/>
        </w:trPr>
        <w:tc>
          <w:tcPr>
            <w:tcW w:w="700" w:type="pct"/>
            <w:tcBorders>
              <w:top w:val="single" w:sz="4" w:space="0" w:color="auto"/>
              <w:left w:val="single" w:sz="4" w:space="0" w:color="auto"/>
              <w:right w:val="single" w:sz="4" w:space="0" w:color="auto"/>
            </w:tcBorders>
            <w:shd w:val="clear" w:color="auto" w:fill="auto"/>
            <w:vAlign w:val="center"/>
          </w:tcPr>
          <w:p w14:paraId="788281E8" w14:textId="77777777" w:rsidR="00526B6B" w:rsidRPr="007E3317" w:rsidRDefault="00526B6B" w:rsidP="007E3317">
            <w:pPr>
              <w:pStyle w:val="TableText0"/>
              <w:widowControl w:val="0"/>
            </w:pPr>
            <w:r w:rsidRPr="00D379EA">
              <w:t>Skin rash</w:t>
            </w:r>
          </w:p>
        </w:tc>
        <w:tc>
          <w:tcPr>
            <w:tcW w:w="624" w:type="pct"/>
            <w:tcBorders>
              <w:top w:val="single" w:sz="4" w:space="0" w:color="auto"/>
              <w:left w:val="single" w:sz="4" w:space="0" w:color="auto"/>
              <w:right w:val="single" w:sz="4" w:space="0" w:color="auto"/>
            </w:tcBorders>
            <w:shd w:val="clear" w:color="auto" w:fill="auto"/>
            <w:vAlign w:val="center"/>
          </w:tcPr>
          <w:p w14:paraId="41BE88D5" w14:textId="77777777" w:rsidR="00526B6B" w:rsidRPr="007E3317" w:rsidRDefault="00526B6B" w:rsidP="007E3317">
            <w:pPr>
              <w:pStyle w:val="TableText0"/>
              <w:widowControl w:val="0"/>
              <w:jc w:val="center"/>
            </w:pPr>
            <w:r w:rsidRPr="00D379EA">
              <w:t xml:space="preserve">212/803 </w:t>
            </w:r>
          </w:p>
        </w:tc>
        <w:tc>
          <w:tcPr>
            <w:tcW w:w="701" w:type="pct"/>
            <w:gridSpan w:val="2"/>
            <w:tcBorders>
              <w:top w:val="single" w:sz="4" w:space="0" w:color="auto"/>
              <w:left w:val="single" w:sz="4" w:space="0" w:color="auto"/>
              <w:right w:val="single" w:sz="4" w:space="0" w:color="auto"/>
            </w:tcBorders>
            <w:shd w:val="clear" w:color="auto" w:fill="auto"/>
            <w:vAlign w:val="center"/>
          </w:tcPr>
          <w:p w14:paraId="45942E6B" w14:textId="77777777" w:rsidR="00526B6B" w:rsidRPr="007E3317" w:rsidRDefault="00526B6B" w:rsidP="007E3317">
            <w:pPr>
              <w:pStyle w:val="TableText0"/>
              <w:widowControl w:val="0"/>
              <w:jc w:val="center"/>
            </w:pPr>
            <w:r w:rsidRPr="00D379EA">
              <w:t>25/554</w:t>
            </w:r>
          </w:p>
        </w:tc>
        <w:tc>
          <w:tcPr>
            <w:tcW w:w="858" w:type="pct"/>
            <w:gridSpan w:val="2"/>
            <w:tcBorders>
              <w:top w:val="single" w:sz="4" w:space="0" w:color="auto"/>
              <w:left w:val="single" w:sz="4" w:space="0" w:color="auto"/>
              <w:right w:val="single" w:sz="4" w:space="0" w:color="auto"/>
            </w:tcBorders>
            <w:shd w:val="clear" w:color="auto" w:fill="auto"/>
            <w:vAlign w:val="center"/>
          </w:tcPr>
          <w:p w14:paraId="60C58CF2" w14:textId="77777777" w:rsidR="00526B6B" w:rsidRPr="007E3317" w:rsidRDefault="00526B6B" w:rsidP="007E3317">
            <w:pPr>
              <w:pStyle w:val="TableText0"/>
              <w:widowControl w:val="0"/>
              <w:jc w:val="center"/>
              <w:rPr>
                <w:b/>
              </w:rPr>
            </w:pPr>
            <w:r w:rsidRPr="007E3317">
              <w:rPr>
                <w:b/>
              </w:rPr>
              <w:t>4.20 (2.83, 6.25)</w:t>
            </w:r>
          </w:p>
        </w:tc>
        <w:tc>
          <w:tcPr>
            <w:tcW w:w="701" w:type="pct"/>
            <w:gridSpan w:val="2"/>
            <w:tcBorders>
              <w:top w:val="single" w:sz="4" w:space="0" w:color="auto"/>
              <w:left w:val="single" w:sz="4" w:space="0" w:color="auto"/>
              <w:right w:val="single" w:sz="4" w:space="0" w:color="auto"/>
            </w:tcBorders>
            <w:shd w:val="clear" w:color="auto" w:fill="auto"/>
            <w:vAlign w:val="center"/>
          </w:tcPr>
          <w:p w14:paraId="15BD0419" w14:textId="77777777" w:rsidR="00526B6B" w:rsidRPr="00D379EA" w:rsidRDefault="00526B6B" w:rsidP="007E3317">
            <w:pPr>
              <w:pStyle w:val="TableText0"/>
              <w:widowControl w:val="0"/>
              <w:jc w:val="center"/>
            </w:pPr>
            <w:r w:rsidRPr="00D379EA">
              <w:t>26.4</w:t>
            </w:r>
          </w:p>
        </w:tc>
        <w:tc>
          <w:tcPr>
            <w:tcW w:w="579" w:type="pct"/>
            <w:tcBorders>
              <w:top w:val="single" w:sz="4" w:space="0" w:color="auto"/>
              <w:left w:val="single" w:sz="4" w:space="0" w:color="auto"/>
              <w:right w:val="single" w:sz="4" w:space="0" w:color="auto"/>
            </w:tcBorders>
            <w:shd w:val="clear" w:color="auto" w:fill="auto"/>
            <w:vAlign w:val="center"/>
          </w:tcPr>
          <w:p w14:paraId="0F52E0F1" w14:textId="77777777" w:rsidR="00526B6B" w:rsidRPr="00D379EA" w:rsidRDefault="00526B6B" w:rsidP="007E3317">
            <w:pPr>
              <w:pStyle w:val="TableText0"/>
              <w:widowControl w:val="0"/>
              <w:jc w:val="center"/>
            </w:pPr>
            <w:r w:rsidRPr="00D379EA">
              <w:t>6.3</w:t>
            </w:r>
          </w:p>
        </w:tc>
        <w:tc>
          <w:tcPr>
            <w:tcW w:w="831" w:type="pct"/>
            <w:gridSpan w:val="2"/>
            <w:tcBorders>
              <w:top w:val="single" w:sz="4" w:space="0" w:color="auto"/>
              <w:left w:val="single" w:sz="4" w:space="0" w:color="auto"/>
              <w:right w:val="single" w:sz="4" w:space="0" w:color="auto"/>
            </w:tcBorders>
            <w:shd w:val="clear" w:color="auto" w:fill="auto"/>
            <w:vAlign w:val="center"/>
          </w:tcPr>
          <w:p w14:paraId="798C3751" w14:textId="77777777" w:rsidR="00526B6B" w:rsidRPr="007E3317" w:rsidRDefault="00526B6B" w:rsidP="007E3317">
            <w:pPr>
              <w:pStyle w:val="TableText0"/>
              <w:widowControl w:val="0"/>
              <w:jc w:val="center"/>
              <w:rPr>
                <w:b/>
              </w:rPr>
            </w:pPr>
            <w:r w:rsidRPr="007E3317">
              <w:rPr>
                <w:b/>
              </w:rPr>
              <w:t>0.20 (0.16, 0.24)</w:t>
            </w:r>
          </w:p>
        </w:tc>
      </w:tr>
      <w:tr w:rsidR="00526B6B" w:rsidRPr="00D379EA" w14:paraId="0E7F9E9F" w14:textId="77777777" w:rsidTr="00CE3EC2">
        <w:trPr>
          <w:gridAfter w:val="1"/>
          <w:wAfter w:w="6" w:type="pct"/>
          <w:trHeight w:val="215"/>
        </w:trPr>
        <w:tc>
          <w:tcPr>
            <w:tcW w:w="700" w:type="pct"/>
            <w:tcBorders>
              <w:top w:val="single" w:sz="4" w:space="0" w:color="auto"/>
              <w:left w:val="single" w:sz="4" w:space="0" w:color="auto"/>
              <w:right w:val="single" w:sz="4" w:space="0" w:color="auto"/>
            </w:tcBorders>
            <w:shd w:val="clear" w:color="auto" w:fill="auto"/>
            <w:vAlign w:val="center"/>
          </w:tcPr>
          <w:p w14:paraId="2B6CF556" w14:textId="77777777" w:rsidR="00526B6B" w:rsidRPr="007E3317" w:rsidRDefault="00526B6B" w:rsidP="007E3317">
            <w:pPr>
              <w:pStyle w:val="TableText0"/>
              <w:widowControl w:val="0"/>
            </w:pPr>
            <w:r w:rsidRPr="00D379EA">
              <w:t>Falls</w:t>
            </w:r>
          </w:p>
        </w:tc>
        <w:tc>
          <w:tcPr>
            <w:tcW w:w="624" w:type="pct"/>
            <w:tcBorders>
              <w:top w:val="single" w:sz="4" w:space="0" w:color="auto"/>
              <w:left w:val="single" w:sz="4" w:space="0" w:color="auto"/>
              <w:right w:val="single" w:sz="4" w:space="0" w:color="auto"/>
            </w:tcBorders>
            <w:shd w:val="clear" w:color="auto" w:fill="auto"/>
            <w:vAlign w:val="center"/>
          </w:tcPr>
          <w:p w14:paraId="0E0CB984" w14:textId="77777777" w:rsidR="00526B6B" w:rsidRPr="007E3317" w:rsidRDefault="00526B6B" w:rsidP="007E3317">
            <w:pPr>
              <w:pStyle w:val="TableText0"/>
              <w:widowControl w:val="0"/>
              <w:jc w:val="center"/>
            </w:pPr>
            <w:r w:rsidRPr="00D379EA">
              <w:t>177/803</w:t>
            </w:r>
          </w:p>
        </w:tc>
        <w:tc>
          <w:tcPr>
            <w:tcW w:w="701" w:type="pct"/>
            <w:gridSpan w:val="2"/>
            <w:tcBorders>
              <w:top w:val="single" w:sz="4" w:space="0" w:color="auto"/>
              <w:left w:val="single" w:sz="4" w:space="0" w:color="auto"/>
              <w:right w:val="single" w:sz="4" w:space="0" w:color="auto"/>
            </w:tcBorders>
            <w:shd w:val="clear" w:color="auto" w:fill="auto"/>
            <w:vAlign w:val="center"/>
          </w:tcPr>
          <w:p w14:paraId="1935A531" w14:textId="77777777" w:rsidR="00526B6B" w:rsidRPr="007E3317" w:rsidRDefault="00526B6B" w:rsidP="007E3317">
            <w:pPr>
              <w:pStyle w:val="TableText0"/>
              <w:widowControl w:val="0"/>
              <w:jc w:val="center"/>
            </w:pPr>
            <w:r w:rsidRPr="00D379EA">
              <w:t>38/554</w:t>
            </w:r>
          </w:p>
        </w:tc>
        <w:tc>
          <w:tcPr>
            <w:tcW w:w="858" w:type="pct"/>
            <w:gridSpan w:val="2"/>
            <w:tcBorders>
              <w:top w:val="single" w:sz="4" w:space="0" w:color="auto"/>
              <w:left w:val="single" w:sz="4" w:space="0" w:color="auto"/>
              <w:right w:val="single" w:sz="4" w:space="0" w:color="auto"/>
            </w:tcBorders>
            <w:shd w:val="clear" w:color="auto" w:fill="auto"/>
            <w:vAlign w:val="center"/>
          </w:tcPr>
          <w:p w14:paraId="3A0F1108" w14:textId="77777777" w:rsidR="00526B6B" w:rsidRPr="007E3317" w:rsidRDefault="00526B6B" w:rsidP="007E3317">
            <w:pPr>
              <w:pStyle w:val="TableText0"/>
              <w:widowControl w:val="0"/>
              <w:jc w:val="center"/>
              <w:rPr>
                <w:b/>
              </w:rPr>
            </w:pPr>
            <w:r w:rsidRPr="007E3317">
              <w:rPr>
                <w:b/>
              </w:rPr>
              <w:t>2.31 (1.66, 3.21)</w:t>
            </w:r>
          </w:p>
        </w:tc>
        <w:tc>
          <w:tcPr>
            <w:tcW w:w="701" w:type="pct"/>
            <w:gridSpan w:val="2"/>
            <w:tcBorders>
              <w:top w:val="single" w:sz="4" w:space="0" w:color="auto"/>
              <w:left w:val="single" w:sz="4" w:space="0" w:color="auto"/>
              <w:right w:val="single" w:sz="4" w:space="0" w:color="auto"/>
            </w:tcBorders>
            <w:shd w:val="clear" w:color="auto" w:fill="auto"/>
            <w:vAlign w:val="center"/>
          </w:tcPr>
          <w:p w14:paraId="6F0D3DA4" w14:textId="77777777" w:rsidR="00526B6B" w:rsidRPr="00D379EA" w:rsidRDefault="00526B6B" w:rsidP="007E3317">
            <w:pPr>
              <w:pStyle w:val="TableText0"/>
              <w:widowControl w:val="0"/>
              <w:jc w:val="center"/>
            </w:pPr>
            <w:r w:rsidRPr="00D379EA">
              <w:t>22.0</w:t>
            </w:r>
          </w:p>
        </w:tc>
        <w:tc>
          <w:tcPr>
            <w:tcW w:w="579" w:type="pct"/>
            <w:tcBorders>
              <w:top w:val="single" w:sz="4" w:space="0" w:color="auto"/>
              <w:left w:val="single" w:sz="4" w:space="0" w:color="auto"/>
              <w:right w:val="single" w:sz="4" w:space="0" w:color="auto"/>
            </w:tcBorders>
            <w:shd w:val="clear" w:color="auto" w:fill="auto"/>
            <w:vAlign w:val="center"/>
          </w:tcPr>
          <w:p w14:paraId="6A029F55" w14:textId="77777777" w:rsidR="00526B6B" w:rsidRPr="00D379EA" w:rsidRDefault="00526B6B" w:rsidP="007E3317">
            <w:pPr>
              <w:pStyle w:val="TableText0"/>
              <w:widowControl w:val="0"/>
              <w:jc w:val="center"/>
            </w:pPr>
            <w:r w:rsidRPr="00D379EA">
              <w:t>9.5</w:t>
            </w:r>
          </w:p>
        </w:tc>
        <w:tc>
          <w:tcPr>
            <w:tcW w:w="831" w:type="pct"/>
            <w:gridSpan w:val="2"/>
            <w:tcBorders>
              <w:top w:val="single" w:sz="4" w:space="0" w:color="auto"/>
              <w:left w:val="single" w:sz="4" w:space="0" w:color="auto"/>
              <w:right w:val="single" w:sz="4" w:space="0" w:color="auto"/>
            </w:tcBorders>
            <w:shd w:val="clear" w:color="auto" w:fill="auto"/>
            <w:vAlign w:val="center"/>
          </w:tcPr>
          <w:p w14:paraId="01A7694F" w14:textId="77777777" w:rsidR="00526B6B" w:rsidRPr="007E3317" w:rsidRDefault="00526B6B" w:rsidP="007E3317">
            <w:pPr>
              <w:pStyle w:val="TableText0"/>
              <w:widowControl w:val="0"/>
              <w:jc w:val="center"/>
              <w:rPr>
                <w:b/>
              </w:rPr>
            </w:pPr>
            <w:r w:rsidRPr="007E3317">
              <w:rPr>
                <w:b/>
              </w:rPr>
              <w:t>0.12 (0.08, 0.17)</w:t>
            </w:r>
          </w:p>
        </w:tc>
      </w:tr>
      <w:tr w:rsidR="00526B6B" w:rsidRPr="00D379EA" w14:paraId="42569CA9" w14:textId="77777777" w:rsidTr="00CE3EC2">
        <w:trPr>
          <w:gridAfter w:val="1"/>
          <w:wAfter w:w="6" w:type="pct"/>
          <w:trHeight w:val="215"/>
        </w:trPr>
        <w:tc>
          <w:tcPr>
            <w:tcW w:w="700" w:type="pct"/>
            <w:tcBorders>
              <w:top w:val="single" w:sz="4" w:space="0" w:color="auto"/>
              <w:left w:val="single" w:sz="4" w:space="0" w:color="auto"/>
              <w:right w:val="single" w:sz="4" w:space="0" w:color="auto"/>
            </w:tcBorders>
            <w:shd w:val="clear" w:color="auto" w:fill="auto"/>
            <w:vAlign w:val="center"/>
          </w:tcPr>
          <w:p w14:paraId="50F4DF9A" w14:textId="77777777" w:rsidR="00526B6B" w:rsidRPr="007E3317" w:rsidRDefault="00526B6B" w:rsidP="007E3317">
            <w:pPr>
              <w:pStyle w:val="TableText0"/>
              <w:widowControl w:val="0"/>
            </w:pPr>
            <w:r w:rsidRPr="00D379EA">
              <w:t>Fracture</w:t>
            </w:r>
          </w:p>
        </w:tc>
        <w:tc>
          <w:tcPr>
            <w:tcW w:w="624" w:type="pct"/>
            <w:tcBorders>
              <w:top w:val="single" w:sz="4" w:space="0" w:color="auto"/>
              <w:left w:val="single" w:sz="4" w:space="0" w:color="auto"/>
              <w:right w:val="single" w:sz="4" w:space="0" w:color="auto"/>
            </w:tcBorders>
            <w:shd w:val="clear" w:color="auto" w:fill="auto"/>
            <w:vAlign w:val="center"/>
          </w:tcPr>
          <w:p w14:paraId="5D32F1DF" w14:textId="77777777" w:rsidR="00526B6B" w:rsidRPr="007E3317" w:rsidRDefault="00526B6B" w:rsidP="007E3317">
            <w:pPr>
              <w:pStyle w:val="TableText0"/>
              <w:widowControl w:val="0"/>
              <w:jc w:val="center"/>
            </w:pPr>
            <w:r w:rsidRPr="00D379EA">
              <w:t>145/803</w:t>
            </w:r>
          </w:p>
        </w:tc>
        <w:tc>
          <w:tcPr>
            <w:tcW w:w="701" w:type="pct"/>
            <w:gridSpan w:val="2"/>
            <w:tcBorders>
              <w:top w:val="single" w:sz="4" w:space="0" w:color="auto"/>
              <w:left w:val="single" w:sz="4" w:space="0" w:color="auto"/>
              <w:right w:val="single" w:sz="4" w:space="0" w:color="auto"/>
            </w:tcBorders>
            <w:shd w:val="clear" w:color="auto" w:fill="auto"/>
            <w:vAlign w:val="center"/>
          </w:tcPr>
          <w:p w14:paraId="0675CEC8" w14:textId="77777777" w:rsidR="00526B6B" w:rsidRPr="007E3317" w:rsidRDefault="00526B6B" w:rsidP="007E3317">
            <w:pPr>
              <w:pStyle w:val="TableText0"/>
              <w:widowControl w:val="0"/>
              <w:jc w:val="center"/>
            </w:pPr>
            <w:r w:rsidRPr="00D379EA">
              <w:t>30/554</w:t>
            </w:r>
          </w:p>
        </w:tc>
        <w:tc>
          <w:tcPr>
            <w:tcW w:w="858" w:type="pct"/>
            <w:gridSpan w:val="2"/>
            <w:tcBorders>
              <w:top w:val="single" w:sz="4" w:space="0" w:color="auto"/>
              <w:left w:val="single" w:sz="4" w:space="0" w:color="auto"/>
              <w:right w:val="single" w:sz="4" w:space="0" w:color="auto"/>
            </w:tcBorders>
            <w:shd w:val="clear" w:color="auto" w:fill="auto"/>
            <w:vAlign w:val="center"/>
          </w:tcPr>
          <w:p w14:paraId="708A8F2B" w14:textId="77777777" w:rsidR="00526B6B" w:rsidRPr="007E3317" w:rsidRDefault="00526B6B" w:rsidP="007E3317">
            <w:pPr>
              <w:pStyle w:val="TableText0"/>
              <w:widowControl w:val="0"/>
              <w:jc w:val="center"/>
              <w:rPr>
                <w:b/>
              </w:rPr>
            </w:pPr>
            <w:r w:rsidRPr="007E3317">
              <w:rPr>
                <w:b/>
              </w:rPr>
              <w:t>2.40 (1.65, 3.48)</w:t>
            </w:r>
          </w:p>
        </w:tc>
        <w:tc>
          <w:tcPr>
            <w:tcW w:w="701" w:type="pct"/>
            <w:gridSpan w:val="2"/>
            <w:tcBorders>
              <w:top w:val="single" w:sz="4" w:space="0" w:color="auto"/>
              <w:left w:val="single" w:sz="4" w:space="0" w:color="auto"/>
              <w:right w:val="single" w:sz="4" w:space="0" w:color="auto"/>
            </w:tcBorders>
            <w:shd w:val="clear" w:color="auto" w:fill="auto"/>
            <w:vAlign w:val="center"/>
          </w:tcPr>
          <w:p w14:paraId="0EA34D86" w14:textId="77777777" w:rsidR="00526B6B" w:rsidRPr="00D379EA" w:rsidRDefault="00526B6B" w:rsidP="007E3317">
            <w:pPr>
              <w:pStyle w:val="TableText0"/>
              <w:widowControl w:val="0"/>
              <w:jc w:val="center"/>
            </w:pPr>
            <w:r w:rsidRPr="00D379EA">
              <w:t>18.1</w:t>
            </w:r>
          </w:p>
        </w:tc>
        <w:tc>
          <w:tcPr>
            <w:tcW w:w="579" w:type="pct"/>
            <w:tcBorders>
              <w:top w:val="single" w:sz="4" w:space="0" w:color="auto"/>
              <w:left w:val="single" w:sz="4" w:space="0" w:color="auto"/>
              <w:right w:val="single" w:sz="4" w:space="0" w:color="auto"/>
            </w:tcBorders>
            <w:shd w:val="clear" w:color="auto" w:fill="auto"/>
            <w:vAlign w:val="center"/>
          </w:tcPr>
          <w:p w14:paraId="29E1CC8C" w14:textId="77777777" w:rsidR="00526B6B" w:rsidRPr="00D379EA" w:rsidRDefault="00526B6B" w:rsidP="007E3317">
            <w:pPr>
              <w:pStyle w:val="TableText0"/>
              <w:widowControl w:val="0"/>
              <w:jc w:val="center"/>
            </w:pPr>
            <w:r w:rsidRPr="00D379EA">
              <w:t>7.5</w:t>
            </w:r>
          </w:p>
        </w:tc>
        <w:tc>
          <w:tcPr>
            <w:tcW w:w="831" w:type="pct"/>
            <w:gridSpan w:val="2"/>
            <w:tcBorders>
              <w:top w:val="single" w:sz="4" w:space="0" w:color="auto"/>
              <w:left w:val="single" w:sz="4" w:space="0" w:color="auto"/>
              <w:right w:val="single" w:sz="4" w:space="0" w:color="auto"/>
            </w:tcBorders>
            <w:shd w:val="clear" w:color="auto" w:fill="auto"/>
            <w:vAlign w:val="center"/>
          </w:tcPr>
          <w:p w14:paraId="5670D98B" w14:textId="77777777" w:rsidR="00526B6B" w:rsidRPr="007E3317" w:rsidRDefault="00526B6B" w:rsidP="007E3317">
            <w:pPr>
              <w:pStyle w:val="TableText0"/>
              <w:widowControl w:val="0"/>
              <w:jc w:val="center"/>
              <w:rPr>
                <w:b/>
              </w:rPr>
            </w:pPr>
            <w:r w:rsidRPr="007E3317">
              <w:rPr>
                <w:b/>
              </w:rPr>
              <w:t>0.11 (0.07, 0.14)</w:t>
            </w:r>
          </w:p>
        </w:tc>
      </w:tr>
      <w:tr w:rsidR="00526B6B" w:rsidRPr="00D379EA" w14:paraId="62D160A3" w14:textId="77777777" w:rsidTr="00CE3EC2">
        <w:trPr>
          <w:gridAfter w:val="1"/>
          <w:wAfter w:w="6" w:type="pct"/>
          <w:trHeight w:val="215"/>
        </w:trPr>
        <w:tc>
          <w:tcPr>
            <w:tcW w:w="700" w:type="pct"/>
            <w:tcBorders>
              <w:top w:val="single" w:sz="4" w:space="0" w:color="auto"/>
              <w:left w:val="single" w:sz="4" w:space="0" w:color="auto"/>
              <w:right w:val="single" w:sz="4" w:space="0" w:color="auto"/>
            </w:tcBorders>
            <w:shd w:val="clear" w:color="auto" w:fill="auto"/>
            <w:vAlign w:val="center"/>
          </w:tcPr>
          <w:p w14:paraId="0FC4E035" w14:textId="77777777" w:rsidR="00526B6B" w:rsidRPr="007E3317" w:rsidRDefault="00526B6B" w:rsidP="007E3317">
            <w:pPr>
              <w:pStyle w:val="TableText0"/>
              <w:widowControl w:val="0"/>
            </w:pPr>
            <w:r w:rsidRPr="00D379EA">
              <w:t>Hypothyroidism</w:t>
            </w:r>
          </w:p>
        </w:tc>
        <w:tc>
          <w:tcPr>
            <w:tcW w:w="624" w:type="pct"/>
            <w:tcBorders>
              <w:top w:val="single" w:sz="4" w:space="0" w:color="auto"/>
              <w:left w:val="single" w:sz="4" w:space="0" w:color="auto"/>
              <w:right w:val="single" w:sz="4" w:space="0" w:color="auto"/>
            </w:tcBorders>
            <w:shd w:val="clear" w:color="auto" w:fill="auto"/>
            <w:vAlign w:val="center"/>
          </w:tcPr>
          <w:p w14:paraId="0ED9F872" w14:textId="77777777" w:rsidR="00526B6B" w:rsidRPr="007E3317" w:rsidRDefault="00526B6B" w:rsidP="007E3317">
            <w:pPr>
              <w:pStyle w:val="TableText0"/>
              <w:widowControl w:val="0"/>
              <w:jc w:val="center"/>
            </w:pPr>
            <w:r w:rsidRPr="00D379EA">
              <w:t>79/803</w:t>
            </w:r>
          </w:p>
        </w:tc>
        <w:tc>
          <w:tcPr>
            <w:tcW w:w="701" w:type="pct"/>
            <w:gridSpan w:val="2"/>
            <w:tcBorders>
              <w:top w:val="single" w:sz="4" w:space="0" w:color="auto"/>
              <w:left w:val="single" w:sz="4" w:space="0" w:color="auto"/>
              <w:right w:val="single" w:sz="4" w:space="0" w:color="auto"/>
            </w:tcBorders>
            <w:shd w:val="clear" w:color="auto" w:fill="auto"/>
            <w:vAlign w:val="center"/>
          </w:tcPr>
          <w:p w14:paraId="5B1CE0D0" w14:textId="77777777" w:rsidR="00526B6B" w:rsidRPr="007E3317" w:rsidRDefault="00526B6B" w:rsidP="007E3317">
            <w:pPr>
              <w:pStyle w:val="TableText0"/>
              <w:widowControl w:val="0"/>
              <w:jc w:val="center"/>
            </w:pPr>
            <w:r w:rsidRPr="00D379EA">
              <w:t>8/554</w:t>
            </w:r>
          </w:p>
        </w:tc>
        <w:tc>
          <w:tcPr>
            <w:tcW w:w="858" w:type="pct"/>
            <w:gridSpan w:val="2"/>
            <w:tcBorders>
              <w:top w:val="single" w:sz="4" w:space="0" w:color="auto"/>
              <w:left w:val="single" w:sz="4" w:space="0" w:color="auto"/>
              <w:right w:val="single" w:sz="4" w:space="0" w:color="auto"/>
            </w:tcBorders>
            <w:shd w:val="clear" w:color="auto" w:fill="auto"/>
            <w:vAlign w:val="center"/>
          </w:tcPr>
          <w:p w14:paraId="7DE97CA0" w14:textId="77777777" w:rsidR="00526B6B" w:rsidRPr="007E3317" w:rsidRDefault="00526B6B" w:rsidP="007E3317">
            <w:pPr>
              <w:pStyle w:val="TableText0"/>
              <w:widowControl w:val="0"/>
              <w:jc w:val="center"/>
              <w:rPr>
                <w:b/>
              </w:rPr>
            </w:pPr>
            <w:r w:rsidRPr="007E3317">
              <w:rPr>
                <w:b/>
              </w:rPr>
              <w:t>4.89 (2.39, 10.03)</w:t>
            </w:r>
          </w:p>
        </w:tc>
        <w:tc>
          <w:tcPr>
            <w:tcW w:w="701" w:type="pct"/>
            <w:gridSpan w:val="2"/>
            <w:tcBorders>
              <w:top w:val="single" w:sz="4" w:space="0" w:color="auto"/>
              <w:left w:val="single" w:sz="4" w:space="0" w:color="auto"/>
              <w:right w:val="single" w:sz="4" w:space="0" w:color="auto"/>
            </w:tcBorders>
            <w:shd w:val="clear" w:color="auto" w:fill="auto"/>
            <w:vAlign w:val="center"/>
          </w:tcPr>
          <w:p w14:paraId="015F0A01" w14:textId="77777777" w:rsidR="00526B6B" w:rsidRPr="00D379EA" w:rsidRDefault="00526B6B" w:rsidP="007E3317">
            <w:pPr>
              <w:pStyle w:val="TableText0"/>
              <w:widowControl w:val="0"/>
              <w:jc w:val="center"/>
            </w:pPr>
            <w:r w:rsidRPr="00D379EA">
              <w:t>9.8</w:t>
            </w:r>
          </w:p>
        </w:tc>
        <w:tc>
          <w:tcPr>
            <w:tcW w:w="579" w:type="pct"/>
            <w:tcBorders>
              <w:top w:val="single" w:sz="4" w:space="0" w:color="auto"/>
              <w:left w:val="single" w:sz="4" w:space="0" w:color="auto"/>
              <w:right w:val="single" w:sz="4" w:space="0" w:color="auto"/>
            </w:tcBorders>
            <w:shd w:val="clear" w:color="auto" w:fill="auto"/>
            <w:vAlign w:val="center"/>
          </w:tcPr>
          <w:p w14:paraId="360F6FDA" w14:textId="77777777" w:rsidR="00526B6B" w:rsidRPr="00D379EA" w:rsidRDefault="00526B6B" w:rsidP="007E3317">
            <w:pPr>
              <w:pStyle w:val="TableText0"/>
              <w:widowControl w:val="0"/>
              <w:jc w:val="center"/>
            </w:pPr>
            <w:r w:rsidRPr="00D379EA">
              <w:t>2.0</w:t>
            </w:r>
          </w:p>
        </w:tc>
        <w:tc>
          <w:tcPr>
            <w:tcW w:w="831" w:type="pct"/>
            <w:gridSpan w:val="2"/>
            <w:tcBorders>
              <w:top w:val="single" w:sz="4" w:space="0" w:color="auto"/>
              <w:left w:val="single" w:sz="4" w:space="0" w:color="auto"/>
              <w:right w:val="single" w:sz="4" w:space="0" w:color="auto"/>
            </w:tcBorders>
            <w:shd w:val="clear" w:color="auto" w:fill="auto"/>
            <w:vAlign w:val="center"/>
          </w:tcPr>
          <w:p w14:paraId="0942CD79" w14:textId="77777777" w:rsidR="00526B6B" w:rsidRPr="007E3317" w:rsidRDefault="00526B6B" w:rsidP="007E3317">
            <w:pPr>
              <w:pStyle w:val="TableText0"/>
              <w:widowControl w:val="0"/>
              <w:jc w:val="center"/>
              <w:rPr>
                <w:b/>
              </w:rPr>
            </w:pPr>
            <w:r w:rsidRPr="007E3317">
              <w:rPr>
                <w:b/>
              </w:rPr>
              <w:t>0.08 (0.05, 0.10)</w:t>
            </w:r>
          </w:p>
        </w:tc>
      </w:tr>
      <w:tr w:rsidR="00526B6B" w:rsidRPr="00D379EA" w14:paraId="039FE11C" w14:textId="77777777" w:rsidTr="00CE3EC2">
        <w:trPr>
          <w:gridAfter w:val="1"/>
          <w:wAfter w:w="6" w:type="pct"/>
          <w:trHeight w:val="215"/>
        </w:trPr>
        <w:tc>
          <w:tcPr>
            <w:tcW w:w="700" w:type="pct"/>
            <w:tcBorders>
              <w:top w:val="single" w:sz="4" w:space="0" w:color="auto"/>
              <w:left w:val="single" w:sz="4" w:space="0" w:color="auto"/>
              <w:right w:val="single" w:sz="4" w:space="0" w:color="auto"/>
            </w:tcBorders>
            <w:shd w:val="clear" w:color="auto" w:fill="auto"/>
            <w:vAlign w:val="center"/>
          </w:tcPr>
          <w:p w14:paraId="15754A93" w14:textId="77777777" w:rsidR="00526B6B" w:rsidRPr="007E3317" w:rsidRDefault="00526B6B" w:rsidP="007E3317">
            <w:pPr>
              <w:pStyle w:val="TableText0"/>
              <w:widowControl w:val="0"/>
            </w:pPr>
            <w:r w:rsidRPr="00D379EA">
              <w:t>IHD</w:t>
            </w:r>
          </w:p>
        </w:tc>
        <w:tc>
          <w:tcPr>
            <w:tcW w:w="624" w:type="pct"/>
            <w:tcBorders>
              <w:top w:val="single" w:sz="4" w:space="0" w:color="auto"/>
              <w:left w:val="single" w:sz="4" w:space="0" w:color="auto"/>
              <w:right w:val="single" w:sz="4" w:space="0" w:color="auto"/>
            </w:tcBorders>
            <w:shd w:val="clear" w:color="auto" w:fill="auto"/>
            <w:vAlign w:val="center"/>
          </w:tcPr>
          <w:p w14:paraId="4FBA9875" w14:textId="77777777" w:rsidR="00526B6B" w:rsidRPr="007E3317" w:rsidRDefault="00526B6B" w:rsidP="007E3317">
            <w:pPr>
              <w:pStyle w:val="TableText0"/>
              <w:widowControl w:val="0"/>
              <w:jc w:val="center"/>
            </w:pPr>
            <w:r w:rsidRPr="00D379EA">
              <w:t>44/803</w:t>
            </w:r>
          </w:p>
        </w:tc>
        <w:tc>
          <w:tcPr>
            <w:tcW w:w="701" w:type="pct"/>
            <w:gridSpan w:val="2"/>
            <w:tcBorders>
              <w:top w:val="single" w:sz="4" w:space="0" w:color="auto"/>
              <w:left w:val="single" w:sz="4" w:space="0" w:color="auto"/>
              <w:right w:val="single" w:sz="4" w:space="0" w:color="auto"/>
            </w:tcBorders>
            <w:shd w:val="clear" w:color="auto" w:fill="auto"/>
            <w:vAlign w:val="center"/>
          </w:tcPr>
          <w:p w14:paraId="44779D0A" w14:textId="77777777" w:rsidR="00526B6B" w:rsidRPr="007E3317" w:rsidRDefault="00526B6B" w:rsidP="007E3317">
            <w:pPr>
              <w:pStyle w:val="TableText0"/>
              <w:widowControl w:val="0"/>
              <w:jc w:val="center"/>
            </w:pPr>
            <w:r w:rsidRPr="00D379EA">
              <w:t>11/554</w:t>
            </w:r>
          </w:p>
        </w:tc>
        <w:tc>
          <w:tcPr>
            <w:tcW w:w="858" w:type="pct"/>
            <w:gridSpan w:val="2"/>
            <w:tcBorders>
              <w:top w:val="single" w:sz="4" w:space="0" w:color="auto"/>
              <w:left w:val="single" w:sz="4" w:space="0" w:color="auto"/>
              <w:right w:val="single" w:sz="4" w:space="0" w:color="auto"/>
            </w:tcBorders>
            <w:shd w:val="clear" w:color="auto" w:fill="auto"/>
            <w:vAlign w:val="center"/>
          </w:tcPr>
          <w:p w14:paraId="3BD06EFC" w14:textId="77777777" w:rsidR="00526B6B" w:rsidRPr="007E3317" w:rsidRDefault="00526B6B" w:rsidP="007E3317">
            <w:pPr>
              <w:pStyle w:val="TableText0"/>
              <w:widowControl w:val="0"/>
              <w:jc w:val="center"/>
              <w:rPr>
                <w:b/>
              </w:rPr>
            </w:pPr>
            <w:r w:rsidRPr="007E3317">
              <w:rPr>
                <w:b/>
              </w:rPr>
              <w:t>1.98 (1.04, 3.80)</w:t>
            </w:r>
          </w:p>
        </w:tc>
        <w:tc>
          <w:tcPr>
            <w:tcW w:w="701" w:type="pct"/>
            <w:gridSpan w:val="2"/>
            <w:tcBorders>
              <w:top w:val="single" w:sz="4" w:space="0" w:color="auto"/>
              <w:left w:val="single" w:sz="4" w:space="0" w:color="auto"/>
              <w:right w:val="single" w:sz="4" w:space="0" w:color="auto"/>
            </w:tcBorders>
            <w:shd w:val="clear" w:color="auto" w:fill="auto"/>
            <w:vAlign w:val="center"/>
          </w:tcPr>
          <w:p w14:paraId="463E9808" w14:textId="77777777" w:rsidR="00526B6B" w:rsidRPr="00D379EA" w:rsidRDefault="00526B6B" w:rsidP="007E3317">
            <w:pPr>
              <w:pStyle w:val="TableText0"/>
              <w:widowControl w:val="0"/>
              <w:jc w:val="center"/>
            </w:pPr>
            <w:r w:rsidRPr="00D379EA">
              <w:t>5.5</w:t>
            </w:r>
          </w:p>
        </w:tc>
        <w:tc>
          <w:tcPr>
            <w:tcW w:w="579" w:type="pct"/>
            <w:tcBorders>
              <w:top w:val="single" w:sz="4" w:space="0" w:color="auto"/>
              <w:left w:val="single" w:sz="4" w:space="0" w:color="auto"/>
              <w:right w:val="single" w:sz="4" w:space="0" w:color="auto"/>
            </w:tcBorders>
            <w:shd w:val="clear" w:color="auto" w:fill="auto"/>
            <w:vAlign w:val="center"/>
          </w:tcPr>
          <w:p w14:paraId="6A5B469E" w14:textId="77777777" w:rsidR="00526B6B" w:rsidRPr="00D379EA" w:rsidRDefault="00526B6B" w:rsidP="007E3317">
            <w:pPr>
              <w:pStyle w:val="TableText0"/>
              <w:widowControl w:val="0"/>
              <w:jc w:val="center"/>
            </w:pPr>
            <w:r w:rsidRPr="00D379EA">
              <w:t>2.8</w:t>
            </w:r>
          </w:p>
        </w:tc>
        <w:tc>
          <w:tcPr>
            <w:tcW w:w="831" w:type="pct"/>
            <w:gridSpan w:val="2"/>
            <w:tcBorders>
              <w:top w:val="single" w:sz="4" w:space="0" w:color="auto"/>
              <w:left w:val="single" w:sz="4" w:space="0" w:color="auto"/>
              <w:right w:val="single" w:sz="4" w:space="0" w:color="auto"/>
            </w:tcBorders>
            <w:shd w:val="clear" w:color="auto" w:fill="auto"/>
            <w:vAlign w:val="center"/>
          </w:tcPr>
          <w:p w14:paraId="4AB101D3" w14:textId="77777777" w:rsidR="00526B6B" w:rsidRPr="007E3317" w:rsidRDefault="00526B6B" w:rsidP="007E3317">
            <w:pPr>
              <w:pStyle w:val="TableText0"/>
              <w:widowControl w:val="0"/>
              <w:jc w:val="center"/>
              <w:rPr>
                <w:b/>
              </w:rPr>
            </w:pPr>
            <w:r w:rsidRPr="007E3317">
              <w:rPr>
                <w:b/>
              </w:rPr>
              <w:t>0.03 (0.00, 0.05)</w:t>
            </w:r>
          </w:p>
        </w:tc>
      </w:tr>
      <w:tr w:rsidR="00526B6B" w:rsidRPr="00D379EA" w14:paraId="4CBF7B54" w14:textId="77777777" w:rsidTr="00CE3EC2">
        <w:trPr>
          <w:gridAfter w:val="1"/>
          <w:wAfter w:w="6" w:type="pct"/>
          <w:trHeight w:val="215"/>
        </w:trPr>
        <w:tc>
          <w:tcPr>
            <w:tcW w:w="700" w:type="pct"/>
            <w:tcBorders>
              <w:top w:val="single" w:sz="4" w:space="0" w:color="auto"/>
              <w:left w:val="single" w:sz="4" w:space="0" w:color="auto"/>
              <w:right w:val="single" w:sz="4" w:space="0" w:color="auto"/>
            </w:tcBorders>
            <w:shd w:val="clear" w:color="auto" w:fill="auto"/>
            <w:vAlign w:val="center"/>
          </w:tcPr>
          <w:p w14:paraId="278BA067" w14:textId="77777777" w:rsidR="00526B6B" w:rsidRPr="007E3317" w:rsidRDefault="00526B6B" w:rsidP="007E3317">
            <w:pPr>
              <w:pStyle w:val="TableText0"/>
              <w:widowControl w:val="0"/>
            </w:pPr>
            <w:r w:rsidRPr="00D379EA">
              <w:t>Seizure</w:t>
            </w:r>
          </w:p>
        </w:tc>
        <w:tc>
          <w:tcPr>
            <w:tcW w:w="624" w:type="pct"/>
            <w:tcBorders>
              <w:top w:val="single" w:sz="4" w:space="0" w:color="auto"/>
              <w:left w:val="single" w:sz="4" w:space="0" w:color="auto"/>
              <w:right w:val="single" w:sz="4" w:space="0" w:color="auto"/>
            </w:tcBorders>
            <w:shd w:val="clear" w:color="auto" w:fill="auto"/>
            <w:vAlign w:val="center"/>
          </w:tcPr>
          <w:p w14:paraId="32954FDC" w14:textId="77777777" w:rsidR="00526B6B" w:rsidRPr="007E3317" w:rsidRDefault="00526B6B" w:rsidP="007E3317">
            <w:pPr>
              <w:pStyle w:val="TableText0"/>
              <w:widowControl w:val="0"/>
              <w:jc w:val="center"/>
            </w:pPr>
            <w:r w:rsidRPr="00D379EA">
              <w:t>1/803</w:t>
            </w:r>
          </w:p>
        </w:tc>
        <w:tc>
          <w:tcPr>
            <w:tcW w:w="701" w:type="pct"/>
            <w:gridSpan w:val="2"/>
            <w:tcBorders>
              <w:top w:val="single" w:sz="4" w:space="0" w:color="auto"/>
              <w:left w:val="single" w:sz="4" w:space="0" w:color="auto"/>
              <w:right w:val="single" w:sz="4" w:space="0" w:color="auto"/>
            </w:tcBorders>
            <w:shd w:val="clear" w:color="auto" w:fill="auto"/>
            <w:vAlign w:val="center"/>
          </w:tcPr>
          <w:p w14:paraId="2525667E" w14:textId="77777777" w:rsidR="00526B6B" w:rsidRPr="007E3317" w:rsidRDefault="00526B6B" w:rsidP="007E3317">
            <w:pPr>
              <w:pStyle w:val="TableText0"/>
              <w:widowControl w:val="0"/>
              <w:jc w:val="center"/>
            </w:pPr>
            <w:r w:rsidRPr="00D379EA">
              <w:t>0/554</w:t>
            </w:r>
          </w:p>
        </w:tc>
        <w:tc>
          <w:tcPr>
            <w:tcW w:w="858" w:type="pct"/>
            <w:gridSpan w:val="2"/>
            <w:tcBorders>
              <w:top w:val="single" w:sz="4" w:space="0" w:color="auto"/>
              <w:left w:val="single" w:sz="4" w:space="0" w:color="auto"/>
              <w:right w:val="single" w:sz="4" w:space="0" w:color="auto"/>
            </w:tcBorders>
            <w:shd w:val="clear" w:color="auto" w:fill="auto"/>
            <w:vAlign w:val="center"/>
          </w:tcPr>
          <w:p w14:paraId="26D9B2C3" w14:textId="77777777" w:rsidR="00526B6B" w:rsidRPr="007E3317" w:rsidRDefault="00526B6B" w:rsidP="007E3317">
            <w:pPr>
              <w:pStyle w:val="TableText0"/>
              <w:widowControl w:val="0"/>
              <w:jc w:val="center"/>
            </w:pPr>
            <w:r w:rsidRPr="00D379EA">
              <w:t>1.49 (0.06, 36.46)</w:t>
            </w:r>
          </w:p>
        </w:tc>
        <w:tc>
          <w:tcPr>
            <w:tcW w:w="701" w:type="pct"/>
            <w:gridSpan w:val="2"/>
            <w:tcBorders>
              <w:top w:val="single" w:sz="4" w:space="0" w:color="auto"/>
              <w:left w:val="single" w:sz="4" w:space="0" w:color="auto"/>
              <w:right w:val="single" w:sz="4" w:space="0" w:color="auto"/>
            </w:tcBorders>
            <w:shd w:val="clear" w:color="auto" w:fill="auto"/>
            <w:vAlign w:val="center"/>
          </w:tcPr>
          <w:p w14:paraId="08ABA528" w14:textId="77777777" w:rsidR="00526B6B" w:rsidRPr="00D379EA" w:rsidRDefault="00526B6B" w:rsidP="007E3317">
            <w:pPr>
              <w:pStyle w:val="TableText0"/>
              <w:widowControl w:val="0"/>
              <w:jc w:val="center"/>
            </w:pPr>
            <w:r w:rsidRPr="00D379EA">
              <w:t>0.1</w:t>
            </w:r>
          </w:p>
        </w:tc>
        <w:tc>
          <w:tcPr>
            <w:tcW w:w="579" w:type="pct"/>
            <w:tcBorders>
              <w:top w:val="single" w:sz="4" w:space="0" w:color="auto"/>
              <w:left w:val="single" w:sz="4" w:space="0" w:color="auto"/>
              <w:right w:val="single" w:sz="4" w:space="0" w:color="auto"/>
            </w:tcBorders>
            <w:shd w:val="clear" w:color="auto" w:fill="auto"/>
            <w:vAlign w:val="center"/>
          </w:tcPr>
          <w:p w14:paraId="3BEB997E" w14:textId="77777777" w:rsidR="00526B6B" w:rsidRPr="00D379EA" w:rsidRDefault="00526B6B" w:rsidP="007E3317">
            <w:pPr>
              <w:pStyle w:val="TableText0"/>
              <w:widowControl w:val="0"/>
              <w:jc w:val="center"/>
            </w:pPr>
            <w:r w:rsidRPr="00D379EA">
              <w:t>0</w:t>
            </w:r>
          </w:p>
        </w:tc>
        <w:tc>
          <w:tcPr>
            <w:tcW w:w="831" w:type="pct"/>
            <w:gridSpan w:val="2"/>
            <w:tcBorders>
              <w:top w:val="single" w:sz="4" w:space="0" w:color="auto"/>
              <w:left w:val="single" w:sz="4" w:space="0" w:color="auto"/>
              <w:right w:val="single" w:sz="4" w:space="0" w:color="auto"/>
            </w:tcBorders>
            <w:shd w:val="clear" w:color="auto" w:fill="auto"/>
            <w:vAlign w:val="center"/>
          </w:tcPr>
          <w:p w14:paraId="586C45D2" w14:textId="77777777" w:rsidR="00526B6B" w:rsidRPr="007E3317" w:rsidRDefault="00526B6B" w:rsidP="007E3317">
            <w:pPr>
              <w:pStyle w:val="TableText0"/>
              <w:widowControl w:val="0"/>
              <w:jc w:val="center"/>
            </w:pPr>
            <w:r w:rsidRPr="00D379EA">
              <w:t>0.00 (-0.00, 0.01)</w:t>
            </w:r>
          </w:p>
        </w:tc>
      </w:tr>
    </w:tbl>
    <w:p w14:paraId="68EB30E3" w14:textId="77777777" w:rsidR="00526B6B" w:rsidRPr="00D379EA" w:rsidRDefault="00526B6B" w:rsidP="00666DD4">
      <w:pPr>
        <w:pStyle w:val="TableFigureFooter"/>
      </w:pPr>
      <w:r w:rsidRPr="00D379EA">
        <w:t xml:space="preserve">Source: </w:t>
      </w:r>
      <w:r>
        <w:t>Table 11, apalutamide PSD, November 2020.</w:t>
      </w:r>
    </w:p>
    <w:p w14:paraId="21BF5978" w14:textId="77777777" w:rsidR="00526B6B" w:rsidRPr="00D379EA" w:rsidRDefault="00AD6D36" w:rsidP="00666DD4">
      <w:pPr>
        <w:pStyle w:val="TableFigureFooter"/>
      </w:pPr>
      <w:r>
        <w:t xml:space="preserve">CI = confidence interval; </w:t>
      </w:r>
      <w:r w:rsidR="00526B6B" w:rsidRPr="00D379EA">
        <w:t>HR</w:t>
      </w:r>
      <w:r w:rsidR="00BF2149">
        <w:t xml:space="preserve"> </w:t>
      </w:r>
      <w:r w:rsidR="00526B6B" w:rsidRPr="00D379EA">
        <w:t>=</w:t>
      </w:r>
      <w:r w:rsidR="00BF2149">
        <w:t xml:space="preserve"> </w:t>
      </w:r>
      <w:r w:rsidR="00526B6B" w:rsidRPr="00D379EA">
        <w:t>hazard ratio; IHD</w:t>
      </w:r>
      <w:r w:rsidR="00BF2149">
        <w:t xml:space="preserve"> </w:t>
      </w:r>
      <w:r w:rsidR="00526B6B" w:rsidRPr="00D379EA">
        <w:t>=</w:t>
      </w:r>
      <w:r w:rsidR="00BF2149">
        <w:t xml:space="preserve"> </w:t>
      </w:r>
      <w:r w:rsidR="00526B6B" w:rsidRPr="00D379EA">
        <w:t>ischaemic heart disease; MFS</w:t>
      </w:r>
      <w:r w:rsidR="00BF2149">
        <w:t xml:space="preserve"> </w:t>
      </w:r>
      <w:r w:rsidR="00526B6B" w:rsidRPr="00D379EA">
        <w:t>=</w:t>
      </w:r>
      <w:r w:rsidR="00BF2149">
        <w:t xml:space="preserve"> </w:t>
      </w:r>
      <w:r w:rsidR="00526B6B" w:rsidRPr="00D379EA">
        <w:t xml:space="preserve">metastasis-free survival; </w:t>
      </w:r>
      <w:r>
        <w:t xml:space="preserve">NE = not estimable; </w:t>
      </w:r>
      <w:r w:rsidR="00526B6B" w:rsidRPr="00D379EA">
        <w:t>OS</w:t>
      </w:r>
      <w:r w:rsidR="00BF2149">
        <w:t xml:space="preserve"> </w:t>
      </w:r>
      <w:r w:rsidR="00526B6B" w:rsidRPr="00D379EA">
        <w:t>=</w:t>
      </w:r>
      <w:r w:rsidR="00BF2149">
        <w:t xml:space="preserve"> </w:t>
      </w:r>
      <w:r w:rsidR="00526B6B" w:rsidRPr="00D379EA">
        <w:t>overall survival; RD</w:t>
      </w:r>
      <w:r w:rsidR="00BF2149">
        <w:t xml:space="preserve"> </w:t>
      </w:r>
      <w:r w:rsidR="00526B6B" w:rsidRPr="00D379EA">
        <w:t>=</w:t>
      </w:r>
      <w:r w:rsidR="00BF2149">
        <w:t xml:space="preserve"> </w:t>
      </w:r>
      <w:r w:rsidR="00526B6B" w:rsidRPr="00D379EA">
        <w:t>risk difference; RR</w:t>
      </w:r>
      <w:r w:rsidR="00BF2149">
        <w:t xml:space="preserve"> </w:t>
      </w:r>
      <w:r w:rsidR="00526B6B" w:rsidRPr="00D379EA">
        <w:t>=</w:t>
      </w:r>
      <w:r w:rsidR="00BF2149">
        <w:t xml:space="preserve"> </w:t>
      </w:r>
      <w:r w:rsidR="00526B6B" w:rsidRPr="00D379EA">
        <w:t>risk ratio</w:t>
      </w:r>
    </w:p>
    <w:p w14:paraId="44D824BD" w14:textId="77777777" w:rsidR="00526B6B" w:rsidRPr="00D379EA" w:rsidRDefault="00526B6B" w:rsidP="00526B6B">
      <w:pPr>
        <w:pStyle w:val="TableFigureFooter"/>
      </w:pPr>
    </w:p>
    <w:p w14:paraId="33063FD3" w14:textId="77777777" w:rsidR="00526B6B" w:rsidRPr="00D379EA" w:rsidRDefault="00526B6B" w:rsidP="002D5B24">
      <w:pPr>
        <w:pStyle w:val="3-BodyText"/>
        <w:ind w:left="709"/>
      </w:pPr>
      <w:r w:rsidRPr="00D379EA">
        <w:t xml:space="preserve">On the basis of evidence from the SPARTAN trial presented by the resubmission, for every </w:t>
      </w:r>
      <w:r w:rsidRPr="001B3019">
        <w:t>100 patients</w:t>
      </w:r>
      <w:r w:rsidRPr="00D379EA">
        <w:t xml:space="preserve"> treated with apalutamide in comparison to placebo:</w:t>
      </w:r>
    </w:p>
    <w:p w14:paraId="11CB6157" w14:textId="77777777" w:rsidR="00526B6B" w:rsidRPr="00D379EA" w:rsidRDefault="00526B6B" w:rsidP="00526B6B">
      <w:pPr>
        <w:pStyle w:val="ListParagraph"/>
        <w:numPr>
          <w:ilvl w:val="0"/>
          <w:numId w:val="10"/>
        </w:numPr>
        <w:spacing w:after="0"/>
        <w:ind w:left="993" w:hanging="284"/>
        <w:rPr>
          <w:rFonts w:eastAsia="Calibri"/>
        </w:rPr>
      </w:pPr>
      <w:r w:rsidRPr="00D379EA">
        <w:rPr>
          <w:rFonts w:eastAsia="Calibri"/>
        </w:rPr>
        <w:t>Approximately 39 more patients would remain metastasis free after 24 months of treatment</w:t>
      </w:r>
      <w:r w:rsidR="00666DD4">
        <w:rPr>
          <w:rFonts w:eastAsia="Calibri"/>
        </w:rPr>
        <w:t>;</w:t>
      </w:r>
    </w:p>
    <w:p w14:paraId="4261F85C" w14:textId="77777777" w:rsidR="00666DD4" w:rsidRPr="00666DD4" w:rsidRDefault="00526B6B" w:rsidP="00666DD4">
      <w:pPr>
        <w:pStyle w:val="ListParagraph"/>
        <w:numPr>
          <w:ilvl w:val="0"/>
          <w:numId w:val="10"/>
        </w:numPr>
        <w:spacing w:after="0"/>
        <w:ind w:left="993" w:hanging="284"/>
        <w:rPr>
          <w:rFonts w:eastAsia="Calibri"/>
        </w:rPr>
      </w:pPr>
      <w:r w:rsidRPr="00D379EA">
        <w:rPr>
          <w:rFonts w:eastAsia="Calibri"/>
        </w:rPr>
        <w:t>Approximately 6 more patients would survive after 5 years of treatment</w:t>
      </w:r>
      <w:r w:rsidR="00666DD4">
        <w:rPr>
          <w:rFonts w:eastAsia="Calibri"/>
        </w:rPr>
        <w:t>;</w:t>
      </w:r>
    </w:p>
    <w:p w14:paraId="4381AC46" w14:textId="77777777" w:rsidR="00526B6B" w:rsidRPr="00D379EA" w:rsidRDefault="00526B6B" w:rsidP="00526B6B">
      <w:pPr>
        <w:pStyle w:val="ListParagraph"/>
        <w:numPr>
          <w:ilvl w:val="0"/>
          <w:numId w:val="10"/>
        </w:numPr>
        <w:spacing w:after="0"/>
        <w:ind w:left="993" w:hanging="284"/>
      </w:pPr>
      <w:r w:rsidRPr="00D379EA">
        <w:rPr>
          <w:rFonts w:eastAsia="Calibri"/>
        </w:rPr>
        <w:t>Approximately 20 additional patients would experience skin rash;</w:t>
      </w:r>
    </w:p>
    <w:p w14:paraId="60BAE4E0" w14:textId="77777777" w:rsidR="00526B6B" w:rsidRPr="00D379EA" w:rsidRDefault="00526B6B" w:rsidP="00526B6B">
      <w:pPr>
        <w:pStyle w:val="ListParagraph"/>
        <w:numPr>
          <w:ilvl w:val="0"/>
          <w:numId w:val="10"/>
        </w:numPr>
        <w:spacing w:after="0"/>
        <w:ind w:left="993" w:hanging="284"/>
      </w:pPr>
      <w:r w:rsidRPr="00D379EA">
        <w:rPr>
          <w:rFonts w:eastAsia="Calibri"/>
        </w:rPr>
        <w:t xml:space="preserve">Approximately 12 additional patients would experience a fall; </w:t>
      </w:r>
    </w:p>
    <w:p w14:paraId="7CEB5158" w14:textId="77777777" w:rsidR="00526B6B" w:rsidRPr="00D379EA" w:rsidRDefault="00526B6B" w:rsidP="00526B6B">
      <w:pPr>
        <w:pStyle w:val="ListParagraph"/>
        <w:numPr>
          <w:ilvl w:val="0"/>
          <w:numId w:val="10"/>
        </w:numPr>
        <w:spacing w:after="0"/>
        <w:ind w:left="993" w:hanging="284"/>
      </w:pPr>
      <w:r w:rsidRPr="00D379EA">
        <w:rPr>
          <w:rFonts w:eastAsia="Calibri"/>
        </w:rPr>
        <w:t>Approximately 11 additional patients would experience a fracture;</w:t>
      </w:r>
    </w:p>
    <w:p w14:paraId="6A9C935A" w14:textId="77777777" w:rsidR="00526B6B" w:rsidRPr="00D379EA" w:rsidRDefault="00526B6B" w:rsidP="00526B6B">
      <w:pPr>
        <w:pStyle w:val="ListParagraph"/>
        <w:numPr>
          <w:ilvl w:val="0"/>
          <w:numId w:val="10"/>
        </w:numPr>
        <w:spacing w:after="0"/>
        <w:ind w:left="993" w:hanging="284"/>
      </w:pPr>
      <w:r w:rsidRPr="00D379EA">
        <w:rPr>
          <w:rFonts w:eastAsia="Calibri"/>
        </w:rPr>
        <w:t>Approximately 8 additional patients would experience hypothyroidism; and</w:t>
      </w:r>
    </w:p>
    <w:p w14:paraId="13CDE39A" w14:textId="77777777" w:rsidR="00526B6B" w:rsidRPr="00D379EA" w:rsidRDefault="00526B6B" w:rsidP="00526B6B">
      <w:pPr>
        <w:pStyle w:val="ListParagraph"/>
        <w:numPr>
          <w:ilvl w:val="0"/>
          <w:numId w:val="10"/>
        </w:numPr>
        <w:spacing w:after="160"/>
        <w:ind w:left="993" w:hanging="284"/>
      </w:pPr>
      <w:r w:rsidRPr="00D379EA">
        <w:rPr>
          <w:rFonts w:eastAsia="Calibri"/>
        </w:rPr>
        <w:t xml:space="preserve">Approximately 3 additional patients would experience </w:t>
      </w:r>
      <w:r w:rsidR="00FD49EC">
        <w:rPr>
          <w:rFonts w:eastAsia="Calibri"/>
        </w:rPr>
        <w:t>ischaemic heart disease</w:t>
      </w:r>
      <w:r w:rsidR="00462C80">
        <w:rPr>
          <w:rFonts w:eastAsia="Calibri"/>
        </w:rPr>
        <w:t>.</w:t>
      </w:r>
    </w:p>
    <w:p w14:paraId="5CA140BE" w14:textId="77777777" w:rsidR="00526B6B" w:rsidRPr="00D379EA" w:rsidRDefault="00526B6B" w:rsidP="00526B6B">
      <w:pPr>
        <w:pStyle w:val="4-SubsectionHeading"/>
      </w:pPr>
      <w:bookmarkStart w:id="17" w:name="_Toc82426512"/>
      <w:r w:rsidRPr="00D379EA">
        <w:t>Clinical claim</w:t>
      </w:r>
      <w:bookmarkEnd w:id="17"/>
    </w:p>
    <w:p w14:paraId="313DA2E6" w14:textId="77777777" w:rsidR="00765DBB" w:rsidRDefault="00526B6B" w:rsidP="00526B6B">
      <w:pPr>
        <w:pStyle w:val="3-BodyText"/>
        <w:ind w:left="709"/>
        <w:rPr>
          <w:bCs/>
        </w:rPr>
      </w:pPr>
      <w:r w:rsidRPr="001642B2">
        <w:t xml:space="preserve">The resubmission retained its previous claim and described apalutamide as superior in terms of effectiveness compared with placebo and inferior in terms of safety compared to placebo. </w:t>
      </w:r>
      <w:r w:rsidRPr="001642B2">
        <w:rPr>
          <w:bCs/>
        </w:rPr>
        <w:t xml:space="preserve">The PBAC had previously accepted the claim of superior </w:t>
      </w:r>
      <w:r w:rsidRPr="001642B2">
        <w:t>comparative</w:t>
      </w:r>
      <w:r w:rsidRPr="001642B2">
        <w:rPr>
          <w:bCs/>
        </w:rPr>
        <w:t xml:space="preserve"> effectiveness of apalutamide versus placebo, noting that the improvement in OS was modest (paragraph 6.37, apalutamide PSD, November 2020). The PBAC also considered apalutamide to have inferior safety to placebo.</w:t>
      </w:r>
    </w:p>
    <w:p w14:paraId="249F1E49" w14:textId="77777777" w:rsidR="00FD49EC" w:rsidRPr="00FD49EC" w:rsidRDefault="00526B6B" w:rsidP="00526B6B">
      <w:pPr>
        <w:pStyle w:val="3-BodyText"/>
        <w:ind w:left="709"/>
        <w:rPr>
          <w:bCs/>
        </w:rPr>
      </w:pPr>
      <w:r w:rsidRPr="001642B2">
        <w:t xml:space="preserve">The resubmission amended its previous claim of superior efficacy (based on MFS) versus darolutamide to the alternate claim of at least non-inferior efficacy and safety compared to darolutamide. The PBAC considered </w:t>
      </w:r>
      <w:r w:rsidR="00305B42">
        <w:t xml:space="preserve">that the claims that apalutamide demonstrated non-inferior comparative effectiveness and safety compared to darolutamide were reasonable. </w:t>
      </w:r>
      <w:bookmarkStart w:id="18" w:name="_Toc82426513"/>
    </w:p>
    <w:p w14:paraId="07598A00" w14:textId="77777777" w:rsidR="00526B6B" w:rsidRPr="00765DBB" w:rsidRDefault="00526B6B" w:rsidP="00FD49EC">
      <w:pPr>
        <w:pStyle w:val="4-SubsectionHeading"/>
        <w:rPr>
          <w:bCs/>
        </w:rPr>
      </w:pPr>
      <w:r w:rsidRPr="00D379EA">
        <w:t>Economic analysis</w:t>
      </w:r>
      <w:bookmarkEnd w:id="18"/>
      <w:r w:rsidRPr="00D379EA">
        <w:t xml:space="preserve"> </w:t>
      </w:r>
    </w:p>
    <w:p w14:paraId="110FCD50" w14:textId="77777777" w:rsidR="00581BBD" w:rsidRPr="00CE3EC2" w:rsidRDefault="00581BBD" w:rsidP="00581BBD">
      <w:pPr>
        <w:pStyle w:val="3-BodyText"/>
        <w:ind w:left="709"/>
      </w:pPr>
      <w:r w:rsidRPr="00CE3EC2">
        <w:t xml:space="preserve">The </w:t>
      </w:r>
      <w:r w:rsidR="00115A69">
        <w:t>Pre-Sub-Committee Response (</w:t>
      </w:r>
      <w:r w:rsidRPr="00CE3EC2">
        <w:t>PSCR</w:t>
      </w:r>
      <w:r w:rsidR="00115A69">
        <w:t>)</w:t>
      </w:r>
      <w:r w:rsidRPr="00CE3EC2">
        <w:t xml:space="preserve"> </w:t>
      </w:r>
      <w:r w:rsidR="00305B42">
        <w:t xml:space="preserve">and pre-PBAC response </w:t>
      </w:r>
      <w:r w:rsidRPr="00CE3EC2">
        <w:t xml:space="preserve">stated that the recent recommendation </w:t>
      </w:r>
      <w:r w:rsidR="00305B42">
        <w:t xml:space="preserve">and subsequent listing on the PBS of </w:t>
      </w:r>
      <w:r w:rsidRPr="00CE3EC2">
        <w:t>darolutamide for the same indication meant it may be more appropriate to recommend apalutamide on a cost minimisation basis to darolutamide.</w:t>
      </w:r>
    </w:p>
    <w:p w14:paraId="26442917" w14:textId="77777777" w:rsidR="00581BBD" w:rsidRPr="00CE3EC2" w:rsidRDefault="00581BBD" w:rsidP="00581BBD">
      <w:pPr>
        <w:pStyle w:val="3-BodyText"/>
        <w:ind w:left="709"/>
      </w:pPr>
      <w:r w:rsidRPr="00CE3EC2">
        <w:t xml:space="preserve">The ESC, noting that </w:t>
      </w:r>
      <w:r w:rsidR="00764AA1" w:rsidRPr="00CE3EC2">
        <w:t>the PBAC had previously considered that apalutamide was non-inferior compared to darolutamide in terms of efficacy and safety (paragraph 7.08, apalutamide PSD, November 2020)</w:t>
      </w:r>
      <w:r w:rsidRPr="00CE3EC2">
        <w:t xml:space="preserve">, considered that a cost minimisation </w:t>
      </w:r>
      <w:r w:rsidR="00FD49EC">
        <w:t xml:space="preserve">approach </w:t>
      </w:r>
      <w:r w:rsidRPr="00CE3EC2">
        <w:t>between apalutamide and darolutamide would be appropriate. The ESC considered that the equi-effective doses</w:t>
      </w:r>
      <w:r w:rsidR="00C865EB" w:rsidRPr="00CE3EC2">
        <w:t xml:space="preserve"> </w:t>
      </w:r>
      <w:r w:rsidRPr="00CE3EC2">
        <w:t xml:space="preserve">would be: </w:t>
      </w:r>
    </w:p>
    <w:p w14:paraId="1FE92595" w14:textId="77777777" w:rsidR="00581BBD" w:rsidRPr="00CE3EC2" w:rsidRDefault="00581BBD" w:rsidP="00581BBD">
      <w:pPr>
        <w:pStyle w:val="3-BodyText"/>
        <w:numPr>
          <w:ilvl w:val="0"/>
          <w:numId w:val="0"/>
        </w:numPr>
        <w:ind w:left="1389" w:firstLine="141"/>
      </w:pPr>
      <w:r w:rsidRPr="00CE3EC2">
        <w:t xml:space="preserve">apalutamide 240 mg per day = darolutamide 1,200 mg per day </w:t>
      </w:r>
    </w:p>
    <w:p w14:paraId="4E5390E2" w14:textId="77777777" w:rsidR="00C865EB" w:rsidRPr="00CE3EC2" w:rsidRDefault="00C865EB" w:rsidP="002D5B24">
      <w:pPr>
        <w:pStyle w:val="3-BodyText"/>
        <w:ind w:left="709"/>
      </w:pPr>
      <w:r w:rsidRPr="00CE3EC2">
        <w:t xml:space="preserve">The ESC based the equi-effective doses on the recommended daily doses as per the relevant Product Information leaflets. </w:t>
      </w:r>
      <w:r w:rsidR="007377BE" w:rsidRPr="00CE3EC2">
        <w:t>T</w:t>
      </w:r>
      <w:r w:rsidRPr="00CE3EC2">
        <w:t xml:space="preserve">he proposed equi-effective doses </w:t>
      </w:r>
      <w:r w:rsidR="00AB239B" w:rsidRPr="00CE3EC2">
        <w:t>do</w:t>
      </w:r>
      <w:r w:rsidR="00765DBB">
        <w:t xml:space="preserve"> </w:t>
      </w:r>
      <w:r w:rsidR="00AB239B" w:rsidRPr="00CE3EC2">
        <w:t>not a</w:t>
      </w:r>
      <w:r w:rsidRPr="00CE3EC2">
        <w:t xml:space="preserve">ccount </w:t>
      </w:r>
      <w:r w:rsidR="00AB239B" w:rsidRPr="00CE3EC2">
        <w:t>for</w:t>
      </w:r>
      <w:r w:rsidRPr="00CE3EC2">
        <w:t xml:space="preserve"> differences in compliance, treatment duration</w:t>
      </w:r>
      <w:r w:rsidR="00493656">
        <w:t xml:space="preserve"> or</w:t>
      </w:r>
      <w:r w:rsidRPr="00CE3EC2">
        <w:t xml:space="preserve"> differences in adverse event profiles, as these </w:t>
      </w:r>
      <w:r w:rsidR="00493656">
        <w:t>we</w:t>
      </w:r>
      <w:r w:rsidRPr="00CE3EC2">
        <w:t>re not expected to differ between the two treatments.</w:t>
      </w:r>
    </w:p>
    <w:p w14:paraId="76E9FA13" w14:textId="77777777" w:rsidR="00526B6B" w:rsidRPr="001642B2" w:rsidRDefault="00581BBD" w:rsidP="002D5B24">
      <w:pPr>
        <w:pStyle w:val="3-BodyText"/>
        <w:ind w:left="709"/>
      </w:pPr>
      <w:r w:rsidRPr="00CE3EC2">
        <w:t>In terms of the previous economic analysis, i</w:t>
      </w:r>
      <w:r w:rsidR="00666DD4" w:rsidRPr="00CE3EC2">
        <w:t>n November 2020 t</w:t>
      </w:r>
      <w:r w:rsidR="00526B6B" w:rsidRPr="00CE3EC2">
        <w:t xml:space="preserve">he PBAC </w:t>
      </w:r>
      <w:r w:rsidR="00666DD4" w:rsidRPr="00CE3EC2">
        <w:t xml:space="preserve">noted </w:t>
      </w:r>
      <w:r w:rsidR="00526B6B" w:rsidRPr="00CE3EC2">
        <w:t>(paragraphs 7.9 and 7.17, apalutamide PSD, November</w:t>
      </w:r>
      <w:r w:rsidR="00526B6B" w:rsidRPr="001642B2">
        <w:t xml:space="preserve"> 2020) that not all requested modelling changes were implemented and </w:t>
      </w:r>
      <w:r w:rsidR="00964BD7" w:rsidRPr="001642B2">
        <w:t xml:space="preserve">considered </w:t>
      </w:r>
      <w:r w:rsidR="00526B6B" w:rsidRPr="001642B2">
        <w:t xml:space="preserve">that the </w:t>
      </w:r>
      <w:r w:rsidR="00765DBB">
        <w:t>incremental cost effectiveness ratio (</w:t>
      </w:r>
      <w:r w:rsidR="00526B6B" w:rsidRPr="001642B2">
        <w:t>ICER</w:t>
      </w:r>
      <w:r w:rsidR="00765DBB">
        <w:t>)</w:t>
      </w:r>
      <w:r w:rsidR="00526B6B" w:rsidRPr="001642B2">
        <w:t xml:space="preserve"> remained high and uncertain. </w:t>
      </w:r>
      <w:r w:rsidR="00FD49EC">
        <w:t>In November 2020, th</w:t>
      </w:r>
      <w:r w:rsidR="00526B6B" w:rsidRPr="001642B2">
        <w:t xml:space="preserve">e PBAC </w:t>
      </w:r>
      <w:r w:rsidR="004823D2" w:rsidRPr="001642B2">
        <w:t>advised that</w:t>
      </w:r>
      <w:r w:rsidR="00526B6B" w:rsidRPr="001642B2">
        <w:t xml:space="preserve"> </w:t>
      </w:r>
      <w:r w:rsidR="004823D2" w:rsidRPr="001642B2">
        <w:t>a future model would need to</w:t>
      </w:r>
      <w:r w:rsidR="00526B6B" w:rsidRPr="001642B2">
        <w:t>:</w:t>
      </w:r>
    </w:p>
    <w:p w14:paraId="092BB227" w14:textId="77777777" w:rsidR="00666DD4" w:rsidRPr="001642B2" w:rsidRDefault="00526B6B" w:rsidP="00765DBB">
      <w:pPr>
        <w:pStyle w:val="Bulletpoints"/>
        <w:ind w:left="1077" w:hanging="357"/>
      </w:pPr>
      <w:r w:rsidRPr="001642B2">
        <w:t xml:space="preserve">adjust the dose intensity in the model </w:t>
      </w:r>
      <w:r w:rsidR="00415A0B" w:rsidRPr="001642B2">
        <w:t xml:space="preserve">(from 66.24%) </w:t>
      </w:r>
      <w:r w:rsidRPr="001642B2">
        <w:t>to reflect that expected in clinical practice</w:t>
      </w:r>
      <w:r w:rsidR="00666DD4" w:rsidRPr="001642B2">
        <w:t>;</w:t>
      </w:r>
      <w:r w:rsidRPr="001642B2">
        <w:t xml:space="preserve"> </w:t>
      </w:r>
    </w:p>
    <w:p w14:paraId="6C5E3065" w14:textId="77777777" w:rsidR="004823D2" w:rsidRPr="001642B2" w:rsidRDefault="00526B6B" w:rsidP="00765DBB">
      <w:pPr>
        <w:pStyle w:val="Bulletpoints"/>
        <w:ind w:left="1077" w:hanging="357"/>
      </w:pPr>
      <w:r w:rsidRPr="001642B2">
        <w:t xml:space="preserve">include a price reduction to achieve ICER in the range of $40,000 to $45,000 per </w:t>
      </w:r>
      <w:r w:rsidR="00765DBB">
        <w:t>quality adjusted life year (</w:t>
      </w:r>
      <w:r w:rsidRPr="001642B2">
        <w:t>QALY</w:t>
      </w:r>
      <w:r w:rsidR="00765DBB">
        <w:t>)</w:t>
      </w:r>
      <w:r w:rsidRPr="001642B2">
        <w:t>, using OS unadjusted for treatment switching</w:t>
      </w:r>
      <w:r w:rsidR="004823D2" w:rsidRPr="001642B2">
        <w:t>; and</w:t>
      </w:r>
    </w:p>
    <w:p w14:paraId="747395AA" w14:textId="77777777" w:rsidR="00526B6B" w:rsidRPr="001642B2" w:rsidRDefault="004823D2" w:rsidP="00765DBB">
      <w:pPr>
        <w:pStyle w:val="Bulletpoints"/>
        <w:ind w:left="1077" w:hanging="357"/>
      </w:pPr>
      <w:r w:rsidRPr="001642B2">
        <w:t>apply OS unadjusted for treatment switching</w:t>
      </w:r>
      <w:r w:rsidR="00526B6B" w:rsidRPr="001642B2">
        <w:t>.</w:t>
      </w:r>
    </w:p>
    <w:p w14:paraId="11418815" w14:textId="77777777" w:rsidR="00526B6B" w:rsidRPr="001642B2" w:rsidRDefault="004823D2" w:rsidP="00765DBB">
      <w:pPr>
        <w:pStyle w:val="3-BodyText"/>
        <w:ind w:left="709"/>
      </w:pPr>
      <w:r w:rsidRPr="00CE3EC2">
        <w:t xml:space="preserve">The </w:t>
      </w:r>
      <w:r w:rsidR="00764AA1" w:rsidRPr="00CE3EC2">
        <w:t>ESC noted that the</w:t>
      </w:r>
      <w:r w:rsidR="00764AA1">
        <w:t xml:space="preserve"> </w:t>
      </w:r>
      <w:r w:rsidRPr="001B3019">
        <w:t xml:space="preserve">above </w:t>
      </w:r>
      <w:r w:rsidR="00526B6B" w:rsidRPr="001B3019">
        <w:t>changes were adopted by the resubmission</w:t>
      </w:r>
      <w:r w:rsidRPr="001B3019">
        <w:t>,</w:t>
      </w:r>
      <w:r w:rsidR="00526B6B" w:rsidRPr="001B3019">
        <w:t xml:space="preserve"> with </w:t>
      </w:r>
      <w:r w:rsidRPr="001B3019">
        <w:t xml:space="preserve">the revised economic model resulting in a </w:t>
      </w:r>
      <w:r w:rsidR="00526B6B" w:rsidRPr="001B3019">
        <w:t>base case ICER of $</w:t>
      </w:r>
      <w:r w:rsidR="00E87A90">
        <w:t>35,000 to &lt; $45,000</w:t>
      </w:r>
      <w:r w:rsidRPr="001B3019">
        <w:t xml:space="preserve"> per </w:t>
      </w:r>
      <w:r w:rsidR="00526B6B" w:rsidRPr="001B3019">
        <w:t xml:space="preserve">QALY gained. </w:t>
      </w:r>
      <w:r w:rsidR="00526B6B" w:rsidRPr="001642B2">
        <w:t xml:space="preserve"> </w:t>
      </w:r>
    </w:p>
    <w:p w14:paraId="1A0E41B5" w14:textId="77777777" w:rsidR="00526B6B" w:rsidRPr="00D379EA" w:rsidRDefault="00526B6B" w:rsidP="00526B6B">
      <w:pPr>
        <w:pStyle w:val="4-SubsectionHeading"/>
      </w:pPr>
      <w:bookmarkStart w:id="19" w:name="_Toc82426514"/>
      <w:r w:rsidRPr="00D379EA">
        <w:t>Drug cost/patient/month</w:t>
      </w:r>
      <w:bookmarkEnd w:id="19"/>
    </w:p>
    <w:p w14:paraId="2FFB7972" w14:textId="77777777" w:rsidR="00526B6B" w:rsidRDefault="00526B6B" w:rsidP="00526B6B">
      <w:pPr>
        <w:keepNext/>
        <w:rPr>
          <w:rFonts w:ascii="Arial Narrow" w:hAnsi="Arial Narrow"/>
          <w:b/>
          <w:sz w:val="20"/>
          <w:szCs w:val="20"/>
        </w:rPr>
      </w:pPr>
      <w:r w:rsidRPr="00D379EA">
        <w:rPr>
          <w:rFonts w:ascii="Arial Narrow" w:hAnsi="Arial Narrow"/>
          <w:b/>
          <w:sz w:val="20"/>
          <w:szCs w:val="20"/>
        </w:rPr>
        <w:t xml:space="preserve">Table </w:t>
      </w:r>
      <w:r w:rsidR="00F2524C">
        <w:rPr>
          <w:rFonts w:ascii="Arial Narrow" w:hAnsi="Arial Narrow"/>
          <w:b/>
          <w:sz w:val="20"/>
          <w:szCs w:val="20"/>
        </w:rPr>
        <w:t>8</w:t>
      </w:r>
      <w:r w:rsidRPr="00D379EA">
        <w:rPr>
          <w:rFonts w:ascii="Arial Narrow" w:hAnsi="Arial Narrow"/>
          <w:b/>
          <w:sz w:val="20"/>
          <w:szCs w:val="20"/>
        </w:rPr>
        <w:t>: Intervention costs</w:t>
      </w:r>
      <w:r w:rsidRPr="00D379EA">
        <w:rPr>
          <w:rFonts w:ascii="Arial Narrow" w:hAnsi="Arial Narrow"/>
          <w:b/>
          <w:sz w:val="20"/>
          <w:szCs w:val="20"/>
          <w:vertAlign w:val="superscript"/>
        </w:rPr>
        <w:t>a</w:t>
      </w:r>
      <w:r w:rsidRPr="00D379EA">
        <w:rPr>
          <w:rFonts w:ascii="Arial Narrow" w:hAnsi="Arial Narrow"/>
          <w:b/>
          <w:sz w:val="20"/>
          <w:szCs w:val="20"/>
        </w:rPr>
        <w:t xml:space="preserve"> per patient across one month and model duration</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Intervention costsa per patient across one month and model duration"/>
      </w:tblPr>
      <w:tblGrid>
        <w:gridCol w:w="1696"/>
        <w:gridCol w:w="1277"/>
        <w:gridCol w:w="1277"/>
        <w:gridCol w:w="1279"/>
        <w:gridCol w:w="1192"/>
        <w:gridCol w:w="1181"/>
        <w:gridCol w:w="1117"/>
      </w:tblGrid>
      <w:tr w:rsidR="00526B6B" w:rsidRPr="001642B2" w14:paraId="52EA2641" w14:textId="77777777" w:rsidTr="00AD6D36">
        <w:trPr>
          <w:jc w:val="center"/>
        </w:trPr>
        <w:tc>
          <w:tcPr>
            <w:tcW w:w="940" w:type="pct"/>
            <w:vMerge w:val="restart"/>
            <w:shd w:val="clear" w:color="auto" w:fill="auto"/>
            <w:vAlign w:val="center"/>
          </w:tcPr>
          <w:p w14:paraId="5D6EE932" w14:textId="77777777" w:rsidR="00526B6B" w:rsidRPr="001642B2" w:rsidRDefault="00526B6B" w:rsidP="004767A5">
            <w:pPr>
              <w:keepNext/>
              <w:rPr>
                <w:rFonts w:ascii="Arial Narrow" w:hAnsi="Arial Narrow"/>
                <w:b/>
                <w:sz w:val="20"/>
              </w:rPr>
            </w:pPr>
          </w:p>
        </w:tc>
        <w:tc>
          <w:tcPr>
            <w:tcW w:w="2125" w:type="pct"/>
            <w:gridSpan w:val="3"/>
            <w:shd w:val="clear" w:color="auto" w:fill="auto"/>
            <w:vAlign w:val="center"/>
          </w:tcPr>
          <w:p w14:paraId="02F51AC1" w14:textId="77777777" w:rsidR="00526B6B" w:rsidRPr="001642B2" w:rsidRDefault="00526B6B" w:rsidP="004767A5">
            <w:pPr>
              <w:keepNext/>
              <w:jc w:val="center"/>
              <w:rPr>
                <w:rFonts w:ascii="Arial Narrow" w:hAnsi="Arial Narrow"/>
                <w:b/>
                <w:sz w:val="20"/>
              </w:rPr>
            </w:pPr>
            <w:r w:rsidRPr="001642B2">
              <w:rPr>
                <w:rFonts w:ascii="Arial Narrow" w:hAnsi="Arial Narrow"/>
                <w:b/>
                <w:sz w:val="20"/>
              </w:rPr>
              <w:t>Apalutamide</w:t>
            </w:r>
          </w:p>
        </w:tc>
        <w:tc>
          <w:tcPr>
            <w:tcW w:w="1935" w:type="pct"/>
            <w:gridSpan w:val="3"/>
            <w:shd w:val="clear" w:color="auto" w:fill="auto"/>
            <w:vAlign w:val="center"/>
          </w:tcPr>
          <w:p w14:paraId="10100DB2" w14:textId="77777777" w:rsidR="00526B6B" w:rsidRPr="001642B2" w:rsidRDefault="00526B6B" w:rsidP="004767A5">
            <w:pPr>
              <w:keepNext/>
              <w:jc w:val="center"/>
              <w:rPr>
                <w:rFonts w:ascii="Arial Narrow" w:hAnsi="Arial Narrow"/>
                <w:b/>
                <w:sz w:val="20"/>
              </w:rPr>
            </w:pPr>
            <w:r w:rsidRPr="001642B2">
              <w:rPr>
                <w:rFonts w:ascii="Arial Narrow" w:hAnsi="Arial Narrow"/>
                <w:b/>
                <w:sz w:val="20"/>
              </w:rPr>
              <w:t>Placebo</w:t>
            </w:r>
          </w:p>
        </w:tc>
      </w:tr>
      <w:tr w:rsidR="00AD6D36" w:rsidRPr="001642B2" w14:paraId="52A3168A" w14:textId="77777777" w:rsidTr="00AD6D36">
        <w:trPr>
          <w:jc w:val="center"/>
        </w:trPr>
        <w:tc>
          <w:tcPr>
            <w:tcW w:w="940" w:type="pct"/>
            <w:vMerge/>
            <w:shd w:val="clear" w:color="auto" w:fill="auto"/>
            <w:vAlign w:val="center"/>
          </w:tcPr>
          <w:p w14:paraId="7BCA6C1E" w14:textId="77777777" w:rsidR="00526B6B" w:rsidRPr="001642B2" w:rsidRDefault="00526B6B" w:rsidP="004767A5">
            <w:pPr>
              <w:keepNext/>
              <w:rPr>
                <w:rFonts w:ascii="Arial Narrow" w:hAnsi="Arial Narrow"/>
                <w:b/>
                <w:sz w:val="20"/>
              </w:rPr>
            </w:pPr>
          </w:p>
        </w:tc>
        <w:tc>
          <w:tcPr>
            <w:tcW w:w="708" w:type="pct"/>
            <w:shd w:val="clear" w:color="auto" w:fill="auto"/>
            <w:vAlign w:val="center"/>
          </w:tcPr>
          <w:p w14:paraId="1FA2B94E" w14:textId="77777777" w:rsidR="00526B6B" w:rsidRPr="001642B2" w:rsidRDefault="00526B6B" w:rsidP="004767A5">
            <w:pPr>
              <w:keepNext/>
              <w:jc w:val="center"/>
              <w:rPr>
                <w:rFonts w:ascii="Arial Narrow" w:hAnsi="Arial Narrow"/>
                <w:b/>
                <w:sz w:val="20"/>
              </w:rPr>
            </w:pPr>
            <w:r w:rsidRPr="001642B2">
              <w:rPr>
                <w:rFonts w:ascii="Arial Narrow" w:hAnsi="Arial Narrow"/>
                <w:b/>
                <w:sz w:val="20"/>
              </w:rPr>
              <w:t>Trial dose and duration</w:t>
            </w:r>
          </w:p>
        </w:tc>
        <w:tc>
          <w:tcPr>
            <w:tcW w:w="708" w:type="pct"/>
            <w:shd w:val="clear" w:color="auto" w:fill="auto"/>
            <w:vAlign w:val="center"/>
          </w:tcPr>
          <w:p w14:paraId="40ABA94C" w14:textId="77777777" w:rsidR="00526B6B" w:rsidRPr="001642B2" w:rsidRDefault="00526B6B" w:rsidP="004767A5">
            <w:pPr>
              <w:keepNext/>
              <w:jc w:val="center"/>
              <w:rPr>
                <w:rFonts w:ascii="Arial Narrow" w:hAnsi="Arial Narrow"/>
                <w:b/>
                <w:sz w:val="20"/>
              </w:rPr>
            </w:pPr>
            <w:r w:rsidRPr="001642B2">
              <w:rPr>
                <w:rFonts w:ascii="Arial Narrow" w:hAnsi="Arial Narrow"/>
                <w:b/>
                <w:sz w:val="20"/>
              </w:rPr>
              <w:t>Model</w:t>
            </w:r>
          </w:p>
        </w:tc>
        <w:tc>
          <w:tcPr>
            <w:tcW w:w="709" w:type="pct"/>
            <w:shd w:val="clear" w:color="auto" w:fill="auto"/>
            <w:vAlign w:val="center"/>
          </w:tcPr>
          <w:p w14:paraId="148A98C9" w14:textId="77777777" w:rsidR="00AD6D36" w:rsidRDefault="00526B6B" w:rsidP="004767A5">
            <w:pPr>
              <w:keepNext/>
              <w:jc w:val="center"/>
              <w:rPr>
                <w:rFonts w:ascii="Arial Narrow" w:hAnsi="Arial Narrow"/>
                <w:b/>
                <w:sz w:val="20"/>
              </w:rPr>
            </w:pPr>
            <w:r w:rsidRPr="001642B2">
              <w:rPr>
                <w:rFonts w:ascii="Arial Narrow" w:hAnsi="Arial Narrow"/>
                <w:b/>
                <w:sz w:val="20"/>
              </w:rPr>
              <w:t xml:space="preserve">Financial </w:t>
            </w:r>
          </w:p>
          <w:p w14:paraId="24141822" w14:textId="77777777" w:rsidR="00526B6B" w:rsidRPr="001642B2" w:rsidRDefault="00526B6B" w:rsidP="004767A5">
            <w:pPr>
              <w:keepNext/>
              <w:jc w:val="center"/>
              <w:rPr>
                <w:rFonts w:ascii="Arial Narrow" w:hAnsi="Arial Narrow"/>
                <w:b/>
                <w:sz w:val="20"/>
              </w:rPr>
            </w:pPr>
            <w:r w:rsidRPr="001642B2">
              <w:rPr>
                <w:rFonts w:ascii="Arial Narrow" w:hAnsi="Arial Narrow"/>
                <w:b/>
                <w:sz w:val="20"/>
              </w:rPr>
              <w:t>estimates</w:t>
            </w:r>
          </w:p>
        </w:tc>
        <w:tc>
          <w:tcPr>
            <w:tcW w:w="661" w:type="pct"/>
            <w:shd w:val="clear" w:color="auto" w:fill="auto"/>
            <w:vAlign w:val="center"/>
          </w:tcPr>
          <w:p w14:paraId="31EEA446" w14:textId="77777777" w:rsidR="00526B6B" w:rsidRPr="001642B2" w:rsidRDefault="00526B6B" w:rsidP="004767A5">
            <w:pPr>
              <w:keepNext/>
              <w:jc w:val="center"/>
              <w:rPr>
                <w:rFonts w:ascii="Arial Narrow" w:hAnsi="Arial Narrow"/>
                <w:b/>
                <w:sz w:val="20"/>
              </w:rPr>
            </w:pPr>
            <w:r w:rsidRPr="001642B2">
              <w:rPr>
                <w:rFonts w:ascii="Arial Narrow" w:hAnsi="Arial Narrow"/>
                <w:b/>
                <w:sz w:val="20"/>
              </w:rPr>
              <w:t>Trial dose and duration</w:t>
            </w:r>
          </w:p>
        </w:tc>
        <w:tc>
          <w:tcPr>
            <w:tcW w:w="655" w:type="pct"/>
            <w:shd w:val="clear" w:color="auto" w:fill="auto"/>
            <w:vAlign w:val="center"/>
          </w:tcPr>
          <w:p w14:paraId="2B20D5B1" w14:textId="77777777" w:rsidR="00526B6B" w:rsidRPr="001642B2" w:rsidRDefault="00526B6B" w:rsidP="004767A5">
            <w:pPr>
              <w:keepNext/>
              <w:jc w:val="center"/>
              <w:rPr>
                <w:rFonts w:ascii="Arial Narrow" w:hAnsi="Arial Narrow"/>
                <w:b/>
                <w:sz w:val="20"/>
              </w:rPr>
            </w:pPr>
            <w:r w:rsidRPr="001642B2">
              <w:rPr>
                <w:rFonts w:ascii="Arial Narrow" w:hAnsi="Arial Narrow"/>
                <w:b/>
                <w:sz w:val="20"/>
              </w:rPr>
              <w:t>Model</w:t>
            </w:r>
          </w:p>
        </w:tc>
        <w:tc>
          <w:tcPr>
            <w:tcW w:w="619" w:type="pct"/>
            <w:shd w:val="clear" w:color="auto" w:fill="auto"/>
            <w:vAlign w:val="center"/>
          </w:tcPr>
          <w:p w14:paraId="25B2ACFC" w14:textId="77777777" w:rsidR="00526B6B" w:rsidRPr="001642B2" w:rsidRDefault="00526B6B" w:rsidP="004767A5">
            <w:pPr>
              <w:keepNext/>
              <w:jc w:val="center"/>
              <w:rPr>
                <w:rFonts w:ascii="Arial Narrow" w:hAnsi="Arial Narrow"/>
                <w:b/>
                <w:sz w:val="20"/>
              </w:rPr>
            </w:pPr>
            <w:r w:rsidRPr="001642B2">
              <w:rPr>
                <w:rFonts w:ascii="Arial Narrow" w:hAnsi="Arial Narrow"/>
                <w:b/>
                <w:sz w:val="20"/>
              </w:rPr>
              <w:t>Financial estimates</w:t>
            </w:r>
          </w:p>
        </w:tc>
      </w:tr>
      <w:tr w:rsidR="00AD6D36" w:rsidRPr="001642B2" w14:paraId="39F67792" w14:textId="77777777" w:rsidTr="00AD6D36">
        <w:trPr>
          <w:jc w:val="center"/>
        </w:trPr>
        <w:tc>
          <w:tcPr>
            <w:tcW w:w="940" w:type="pct"/>
            <w:shd w:val="clear" w:color="auto" w:fill="auto"/>
            <w:vAlign w:val="center"/>
          </w:tcPr>
          <w:p w14:paraId="55A4818D" w14:textId="77777777" w:rsidR="00526B6B" w:rsidRPr="001642B2" w:rsidRDefault="00526B6B" w:rsidP="004767A5">
            <w:pPr>
              <w:keepNext/>
              <w:rPr>
                <w:rFonts w:ascii="Arial Narrow" w:hAnsi="Arial Narrow"/>
                <w:sz w:val="20"/>
              </w:rPr>
            </w:pPr>
            <w:r w:rsidRPr="001642B2">
              <w:rPr>
                <w:rFonts w:ascii="Arial Narrow" w:hAnsi="Arial Narrow"/>
                <w:sz w:val="20"/>
              </w:rPr>
              <w:t>Mean dose</w:t>
            </w:r>
          </w:p>
        </w:tc>
        <w:tc>
          <w:tcPr>
            <w:tcW w:w="708" w:type="pct"/>
            <w:shd w:val="clear" w:color="auto" w:fill="auto"/>
            <w:vAlign w:val="center"/>
          </w:tcPr>
          <w:p w14:paraId="230ADAC3" w14:textId="77777777" w:rsidR="00526B6B" w:rsidRPr="001642B2" w:rsidRDefault="00526B6B" w:rsidP="004767A5">
            <w:pPr>
              <w:keepNext/>
              <w:jc w:val="center"/>
              <w:rPr>
                <w:rFonts w:ascii="Arial Narrow" w:hAnsi="Arial Narrow"/>
                <w:sz w:val="20"/>
              </w:rPr>
            </w:pPr>
            <w:r w:rsidRPr="001642B2">
              <w:rPr>
                <w:rFonts w:ascii="Arial Narrow" w:hAnsi="Arial Narrow"/>
                <w:sz w:val="20"/>
              </w:rPr>
              <w:t>219</w:t>
            </w:r>
            <w:r w:rsidR="00D10E59" w:rsidRPr="001642B2">
              <w:rPr>
                <w:rFonts w:ascii="Arial Narrow" w:hAnsi="Arial Narrow"/>
                <w:sz w:val="20"/>
              </w:rPr>
              <w:t xml:space="preserve"> </w:t>
            </w:r>
            <w:r w:rsidRPr="001642B2">
              <w:rPr>
                <w:rFonts w:ascii="Arial Narrow" w:hAnsi="Arial Narrow"/>
                <w:sz w:val="20"/>
              </w:rPr>
              <w:t>mg/day</w:t>
            </w:r>
          </w:p>
        </w:tc>
        <w:tc>
          <w:tcPr>
            <w:tcW w:w="708" w:type="pct"/>
            <w:shd w:val="clear" w:color="auto" w:fill="auto"/>
            <w:vAlign w:val="center"/>
          </w:tcPr>
          <w:p w14:paraId="72772AD3" w14:textId="77777777" w:rsidR="00526B6B" w:rsidRPr="001642B2" w:rsidRDefault="00526B6B" w:rsidP="004767A5">
            <w:pPr>
              <w:keepNext/>
              <w:jc w:val="center"/>
              <w:rPr>
                <w:rFonts w:ascii="Arial Narrow" w:hAnsi="Arial Narrow"/>
                <w:sz w:val="20"/>
              </w:rPr>
            </w:pPr>
            <w:r w:rsidRPr="001642B2">
              <w:rPr>
                <w:rFonts w:ascii="Arial Narrow" w:hAnsi="Arial Narrow"/>
                <w:sz w:val="20"/>
              </w:rPr>
              <w:t>240</w:t>
            </w:r>
            <w:r w:rsidR="00D10E59" w:rsidRPr="001642B2">
              <w:rPr>
                <w:rFonts w:ascii="Arial Narrow" w:hAnsi="Arial Narrow"/>
                <w:sz w:val="20"/>
              </w:rPr>
              <w:t xml:space="preserve"> </w:t>
            </w:r>
            <w:r w:rsidRPr="001642B2">
              <w:rPr>
                <w:rFonts w:ascii="Arial Narrow" w:hAnsi="Arial Narrow"/>
                <w:sz w:val="20"/>
              </w:rPr>
              <w:t>mg/day</w:t>
            </w:r>
            <w:r w:rsidRPr="001642B2">
              <w:rPr>
                <w:rFonts w:ascii="Arial Narrow" w:hAnsi="Arial Narrow"/>
                <w:sz w:val="20"/>
                <w:vertAlign w:val="superscript"/>
              </w:rPr>
              <w:t>a</w:t>
            </w:r>
          </w:p>
        </w:tc>
        <w:tc>
          <w:tcPr>
            <w:tcW w:w="709" w:type="pct"/>
            <w:shd w:val="clear" w:color="auto" w:fill="auto"/>
            <w:vAlign w:val="center"/>
          </w:tcPr>
          <w:p w14:paraId="60B2E580" w14:textId="77777777" w:rsidR="00526B6B" w:rsidRPr="001642B2" w:rsidRDefault="00526B6B" w:rsidP="004767A5">
            <w:pPr>
              <w:keepNext/>
              <w:jc w:val="center"/>
              <w:rPr>
                <w:rFonts w:ascii="Arial Narrow" w:hAnsi="Arial Narrow"/>
                <w:sz w:val="20"/>
              </w:rPr>
            </w:pPr>
            <w:r w:rsidRPr="001642B2">
              <w:rPr>
                <w:rFonts w:ascii="Arial Narrow" w:hAnsi="Arial Narrow"/>
                <w:sz w:val="20"/>
              </w:rPr>
              <w:t>240</w:t>
            </w:r>
            <w:r w:rsidR="00D10E59" w:rsidRPr="001642B2">
              <w:rPr>
                <w:rFonts w:ascii="Arial Narrow" w:hAnsi="Arial Narrow"/>
                <w:sz w:val="20"/>
              </w:rPr>
              <w:t xml:space="preserve"> </w:t>
            </w:r>
            <w:r w:rsidRPr="001642B2">
              <w:rPr>
                <w:rFonts w:ascii="Arial Narrow" w:hAnsi="Arial Narrow"/>
                <w:sz w:val="20"/>
              </w:rPr>
              <w:t>mg/day</w:t>
            </w:r>
            <w:r w:rsidRPr="001642B2">
              <w:rPr>
                <w:rFonts w:ascii="Arial Narrow" w:hAnsi="Arial Narrow"/>
                <w:sz w:val="20"/>
                <w:vertAlign w:val="superscript"/>
              </w:rPr>
              <w:t>b</w:t>
            </w:r>
          </w:p>
        </w:tc>
        <w:tc>
          <w:tcPr>
            <w:tcW w:w="661" w:type="pct"/>
            <w:shd w:val="clear" w:color="auto" w:fill="auto"/>
            <w:vAlign w:val="center"/>
          </w:tcPr>
          <w:p w14:paraId="4A1B3B49" w14:textId="77777777" w:rsidR="00526B6B" w:rsidRPr="001642B2" w:rsidRDefault="00061BCA" w:rsidP="004767A5">
            <w:pPr>
              <w:keepNext/>
              <w:jc w:val="center"/>
              <w:rPr>
                <w:rFonts w:ascii="Arial Narrow" w:hAnsi="Arial Narrow"/>
                <w:sz w:val="20"/>
              </w:rPr>
            </w:pPr>
            <w:r w:rsidRPr="001642B2">
              <w:rPr>
                <w:rFonts w:ascii="Arial Narrow" w:hAnsi="Arial Narrow"/>
                <w:sz w:val="20"/>
              </w:rPr>
              <w:t>-</w:t>
            </w:r>
          </w:p>
        </w:tc>
        <w:tc>
          <w:tcPr>
            <w:tcW w:w="655" w:type="pct"/>
            <w:shd w:val="clear" w:color="auto" w:fill="auto"/>
            <w:vAlign w:val="center"/>
          </w:tcPr>
          <w:p w14:paraId="11BE4CEB" w14:textId="77777777" w:rsidR="00526B6B" w:rsidRPr="001642B2" w:rsidRDefault="00061BCA" w:rsidP="004767A5">
            <w:pPr>
              <w:keepNext/>
              <w:jc w:val="center"/>
              <w:rPr>
                <w:rFonts w:ascii="Arial Narrow" w:hAnsi="Arial Narrow"/>
                <w:sz w:val="20"/>
              </w:rPr>
            </w:pPr>
            <w:r w:rsidRPr="001642B2">
              <w:rPr>
                <w:rFonts w:ascii="Arial Narrow" w:hAnsi="Arial Narrow"/>
                <w:sz w:val="20"/>
              </w:rPr>
              <w:t>-</w:t>
            </w:r>
          </w:p>
        </w:tc>
        <w:tc>
          <w:tcPr>
            <w:tcW w:w="619" w:type="pct"/>
            <w:shd w:val="clear" w:color="auto" w:fill="auto"/>
            <w:vAlign w:val="center"/>
          </w:tcPr>
          <w:p w14:paraId="4C998E57" w14:textId="77777777" w:rsidR="00526B6B" w:rsidRPr="001642B2" w:rsidRDefault="00061BCA" w:rsidP="004767A5">
            <w:pPr>
              <w:keepNext/>
              <w:jc w:val="center"/>
              <w:rPr>
                <w:rFonts w:ascii="Arial Narrow" w:hAnsi="Arial Narrow"/>
                <w:sz w:val="20"/>
              </w:rPr>
            </w:pPr>
            <w:r w:rsidRPr="001642B2">
              <w:rPr>
                <w:rFonts w:ascii="Arial Narrow" w:hAnsi="Arial Narrow"/>
                <w:sz w:val="20"/>
              </w:rPr>
              <w:t>-</w:t>
            </w:r>
          </w:p>
        </w:tc>
      </w:tr>
      <w:tr w:rsidR="00AD6D36" w:rsidRPr="001642B2" w14:paraId="7E14E42C" w14:textId="77777777" w:rsidTr="00AD6D36">
        <w:trPr>
          <w:jc w:val="center"/>
        </w:trPr>
        <w:tc>
          <w:tcPr>
            <w:tcW w:w="940" w:type="pct"/>
            <w:shd w:val="clear" w:color="auto" w:fill="auto"/>
            <w:vAlign w:val="center"/>
          </w:tcPr>
          <w:p w14:paraId="3F55FF52" w14:textId="77777777" w:rsidR="00526B6B" w:rsidRPr="001642B2" w:rsidRDefault="00526B6B" w:rsidP="004767A5">
            <w:pPr>
              <w:keepNext/>
              <w:rPr>
                <w:rFonts w:ascii="Arial Narrow" w:hAnsi="Arial Narrow"/>
                <w:sz w:val="20"/>
              </w:rPr>
            </w:pPr>
            <w:r w:rsidRPr="001642B2">
              <w:rPr>
                <w:rFonts w:ascii="Arial Narrow" w:hAnsi="Arial Narrow"/>
                <w:sz w:val="20"/>
              </w:rPr>
              <w:t>Mean duration</w:t>
            </w:r>
          </w:p>
        </w:tc>
        <w:tc>
          <w:tcPr>
            <w:tcW w:w="708" w:type="pct"/>
            <w:shd w:val="clear" w:color="auto" w:fill="auto"/>
            <w:vAlign w:val="center"/>
          </w:tcPr>
          <w:p w14:paraId="6130BA1D" w14:textId="77777777" w:rsidR="00526B6B" w:rsidRPr="001642B2" w:rsidRDefault="00526B6B" w:rsidP="004767A5">
            <w:pPr>
              <w:keepNext/>
              <w:jc w:val="center"/>
              <w:rPr>
                <w:rFonts w:ascii="Arial Narrow" w:hAnsi="Arial Narrow"/>
                <w:sz w:val="20"/>
                <w:vertAlign w:val="superscript"/>
              </w:rPr>
            </w:pPr>
            <w:r w:rsidRPr="001642B2">
              <w:rPr>
                <w:rFonts w:ascii="Arial Narrow" w:hAnsi="Arial Narrow"/>
                <w:sz w:val="20"/>
              </w:rPr>
              <w:t>31.65 months</w:t>
            </w:r>
            <w:r w:rsidRPr="001642B2">
              <w:rPr>
                <w:rFonts w:ascii="Arial Narrow" w:hAnsi="Arial Narrow"/>
                <w:sz w:val="20"/>
                <w:vertAlign w:val="superscript"/>
              </w:rPr>
              <w:t>c</w:t>
            </w:r>
          </w:p>
        </w:tc>
        <w:tc>
          <w:tcPr>
            <w:tcW w:w="708" w:type="pct"/>
            <w:shd w:val="clear" w:color="auto" w:fill="auto"/>
            <w:vAlign w:val="center"/>
          </w:tcPr>
          <w:p w14:paraId="2560D5C2" w14:textId="77777777" w:rsidR="00526B6B" w:rsidRPr="001642B2" w:rsidRDefault="00526B6B" w:rsidP="004767A5">
            <w:pPr>
              <w:keepNext/>
              <w:jc w:val="center"/>
              <w:rPr>
                <w:rFonts w:ascii="Arial Narrow" w:hAnsi="Arial Narrow"/>
                <w:sz w:val="20"/>
                <w:vertAlign w:val="superscript"/>
              </w:rPr>
            </w:pPr>
            <w:r w:rsidRPr="001642B2">
              <w:rPr>
                <w:rFonts w:ascii="Arial Narrow" w:hAnsi="Arial Narrow"/>
                <w:sz w:val="20"/>
              </w:rPr>
              <w:t>39.25 months</w:t>
            </w:r>
            <w:r w:rsidRPr="001642B2">
              <w:rPr>
                <w:rFonts w:ascii="Arial Narrow" w:hAnsi="Arial Narrow"/>
                <w:sz w:val="20"/>
                <w:vertAlign w:val="superscript"/>
              </w:rPr>
              <w:t>f</w:t>
            </w:r>
          </w:p>
        </w:tc>
        <w:tc>
          <w:tcPr>
            <w:tcW w:w="709" w:type="pct"/>
            <w:shd w:val="clear" w:color="auto" w:fill="auto"/>
            <w:vAlign w:val="center"/>
          </w:tcPr>
          <w:p w14:paraId="0EF54A8C" w14:textId="77777777" w:rsidR="00526B6B" w:rsidRPr="001642B2" w:rsidRDefault="00526B6B" w:rsidP="004767A5">
            <w:pPr>
              <w:keepNext/>
              <w:jc w:val="center"/>
              <w:rPr>
                <w:rFonts w:ascii="Arial Narrow" w:hAnsi="Arial Narrow"/>
                <w:sz w:val="20"/>
                <w:highlight w:val="yellow"/>
              </w:rPr>
            </w:pPr>
            <w:r w:rsidRPr="001642B2">
              <w:rPr>
                <w:rFonts w:ascii="Arial Narrow" w:hAnsi="Arial Narrow"/>
                <w:sz w:val="20"/>
              </w:rPr>
              <w:t>44.9 months</w:t>
            </w:r>
          </w:p>
        </w:tc>
        <w:tc>
          <w:tcPr>
            <w:tcW w:w="661" w:type="pct"/>
            <w:shd w:val="clear" w:color="auto" w:fill="auto"/>
            <w:vAlign w:val="center"/>
          </w:tcPr>
          <w:p w14:paraId="733992E1" w14:textId="77777777" w:rsidR="00526B6B" w:rsidRPr="001642B2" w:rsidRDefault="00526B6B" w:rsidP="004767A5">
            <w:pPr>
              <w:keepNext/>
              <w:jc w:val="center"/>
              <w:rPr>
                <w:rFonts w:ascii="Arial Narrow" w:hAnsi="Arial Narrow"/>
                <w:sz w:val="20"/>
              </w:rPr>
            </w:pPr>
            <w:r w:rsidRPr="001642B2">
              <w:rPr>
                <w:rFonts w:ascii="Arial Narrow" w:hAnsi="Arial Narrow"/>
                <w:sz w:val="20"/>
              </w:rPr>
              <w:t>13.45 months</w:t>
            </w:r>
          </w:p>
        </w:tc>
        <w:tc>
          <w:tcPr>
            <w:tcW w:w="655" w:type="pct"/>
            <w:shd w:val="clear" w:color="auto" w:fill="auto"/>
            <w:vAlign w:val="center"/>
          </w:tcPr>
          <w:p w14:paraId="02C4C085" w14:textId="77777777" w:rsidR="00526B6B" w:rsidRPr="001642B2" w:rsidRDefault="00526B6B" w:rsidP="004767A5">
            <w:pPr>
              <w:keepNext/>
              <w:jc w:val="center"/>
              <w:rPr>
                <w:rFonts w:ascii="Arial Narrow" w:hAnsi="Arial Narrow"/>
                <w:sz w:val="20"/>
              </w:rPr>
            </w:pPr>
            <w:r w:rsidRPr="001642B2">
              <w:rPr>
                <w:rFonts w:ascii="Arial Narrow" w:hAnsi="Arial Narrow"/>
                <w:sz w:val="20"/>
              </w:rPr>
              <w:t>21.98 months</w:t>
            </w:r>
          </w:p>
        </w:tc>
        <w:tc>
          <w:tcPr>
            <w:tcW w:w="619" w:type="pct"/>
            <w:shd w:val="clear" w:color="auto" w:fill="auto"/>
            <w:vAlign w:val="center"/>
          </w:tcPr>
          <w:p w14:paraId="511A6EAE" w14:textId="77777777" w:rsidR="00526B6B" w:rsidRPr="001642B2" w:rsidRDefault="00526B6B" w:rsidP="004767A5">
            <w:pPr>
              <w:keepNext/>
              <w:jc w:val="center"/>
              <w:rPr>
                <w:rFonts w:ascii="Arial Narrow" w:hAnsi="Arial Narrow"/>
                <w:sz w:val="20"/>
              </w:rPr>
            </w:pPr>
            <w:r w:rsidRPr="001642B2">
              <w:rPr>
                <w:rFonts w:ascii="Arial Narrow" w:hAnsi="Arial Narrow"/>
                <w:sz w:val="20"/>
              </w:rPr>
              <w:t>18.9 months</w:t>
            </w:r>
          </w:p>
        </w:tc>
      </w:tr>
      <w:tr w:rsidR="00AD6D36" w:rsidRPr="001642B2" w14:paraId="2DAC0E22" w14:textId="77777777" w:rsidTr="00AD6D36">
        <w:trPr>
          <w:jc w:val="center"/>
        </w:trPr>
        <w:tc>
          <w:tcPr>
            <w:tcW w:w="940" w:type="pct"/>
            <w:shd w:val="clear" w:color="auto" w:fill="auto"/>
            <w:vAlign w:val="center"/>
          </w:tcPr>
          <w:p w14:paraId="02827076" w14:textId="77777777" w:rsidR="00526B6B" w:rsidRPr="001642B2" w:rsidRDefault="00526B6B" w:rsidP="004767A5">
            <w:pPr>
              <w:keepNext/>
              <w:rPr>
                <w:rFonts w:ascii="Arial Narrow" w:hAnsi="Arial Narrow"/>
                <w:sz w:val="20"/>
              </w:rPr>
            </w:pPr>
            <w:r w:rsidRPr="001642B2">
              <w:rPr>
                <w:rFonts w:ascii="Arial Narrow" w:hAnsi="Arial Narrow"/>
                <w:sz w:val="20"/>
              </w:rPr>
              <w:t>Cost/patient/month</w:t>
            </w:r>
            <w:r w:rsidR="009B502E">
              <w:rPr>
                <w:rFonts w:ascii="Arial Narrow" w:hAnsi="Arial Narrow"/>
                <w:sz w:val="20"/>
              </w:rPr>
              <w:t xml:space="preserve"> ($)</w:t>
            </w:r>
          </w:p>
        </w:tc>
        <w:tc>
          <w:tcPr>
            <w:tcW w:w="708" w:type="pct"/>
            <w:shd w:val="clear" w:color="auto" w:fill="auto"/>
            <w:vAlign w:val="center"/>
          </w:tcPr>
          <w:p w14:paraId="612117BC" w14:textId="77777777" w:rsidR="00526B6B" w:rsidRPr="001642B2" w:rsidRDefault="00526B6B" w:rsidP="004767A5">
            <w:pPr>
              <w:keepNext/>
              <w:jc w:val="center"/>
              <w:rPr>
                <w:rFonts w:ascii="Arial Narrow" w:hAnsi="Arial Narrow"/>
                <w:sz w:val="20"/>
              </w:rPr>
            </w:pPr>
            <w:r w:rsidRPr="001642B2">
              <w:rPr>
                <w:rFonts w:ascii="Arial Narrow" w:hAnsi="Arial Narrow"/>
                <w:sz w:val="20"/>
              </w:rPr>
              <w:t>-</w:t>
            </w:r>
          </w:p>
        </w:tc>
        <w:tc>
          <w:tcPr>
            <w:tcW w:w="708" w:type="pct"/>
            <w:shd w:val="clear" w:color="auto" w:fill="auto"/>
            <w:vAlign w:val="center"/>
          </w:tcPr>
          <w:p w14:paraId="4D988255" w14:textId="77777777" w:rsidR="00526B6B" w:rsidRPr="001642B2" w:rsidRDefault="00E61E4A" w:rsidP="004767A5">
            <w:pPr>
              <w:keepNext/>
              <w:jc w:val="center"/>
              <w:rPr>
                <w:rFonts w:ascii="Arial Narrow" w:hAnsi="Arial Narrow"/>
                <w:sz w:val="20"/>
                <w:vertAlign w:val="superscript"/>
              </w:rPr>
            </w:pPr>
            <w:r>
              <w:rPr>
                <w:rFonts w:ascii="Arial Narrow" w:hAnsi="Arial Narrow"/>
                <w:noProof/>
                <w:color w:val="000000"/>
                <w:sz w:val="20"/>
                <w:highlight w:val="black"/>
              </w:rPr>
              <w:t>''''''''''''''''''''''''''</w:t>
            </w:r>
            <w:r w:rsidR="00526B6B" w:rsidRPr="001642B2">
              <w:rPr>
                <w:rFonts w:ascii="Arial Narrow" w:hAnsi="Arial Narrow"/>
                <w:sz w:val="20"/>
                <w:vertAlign w:val="superscript"/>
              </w:rPr>
              <w:t>d</w:t>
            </w:r>
          </w:p>
        </w:tc>
        <w:tc>
          <w:tcPr>
            <w:tcW w:w="709" w:type="pct"/>
            <w:shd w:val="clear" w:color="auto" w:fill="auto"/>
            <w:vAlign w:val="center"/>
          </w:tcPr>
          <w:p w14:paraId="6ECCCB19" w14:textId="77777777" w:rsidR="00526B6B" w:rsidRPr="001642B2" w:rsidRDefault="00E61E4A" w:rsidP="004767A5">
            <w:pPr>
              <w:keepNext/>
              <w:jc w:val="center"/>
              <w:rPr>
                <w:rFonts w:ascii="Arial Narrow" w:hAnsi="Arial Narrow"/>
                <w:sz w:val="20"/>
              </w:rPr>
            </w:pPr>
            <w:r>
              <w:rPr>
                <w:rFonts w:ascii="Arial Narrow" w:hAnsi="Arial Narrow"/>
                <w:noProof/>
                <w:color w:val="000000"/>
                <w:sz w:val="20"/>
                <w:highlight w:val="black"/>
              </w:rPr>
              <w:t>''''''''''''''''''''''''</w:t>
            </w:r>
            <w:r w:rsidR="00526B6B" w:rsidRPr="001642B2">
              <w:rPr>
                <w:rFonts w:ascii="Arial Narrow" w:hAnsi="Arial Narrow"/>
                <w:sz w:val="20"/>
                <w:vertAlign w:val="superscript"/>
              </w:rPr>
              <w:t>d</w:t>
            </w:r>
          </w:p>
        </w:tc>
        <w:tc>
          <w:tcPr>
            <w:tcW w:w="661" w:type="pct"/>
            <w:shd w:val="clear" w:color="auto" w:fill="auto"/>
            <w:vAlign w:val="center"/>
          </w:tcPr>
          <w:p w14:paraId="41985E37" w14:textId="77777777" w:rsidR="00526B6B" w:rsidRPr="001642B2" w:rsidRDefault="00526B6B" w:rsidP="004767A5">
            <w:pPr>
              <w:keepNext/>
              <w:jc w:val="center"/>
              <w:rPr>
                <w:rFonts w:ascii="Arial Narrow" w:hAnsi="Arial Narrow"/>
                <w:sz w:val="20"/>
              </w:rPr>
            </w:pPr>
            <w:r w:rsidRPr="001642B2">
              <w:rPr>
                <w:rFonts w:ascii="Arial Narrow" w:hAnsi="Arial Narrow"/>
                <w:sz w:val="20"/>
              </w:rPr>
              <w:t>-</w:t>
            </w:r>
          </w:p>
        </w:tc>
        <w:tc>
          <w:tcPr>
            <w:tcW w:w="655" w:type="pct"/>
            <w:shd w:val="clear" w:color="auto" w:fill="auto"/>
            <w:vAlign w:val="center"/>
          </w:tcPr>
          <w:p w14:paraId="0D633F9F" w14:textId="77777777" w:rsidR="00526B6B" w:rsidRPr="001642B2" w:rsidRDefault="00526B6B" w:rsidP="004767A5">
            <w:pPr>
              <w:keepNext/>
              <w:jc w:val="center"/>
              <w:rPr>
                <w:rFonts w:ascii="Arial Narrow" w:hAnsi="Arial Narrow"/>
                <w:sz w:val="20"/>
              </w:rPr>
            </w:pPr>
            <w:r w:rsidRPr="001642B2">
              <w:rPr>
                <w:rFonts w:ascii="Arial Narrow" w:hAnsi="Arial Narrow"/>
                <w:sz w:val="20"/>
              </w:rPr>
              <w:t>$0</w:t>
            </w:r>
          </w:p>
        </w:tc>
        <w:tc>
          <w:tcPr>
            <w:tcW w:w="619" w:type="pct"/>
            <w:shd w:val="clear" w:color="auto" w:fill="auto"/>
            <w:vAlign w:val="center"/>
          </w:tcPr>
          <w:p w14:paraId="338C6FDC" w14:textId="77777777" w:rsidR="00526B6B" w:rsidRPr="001642B2" w:rsidRDefault="00526B6B" w:rsidP="004767A5">
            <w:pPr>
              <w:keepNext/>
              <w:jc w:val="center"/>
              <w:rPr>
                <w:rFonts w:ascii="Arial Narrow" w:hAnsi="Arial Narrow"/>
                <w:sz w:val="20"/>
              </w:rPr>
            </w:pPr>
            <w:r w:rsidRPr="001642B2">
              <w:rPr>
                <w:rFonts w:ascii="Arial Narrow" w:hAnsi="Arial Narrow"/>
                <w:sz w:val="20"/>
              </w:rPr>
              <w:t>$0</w:t>
            </w:r>
          </w:p>
        </w:tc>
      </w:tr>
      <w:tr w:rsidR="00AD6D36" w:rsidRPr="001642B2" w14:paraId="1AC802DB" w14:textId="77777777" w:rsidTr="00AD6D36">
        <w:trPr>
          <w:jc w:val="center"/>
        </w:trPr>
        <w:tc>
          <w:tcPr>
            <w:tcW w:w="940" w:type="pct"/>
            <w:shd w:val="clear" w:color="auto" w:fill="auto"/>
            <w:vAlign w:val="center"/>
          </w:tcPr>
          <w:p w14:paraId="3CA70592" w14:textId="77777777" w:rsidR="00526B6B" w:rsidRPr="001642B2" w:rsidRDefault="00526B6B" w:rsidP="004767A5">
            <w:pPr>
              <w:keepNext/>
              <w:rPr>
                <w:rFonts w:ascii="Arial Narrow" w:hAnsi="Arial Narrow"/>
                <w:sz w:val="20"/>
              </w:rPr>
            </w:pPr>
            <w:r w:rsidRPr="001642B2">
              <w:rPr>
                <w:rFonts w:ascii="Arial Narrow" w:hAnsi="Arial Narrow"/>
                <w:sz w:val="20"/>
              </w:rPr>
              <w:t>Cost/patient/course</w:t>
            </w:r>
            <w:r w:rsidR="009B502E">
              <w:rPr>
                <w:rFonts w:ascii="Arial Narrow" w:hAnsi="Arial Narrow"/>
                <w:sz w:val="20"/>
              </w:rPr>
              <w:t xml:space="preserve"> ($)</w:t>
            </w:r>
          </w:p>
        </w:tc>
        <w:tc>
          <w:tcPr>
            <w:tcW w:w="708" w:type="pct"/>
            <w:shd w:val="clear" w:color="auto" w:fill="auto"/>
            <w:vAlign w:val="center"/>
          </w:tcPr>
          <w:p w14:paraId="6E8D75FF" w14:textId="77777777" w:rsidR="00526B6B" w:rsidRPr="001642B2" w:rsidRDefault="00526B6B" w:rsidP="004767A5">
            <w:pPr>
              <w:keepNext/>
              <w:jc w:val="center"/>
              <w:rPr>
                <w:rFonts w:ascii="Arial Narrow" w:hAnsi="Arial Narrow"/>
                <w:sz w:val="20"/>
              </w:rPr>
            </w:pPr>
            <w:r w:rsidRPr="001642B2">
              <w:rPr>
                <w:rFonts w:ascii="Arial Narrow" w:hAnsi="Arial Narrow"/>
                <w:sz w:val="20"/>
              </w:rPr>
              <w:t>-</w:t>
            </w:r>
          </w:p>
        </w:tc>
        <w:tc>
          <w:tcPr>
            <w:tcW w:w="708" w:type="pct"/>
            <w:shd w:val="clear" w:color="auto" w:fill="auto"/>
            <w:vAlign w:val="center"/>
          </w:tcPr>
          <w:p w14:paraId="43F4AE2C" w14:textId="77777777" w:rsidR="00526B6B" w:rsidRPr="001642B2" w:rsidRDefault="00E61E4A" w:rsidP="004767A5">
            <w:pPr>
              <w:keepNext/>
              <w:jc w:val="center"/>
              <w:rPr>
                <w:rFonts w:ascii="Arial Narrow" w:hAnsi="Arial Narrow"/>
                <w:sz w:val="20"/>
                <w:vertAlign w:val="superscript"/>
              </w:rPr>
            </w:pPr>
            <w:r>
              <w:rPr>
                <w:rFonts w:ascii="Arial Narrow" w:hAnsi="Arial Narrow"/>
                <w:noProof/>
                <w:color w:val="000000"/>
                <w:sz w:val="20"/>
                <w:highlight w:val="black"/>
              </w:rPr>
              <w:t>''''''''''''''''''</w:t>
            </w:r>
            <w:r w:rsidR="00526B6B" w:rsidRPr="001642B2">
              <w:rPr>
                <w:rFonts w:ascii="Arial Narrow" w:hAnsi="Arial Narrow"/>
                <w:sz w:val="20"/>
                <w:vertAlign w:val="superscript"/>
              </w:rPr>
              <w:t>e</w:t>
            </w:r>
          </w:p>
        </w:tc>
        <w:tc>
          <w:tcPr>
            <w:tcW w:w="709" w:type="pct"/>
            <w:shd w:val="clear" w:color="auto" w:fill="auto"/>
            <w:vAlign w:val="center"/>
          </w:tcPr>
          <w:p w14:paraId="1CCAB59D" w14:textId="77777777" w:rsidR="00526B6B" w:rsidRPr="001642B2" w:rsidRDefault="00E61E4A" w:rsidP="004767A5">
            <w:pPr>
              <w:keepNext/>
              <w:jc w:val="center"/>
              <w:rPr>
                <w:rFonts w:ascii="Arial Narrow" w:hAnsi="Arial Narrow"/>
                <w:sz w:val="20"/>
              </w:rPr>
            </w:pPr>
            <w:r>
              <w:rPr>
                <w:rFonts w:ascii="Arial Narrow" w:hAnsi="Arial Narrow"/>
                <w:noProof/>
                <w:color w:val="000000"/>
                <w:sz w:val="20"/>
                <w:highlight w:val="black"/>
              </w:rPr>
              <w:t>''''''''''''''''''</w:t>
            </w:r>
            <w:r w:rsidR="00526B6B" w:rsidRPr="001642B2">
              <w:rPr>
                <w:rFonts w:ascii="Arial Narrow" w:hAnsi="Arial Narrow"/>
                <w:sz w:val="20"/>
                <w:vertAlign w:val="superscript"/>
              </w:rPr>
              <w:t>g</w:t>
            </w:r>
          </w:p>
        </w:tc>
        <w:tc>
          <w:tcPr>
            <w:tcW w:w="661" w:type="pct"/>
            <w:shd w:val="clear" w:color="auto" w:fill="auto"/>
            <w:vAlign w:val="center"/>
          </w:tcPr>
          <w:p w14:paraId="27A60388" w14:textId="77777777" w:rsidR="00526B6B" w:rsidRPr="001642B2" w:rsidRDefault="00526B6B" w:rsidP="004767A5">
            <w:pPr>
              <w:keepNext/>
              <w:jc w:val="center"/>
              <w:rPr>
                <w:rFonts w:ascii="Arial Narrow" w:hAnsi="Arial Narrow"/>
                <w:sz w:val="20"/>
              </w:rPr>
            </w:pPr>
            <w:r w:rsidRPr="001642B2">
              <w:rPr>
                <w:rFonts w:ascii="Arial Narrow" w:hAnsi="Arial Narrow"/>
                <w:sz w:val="20"/>
              </w:rPr>
              <w:t>-</w:t>
            </w:r>
          </w:p>
        </w:tc>
        <w:tc>
          <w:tcPr>
            <w:tcW w:w="655" w:type="pct"/>
            <w:shd w:val="clear" w:color="auto" w:fill="auto"/>
            <w:vAlign w:val="center"/>
          </w:tcPr>
          <w:p w14:paraId="26E2346D" w14:textId="77777777" w:rsidR="00526B6B" w:rsidRPr="001642B2" w:rsidRDefault="00526B6B" w:rsidP="004767A5">
            <w:pPr>
              <w:keepNext/>
              <w:jc w:val="center"/>
              <w:rPr>
                <w:rFonts w:ascii="Arial Narrow" w:hAnsi="Arial Narrow"/>
                <w:sz w:val="20"/>
              </w:rPr>
            </w:pPr>
            <w:r w:rsidRPr="001642B2">
              <w:rPr>
                <w:rFonts w:ascii="Arial Narrow" w:hAnsi="Arial Narrow"/>
                <w:sz w:val="20"/>
              </w:rPr>
              <w:t>$0</w:t>
            </w:r>
          </w:p>
        </w:tc>
        <w:tc>
          <w:tcPr>
            <w:tcW w:w="619" w:type="pct"/>
            <w:shd w:val="clear" w:color="auto" w:fill="auto"/>
            <w:vAlign w:val="center"/>
          </w:tcPr>
          <w:p w14:paraId="4F020008" w14:textId="77777777" w:rsidR="00526B6B" w:rsidRPr="001642B2" w:rsidRDefault="00526B6B" w:rsidP="004767A5">
            <w:pPr>
              <w:keepNext/>
              <w:jc w:val="center"/>
              <w:rPr>
                <w:rFonts w:ascii="Arial Narrow" w:hAnsi="Arial Narrow"/>
                <w:sz w:val="20"/>
              </w:rPr>
            </w:pPr>
            <w:r w:rsidRPr="001642B2">
              <w:rPr>
                <w:rFonts w:ascii="Arial Narrow" w:hAnsi="Arial Narrow"/>
                <w:sz w:val="20"/>
              </w:rPr>
              <w:t>$0</w:t>
            </w:r>
          </w:p>
        </w:tc>
      </w:tr>
      <w:tr w:rsidR="00AD6D36" w:rsidRPr="001642B2" w14:paraId="6CA94703" w14:textId="77777777" w:rsidTr="00AD6D36">
        <w:trPr>
          <w:jc w:val="center"/>
        </w:trPr>
        <w:tc>
          <w:tcPr>
            <w:tcW w:w="940" w:type="pct"/>
            <w:shd w:val="clear" w:color="auto" w:fill="auto"/>
            <w:vAlign w:val="center"/>
          </w:tcPr>
          <w:p w14:paraId="06225E22" w14:textId="77777777" w:rsidR="00526B6B" w:rsidRPr="001642B2" w:rsidRDefault="00526B6B" w:rsidP="004767A5">
            <w:pPr>
              <w:keepNext/>
              <w:rPr>
                <w:rFonts w:ascii="Arial Narrow" w:hAnsi="Arial Narrow"/>
                <w:sz w:val="20"/>
              </w:rPr>
            </w:pPr>
            <w:r w:rsidRPr="001642B2">
              <w:rPr>
                <w:rFonts w:ascii="Arial Narrow" w:hAnsi="Arial Narrow"/>
                <w:sz w:val="20"/>
              </w:rPr>
              <w:t>Cost/patient/month Nov.2020 model</w:t>
            </w:r>
            <w:r w:rsidR="009B502E">
              <w:rPr>
                <w:rFonts w:ascii="Arial Narrow" w:hAnsi="Arial Narrow"/>
                <w:sz w:val="20"/>
              </w:rPr>
              <w:t xml:space="preserve"> ($)</w:t>
            </w:r>
          </w:p>
        </w:tc>
        <w:tc>
          <w:tcPr>
            <w:tcW w:w="708" w:type="pct"/>
            <w:shd w:val="clear" w:color="auto" w:fill="auto"/>
            <w:vAlign w:val="center"/>
          </w:tcPr>
          <w:p w14:paraId="6F81F845" w14:textId="77777777" w:rsidR="00526B6B" w:rsidRPr="001642B2" w:rsidRDefault="00526B6B" w:rsidP="004767A5">
            <w:pPr>
              <w:keepNext/>
              <w:jc w:val="center"/>
              <w:rPr>
                <w:rFonts w:ascii="Arial Narrow" w:hAnsi="Arial Narrow"/>
                <w:sz w:val="20"/>
              </w:rPr>
            </w:pPr>
            <w:r w:rsidRPr="001642B2">
              <w:rPr>
                <w:rFonts w:ascii="Arial Narrow" w:hAnsi="Arial Narrow"/>
                <w:sz w:val="20"/>
              </w:rPr>
              <w:t>-</w:t>
            </w:r>
          </w:p>
        </w:tc>
        <w:tc>
          <w:tcPr>
            <w:tcW w:w="708" w:type="pct"/>
            <w:shd w:val="clear" w:color="auto" w:fill="auto"/>
            <w:vAlign w:val="center"/>
          </w:tcPr>
          <w:p w14:paraId="681E5890" w14:textId="77777777" w:rsidR="00526B6B" w:rsidRPr="00E61E4A" w:rsidRDefault="00E61E4A" w:rsidP="004767A5">
            <w:pPr>
              <w:keepNext/>
              <w:jc w:val="center"/>
              <w:rPr>
                <w:rFonts w:ascii="Arial Narrow" w:hAnsi="Arial Narrow"/>
                <w:sz w:val="20"/>
                <w:highlight w:val="black"/>
              </w:rPr>
            </w:pPr>
            <w:r>
              <w:rPr>
                <w:rFonts w:ascii="Arial Narrow" w:hAnsi="Arial Narrow"/>
                <w:noProof/>
                <w:color w:val="000000"/>
                <w:sz w:val="20"/>
                <w:highlight w:val="black"/>
              </w:rPr>
              <w:t>''''''''''''''''</w:t>
            </w:r>
          </w:p>
        </w:tc>
        <w:tc>
          <w:tcPr>
            <w:tcW w:w="709" w:type="pct"/>
            <w:shd w:val="clear" w:color="auto" w:fill="auto"/>
            <w:vAlign w:val="center"/>
          </w:tcPr>
          <w:p w14:paraId="6F3882EC" w14:textId="77777777" w:rsidR="00526B6B" w:rsidRPr="00E61E4A" w:rsidRDefault="00E61E4A" w:rsidP="004767A5">
            <w:pPr>
              <w:keepNext/>
              <w:jc w:val="center"/>
              <w:rPr>
                <w:rFonts w:ascii="Arial Narrow" w:hAnsi="Arial Narrow"/>
                <w:sz w:val="20"/>
                <w:highlight w:val="black"/>
              </w:rPr>
            </w:pPr>
            <w:r>
              <w:rPr>
                <w:rFonts w:ascii="Arial Narrow" w:hAnsi="Arial Narrow"/>
                <w:noProof/>
                <w:color w:val="000000"/>
                <w:sz w:val="20"/>
                <w:highlight w:val="black"/>
              </w:rPr>
              <w:t>'''''''''''''''''</w:t>
            </w:r>
          </w:p>
        </w:tc>
        <w:tc>
          <w:tcPr>
            <w:tcW w:w="661" w:type="pct"/>
            <w:shd w:val="clear" w:color="auto" w:fill="auto"/>
            <w:vAlign w:val="center"/>
          </w:tcPr>
          <w:p w14:paraId="6603862D" w14:textId="77777777" w:rsidR="00526B6B" w:rsidRPr="001642B2" w:rsidRDefault="00526B6B" w:rsidP="004767A5">
            <w:pPr>
              <w:keepNext/>
              <w:jc w:val="center"/>
              <w:rPr>
                <w:rFonts w:ascii="Arial Narrow" w:hAnsi="Arial Narrow"/>
                <w:sz w:val="20"/>
              </w:rPr>
            </w:pPr>
            <w:r w:rsidRPr="001642B2">
              <w:rPr>
                <w:rFonts w:ascii="Arial Narrow" w:hAnsi="Arial Narrow"/>
                <w:sz w:val="20"/>
              </w:rPr>
              <w:t>-</w:t>
            </w:r>
          </w:p>
        </w:tc>
        <w:tc>
          <w:tcPr>
            <w:tcW w:w="655" w:type="pct"/>
            <w:shd w:val="clear" w:color="auto" w:fill="auto"/>
            <w:vAlign w:val="center"/>
          </w:tcPr>
          <w:p w14:paraId="303F62A9" w14:textId="77777777" w:rsidR="00526B6B" w:rsidRPr="001642B2" w:rsidRDefault="00526B6B" w:rsidP="004767A5">
            <w:pPr>
              <w:keepNext/>
              <w:jc w:val="center"/>
              <w:rPr>
                <w:rFonts w:ascii="Arial Narrow" w:hAnsi="Arial Narrow"/>
                <w:sz w:val="20"/>
              </w:rPr>
            </w:pPr>
            <w:r w:rsidRPr="001642B2">
              <w:rPr>
                <w:rFonts w:ascii="Arial Narrow" w:hAnsi="Arial Narrow"/>
                <w:sz w:val="20"/>
              </w:rPr>
              <w:t>$0</w:t>
            </w:r>
          </w:p>
        </w:tc>
        <w:tc>
          <w:tcPr>
            <w:tcW w:w="619" w:type="pct"/>
            <w:shd w:val="clear" w:color="auto" w:fill="auto"/>
            <w:vAlign w:val="center"/>
          </w:tcPr>
          <w:p w14:paraId="0AB8BFF8" w14:textId="77777777" w:rsidR="00526B6B" w:rsidRPr="001642B2" w:rsidRDefault="00526B6B" w:rsidP="004767A5">
            <w:pPr>
              <w:keepNext/>
              <w:jc w:val="center"/>
              <w:rPr>
                <w:rFonts w:ascii="Arial Narrow" w:hAnsi="Arial Narrow"/>
                <w:sz w:val="20"/>
              </w:rPr>
            </w:pPr>
            <w:r w:rsidRPr="001642B2">
              <w:rPr>
                <w:rFonts w:ascii="Arial Narrow" w:hAnsi="Arial Narrow"/>
                <w:sz w:val="20"/>
              </w:rPr>
              <w:t>$0</w:t>
            </w:r>
          </w:p>
        </w:tc>
      </w:tr>
      <w:tr w:rsidR="00AD6D36" w:rsidRPr="001642B2" w14:paraId="62EEC2DB" w14:textId="77777777" w:rsidTr="00AD6D36">
        <w:trPr>
          <w:jc w:val="center"/>
        </w:trPr>
        <w:tc>
          <w:tcPr>
            <w:tcW w:w="940" w:type="pct"/>
            <w:shd w:val="clear" w:color="auto" w:fill="auto"/>
            <w:vAlign w:val="center"/>
          </w:tcPr>
          <w:p w14:paraId="35162797" w14:textId="77777777" w:rsidR="00526B6B" w:rsidRPr="001642B2" w:rsidRDefault="00526B6B" w:rsidP="004767A5">
            <w:pPr>
              <w:keepNext/>
              <w:rPr>
                <w:rFonts w:ascii="Arial Narrow" w:hAnsi="Arial Narrow"/>
                <w:sz w:val="20"/>
              </w:rPr>
            </w:pPr>
            <w:r w:rsidRPr="001642B2">
              <w:rPr>
                <w:rFonts w:ascii="Arial Narrow" w:hAnsi="Arial Narrow"/>
                <w:sz w:val="20"/>
              </w:rPr>
              <w:t>Cost/patient/course Nov.2020 model</w:t>
            </w:r>
            <w:r w:rsidR="009B502E">
              <w:rPr>
                <w:rFonts w:ascii="Arial Narrow" w:hAnsi="Arial Narrow"/>
                <w:sz w:val="20"/>
              </w:rPr>
              <w:t xml:space="preserve"> ($)</w:t>
            </w:r>
          </w:p>
        </w:tc>
        <w:tc>
          <w:tcPr>
            <w:tcW w:w="708" w:type="pct"/>
            <w:shd w:val="clear" w:color="auto" w:fill="auto"/>
            <w:vAlign w:val="center"/>
          </w:tcPr>
          <w:p w14:paraId="2DF99C1B" w14:textId="77777777" w:rsidR="00526B6B" w:rsidRPr="001642B2" w:rsidRDefault="00526B6B" w:rsidP="004767A5">
            <w:pPr>
              <w:keepNext/>
              <w:jc w:val="center"/>
              <w:rPr>
                <w:rFonts w:ascii="Arial Narrow" w:hAnsi="Arial Narrow"/>
                <w:sz w:val="20"/>
              </w:rPr>
            </w:pPr>
            <w:r w:rsidRPr="001642B2">
              <w:rPr>
                <w:rFonts w:ascii="Arial Narrow" w:hAnsi="Arial Narrow"/>
                <w:sz w:val="20"/>
              </w:rPr>
              <w:t>-</w:t>
            </w:r>
          </w:p>
        </w:tc>
        <w:tc>
          <w:tcPr>
            <w:tcW w:w="708" w:type="pct"/>
            <w:shd w:val="clear" w:color="auto" w:fill="auto"/>
            <w:vAlign w:val="center"/>
          </w:tcPr>
          <w:p w14:paraId="5BE67FE3" w14:textId="77777777" w:rsidR="00526B6B" w:rsidRPr="00E61E4A" w:rsidRDefault="00E61E4A" w:rsidP="004767A5">
            <w:pPr>
              <w:keepNext/>
              <w:jc w:val="center"/>
              <w:rPr>
                <w:rFonts w:ascii="Arial Narrow" w:hAnsi="Arial Narrow"/>
                <w:sz w:val="20"/>
                <w:highlight w:val="black"/>
              </w:rPr>
            </w:pPr>
            <w:r>
              <w:rPr>
                <w:rFonts w:ascii="Arial Narrow" w:hAnsi="Arial Narrow"/>
                <w:noProof/>
                <w:color w:val="000000"/>
                <w:sz w:val="20"/>
                <w:highlight w:val="black"/>
              </w:rPr>
              <w:t>''''''''''''''''''</w:t>
            </w:r>
          </w:p>
        </w:tc>
        <w:tc>
          <w:tcPr>
            <w:tcW w:w="709" w:type="pct"/>
            <w:shd w:val="clear" w:color="auto" w:fill="auto"/>
            <w:vAlign w:val="center"/>
          </w:tcPr>
          <w:p w14:paraId="34C51DA1" w14:textId="77777777" w:rsidR="00526B6B" w:rsidRPr="00E61E4A" w:rsidRDefault="00E61E4A" w:rsidP="004767A5">
            <w:pPr>
              <w:keepNext/>
              <w:jc w:val="center"/>
              <w:rPr>
                <w:rFonts w:ascii="Arial Narrow" w:hAnsi="Arial Narrow"/>
                <w:sz w:val="20"/>
                <w:highlight w:val="black"/>
              </w:rPr>
            </w:pPr>
            <w:r>
              <w:rPr>
                <w:rFonts w:ascii="Arial Narrow" w:hAnsi="Arial Narrow"/>
                <w:noProof/>
                <w:color w:val="000000"/>
                <w:sz w:val="20"/>
                <w:highlight w:val="black"/>
              </w:rPr>
              <w:t>'''''''''''''''''''''</w:t>
            </w:r>
          </w:p>
        </w:tc>
        <w:tc>
          <w:tcPr>
            <w:tcW w:w="661" w:type="pct"/>
            <w:shd w:val="clear" w:color="auto" w:fill="auto"/>
            <w:vAlign w:val="center"/>
          </w:tcPr>
          <w:p w14:paraId="090E6E20" w14:textId="77777777" w:rsidR="00526B6B" w:rsidRPr="001642B2" w:rsidRDefault="00526B6B" w:rsidP="004767A5">
            <w:pPr>
              <w:keepNext/>
              <w:jc w:val="center"/>
              <w:rPr>
                <w:rFonts w:ascii="Arial Narrow" w:hAnsi="Arial Narrow"/>
                <w:sz w:val="20"/>
              </w:rPr>
            </w:pPr>
            <w:r w:rsidRPr="001642B2">
              <w:rPr>
                <w:rFonts w:ascii="Arial Narrow" w:hAnsi="Arial Narrow"/>
                <w:sz w:val="20"/>
              </w:rPr>
              <w:t>-</w:t>
            </w:r>
          </w:p>
        </w:tc>
        <w:tc>
          <w:tcPr>
            <w:tcW w:w="655" w:type="pct"/>
            <w:shd w:val="clear" w:color="auto" w:fill="auto"/>
            <w:vAlign w:val="center"/>
          </w:tcPr>
          <w:p w14:paraId="09A383CA" w14:textId="77777777" w:rsidR="00526B6B" w:rsidRPr="001642B2" w:rsidRDefault="00526B6B" w:rsidP="004767A5">
            <w:pPr>
              <w:keepNext/>
              <w:jc w:val="center"/>
              <w:rPr>
                <w:rFonts w:ascii="Arial Narrow" w:hAnsi="Arial Narrow"/>
                <w:sz w:val="20"/>
              </w:rPr>
            </w:pPr>
            <w:r w:rsidRPr="001642B2">
              <w:rPr>
                <w:rFonts w:ascii="Arial Narrow" w:hAnsi="Arial Narrow"/>
                <w:sz w:val="20"/>
              </w:rPr>
              <w:t>$0</w:t>
            </w:r>
          </w:p>
        </w:tc>
        <w:tc>
          <w:tcPr>
            <w:tcW w:w="619" w:type="pct"/>
            <w:shd w:val="clear" w:color="auto" w:fill="auto"/>
            <w:vAlign w:val="center"/>
          </w:tcPr>
          <w:p w14:paraId="61039EC5" w14:textId="77777777" w:rsidR="00526B6B" w:rsidRPr="001642B2" w:rsidRDefault="00526B6B" w:rsidP="004767A5">
            <w:pPr>
              <w:keepNext/>
              <w:jc w:val="center"/>
              <w:rPr>
                <w:rFonts w:ascii="Arial Narrow" w:hAnsi="Arial Narrow"/>
                <w:sz w:val="20"/>
              </w:rPr>
            </w:pPr>
            <w:r w:rsidRPr="001642B2">
              <w:rPr>
                <w:rFonts w:ascii="Arial Narrow" w:hAnsi="Arial Narrow"/>
                <w:sz w:val="20"/>
              </w:rPr>
              <w:t>$0</w:t>
            </w:r>
          </w:p>
        </w:tc>
      </w:tr>
    </w:tbl>
    <w:p w14:paraId="7CB63CD9" w14:textId="77777777" w:rsidR="00526B6B" w:rsidRDefault="00526B6B" w:rsidP="00526B6B">
      <w:pPr>
        <w:pStyle w:val="TableFooter"/>
      </w:pPr>
      <w:r w:rsidRPr="001642B2">
        <w:t>Source: Table 2.5, p34 of the resubmission, Excel workbook Partitioned survival model and financial estimates model.</w:t>
      </w:r>
    </w:p>
    <w:p w14:paraId="7649433F" w14:textId="77777777" w:rsidR="00AD6D36" w:rsidRPr="001642B2" w:rsidRDefault="00AD6D36" w:rsidP="00526B6B">
      <w:pPr>
        <w:pStyle w:val="TableFooter"/>
      </w:pPr>
      <w:r>
        <w:t>DPMQ = dispensed price for maximum quantity</w:t>
      </w:r>
      <w:r w:rsidR="00C355B5">
        <w:t>; MFS = metastasis free survival; TTD = time to treatment discontinuation</w:t>
      </w:r>
    </w:p>
    <w:p w14:paraId="73A5AFCF" w14:textId="77777777" w:rsidR="00526B6B" w:rsidRPr="001642B2" w:rsidRDefault="00526B6B" w:rsidP="00526B6B">
      <w:pPr>
        <w:pStyle w:val="TableFooter"/>
        <w:tabs>
          <w:tab w:val="left" w:pos="142"/>
        </w:tabs>
        <w:ind w:left="135" w:hanging="135"/>
      </w:pPr>
      <w:r w:rsidRPr="001642B2">
        <w:rPr>
          <w:vertAlign w:val="superscript"/>
        </w:rPr>
        <w:t>a</w:t>
      </w:r>
      <w:r w:rsidRPr="001642B2">
        <w:rPr>
          <w:vertAlign w:val="superscript"/>
        </w:rPr>
        <w:tab/>
      </w:r>
      <w:r w:rsidRPr="001642B2">
        <w:t>The November 2020 economic model applied a dose intensity of 66.24% to apalutamide and 71.1% to placebo, while the corresponding dose intensities in the current revised model were 89.94% and 96.08%.</w:t>
      </w:r>
    </w:p>
    <w:p w14:paraId="36569601" w14:textId="77777777" w:rsidR="00526B6B" w:rsidRPr="001642B2" w:rsidRDefault="00526B6B" w:rsidP="00526B6B">
      <w:pPr>
        <w:pStyle w:val="TableFooter"/>
        <w:tabs>
          <w:tab w:val="left" w:pos="142"/>
        </w:tabs>
      </w:pPr>
      <w:r w:rsidRPr="001642B2">
        <w:rPr>
          <w:vertAlign w:val="superscript"/>
        </w:rPr>
        <w:t>b</w:t>
      </w:r>
      <w:r w:rsidRPr="001642B2">
        <w:rPr>
          <w:vertAlign w:val="superscript"/>
        </w:rPr>
        <w:tab/>
      </w:r>
      <w:r w:rsidRPr="001642B2">
        <w:t>A dose intensity of 89.9% was applied to apalutamide for the updated financial estimates.</w:t>
      </w:r>
    </w:p>
    <w:p w14:paraId="32C57D4E" w14:textId="77777777" w:rsidR="00526B6B" w:rsidRPr="001642B2" w:rsidRDefault="00526B6B" w:rsidP="00526B6B">
      <w:pPr>
        <w:pStyle w:val="TableFooter"/>
        <w:ind w:left="165" w:hanging="165"/>
      </w:pPr>
      <w:r w:rsidRPr="001642B2">
        <w:rPr>
          <w:vertAlign w:val="superscript"/>
        </w:rPr>
        <w:t>c</w:t>
      </w:r>
      <w:r w:rsidRPr="001642B2">
        <w:rPr>
          <w:vertAlign w:val="superscript"/>
        </w:rPr>
        <w:tab/>
      </w:r>
      <w:r w:rsidRPr="001642B2">
        <w:t>Treatment duration is defined as the duration from the date of the first dose of study drug to the date of the last dose of study drug+1 divided by 30.4375.</w:t>
      </w:r>
    </w:p>
    <w:p w14:paraId="5D64E41D" w14:textId="77777777" w:rsidR="00526B6B" w:rsidRPr="001642B2" w:rsidRDefault="00526B6B" w:rsidP="00526B6B">
      <w:pPr>
        <w:pStyle w:val="TableFooter"/>
        <w:ind w:left="165" w:hanging="165"/>
      </w:pPr>
      <w:r w:rsidRPr="001642B2">
        <w:rPr>
          <w:vertAlign w:val="superscript"/>
        </w:rPr>
        <w:t>d</w:t>
      </w:r>
      <w:r w:rsidRPr="001642B2">
        <w:rPr>
          <w:vertAlign w:val="superscript"/>
        </w:rPr>
        <w:tab/>
      </w:r>
      <w:r w:rsidRPr="001642B2">
        <w:t xml:space="preserve">effective DPMQ x 1.01 scripts per month x dose intensity </w:t>
      </w:r>
      <w:r w:rsidR="004A2C6C" w:rsidRPr="001642B2">
        <w:t>i.e.</w:t>
      </w:r>
      <w:r w:rsidRPr="001642B2">
        <w:t xml:space="preserve"> $</w:t>
      </w:r>
      <w:r w:rsidR="00E61E4A">
        <w:rPr>
          <w:noProof/>
          <w:color w:val="000000"/>
          <w:highlight w:val="black"/>
        </w:rPr>
        <w:t>'''''''''''''''''''''''</w:t>
      </w:r>
      <w:r w:rsidRPr="001642B2">
        <w:t>x1.01x 89.94%=$</w:t>
      </w:r>
      <w:r w:rsidR="00E61E4A">
        <w:rPr>
          <w:noProof/>
          <w:color w:val="000000"/>
          <w:highlight w:val="black"/>
        </w:rPr>
        <w:t>'''''''''''''''''''</w:t>
      </w:r>
      <w:r w:rsidRPr="001642B2">
        <w:t xml:space="preserve"> (based on calculations in the model)</w:t>
      </w:r>
    </w:p>
    <w:p w14:paraId="02901105" w14:textId="77777777" w:rsidR="00526B6B" w:rsidRPr="001642B2" w:rsidRDefault="00526B6B" w:rsidP="00526B6B">
      <w:pPr>
        <w:pStyle w:val="TableFooter"/>
        <w:ind w:left="165" w:hanging="165"/>
      </w:pPr>
      <w:r w:rsidRPr="001642B2">
        <w:rPr>
          <w:vertAlign w:val="superscript"/>
        </w:rPr>
        <w:t>e</w:t>
      </w:r>
      <w:r w:rsidRPr="001642B2">
        <w:rPr>
          <w:vertAlign w:val="superscript"/>
        </w:rPr>
        <w:tab/>
      </w:r>
      <w:r w:rsidRPr="001642B2">
        <w:t>discounted costs, undiscounted cost for apalutamide over 10 years is $</w:t>
      </w:r>
      <w:r w:rsidR="00E61E4A">
        <w:rPr>
          <w:noProof/>
          <w:color w:val="000000"/>
          <w:highlight w:val="black"/>
        </w:rPr>
        <w:t>''''''''''''''''''</w:t>
      </w:r>
      <w:r w:rsidRPr="001642B2">
        <w:t>.</w:t>
      </w:r>
    </w:p>
    <w:p w14:paraId="6BE9902E" w14:textId="77777777" w:rsidR="00526B6B" w:rsidRPr="001642B2" w:rsidRDefault="00526B6B" w:rsidP="00526B6B">
      <w:pPr>
        <w:pStyle w:val="TableFooter"/>
        <w:ind w:left="165" w:hanging="165"/>
      </w:pPr>
      <w:r w:rsidRPr="001642B2">
        <w:rPr>
          <w:vertAlign w:val="superscript"/>
        </w:rPr>
        <w:t>f</w:t>
      </w:r>
      <w:r w:rsidRPr="001642B2">
        <w:rPr>
          <w:vertAlign w:val="superscript"/>
        </w:rPr>
        <w:tab/>
      </w:r>
      <w:r w:rsidRPr="001642B2">
        <w:t>in the economic model TTD was set to not exceed MFS.</w:t>
      </w:r>
    </w:p>
    <w:p w14:paraId="7A4D2AB9" w14:textId="77777777" w:rsidR="00526B6B" w:rsidRDefault="00526B6B" w:rsidP="00526B6B">
      <w:pPr>
        <w:pStyle w:val="TableFooter"/>
        <w:ind w:left="165" w:hanging="165"/>
      </w:pPr>
      <w:r w:rsidRPr="001642B2">
        <w:rPr>
          <w:vertAlign w:val="superscript"/>
        </w:rPr>
        <w:t>g</w:t>
      </w:r>
      <w:r w:rsidRPr="001642B2">
        <w:rPr>
          <w:vertAlign w:val="superscript"/>
        </w:rPr>
        <w:tab/>
      </w:r>
      <w:r w:rsidRPr="001642B2">
        <w:t>calculated as $</w:t>
      </w:r>
      <w:r w:rsidR="00E61E4A">
        <w:rPr>
          <w:noProof/>
          <w:color w:val="000000"/>
          <w:highlight w:val="black"/>
        </w:rPr>
        <w:t>'''''''''''''''''''''</w:t>
      </w:r>
      <w:r w:rsidRPr="001642B2">
        <w:t xml:space="preserve"> x 44.9</w:t>
      </w:r>
      <w:r w:rsidR="00CE3EC2">
        <w:t xml:space="preserve"> </w:t>
      </w:r>
      <w:r w:rsidRPr="001642B2">
        <w:t>months</w:t>
      </w:r>
    </w:p>
    <w:p w14:paraId="7D6CEF44" w14:textId="77777777" w:rsidR="00CE3EC2" w:rsidRPr="001642B2" w:rsidRDefault="00CE3EC2" w:rsidP="00526B6B">
      <w:pPr>
        <w:pStyle w:val="TableFooter"/>
        <w:ind w:left="165" w:hanging="165"/>
      </w:pPr>
    </w:p>
    <w:p w14:paraId="572411D7" w14:textId="77777777" w:rsidR="00526B6B" w:rsidRPr="00A754ED" w:rsidRDefault="00526B6B" w:rsidP="002D5B24">
      <w:pPr>
        <w:pStyle w:val="3-BodyText"/>
        <w:ind w:left="709"/>
      </w:pPr>
      <w:r w:rsidRPr="00A754ED">
        <w:t xml:space="preserve">The cost per patient per month of apalutamide was </w:t>
      </w:r>
      <w:r>
        <w:t xml:space="preserve">slightly increased </w:t>
      </w:r>
      <w:r w:rsidRPr="00A754ED">
        <w:t>from $</w:t>
      </w:r>
      <w:r w:rsidR="00E61E4A">
        <w:rPr>
          <w:noProof/>
          <w:color w:val="000000"/>
          <w:highlight w:val="black"/>
        </w:rPr>
        <w:t>'''''''''''</w:t>
      </w:r>
      <w:r w:rsidRPr="00A754ED">
        <w:t xml:space="preserve"> to $</w:t>
      </w:r>
      <w:r w:rsidR="00E61E4A">
        <w:rPr>
          <w:noProof/>
          <w:color w:val="000000"/>
          <w:highlight w:val="black"/>
        </w:rPr>
        <w:t>''''''''''''''''</w:t>
      </w:r>
      <w:r w:rsidRPr="00A754ED">
        <w:t xml:space="preserve"> and the average cost of apalutamide treatment over 10 years </w:t>
      </w:r>
      <w:r w:rsidRPr="00061BCA">
        <w:rPr>
          <w:iCs/>
        </w:rPr>
        <w:t xml:space="preserve">increased </w:t>
      </w:r>
      <w:r w:rsidRPr="00A754ED">
        <w:t>from $</w:t>
      </w:r>
      <w:r w:rsidR="00E61E4A">
        <w:rPr>
          <w:noProof/>
          <w:color w:val="000000"/>
          <w:highlight w:val="black"/>
        </w:rPr>
        <w:t>''''''''''''''</w:t>
      </w:r>
      <w:r w:rsidRPr="00A754ED">
        <w:t xml:space="preserve"> to $</w:t>
      </w:r>
      <w:r w:rsidR="00E61E4A">
        <w:rPr>
          <w:noProof/>
          <w:color w:val="000000"/>
          <w:highlight w:val="black"/>
        </w:rPr>
        <w:t>''''''''''''''</w:t>
      </w:r>
      <w:r w:rsidRPr="00A754ED">
        <w:t xml:space="preserve"> (discounted)</w:t>
      </w:r>
      <w:r>
        <w:t xml:space="preserve">, driven by an increase in the assumed </w:t>
      </w:r>
      <w:r w:rsidRPr="00A754ED">
        <w:t>dose intensity for apalutamide (from 66.24% to 89.94%) and placebo (from 71.1% to 96.08%).</w:t>
      </w:r>
    </w:p>
    <w:p w14:paraId="1DCD54FA" w14:textId="77777777" w:rsidR="00526B6B" w:rsidRPr="00D379EA" w:rsidRDefault="00526B6B" w:rsidP="00526B6B">
      <w:pPr>
        <w:pStyle w:val="4-SubsectionHeading"/>
      </w:pPr>
      <w:bookmarkStart w:id="20" w:name="_Toc82426515"/>
      <w:r w:rsidRPr="00D379EA">
        <w:t>Estimated PBS usage &amp; financial implications</w:t>
      </w:r>
      <w:bookmarkEnd w:id="20"/>
    </w:p>
    <w:p w14:paraId="6941B590" w14:textId="77777777" w:rsidR="00526B6B" w:rsidRDefault="00526B6B" w:rsidP="002D5B24">
      <w:pPr>
        <w:pStyle w:val="3-BodyText"/>
        <w:ind w:left="709"/>
      </w:pPr>
      <w:r w:rsidRPr="001642B2">
        <w:t xml:space="preserve">This submission </w:t>
      </w:r>
      <w:r w:rsidR="00150A52">
        <w:t>was not</w:t>
      </w:r>
      <w:r w:rsidRPr="001642B2">
        <w:t xml:space="preserve"> considered by DUSC. As for the November 2018 and July 2019 and November resubmissions, the resubmission applied an epidemiological approach to estimate the number of incident and prevalent patients treated with apalutamide. </w:t>
      </w:r>
    </w:p>
    <w:p w14:paraId="18DF3EBD" w14:textId="77777777" w:rsidR="00526B6B" w:rsidRPr="001642B2" w:rsidRDefault="00493656" w:rsidP="00765DBB">
      <w:pPr>
        <w:pStyle w:val="3-BodyText"/>
        <w:ind w:left="720"/>
      </w:pPr>
      <w:r>
        <w:t xml:space="preserve">The PBAC noted the revised financial estimates </w:t>
      </w:r>
      <w:r w:rsidR="003D639F">
        <w:t xml:space="preserve">which applied a higher dose intensity, as per the economic model, and lower effective </w:t>
      </w:r>
      <w:r w:rsidR="00FD49EC">
        <w:t>dispensed price for maximum quantity (</w:t>
      </w:r>
      <w:r w:rsidR="003D639F">
        <w:t>DPMQ</w:t>
      </w:r>
      <w:r w:rsidR="00FD49EC">
        <w:t>)</w:t>
      </w:r>
      <w:r w:rsidR="003D639F">
        <w:t xml:space="preserve"> for apalutamide. Given the methodology to calculate patients initiating apalutamide was unchanged the uncertainty identified in previous submission remained</w:t>
      </w:r>
      <w:r>
        <w:t xml:space="preserve">; however, </w:t>
      </w:r>
      <w:r w:rsidR="003D639F">
        <w:t xml:space="preserve">the PBAC </w:t>
      </w:r>
      <w:r>
        <w:t>considered that apalutamide would share a portion of the market that had been agreed for darolutamide, thereby mitigating a number the previous concerns. The PBAC noted that if recommended on a cost minimisation basis to darolutamide, apalutamide would be cost neutral as its listing would not result in an incremental cost to the Government.</w:t>
      </w:r>
      <w:bookmarkStart w:id="21" w:name="_Hlk80027466"/>
    </w:p>
    <w:bookmarkEnd w:id="21"/>
    <w:p w14:paraId="4776A1F1" w14:textId="77777777" w:rsidR="00526B6B" w:rsidRPr="001642B2" w:rsidRDefault="00526B6B" w:rsidP="002D5B24">
      <w:pPr>
        <w:pStyle w:val="3-BodyText"/>
        <w:ind w:left="709"/>
      </w:pPr>
      <w:r w:rsidRPr="001642B2">
        <w:t xml:space="preserve">Table </w:t>
      </w:r>
      <w:r w:rsidR="00F2524C">
        <w:t>9</w:t>
      </w:r>
      <w:r w:rsidRPr="001642B2">
        <w:t xml:space="preserve"> provides a summary of the data sources used and assumptions made to estimate the usage and cost of the requested PBS listing of apalutamide, and the changes relative to the July 2019 and November 2020 resubmission.</w:t>
      </w:r>
    </w:p>
    <w:p w14:paraId="2D2F66C1" w14:textId="77777777" w:rsidR="00526B6B" w:rsidRPr="00FA5D76" w:rsidRDefault="00526B6B" w:rsidP="003D639F">
      <w:pPr>
        <w:pStyle w:val="In-tableHeading"/>
        <w:keepNext w:val="0"/>
        <w:rPr>
          <w:rStyle w:val="CommentReference"/>
          <w:b/>
          <w:szCs w:val="24"/>
          <w:lang w:val="en-AU"/>
        </w:rPr>
      </w:pPr>
      <w:r w:rsidRPr="00D379EA">
        <w:rPr>
          <w:rStyle w:val="CommentReference"/>
          <w:b/>
          <w:szCs w:val="24"/>
          <w:lang w:val="en-AU"/>
        </w:rPr>
        <w:t xml:space="preserve">Table </w:t>
      </w:r>
      <w:r w:rsidR="00F2524C">
        <w:rPr>
          <w:rStyle w:val="CommentReference"/>
          <w:b/>
          <w:szCs w:val="24"/>
          <w:lang w:val="en-AU"/>
        </w:rPr>
        <w:t>9</w:t>
      </w:r>
      <w:r w:rsidRPr="00D379EA">
        <w:rPr>
          <w:rStyle w:val="CommentReference"/>
          <w:b/>
          <w:szCs w:val="24"/>
          <w:lang w:val="en-AU"/>
        </w:rPr>
        <w:t>: Data sources and parameter values applied in the utilisation and financial estimates</w:t>
      </w:r>
    </w:p>
    <w:tbl>
      <w:tblPr>
        <w:tblStyle w:val="Summarybox2"/>
        <w:tblW w:w="5000" w:type="pct"/>
        <w:tblCellMar>
          <w:left w:w="28" w:type="dxa"/>
          <w:right w:w="28" w:type="dxa"/>
        </w:tblCellMar>
        <w:tblLook w:val="04A0" w:firstRow="1" w:lastRow="0" w:firstColumn="1" w:lastColumn="0" w:noHBand="0" w:noVBand="1"/>
        <w:tblCaption w:val="Table 9: Data sources and parameter values applied in the utilisation and financial estimates"/>
      </w:tblPr>
      <w:tblGrid>
        <w:gridCol w:w="968"/>
        <w:gridCol w:w="3138"/>
        <w:gridCol w:w="2269"/>
        <w:gridCol w:w="2642"/>
      </w:tblGrid>
      <w:tr w:rsidR="00526B6B" w:rsidRPr="004546DF" w14:paraId="1308949D" w14:textId="77777777" w:rsidTr="00BF2149">
        <w:trPr>
          <w:cantSplit/>
          <w:tblHeader/>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0E85C98A" w14:textId="77777777" w:rsidR="00526B6B" w:rsidRPr="001642B2" w:rsidRDefault="00526B6B" w:rsidP="003D639F">
            <w:pPr>
              <w:rPr>
                <w:rFonts w:ascii="Arial Narrow" w:hAnsi="Arial Narrow"/>
                <w:b/>
                <w:sz w:val="20"/>
                <w:szCs w:val="20"/>
              </w:rPr>
            </w:pP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17B4A" w14:textId="77777777" w:rsidR="00526B6B" w:rsidRPr="001642B2" w:rsidRDefault="00526B6B" w:rsidP="003D639F">
            <w:pPr>
              <w:rPr>
                <w:rFonts w:ascii="Arial Narrow" w:hAnsi="Arial Narrow"/>
                <w:b/>
                <w:sz w:val="20"/>
                <w:szCs w:val="20"/>
              </w:rPr>
            </w:pPr>
            <w:r w:rsidRPr="001642B2">
              <w:rPr>
                <w:rFonts w:ascii="Arial Narrow" w:hAnsi="Arial Narrow"/>
                <w:b/>
                <w:sz w:val="20"/>
                <w:szCs w:val="20"/>
              </w:rPr>
              <w:t>July 2019</w:t>
            </w:r>
          </w:p>
        </w:tc>
        <w:tc>
          <w:tcPr>
            <w:tcW w:w="1258" w:type="pct"/>
            <w:tcBorders>
              <w:top w:val="single" w:sz="4" w:space="0" w:color="auto"/>
              <w:left w:val="single" w:sz="4" w:space="0" w:color="auto"/>
              <w:bottom w:val="single" w:sz="4" w:space="0" w:color="auto"/>
              <w:right w:val="single" w:sz="4" w:space="0" w:color="auto"/>
            </w:tcBorders>
            <w:vAlign w:val="center"/>
          </w:tcPr>
          <w:p w14:paraId="11339CA7" w14:textId="77777777" w:rsidR="00526B6B" w:rsidRPr="001642B2" w:rsidRDefault="00526B6B" w:rsidP="003D639F">
            <w:pPr>
              <w:rPr>
                <w:rFonts w:ascii="Arial Narrow" w:hAnsi="Arial Narrow"/>
                <w:b/>
                <w:sz w:val="20"/>
                <w:szCs w:val="20"/>
              </w:rPr>
            </w:pPr>
            <w:r w:rsidRPr="001642B2">
              <w:rPr>
                <w:rFonts w:ascii="Arial Narrow" w:hAnsi="Arial Narrow"/>
                <w:b/>
                <w:sz w:val="20"/>
                <w:szCs w:val="20"/>
              </w:rPr>
              <w:t>November 2020</w:t>
            </w:r>
          </w:p>
        </w:tc>
        <w:tc>
          <w:tcPr>
            <w:tcW w:w="1465" w:type="pct"/>
            <w:tcBorders>
              <w:top w:val="single" w:sz="4" w:space="0" w:color="auto"/>
              <w:left w:val="single" w:sz="4" w:space="0" w:color="auto"/>
              <w:bottom w:val="single" w:sz="4" w:space="0" w:color="auto"/>
              <w:right w:val="single" w:sz="4" w:space="0" w:color="auto"/>
            </w:tcBorders>
            <w:vAlign w:val="center"/>
          </w:tcPr>
          <w:p w14:paraId="040D732F" w14:textId="77777777" w:rsidR="00526B6B" w:rsidRPr="001642B2" w:rsidRDefault="00526B6B" w:rsidP="003D639F">
            <w:pPr>
              <w:rPr>
                <w:rFonts w:ascii="Arial Narrow" w:hAnsi="Arial Narrow"/>
                <w:b/>
                <w:sz w:val="20"/>
                <w:szCs w:val="20"/>
              </w:rPr>
            </w:pPr>
            <w:r w:rsidRPr="001642B2">
              <w:rPr>
                <w:rFonts w:ascii="Arial Narrow" w:hAnsi="Arial Narrow"/>
                <w:b/>
                <w:sz w:val="20"/>
                <w:szCs w:val="20"/>
              </w:rPr>
              <w:t>Current resubmission</w:t>
            </w:r>
          </w:p>
        </w:tc>
      </w:tr>
      <w:tr w:rsidR="00526B6B" w:rsidRPr="004546DF" w14:paraId="0C9AA59C" w14:textId="77777777" w:rsidTr="00BF2149">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3A09E6" w14:textId="77777777" w:rsidR="00526B6B" w:rsidRPr="001642B2" w:rsidRDefault="00526B6B" w:rsidP="003D639F">
            <w:pPr>
              <w:rPr>
                <w:rFonts w:ascii="Arial Narrow" w:hAnsi="Arial Narrow"/>
                <w:b/>
                <w:sz w:val="20"/>
                <w:szCs w:val="20"/>
              </w:rPr>
            </w:pPr>
            <w:r w:rsidRPr="001642B2">
              <w:rPr>
                <w:rFonts w:ascii="Arial Narrow" w:hAnsi="Arial Narrow"/>
                <w:b/>
                <w:sz w:val="20"/>
                <w:szCs w:val="20"/>
              </w:rPr>
              <w:t>Epidemiology</w:t>
            </w:r>
          </w:p>
        </w:tc>
      </w:tr>
      <w:tr w:rsidR="00526B6B" w:rsidRPr="004546DF" w14:paraId="54940D89"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FF81D"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Prevalence data</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E2AFA"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Five-year prostate cancer prevalence data - Cancer in Australia 2017 publication from AIHW.</w:t>
            </w:r>
          </w:p>
          <w:p w14:paraId="2973ACBC"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Male population growth – ABS-projected male population growth (50+ years) between 2012 and 2019. The November 2018 submission had used estimates based on all ages (0-85+ years).</w:t>
            </w:r>
          </w:p>
          <w:p w14:paraId="55B68223"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Proportion of prevalent patients that are m0CRPC – based on Liede (2013), sourced from a patient flow model using international registry data.</w:t>
            </w:r>
          </w:p>
          <w:p w14:paraId="55AB4A63"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Proportion of m0CRPC patients at high risk – ePAD CRPC clinical registry data.</w:t>
            </w:r>
          </w:p>
        </w:tc>
        <w:tc>
          <w:tcPr>
            <w:tcW w:w="1258" w:type="pct"/>
            <w:vMerge w:val="restart"/>
            <w:tcBorders>
              <w:top w:val="single" w:sz="4" w:space="0" w:color="auto"/>
              <w:left w:val="single" w:sz="4" w:space="0" w:color="auto"/>
              <w:right w:val="single" w:sz="4" w:space="0" w:color="auto"/>
            </w:tcBorders>
            <w:shd w:val="clear" w:color="auto" w:fill="auto"/>
            <w:vAlign w:val="center"/>
          </w:tcPr>
          <w:p w14:paraId="2751915B" w14:textId="77777777" w:rsidR="00526B6B" w:rsidRPr="001642B2" w:rsidRDefault="00526B6B" w:rsidP="003D639F">
            <w:pPr>
              <w:jc w:val="left"/>
              <w:rPr>
                <w:rFonts w:ascii="Arial Narrow" w:hAnsi="Arial Narrow"/>
                <w:sz w:val="20"/>
                <w:szCs w:val="20"/>
                <w:shd w:val="clear" w:color="auto" w:fill="C6D9F1" w:themeFill="text2" w:themeFillTint="33"/>
              </w:rPr>
            </w:pPr>
            <w:r w:rsidRPr="00CE3EC2">
              <w:rPr>
                <w:rFonts w:ascii="Arial Narrow" w:hAnsi="Arial Narrow"/>
                <w:sz w:val="20"/>
                <w:szCs w:val="20"/>
              </w:rPr>
              <w:t>Unchanged</w:t>
            </w:r>
            <w:r w:rsidR="00CE3EC2">
              <w:rPr>
                <w:rFonts w:ascii="Arial Narrow" w:hAnsi="Arial Narrow"/>
                <w:sz w:val="20"/>
                <w:szCs w:val="20"/>
              </w:rPr>
              <w:t>.</w:t>
            </w:r>
          </w:p>
          <w:p w14:paraId="7F421E48" w14:textId="77777777" w:rsidR="00526B6B" w:rsidRPr="001642B2" w:rsidRDefault="00526B6B" w:rsidP="003D639F">
            <w:pPr>
              <w:jc w:val="left"/>
              <w:rPr>
                <w:rFonts w:ascii="Arial Narrow" w:hAnsi="Arial Narrow"/>
                <w:sz w:val="20"/>
                <w:szCs w:val="20"/>
              </w:rPr>
            </w:pPr>
            <w:r w:rsidRPr="00CE3EC2">
              <w:rPr>
                <w:rFonts w:ascii="Arial Narrow" w:hAnsi="Arial Narrow"/>
                <w:sz w:val="20"/>
                <w:szCs w:val="20"/>
              </w:rPr>
              <w:t>The DUSC considered the assumptions and data informing the estimates of incidence and prevalence of m0CRPC could not be fully verified (paragraph 6.43, apalutamide, PSD, November 2018)</w:t>
            </w:r>
            <w:r w:rsidR="00CE3EC2">
              <w:rPr>
                <w:rFonts w:ascii="Arial Narrow" w:hAnsi="Arial Narrow"/>
                <w:sz w:val="20"/>
                <w:szCs w:val="20"/>
              </w:rPr>
              <w:t>.</w:t>
            </w:r>
            <w:r w:rsidRPr="001642B2">
              <w:rPr>
                <w:rFonts w:ascii="Arial Narrow" w:hAnsi="Arial Narrow"/>
                <w:sz w:val="20"/>
                <w:szCs w:val="20"/>
              </w:rPr>
              <w:t xml:space="preserve"> This statement remains applicable as the methodology to estimate the number of m0CRPC patients was unchanged.</w:t>
            </w:r>
          </w:p>
        </w:tc>
        <w:tc>
          <w:tcPr>
            <w:tcW w:w="1465" w:type="pct"/>
            <w:vMerge w:val="restart"/>
            <w:tcBorders>
              <w:top w:val="single" w:sz="4" w:space="0" w:color="auto"/>
              <w:left w:val="single" w:sz="4" w:space="0" w:color="auto"/>
              <w:right w:val="single" w:sz="4" w:space="0" w:color="auto"/>
            </w:tcBorders>
            <w:shd w:val="clear" w:color="auto" w:fill="auto"/>
            <w:vAlign w:val="center"/>
          </w:tcPr>
          <w:p w14:paraId="2690A246" w14:textId="77777777" w:rsidR="00526B6B" w:rsidRPr="001642B2" w:rsidRDefault="00526B6B" w:rsidP="003D639F">
            <w:pPr>
              <w:jc w:val="left"/>
              <w:rPr>
                <w:rFonts w:ascii="Arial Narrow" w:hAnsi="Arial Narrow"/>
                <w:sz w:val="20"/>
                <w:szCs w:val="20"/>
              </w:rPr>
            </w:pPr>
            <w:r w:rsidRPr="00CE3EC2">
              <w:rPr>
                <w:rFonts w:ascii="Arial Narrow" w:hAnsi="Arial Narrow"/>
                <w:sz w:val="20"/>
                <w:szCs w:val="20"/>
              </w:rPr>
              <w:t>The current resubmission did not change the methods to estimate the incidence and prevalence of eligible patients</w:t>
            </w:r>
            <w:r w:rsidR="00CE3EC2">
              <w:rPr>
                <w:rFonts w:ascii="Arial Narrow" w:hAnsi="Arial Narrow"/>
                <w:sz w:val="20"/>
                <w:szCs w:val="20"/>
              </w:rPr>
              <w:t>.</w:t>
            </w:r>
          </w:p>
          <w:p w14:paraId="15AE237C" w14:textId="77777777" w:rsidR="00526B6B" w:rsidRPr="001642B2" w:rsidRDefault="007072C9" w:rsidP="003D639F">
            <w:pPr>
              <w:pStyle w:val="Tabletext"/>
            </w:pPr>
            <w:r w:rsidRPr="001642B2">
              <w:t>In November 2020</w:t>
            </w:r>
            <w:r w:rsidR="00D10E59" w:rsidRPr="001642B2">
              <w:t>,</w:t>
            </w:r>
            <w:r w:rsidRPr="001642B2">
              <w:t xml:space="preserve"> </w:t>
            </w:r>
            <w:r w:rsidR="00526B6B" w:rsidRPr="001642B2">
              <w:t>PBAC considered that these values remained highly uncertain (paragraph 7.14, apalutamide, PSD, November 2020).</w:t>
            </w:r>
          </w:p>
        </w:tc>
      </w:tr>
      <w:tr w:rsidR="00526B6B" w:rsidRPr="004546DF" w14:paraId="6FCCCB90"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4ED8112B"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Incidence data</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521774A3"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Patients treated with ADT sourced from PBS data (10% PBS sample data analysis by Prospection) with ePAD CRPC clinical registry data used to estimate patients with m0CRPC and at high risk of distant metastases.</w:t>
            </w:r>
          </w:p>
        </w:tc>
        <w:tc>
          <w:tcPr>
            <w:tcW w:w="1258" w:type="pct"/>
            <w:vMerge/>
            <w:tcBorders>
              <w:left w:val="single" w:sz="4" w:space="0" w:color="auto"/>
              <w:bottom w:val="single" w:sz="4" w:space="0" w:color="auto"/>
              <w:right w:val="single" w:sz="4" w:space="0" w:color="auto"/>
            </w:tcBorders>
            <w:shd w:val="clear" w:color="auto" w:fill="C6D9F1" w:themeFill="text2" w:themeFillTint="33"/>
            <w:vAlign w:val="center"/>
          </w:tcPr>
          <w:p w14:paraId="68E27F22" w14:textId="77777777" w:rsidR="00526B6B" w:rsidRPr="001642B2" w:rsidRDefault="00526B6B" w:rsidP="003D639F">
            <w:pPr>
              <w:rPr>
                <w:rFonts w:ascii="Arial Narrow" w:hAnsi="Arial Narrow"/>
                <w:sz w:val="20"/>
                <w:szCs w:val="20"/>
              </w:rPr>
            </w:pPr>
          </w:p>
        </w:tc>
        <w:tc>
          <w:tcPr>
            <w:tcW w:w="1465" w:type="pct"/>
            <w:vMerge/>
            <w:tcBorders>
              <w:left w:val="single" w:sz="4" w:space="0" w:color="auto"/>
              <w:bottom w:val="single" w:sz="4" w:space="0" w:color="auto"/>
              <w:right w:val="single" w:sz="4" w:space="0" w:color="auto"/>
            </w:tcBorders>
            <w:shd w:val="clear" w:color="auto" w:fill="auto"/>
            <w:vAlign w:val="center"/>
          </w:tcPr>
          <w:p w14:paraId="54342719" w14:textId="77777777" w:rsidR="00526B6B" w:rsidRPr="001642B2" w:rsidRDefault="00526B6B" w:rsidP="003D639F">
            <w:pPr>
              <w:rPr>
                <w:rFonts w:ascii="Arial Narrow" w:hAnsi="Arial Narrow"/>
                <w:sz w:val="20"/>
                <w:szCs w:val="20"/>
              </w:rPr>
            </w:pPr>
          </w:p>
        </w:tc>
      </w:tr>
      <w:tr w:rsidR="00526B6B" w:rsidRPr="004546DF" w14:paraId="0361CE06" w14:textId="77777777" w:rsidTr="00BF2149">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AA3938" w14:textId="77777777" w:rsidR="00526B6B" w:rsidRPr="001642B2" w:rsidRDefault="00526B6B" w:rsidP="003D639F">
            <w:pPr>
              <w:rPr>
                <w:rFonts w:ascii="Arial Narrow" w:hAnsi="Arial Narrow"/>
                <w:b/>
                <w:sz w:val="20"/>
                <w:szCs w:val="20"/>
              </w:rPr>
            </w:pPr>
            <w:r w:rsidRPr="001642B2">
              <w:rPr>
                <w:rFonts w:ascii="Arial Narrow" w:hAnsi="Arial Narrow"/>
                <w:b/>
                <w:sz w:val="20"/>
                <w:szCs w:val="20"/>
              </w:rPr>
              <w:t>Utilisation</w:t>
            </w:r>
          </w:p>
        </w:tc>
      </w:tr>
      <w:tr w:rsidR="00526B6B" w:rsidRPr="004546DF" w14:paraId="6071056C"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963E4"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Uptake rate</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00EA0603"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 xml:space="preserve">Sponsor assumption: </w:t>
            </w:r>
            <w:r w:rsidRPr="00CE3EC2">
              <w:rPr>
                <w:rFonts w:ascii="Arial Narrow" w:hAnsi="Arial Narrow"/>
                <w:sz w:val="20"/>
                <w:szCs w:val="20"/>
              </w:rPr>
              <w:t>Prevalent population: 50% in Year 1, 40% in Year 2, 10% in Year 3; incident population: 50% in Year 1; 70% in Year 2; 90% in Years 3-6.</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2CF54EF3" w14:textId="77777777" w:rsidR="00526B6B" w:rsidRPr="001642B2" w:rsidRDefault="00526B6B" w:rsidP="003D639F">
            <w:pPr>
              <w:jc w:val="left"/>
              <w:rPr>
                <w:rFonts w:ascii="Arial Narrow" w:hAnsi="Arial Narrow"/>
                <w:sz w:val="20"/>
                <w:szCs w:val="20"/>
              </w:rPr>
            </w:pPr>
            <w:r w:rsidRPr="00CE3EC2">
              <w:rPr>
                <w:rFonts w:ascii="Arial Narrow" w:hAnsi="Arial Narrow"/>
                <w:sz w:val="20"/>
                <w:szCs w:val="20"/>
              </w:rPr>
              <w:t>Unchanged</w:t>
            </w:r>
            <w:r w:rsidR="00CE3EC2">
              <w:rPr>
                <w:rFonts w:ascii="Arial Narrow" w:hAnsi="Arial Narrow"/>
                <w:sz w:val="20"/>
                <w:szCs w:val="20"/>
              </w:rPr>
              <w:t>.</w:t>
            </w:r>
            <w:r w:rsidRPr="001642B2">
              <w:rPr>
                <w:rFonts w:ascii="Arial Narrow" w:hAnsi="Arial Narrow"/>
                <w:sz w:val="20"/>
                <w:szCs w:val="20"/>
              </w:rPr>
              <w:t xml:space="preserve"> These uptake rates may be overestimated. Given that apalutamide patients are precluded from abiraterone and enzalutamide treatment after progression to mCRPC in the updated restriction, some patients may not initiate apalutamide.</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59E27A0C" w14:textId="77777777" w:rsidR="00526B6B" w:rsidRPr="001642B2" w:rsidRDefault="00526B6B" w:rsidP="003D639F">
            <w:pPr>
              <w:jc w:val="left"/>
              <w:rPr>
                <w:rFonts w:ascii="Arial Narrow" w:hAnsi="Arial Narrow"/>
                <w:sz w:val="20"/>
                <w:szCs w:val="20"/>
                <w:shd w:val="clear" w:color="auto" w:fill="C6D9F1" w:themeFill="text2" w:themeFillTint="33"/>
              </w:rPr>
            </w:pPr>
            <w:r w:rsidRPr="001642B2">
              <w:rPr>
                <w:rFonts w:ascii="Arial Narrow" w:hAnsi="Arial Narrow"/>
                <w:sz w:val="20"/>
                <w:szCs w:val="20"/>
              </w:rPr>
              <w:t xml:space="preserve">Uptake of apalutamide was reduced (sponsor assumption) to: </w:t>
            </w:r>
            <w:r w:rsidRPr="001642B2">
              <w:rPr>
                <w:rFonts w:ascii="Arial Narrow" w:hAnsi="Arial Narrow"/>
                <w:sz w:val="20"/>
                <w:szCs w:val="20"/>
                <w:shd w:val="clear" w:color="auto" w:fill="FFFFFF" w:themeFill="background1"/>
              </w:rPr>
              <w:t>Prevalent population: 50% in Year 1, 30% in Year 2, 10% in Year 3; incident population: 50% in Year 1; 55% in Year 2; 60% in Year 3, 65% in Year 4, and 70% in Years 5-6.</w:t>
            </w:r>
          </w:p>
        </w:tc>
      </w:tr>
      <w:tr w:rsidR="00526B6B" w:rsidRPr="004546DF" w14:paraId="17584F6A"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AE9E755"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Transition of patients</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2A5CA5AF"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Applying data from the economic model, patients transition through three states – m0CRPC, mCRPC and death.</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3F4D0384"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Updated extrapolations in the economic model. The resubmission used the OS and TTD extrapolations to estimate the number of apalutamide patients on treatment. This is appropriate.</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088CA9BC" w14:textId="77777777" w:rsidR="00526B6B" w:rsidRPr="001642B2" w:rsidRDefault="00526B6B" w:rsidP="003D639F">
            <w:pPr>
              <w:jc w:val="left"/>
              <w:rPr>
                <w:rFonts w:ascii="Arial Narrow" w:hAnsi="Arial Narrow"/>
                <w:sz w:val="20"/>
                <w:szCs w:val="20"/>
              </w:rPr>
            </w:pPr>
            <w:r w:rsidRPr="001642B2">
              <w:rPr>
                <w:rFonts w:ascii="Arial Narrow" w:hAnsi="Arial Narrow"/>
                <w:sz w:val="20"/>
                <w:szCs w:val="20"/>
              </w:rPr>
              <w:t>Unchanged</w:t>
            </w:r>
          </w:p>
        </w:tc>
      </w:tr>
      <w:tr w:rsidR="00526B6B" w:rsidRPr="004546DF" w14:paraId="79E22505"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31EB5F3D" w14:textId="77777777" w:rsidR="00526B6B" w:rsidRPr="001642B2" w:rsidRDefault="00526B6B" w:rsidP="00BF2149">
            <w:pPr>
              <w:keepNext/>
              <w:jc w:val="left"/>
              <w:rPr>
                <w:rFonts w:ascii="Arial Narrow" w:hAnsi="Arial Narrow"/>
                <w:sz w:val="20"/>
                <w:szCs w:val="20"/>
              </w:rPr>
            </w:pPr>
            <w:r w:rsidRPr="001642B2">
              <w:rPr>
                <w:rFonts w:ascii="Arial Narrow" w:hAnsi="Arial Narrow"/>
                <w:sz w:val="20"/>
                <w:szCs w:val="20"/>
              </w:rPr>
              <w:t>Number of scripts per month</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2DB176CF" w14:textId="77777777" w:rsidR="00526B6B" w:rsidRPr="001642B2" w:rsidRDefault="00526B6B" w:rsidP="00BF2149">
            <w:pPr>
              <w:keepNext/>
              <w:jc w:val="left"/>
              <w:rPr>
                <w:rFonts w:ascii="Arial Narrow" w:hAnsi="Arial Narrow"/>
                <w:sz w:val="20"/>
                <w:szCs w:val="20"/>
              </w:rPr>
            </w:pPr>
            <w:r w:rsidRPr="001642B2">
              <w:rPr>
                <w:rFonts w:ascii="Arial Narrow" w:hAnsi="Arial Narrow"/>
                <w:sz w:val="20"/>
                <w:szCs w:val="20"/>
              </w:rPr>
              <w:t>1.01 scripts/month as one script provides 30 days treatment.</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0C27C043" w14:textId="77777777" w:rsidR="00526B6B" w:rsidRPr="001642B2" w:rsidRDefault="00526B6B" w:rsidP="00BF2149">
            <w:pPr>
              <w:keepNext/>
              <w:jc w:val="left"/>
              <w:rPr>
                <w:rFonts w:ascii="Arial Narrow" w:hAnsi="Arial Narrow"/>
                <w:sz w:val="20"/>
                <w:szCs w:val="20"/>
              </w:rPr>
            </w:pPr>
            <w:r w:rsidRPr="001642B2">
              <w:rPr>
                <w:rFonts w:ascii="Arial Narrow" w:hAnsi="Arial Narrow"/>
                <w:sz w:val="20"/>
                <w:szCs w:val="20"/>
              </w:rPr>
              <w:t>Unchanged.</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6C0794BE" w14:textId="77777777" w:rsidR="00526B6B" w:rsidRPr="001642B2" w:rsidRDefault="00526B6B" w:rsidP="00BF2149">
            <w:pPr>
              <w:keepNext/>
              <w:jc w:val="left"/>
              <w:rPr>
                <w:rFonts w:ascii="Arial Narrow" w:hAnsi="Arial Narrow"/>
                <w:sz w:val="20"/>
                <w:szCs w:val="20"/>
              </w:rPr>
            </w:pPr>
            <w:r w:rsidRPr="001642B2">
              <w:rPr>
                <w:rFonts w:ascii="Arial Narrow" w:hAnsi="Arial Narrow"/>
                <w:sz w:val="20"/>
                <w:szCs w:val="20"/>
              </w:rPr>
              <w:t>Unchanged</w:t>
            </w:r>
          </w:p>
        </w:tc>
      </w:tr>
      <w:tr w:rsidR="00526B6B" w:rsidRPr="004546DF" w14:paraId="48BD8B2A"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73B33583" w14:textId="77777777" w:rsidR="00526B6B" w:rsidRPr="001642B2" w:rsidRDefault="00526B6B" w:rsidP="00BF2149">
            <w:pPr>
              <w:keepNext/>
              <w:jc w:val="left"/>
              <w:rPr>
                <w:rFonts w:ascii="Arial Narrow" w:hAnsi="Arial Narrow"/>
                <w:sz w:val="20"/>
                <w:szCs w:val="20"/>
              </w:rPr>
            </w:pPr>
            <w:r w:rsidRPr="001642B2">
              <w:rPr>
                <w:rFonts w:ascii="Arial Narrow" w:hAnsi="Arial Narrow"/>
                <w:sz w:val="20"/>
                <w:szCs w:val="20"/>
              </w:rPr>
              <w:t>Dose intensity</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3D18D6CE" w14:textId="77777777" w:rsidR="00526B6B" w:rsidRPr="001642B2" w:rsidRDefault="00526B6B" w:rsidP="00BF2149">
            <w:pPr>
              <w:keepNext/>
              <w:jc w:val="left"/>
              <w:rPr>
                <w:rFonts w:ascii="Arial Narrow" w:hAnsi="Arial Narrow"/>
                <w:sz w:val="20"/>
                <w:szCs w:val="20"/>
              </w:rPr>
            </w:pPr>
            <w:r w:rsidRPr="001642B2">
              <w:rPr>
                <w:rFonts w:ascii="Arial Narrow" w:hAnsi="Arial Narrow"/>
                <w:sz w:val="20"/>
                <w:szCs w:val="20"/>
              </w:rPr>
              <w:t>66.24% sourced from the SPARTAN trial based on tablet counts. This was a decrease from the 89.94% applied in the November 2018 estimates.</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7CF56C2E" w14:textId="77777777" w:rsidR="00526B6B" w:rsidRPr="001642B2" w:rsidRDefault="00526B6B" w:rsidP="00BF2149">
            <w:pPr>
              <w:keepNext/>
              <w:jc w:val="left"/>
              <w:rPr>
                <w:rFonts w:ascii="Arial Narrow" w:hAnsi="Arial Narrow"/>
                <w:sz w:val="20"/>
                <w:szCs w:val="20"/>
              </w:rPr>
            </w:pPr>
            <w:r w:rsidRPr="001642B2">
              <w:rPr>
                <w:rFonts w:ascii="Arial Narrow" w:hAnsi="Arial Narrow"/>
                <w:sz w:val="20"/>
                <w:szCs w:val="20"/>
              </w:rPr>
              <w:t>Unchanged.</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6E442E9F" w14:textId="77777777" w:rsidR="00526B6B" w:rsidRPr="001642B2" w:rsidRDefault="00526B6B" w:rsidP="00BF2149">
            <w:pPr>
              <w:keepNext/>
              <w:jc w:val="left"/>
              <w:rPr>
                <w:rFonts w:ascii="Arial Narrow" w:hAnsi="Arial Narrow"/>
                <w:sz w:val="20"/>
                <w:szCs w:val="20"/>
              </w:rPr>
            </w:pPr>
            <w:r w:rsidRPr="001642B2">
              <w:rPr>
                <w:rFonts w:ascii="Arial Narrow" w:hAnsi="Arial Narrow"/>
                <w:sz w:val="20"/>
                <w:szCs w:val="20"/>
              </w:rPr>
              <w:t>Apalutamide dose intensity was increased to 89.94%, which was the value applied in November 2018.</w:t>
            </w:r>
          </w:p>
        </w:tc>
      </w:tr>
      <w:tr w:rsidR="00526B6B" w:rsidRPr="004546DF" w14:paraId="700D188B"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2A909869" w14:textId="77777777" w:rsidR="00526B6B" w:rsidRPr="001642B2" w:rsidRDefault="00526B6B" w:rsidP="00BF2149">
            <w:pPr>
              <w:keepNext/>
              <w:jc w:val="left"/>
              <w:rPr>
                <w:rFonts w:ascii="Arial Narrow" w:hAnsi="Arial Narrow"/>
                <w:sz w:val="20"/>
                <w:szCs w:val="20"/>
              </w:rPr>
            </w:pPr>
            <w:r w:rsidRPr="001642B2">
              <w:rPr>
                <w:rFonts w:ascii="Arial Narrow" w:hAnsi="Arial Narrow"/>
                <w:sz w:val="20"/>
                <w:szCs w:val="20"/>
              </w:rPr>
              <w:t>Usage of abiraterone in mCRPC</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0833B8EF" w14:textId="77777777" w:rsidR="00526B6B" w:rsidRPr="001642B2" w:rsidRDefault="00526B6B" w:rsidP="00BF2149">
            <w:pPr>
              <w:keepNext/>
              <w:jc w:val="left"/>
              <w:rPr>
                <w:rFonts w:ascii="Arial Narrow" w:hAnsi="Arial Narrow"/>
                <w:sz w:val="20"/>
                <w:szCs w:val="20"/>
              </w:rPr>
            </w:pPr>
            <w:r w:rsidRPr="001642B2">
              <w:rPr>
                <w:rFonts w:ascii="Arial Narrow" w:hAnsi="Arial Narrow"/>
                <w:sz w:val="20"/>
                <w:szCs w:val="20"/>
              </w:rPr>
              <w:t>Assumed to be 100%. This was a shift from the November 2018 estimates where treatment in mCRPC was based on 68% enzalutamide and 32% abiraterone.</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434A528F" w14:textId="77777777" w:rsidR="00526B6B" w:rsidRPr="001642B2" w:rsidRDefault="00526B6B" w:rsidP="00BF2149">
            <w:pPr>
              <w:keepNext/>
              <w:jc w:val="left"/>
              <w:rPr>
                <w:rFonts w:ascii="Arial Narrow" w:hAnsi="Arial Narrow"/>
                <w:sz w:val="20"/>
                <w:szCs w:val="20"/>
              </w:rPr>
            </w:pPr>
            <w:r w:rsidRPr="001642B2">
              <w:rPr>
                <w:rFonts w:ascii="Arial Narrow" w:hAnsi="Arial Narrow"/>
                <w:sz w:val="20"/>
                <w:szCs w:val="20"/>
              </w:rPr>
              <w:t>Subsequent abiraterone use after apalutamide is removed.</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154E1876" w14:textId="77777777" w:rsidR="00526B6B" w:rsidRPr="001642B2" w:rsidRDefault="00526B6B" w:rsidP="00BF2149">
            <w:pPr>
              <w:keepNext/>
              <w:jc w:val="left"/>
              <w:rPr>
                <w:rFonts w:ascii="Arial Narrow" w:hAnsi="Arial Narrow"/>
                <w:sz w:val="20"/>
                <w:szCs w:val="20"/>
              </w:rPr>
            </w:pPr>
            <w:r w:rsidRPr="001642B2">
              <w:rPr>
                <w:rFonts w:ascii="Arial Narrow" w:hAnsi="Arial Narrow"/>
                <w:sz w:val="20"/>
                <w:szCs w:val="20"/>
              </w:rPr>
              <w:t>Unchanged</w:t>
            </w:r>
          </w:p>
        </w:tc>
      </w:tr>
      <w:tr w:rsidR="00526B6B" w:rsidRPr="004546DF" w14:paraId="059F46BF" w14:textId="77777777" w:rsidTr="00BF2149">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7376BF" w14:textId="77777777" w:rsidR="00526B6B" w:rsidRPr="001642B2" w:rsidRDefault="00526B6B" w:rsidP="004767A5">
            <w:pPr>
              <w:rPr>
                <w:rFonts w:ascii="Arial Narrow" w:hAnsi="Arial Narrow"/>
                <w:b/>
                <w:sz w:val="20"/>
                <w:szCs w:val="20"/>
              </w:rPr>
            </w:pPr>
            <w:r w:rsidRPr="001642B2">
              <w:rPr>
                <w:rFonts w:ascii="Arial Narrow" w:hAnsi="Arial Narrow"/>
                <w:b/>
                <w:sz w:val="20"/>
                <w:szCs w:val="20"/>
              </w:rPr>
              <w:t>Cost of medicines</w:t>
            </w:r>
          </w:p>
        </w:tc>
      </w:tr>
      <w:tr w:rsidR="00526B6B" w:rsidRPr="004546DF" w14:paraId="6178CE48"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4A69BA32" w14:textId="77777777" w:rsidR="00526B6B" w:rsidRPr="001642B2" w:rsidRDefault="00526B6B" w:rsidP="004767A5">
            <w:pPr>
              <w:rPr>
                <w:rFonts w:ascii="Arial Narrow" w:hAnsi="Arial Narrow"/>
                <w:sz w:val="20"/>
                <w:szCs w:val="20"/>
              </w:rPr>
            </w:pPr>
            <w:r w:rsidRPr="001642B2">
              <w:rPr>
                <w:rFonts w:ascii="Arial Narrow" w:hAnsi="Arial Narrow"/>
                <w:sz w:val="20"/>
                <w:szCs w:val="20"/>
              </w:rPr>
              <w:t>Apalutamide</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5518DB77" w14:textId="77777777" w:rsidR="00526B6B" w:rsidRPr="001642B2" w:rsidRDefault="00526B6B" w:rsidP="004767A5">
            <w:pPr>
              <w:rPr>
                <w:rFonts w:ascii="Arial Narrow" w:hAnsi="Arial Narrow"/>
                <w:sz w:val="20"/>
                <w:szCs w:val="20"/>
              </w:rPr>
            </w:pPr>
            <w:r w:rsidRPr="001642B2">
              <w:rPr>
                <w:rFonts w:ascii="Arial Narrow" w:hAnsi="Arial Narrow"/>
                <w:sz w:val="20"/>
                <w:szCs w:val="20"/>
              </w:rPr>
              <w:t>$</w:t>
            </w:r>
            <w:r w:rsidR="00E61E4A">
              <w:rPr>
                <w:rFonts w:ascii="Arial Narrow" w:hAnsi="Arial Narrow"/>
                <w:noProof/>
                <w:color w:val="000000"/>
                <w:sz w:val="20"/>
                <w:szCs w:val="20"/>
                <w:highlight w:val="black"/>
              </w:rPr>
              <w:t>''''''''''''''''''''</w:t>
            </w:r>
            <w:r w:rsidRPr="001642B2">
              <w:rPr>
                <w:rFonts w:ascii="Arial Narrow" w:hAnsi="Arial Narrow"/>
                <w:sz w:val="20"/>
                <w:szCs w:val="20"/>
              </w:rPr>
              <w:t xml:space="preserve"> per script</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35A85320" w14:textId="77777777" w:rsidR="00526B6B" w:rsidRPr="001642B2" w:rsidRDefault="00526B6B" w:rsidP="004767A5">
            <w:pPr>
              <w:rPr>
                <w:rFonts w:ascii="Arial Narrow" w:hAnsi="Arial Narrow"/>
                <w:sz w:val="20"/>
                <w:szCs w:val="20"/>
              </w:rPr>
            </w:pPr>
            <w:r w:rsidRPr="001642B2">
              <w:rPr>
                <w:rFonts w:ascii="Arial Narrow" w:hAnsi="Arial Narrow"/>
                <w:sz w:val="20"/>
                <w:szCs w:val="20"/>
              </w:rPr>
              <w:t>$</w:t>
            </w:r>
            <w:r w:rsidR="00E61E4A">
              <w:rPr>
                <w:rFonts w:ascii="Arial Narrow" w:hAnsi="Arial Narrow"/>
                <w:noProof/>
                <w:color w:val="000000"/>
                <w:sz w:val="20"/>
                <w:szCs w:val="20"/>
                <w:highlight w:val="black"/>
              </w:rPr>
              <w:t>''''''''''''''''''''</w:t>
            </w:r>
            <w:r w:rsidRPr="001642B2">
              <w:rPr>
                <w:rFonts w:ascii="Arial Narrow" w:hAnsi="Arial Narrow"/>
                <w:sz w:val="20"/>
                <w:szCs w:val="20"/>
              </w:rPr>
              <w:t xml:space="preserve"> per script</w:t>
            </w:r>
          </w:p>
        </w:tc>
        <w:tc>
          <w:tcPr>
            <w:tcW w:w="1465" w:type="pct"/>
            <w:tcBorders>
              <w:top w:val="single" w:sz="4" w:space="0" w:color="auto"/>
              <w:left w:val="single" w:sz="4" w:space="0" w:color="auto"/>
              <w:bottom w:val="single" w:sz="4" w:space="0" w:color="auto"/>
              <w:right w:val="single" w:sz="4" w:space="0" w:color="auto"/>
            </w:tcBorders>
            <w:vAlign w:val="center"/>
          </w:tcPr>
          <w:p w14:paraId="1589C5E0" w14:textId="77777777" w:rsidR="00526B6B" w:rsidRPr="001642B2" w:rsidRDefault="00526B6B" w:rsidP="004767A5">
            <w:pPr>
              <w:rPr>
                <w:rFonts w:ascii="Arial Narrow" w:hAnsi="Arial Narrow"/>
                <w:sz w:val="20"/>
                <w:szCs w:val="20"/>
              </w:rPr>
            </w:pPr>
            <w:r w:rsidRPr="001642B2">
              <w:rPr>
                <w:rFonts w:ascii="Arial Narrow" w:hAnsi="Arial Narrow"/>
                <w:sz w:val="20"/>
                <w:szCs w:val="20"/>
              </w:rPr>
              <w:t>$</w:t>
            </w:r>
            <w:r w:rsidR="00E61E4A">
              <w:rPr>
                <w:rFonts w:ascii="Arial Narrow" w:hAnsi="Arial Narrow"/>
                <w:noProof/>
                <w:color w:val="000000"/>
                <w:sz w:val="20"/>
                <w:szCs w:val="20"/>
                <w:highlight w:val="black"/>
              </w:rPr>
              <w:t>''''''''''''''''''</w:t>
            </w:r>
            <w:r w:rsidRPr="001642B2">
              <w:rPr>
                <w:rFonts w:ascii="Arial Narrow" w:hAnsi="Arial Narrow"/>
                <w:sz w:val="20"/>
                <w:szCs w:val="20"/>
              </w:rPr>
              <w:t xml:space="preserve"> per script</w:t>
            </w:r>
          </w:p>
        </w:tc>
      </w:tr>
      <w:tr w:rsidR="00526B6B" w:rsidRPr="004546DF" w14:paraId="7B19A245"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E8AED"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ADT</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6174A014"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$222.63 average cost per month as calculated for the economic model.</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522E1461"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$221.96 average cost per month as calculated for the economic model.</w:t>
            </w:r>
          </w:p>
        </w:tc>
        <w:tc>
          <w:tcPr>
            <w:tcW w:w="1465" w:type="pct"/>
            <w:tcBorders>
              <w:top w:val="single" w:sz="4" w:space="0" w:color="auto"/>
              <w:left w:val="single" w:sz="4" w:space="0" w:color="auto"/>
              <w:bottom w:val="single" w:sz="4" w:space="0" w:color="auto"/>
              <w:right w:val="single" w:sz="4" w:space="0" w:color="auto"/>
            </w:tcBorders>
            <w:vAlign w:val="center"/>
          </w:tcPr>
          <w:p w14:paraId="4CD0A368"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$301.37 average cost per month as calculated for the economic model.</w:t>
            </w:r>
          </w:p>
        </w:tc>
      </w:tr>
      <w:tr w:rsidR="00526B6B" w:rsidRPr="004546DF" w14:paraId="2268BBE9"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21733AF0"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Patient co-payment</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5CA8C50E"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Average co-payment for prednisolone, mometasone and levothyroxine was applied ($17.08).</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519C88F2"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Average co-payment for prednisolone, mometasone and levothyroxine was applied ($18.56).</w:t>
            </w:r>
          </w:p>
          <w:p w14:paraId="7D3E841A"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PBS=$18.95, RPBS=$5.43 (PBS/RPBS split=</w:t>
            </w:r>
            <w:r w:rsidR="006237F6">
              <w:rPr>
                <w:rFonts w:ascii="Arial Narrow" w:hAnsi="Arial Narrow"/>
                <w:sz w:val="20"/>
                <w:szCs w:val="20"/>
              </w:rPr>
              <w:t xml:space="preserve"> </w:t>
            </w:r>
            <w:r w:rsidRPr="001642B2">
              <w:rPr>
                <w:rFonts w:ascii="Arial Narrow" w:hAnsi="Arial Narrow"/>
                <w:sz w:val="20"/>
                <w:szCs w:val="20"/>
              </w:rPr>
              <w:t>97.1%/2.9%)</w:t>
            </w:r>
          </w:p>
        </w:tc>
        <w:tc>
          <w:tcPr>
            <w:tcW w:w="1465" w:type="pct"/>
            <w:tcBorders>
              <w:top w:val="single" w:sz="4" w:space="0" w:color="auto"/>
              <w:left w:val="single" w:sz="4" w:space="0" w:color="auto"/>
              <w:bottom w:val="single" w:sz="4" w:space="0" w:color="auto"/>
              <w:right w:val="single" w:sz="4" w:space="0" w:color="auto"/>
            </w:tcBorders>
            <w:vAlign w:val="center"/>
          </w:tcPr>
          <w:p w14:paraId="625ED1A1"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Average co-payment for prednisolone, mometasone and levothyroxine was applied ($18.89).</w:t>
            </w:r>
          </w:p>
          <w:p w14:paraId="6A9CF4D0"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PBS=$19.24, RPBS=$4.92 (PBS/RPBS split=97.5%/2.5%)</w:t>
            </w:r>
          </w:p>
        </w:tc>
      </w:tr>
      <w:tr w:rsidR="00526B6B" w:rsidRPr="004546DF" w14:paraId="6BDBC4BD" w14:textId="77777777" w:rsidTr="00BF2149">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FDA626" w14:textId="77777777" w:rsidR="00526B6B" w:rsidRPr="001642B2" w:rsidRDefault="00526B6B" w:rsidP="004767A5">
            <w:pPr>
              <w:rPr>
                <w:rFonts w:ascii="Arial Narrow" w:hAnsi="Arial Narrow"/>
                <w:b/>
                <w:sz w:val="20"/>
                <w:szCs w:val="20"/>
              </w:rPr>
            </w:pPr>
            <w:r w:rsidRPr="001642B2">
              <w:rPr>
                <w:rFonts w:ascii="Arial Narrow" w:hAnsi="Arial Narrow"/>
                <w:b/>
                <w:sz w:val="20"/>
                <w:szCs w:val="20"/>
              </w:rPr>
              <w:t>Impact on other medicines</w:t>
            </w:r>
          </w:p>
        </w:tc>
      </w:tr>
      <w:tr w:rsidR="00526B6B" w:rsidRPr="004546DF" w14:paraId="1AB90411"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91764B1" w14:textId="77777777" w:rsidR="00526B6B" w:rsidRPr="001642B2" w:rsidRDefault="00526B6B" w:rsidP="007072C9">
            <w:pPr>
              <w:jc w:val="left"/>
              <w:rPr>
                <w:rFonts w:ascii="Arial Narrow" w:hAnsi="Arial Narrow" w:cstheme="minorHAnsi"/>
                <w:color w:val="000000"/>
                <w:sz w:val="20"/>
                <w:szCs w:val="20"/>
              </w:rPr>
            </w:pPr>
            <w:r w:rsidRPr="001642B2">
              <w:rPr>
                <w:rFonts w:ascii="Arial Narrow" w:hAnsi="Arial Narrow" w:cstheme="minorHAnsi"/>
                <w:color w:val="000000"/>
                <w:sz w:val="20"/>
                <w:szCs w:val="20"/>
              </w:rPr>
              <w:t>Subsequent therapy for mCRPC</w:t>
            </w:r>
          </w:p>
        </w:tc>
        <w:tc>
          <w:tcPr>
            <w:tcW w:w="1740" w:type="pct"/>
            <w:tcBorders>
              <w:top w:val="single" w:sz="4" w:space="0" w:color="auto"/>
              <w:left w:val="single" w:sz="4" w:space="0" w:color="auto"/>
              <w:right w:val="single" w:sz="4" w:space="0" w:color="auto"/>
            </w:tcBorders>
            <w:shd w:val="clear" w:color="auto" w:fill="auto"/>
            <w:vAlign w:val="center"/>
          </w:tcPr>
          <w:p w14:paraId="417ED901"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Assumed that the only agent used will be abiraterone.</w:t>
            </w:r>
          </w:p>
        </w:tc>
        <w:tc>
          <w:tcPr>
            <w:tcW w:w="1258" w:type="pct"/>
            <w:tcBorders>
              <w:top w:val="single" w:sz="4" w:space="0" w:color="auto"/>
              <w:left w:val="single" w:sz="4" w:space="0" w:color="auto"/>
              <w:right w:val="single" w:sz="4" w:space="0" w:color="auto"/>
            </w:tcBorders>
            <w:shd w:val="clear" w:color="auto" w:fill="auto"/>
            <w:vAlign w:val="center"/>
          </w:tcPr>
          <w:p w14:paraId="3A57DB1F"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Docetaxel and cabazitaxel assumed to be the only agents used in the mCRPC setting after apalutamide.</w:t>
            </w:r>
          </w:p>
        </w:tc>
        <w:tc>
          <w:tcPr>
            <w:tcW w:w="1465" w:type="pct"/>
            <w:tcBorders>
              <w:top w:val="single" w:sz="4" w:space="0" w:color="auto"/>
              <w:left w:val="single" w:sz="4" w:space="0" w:color="auto"/>
              <w:right w:val="single" w:sz="4" w:space="0" w:color="auto"/>
            </w:tcBorders>
            <w:shd w:val="clear" w:color="auto" w:fill="auto"/>
            <w:vAlign w:val="center"/>
          </w:tcPr>
          <w:p w14:paraId="577E1358" w14:textId="77777777" w:rsidR="00526B6B" w:rsidRPr="001642B2" w:rsidRDefault="00526B6B" w:rsidP="007072C9">
            <w:pPr>
              <w:jc w:val="left"/>
              <w:rPr>
                <w:rFonts w:ascii="Arial Narrow" w:hAnsi="Arial Narrow"/>
                <w:sz w:val="20"/>
                <w:szCs w:val="20"/>
              </w:rPr>
            </w:pPr>
            <w:r w:rsidRPr="00CE3EC2">
              <w:rPr>
                <w:rFonts w:ascii="Arial Narrow" w:hAnsi="Arial Narrow"/>
                <w:sz w:val="20"/>
                <w:szCs w:val="20"/>
              </w:rPr>
              <w:t>Unchanged</w:t>
            </w:r>
            <w:r w:rsidR="00CE3EC2">
              <w:rPr>
                <w:rFonts w:ascii="Arial Narrow" w:hAnsi="Arial Narrow"/>
                <w:sz w:val="20"/>
                <w:szCs w:val="20"/>
              </w:rPr>
              <w:t>.</w:t>
            </w:r>
            <w:r w:rsidRPr="001642B2">
              <w:rPr>
                <w:rFonts w:ascii="Arial Narrow" w:hAnsi="Arial Narrow"/>
                <w:sz w:val="20"/>
                <w:szCs w:val="20"/>
              </w:rPr>
              <w:t xml:space="preserve"> However, the proportion of docetaxel and cabazitaxel used was halved in the apalutamide group.</w:t>
            </w:r>
          </w:p>
        </w:tc>
      </w:tr>
      <w:tr w:rsidR="00526B6B" w:rsidRPr="004546DF" w14:paraId="55C61398"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46DDC5A2" w14:textId="77777777" w:rsidR="00526B6B" w:rsidRPr="001642B2" w:rsidRDefault="00526B6B" w:rsidP="007072C9">
            <w:pPr>
              <w:jc w:val="left"/>
              <w:rPr>
                <w:rFonts w:ascii="Arial Narrow" w:hAnsi="Arial Narrow" w:cstheme="minorHAnsi"/>
                <w:color w:val="000000"/>
                <w:sz w:val="20"/>
                <w:szCs w:val="20"/>
              </w:rPr>
            </w:pPr>
            <w:r w:rsidRPr="001642B2">
              <w:rPr>
                <w:rFonts w:ascii="Arial Narrow" w:hAnsi="Arial Narrow" w:cstheme="minorHAnsi"/>
                <w:color w:val="000000"/>
                <w:sz w:val="20"/>
                <w:szCs w:val="20"/>
              </w:rPr>
              <w:t>Treatment of AEs</w:t>
            </w:r>
          </w:p>
        </w:tc>
        <w:tc>
          <w:tcPr>
            <w:tcW w:w="1740" w:type="pct"/>
            <w:tcBorders>
              <w:top w:val="single" w:sz="4" w:space="0" w:color="auto"/>
              <w:left w:val="single" w:sz="4" w:space="0" w:color="auto"/>
              <w:right w:val="single" w:sz="4" w:space="0" w:color="auto"/>
            </w:tcBorders>
            <w:shd w:val="clear" w:color="auto" w:fill="auto"/>
            <w:vAlign w:val="center"/>
          </w:tcPr>
          <w:p w14:paraId="44F3C04D"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Type of agents and time on treatment sourced from SPARTAN and the economic model.</w:t>
            </w:r>
          </w:p>
        </w:tc>
        <w:tc>
          <w:tcPr>
            <w:tcW w:w="1258" w:type="pct"/>
            <w:tcBorders>
              <w:top w:val="single" w:sz="4" w:space="0" w:color="auto"/>
              <w:left w:val="single" w:sz="4" w:space="0" w:color="auto"/>
              <w:right w:val="single" w:sz="4" w:space="0" w:color="auto"/>
            </w:tcBorders>
            <w:shd w:val="clear" w:color="auto" w:fill="auto"/>
            <w:vAlign w:val="center"/>
          </w:tcPr>
          <w:p w14:paraId="56252BC1"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Unchanged. The resubmission did not include the cost of treatments for IHD, which was updated as a TEAE.</w:t>
            </w:r>
          </w:p>
        </w:tc>
        <w:tc>
          <w:tcPr>
            <w:tcW w:w="1465" w:type="pct"/>
            <w:tcBorders>
              <w:top w:val="single" w:sz="4" w:space="0" w:color="auto"/>
              <w:left w:val="single" w:sz="4" w:space="0" w:color="auto"/>
              <w:right w:val="single" w:sz="4" w:space="0" w:color="auto"/>
            </w:tcBorders>
            <w:shd w:val="clear" w:color="auto" w:fill="auto"/>
            <w:vAlign w:val="center"/>
          </w:tcPr>
          <w:p w14:paraId="6B0C6686"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Unchanged.</w:t>
            </w:r>
          </w:p>
        </w:tc>
      </w:tr>
      <w:tr w:rsidR="00526B6B" w:rsidRPr="004546DF" w14:paraId="06AB4880" w14:textId="77777777" w:rsidTr="00BF2149">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EAA43B" w14:textId="77777777" w:rsidR="00526B6B" w:rsidRPr="001642B2" w:rsidRDefault="00526B6B" w:rsidP="004767A5">
            <w:pPr>
              <w:rPr>
                <w:rFonts w:ascii="Arial Narrow" w:hAnsi="Arial Narrow"/>
                <w:b/>
                <w:sz w:val="20"/>
                <w:szCs w:val="20"/>
              </w:rPr>
            </w:pPr>
            <w:r w:rsidRPr="001642B2">
              <w:rPr>
                <w:rFonts w:ascii="Arial Narrow" w:hAnsi="Arial Narrow"/>
                <w:b/>
                <w:sz w:val="20"/>
                <w:szCs w:val="20"/>
              </w:rPr>
              <w:t>MBS usage and costs</w:t>
            </w:r>
          </w:p>
        </w:tc>
      </w:tr>
      <w:tr w:rsidR="00526B6B" w:rsidRPr="004546DF" w14:paraId="558BBBC9"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7408FA8A"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MBS items applied to AEs</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17806823"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GP visits were included for management of AEs with the rate of AEs based on SPARTAN and the economic model.</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3427BEB0"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Unchanged. The resubmission did not include the cost of medical services for IHD, which was updated as a TEAE.</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73CB33B6"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Unchanged</w:t>
            </w:r>
          </w:p>
        </w:tc>
      </w:tr>
      <w:tr w:rsidR="00526B6B" w:rsidRPr="004546DF" w14:paraId="7374F12E" w14:textId="77777777" w:rsidTr="00CE3EC2">
        <w:trPr>
          <w:cantSplit/>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CAFF2CC"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MBS items for monitoring</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350261B7"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Usage was based on the economic model.</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376B68A5"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Unchanged</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2E9A6081" w14:textId="77777777" w:rsidR="00526B6B" w:rsidRPr="001642B2" w:rsidRDefault="00526B6B" w:rsidP="007072C9">
            <w:pPr>
              <w:jc w:val="left"/>
              <w:rPr>
                <w:rFonts w:ascii="Arial Narrow" w:hAnsi="Arial Narrow"/>
                <w:sz w:val="20"/>
                <w:szCs w:val="20"/>
              </w:rPr>
            </w:pPr>
            <w:r w:rsidRPr="001642B2">
              <w:rPr>
                <w:rFonts w:ascii="Arial Narrow" w:hAnsi="Arial Narrow"/>
                <w:sz w:val="20"/>
                <w:szCs w:val="20"/>
              </w:rPr>
              <w:t>Unchanged</w:t>
            </w:r>
          </w:p>
        </w:tc>
      </w:tr>
    </w:tbl>
    <w:p w14:paraId="68555404" w14:textId="77777777" w:rsidR="00526B6B" w:rsidRPr="004546DF" w:rsidRDefault="00C355B5" w:rsidP="00526B6B">
      <w:pPr>
        <w:pStyle w:val="TableFooter"/>
      </w:pPr>
      <w:r>
        <w:t xml:space="preserve">ABS = Australian Bureau of Statistics; </w:t>
      </w:r>
      <w:r w:rsidR="00526B6B" w:rsidRPr="004546DF">
        <w:t>ADT</w:t>
      </w:r>
      <w:r w:rsidR="00BF2149">
        <w:t xml:space="preserve"> </w:t>
      </w:r>
      <w:r w:rsidR="00526B6B" w:rsidRPr="004546DF">
        <w:t>=</w:t>
      </w:r>
      <w:r w:rsidR="00BF2149">
        <w:t xml:space="preserve"> </w:t>
      </w:r>
      <w:r w:rsidR="00526B6B" w:rsidRPr="004546DF">
        <w:t>androgen deprivation therapy; AE</w:t>
      </w:r>
      <w:r w:rsidR="00BF2149">
        <w:t xml:space="preserve"> </w:t>
      </w:r>
      <w:r w:rsidR="00526B6B" w:rsidRPr="004546DF">
        <w:t>=</w:t>
      </w:r>
      <w:r w:rsidR="00BF2149">
        <w:t xml:space="preserve"> </w:t>
      </w:r>
      <w:r w:rsidR="00526B6B" w:rsidRPr="004546DF">
        <w:t xml:space="preserve">adverse event; </w:t>
      </w:r>
      <w:r>
        <w:t xml:space="preserve">AIHW = Australian Institute of Health and Welfare; CRPC = castration resistant prostate cancer; GP = general practitioner; </w:t>
      </w:r>
      <w:r w:rsidR="00526B6B" w:rsidRPr="004546DF">
        <w:t>IHD</w:t>
      </w:r>
      <w:r w:rsidR="00BF2149">
        <w:t xml:space="preserve"> </w:t>
      </w:r>
      <w:r w:rsidR="00526B6B" w:rsidRPr="004546DF">
        <w:t>=</w:t>
      </w:r>
      <w:r w:rsidR="00BF2149">
        <w:t xml:space="preserve"> </w:t>
      </w:r>
      <w:r w:rsidR="00526B6B" w:rsidRPr="004546DF">
        <w:t>ischaemic heart disease; m0CRPC</w:t>
      </w:r>
      <w:r w:rsidR="00BF2149">
        <w:t xml:space="preserve"> </w:t>
      </w:r>
      <w:r w:rsidR="00526B6B" w:rsidRPr="004546DF">
        <w:t>=</w:t>
      </w:r>
      <w:r w:rsidR="00BF2149">
        <w:t xml:space="preserve"> </w:t>
      </w:r>
      <w:r w:rsidR="00526B6B" w:rsidRPr="004546DF">
        <w:t>non-metastatic castration-resistant prostate cancer; mCRPC</w:t>
      </w:r>
      <w:r w:rsidR="00BF2149">
        <w:t xml:space="preserve"> </w:t>
      </w:r>
      <w:r w:rsidR="00526B6B" w:rsidRPr="004546DF">
        <w:t>=</w:t>
      </w:r>
      <w:r w:rsidR="00BF2149">
        <w:t xml:space="preserve"> </w:t>
      </w:r>
      <w:r w:rsidR="00526B6B" w:rsidRPr="004546DF">
        <w:t xml:space="preserve">metastatic castration-resistant prostate cancer; </w:t>
      </w:r>
      <w:r>
        <w:t xml:space="preserve">OS = overall survival; </w:t>
      </w:r>
      <w:r w:rsidR="00526B6B" w:rsidRPr="004546DF">
        <w:t>TEAE</w:t>
      </w:r>
      <w:r w:rsidR="00BF2149">
        <w:t xml:space="preserve"> </w:t>
      </w:r>
      <w:r w:rsidR="00526B6B" w:rsidRPr="004546DF">
        <w:t>=</w:t>
      </w:r>
      <w:r w:rsidR="00BF2149">
        <w:t xml:space="preserve"> </w:t>
      </w:r>
      <w:r w:rsidR="00526B6B" w:rsidRPr="004546DF">
        <w:t>treatment-emergent adverse event</w:t>
      </w:r>
      <w:r>
        <w:t>; TTD = time to treatment discontinuation</w:t>
      </w:r>
    </w:p>
    <w:p w14:paraId="2C850348" w14:textId="77777777" w:rsidR="00526B6B" w:rsidRPr="004546DF" w:rsidRDefault="00526B6B" w:rsidP="00526B6B">
      <w:pPr>
        <w:pStyle w:val="TableFooter"/>
      </w:pPr>
      <w:r w:rsidRPr="004546DF">
        <w:t>Source: Section 4, pp.46-58 of the resubmission. Section 4, pp114-128 of the November 2020 resubmission; Section 9.3.1 to Section 9.3.6.5, p129-148 of the July 2019 resubmission</w:t>
      </w:r>
    </w:p>
    <w:p w14:paraId="05DBB53B" w14:textId="77777777" w:rsidR="00526B6B" w:rsidRPr="00D379EA" w:rsidRDefault="00526B6B" w:rsidP="00526B6B">
      <w:pPr>
        <w:pStyle w:val="TableFooter"/>
      </w:pPr>
    </w:p>
    <w:p w14:paraId="58C44444" w14:textId="77777777" w:rsidR="00526B6B" w:rsidRPr="00D379EA" w:rsidRDefault="00526B6B" w:rsidP="002D5B24">
      <w:pPr>
        <w:pStyle w:val="3-BodyText"/>
        <w:ind w:left="709"/>
      </w:pPr>
      <w:r w:rsidRPr="00D379EA">
        <w:t xml:space="preserve">Table </w:t>
      </w:r>
      <w:r w:rsidR="00F2524C">
        <w:t>10</w:t>
      </w:r>
      <w:r w:rsidRPr="00D379EA">
        <w:t xml:space="preserve"> summarises the estimated changes in script volume and total cost to the </w:t>
      </w:r>
      <w:r w:rsidRPr="00061BCA">
        <w:rPr>
          <w:iCs/>
        </w:rPr>
        <w:t xml:space="preserve">government </w:t>
      </w:r>
      <w:r w:rsidRPr="00D379EA">
        <w:t xml:space="preserve">budget as presented in the resubmission and the </w:t>
      </w:r>
      <w:r>
        <w:t xml:space="preserve">November 2020 </w:t>
      </w:r>
      <w:r w:rsidRPr="00D379EA">
        <w:t>resubmission.</w:t>
      </w:r>
    </w:p>
    <w:p w14:paraId="7C7BC881" w14:textId="77777777" w:rsidR="00526B6B" w:rsidRDefault="00526B6B" w:rsidP="00BF2149">
      <w:pPr>
        <w:pStyle w:val="In-tableHeading"/>
        <w:rPr>
          <w:lang w:val="en-AU"/>
        </w:rPr>
      </w:pPr>
      <w:r w:rsidRPr="00D379EA">
        <w:rPr>
          <w:lang w:val="en-AU"/>
        </w:rPr>
        <w:t xml:space="preserve">Table </w:t>
      </w:r>
      <w:r w:rsidR="00F2524C">
        <w:rPr>
          <w:lang w:val="en-AU"/>
        </w:rPr>
        <w:t>10</w:t>
      </w:r>
      <w:r w:rsidRPr="00D379EA">
        <w:rPr>
          <w:lang w:val="en-AU"/>
        </w:rPr>
        <w:t>: Financial estimates from the current resubmission</w:t>
      </w:r>
    </w:p>
    <w:tbl>
      <w:tblPr>
        <w:tblW w:w="9351" w:type="dxa"/>
        <w:tblLayout w:type="fixed"/>
        <w:tblCellMar>
          <w:left w:w="28" w:type="dxa"/>
          <w:right w:w="28" w:type="dxa"/>
        </w:tblCellMar>
        <w:tblLook w:val="04A0" w:firstRow="1" w:lastRow="0" w:firstColumn="1" w:lastColumn="0" w:noHBand="0" w:noVBand="1"/>
        <w:tblCaption w:val="Table 10: Financial estimates from the current resubmission"/>
      </w:tblPr>
      <w:tblGrid>
        <w:gridCol w:w="1555"/>
        <w:gridCol w:w="992"/>
        <w:gridCol w:w="1134"/>
        <w:gridCol w:w="1134"/>
        <w:gridCol w:w="1134"/>
        <w:gridCol w:w="1134"/>
        <w:gridCol w:w="1134"/>
        <w:gridCol w:w="1134"/>
      </w:tblGrid>
      <w:tr w:rsidR="00526B6B" w:rsidRPr="004546DF" w14:paraId="6726CEB3" w14:textId="77777777" w:rsidTr="00474F11">
        <w:trPr>
          <w:tblHeader/>
        </w:trPr>
        <w:tc>
          <w:tcPr>
            <w:tcW w:w="1555" w:type="dxa"/>
            <w:tcBorders>
              <w:top w:val="single" w:sz="4" w:space="0" w:color="auto"/>
              <w:left w:val="single" w:sz="4" w:space="0" w:color="auto"/>
              <w:right w:val="single" w:sz="4" w:space="0" w:color="auto"/>
            </w:tcBorders>
            <w:shd w:val="clear" w:color="auto" w:fill="auto"/>
            <w:noWrap/>
            <w:vAlign w:val="center"/>
          </w:tcPr>
          <w:p w14:paraId="33C7FAF8" w14:textId="77777777" w:rsidR="00526B6B" w:rsidRPr="004546DF" w:rsidRDefault="00526B6B" w:rsidP="00BF2149">
            <w:pPr>
              <w:pStyle w:val="Tabletext"/>
              <w:keepNext/>
              <w:jc w:val="both"/>
              <w:rPr>
                <w:sz w:val="18"/>
                <w:szCs w:val="18"/>
                <w:lang w:eastAsia="zh-TW"/>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F3CA8C" w14:textId="77777777" w:rsidR="00526B6B" w:rsidRPr="004546DF" w:rsidRDefault="00526B6B" w:rsidP="00BF2149">
            <w:pPr>
              <w:pStyle w:val="Tabletext"/>
              <w:keepNext/>
              <w:jc w:val="center"/>
              <w:rPr>
                <w:sz w:val="18"/>
                <w:szCs w:val="18"/>
              </w:rPr>
            </w:pPr>
            <w:r w:rsidRPr="004546DF">
              <w:rPr>
                <w:b/>
                <w:bCs/>
                <w:sz w:val="18"/>
                <w:szCs w:val="18"/>
                <w:lang w:eastAsia="zh-TW"/>
              </w:rPr>
              <w:t>Year 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AE1728" w14:textId="77777777" w:rsidR="00526B6B" w:rsidRPr="004546DF" w:rsidRDefault="00526B6B" w:rsidP="00BF2149">
            <w:pPr>
              <w:pStyle w:val="Tabletext"/>
              <w:keepNext/>
              <w:jc w:val="center"/>
              <w:rPr>
                <w:sz w:val="18"/>
                <w:szCs w:val="18"/>
              </w:rPr>
            </w:pPr>
            <w:r w:rsidRPr="004546DF">
              <w:rPr>
                <w:b/>
                <w:bCs/>
                <w:sz w:val="18"/>
                <w:szCs w:val="18"/>
                <w:lang w:eastAsia="zh-TW"/>
              </w:rPr>
              <w:t>Year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BB1926" w14:textId="77777777" w:rsidR="00526B6B" w:rsidRPr="004546DF" w:rsidRDefault="00526B6B" w:rsidP="00BF2149">
            <w:pPr>
              <w:pStyle w:val="Tabletext"/>
              <w:keepNext/>
              <w:jc w:val="center"/>
              <w:rPr>
                <w:sz w:val="18"/>
                <w:szCs w:val="18"/>
              </w:rPr>
            </w:pPr>
            <w:r w:rsidRPr="004546DF">
              <w:rPr>
                <w:b/>
                <w:bCs/>
                <w:sz w:val="18"/>
                <w:szCs w:val="18"/>
                <w:lang w:eastAsia="zh-TW"/>
              </w:rPr>
              <w:t>Year 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C08272" w14:textId="77777777" w:rsidR="00526B6B" w:rsidRPr="004546DF" w:rsidRDefault="00526B6B" w:rsidP="00BF2149">
            <w:pPr>
              <w:pStyle w:val="Tabletext"/>
              <w:keepNext/>
              <w:jc w:val="center"/>
              <w:rPr>
                <w:sz w:val="18"/>
                <w:szCs w:val="18"/>
              </w:rPr>
            </w:pPr>
            <w:r w:rsidRPr="004546DF">
              <w:rPr>
                <w:b/>
                <w:bCs/>
                <w:sz w:val="18"/>
                <w:szCs w:val="18"/>
                <w:lang w:eastAsia="zh-TW"/>
              </w:rPr>
              <w:t>Year 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593FBC" w14:textId="77777777" w:rsidR="00526B6B" w:rsidRPr="004546DF" w:rsidRDefault="00526B6B" w:rsidP="00BF2149">
            <w:pPr>
              <w:pStyle w:val="Tabletext"/>
              <w:keepNext/>
              <w:jc w:val="center"/>
              <w:rPr>
                <w:sz w:val="18"/>
                <w:szCs w:val="18"/>
              </w:rPr>
            </w:pPr>
            <w:r w:rsidRPr="004546DF">
              <w:rPr>
                <w:b/>
                <w:bCs/>
                <w:sz w:val="18"/>
                <w:szCs w:val="18"/>
                <w:lang w:eastAsia="zh-TW"/>
              </w:rPr>
              <w:t>Year 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EECD7E" w14:textId="77777777" w:rsidR="00526B6B" w:rsidRPr="004546DF" w:rsidRDefault="00526B6B" w:rsidP="00BF2149">
            <w:pPr>
              <w:pStyle w:val="Tabletext"/>
              <w:keepNext/>
              <w:jc w:val="center"/>
              <w:rPr>
                <w:sz w:val="18"/>
                <w:szCs w:val="18"/>
              </w:rPr>
            </w:pPr>
            <w:r w:rsidRPr="004546DF">
              <w:rPr>
                <w:b/>
                <w:bCs/>
                <w:sz w:val="18"/>
                <w:szCs w:val="18"/>
                <w:lang w:eastAsia="zh-TW"/>
              </w:rPr>
              <w:t>Year 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4E051B" w14:textId="77777777" w:rsidR="00526B6B" w:rsidRPr="004546DF" w:rsidRDefault="00526B6B" w:rsidP="00BF2149">
            <w:pPr>
              <w:pStyle w:val="Tabletext"/>
              <w:keepNext/>
              <w:jc w:val="center"/>
              <w:rPr>
                <w:sz w:val="18"/>
                <w:szCs w:val="18"/>
              </w:rPr>
            </w:pPr>
            <w:r w:rsidRPr="004546DF">
              <w:rPr>
                <w:b/>
                <w:bCs/>
                <w:sz w:val="18"/>
                <w:szCs w:val="18"/>
                <w:lang w:eastAsia="zh-TW"/>
              </w:rPr>
              <w:t>Year 1-6</w:t>
            </w:r>
          </w:p>
        </w:tc>
      </w:tr>
      <w:tr w:rsidR="00526B6B" w:rsidRPr="004546DF" w14:paraId="32374A1D" w14:textId="77777777" w:rsidTr="00474F11">
        <w:tc>
          <w:tcPr>
            <w:tcW w:w="9351" w:type="dxa"/>
            <w:gridSpan w:val="8"/>
            <w:tcBorders>
              <w:top w:val="single" w:sz="4" w:space="0" w:color="auto"/>
              <w:left w:val="single" w:sz="4" w:space="0" w:color="auto"/>
              <w:right w:val="single" w:sz="4" w:space="0" w:color="auto"/>
            </w:tcBorders>
            <w:shd w:val="clear" w:color="auto" w:fill="auto"/>
            <w:noWrap/>
            <w:vAlign w:val="center"/>
          </w:tcPr>
          <w:p w14:paraId="56D48676" w14:textId="77777777" w:rsidR="00526B6B" w:rsidRPr="004546DF" w:rsidRDefault="00526B6B" w:rsidP="00BF2149">
            <w:pPr>
              <w:pStyle w:val="Tabletext"/>
              <w:keepNext/>
              <w:jc w:val="both"/>
              <w:rPr>
                <w:b/>
                <w:bCs/>
                <w:sz w:val="18"/>
                <w:szCs w:val="18"/>
              </w:rPr>
            </w:pPr>
            <w:r w:rsidRPr="004546DF">
              <w:rPr>
                <w:b/>
                <w:bCs/>
                <w:sz w:val="18"/>
                <w:szCs w:val="18"/>
              </w:rPr>
              <w:t>Estimated extent of use</w:t>
            </w:r>
          </w:p>
        </w:tc>
      </w:tr>
      <w:tr w:rsidR="003D639F" w:rsidRPr="004546DF" w14:paraId="39DCA518" w14:textId="77777777" w:rsidTr="00474F11">
        <w:trPr>
          <w:trHeight w:val="143"/>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30DEF" w14:textId="77777777" w:rsidR="003D639F" w:rsidRPr="004546DF" w:rsidRDefault="003D639F" w:rsidP="00BF2149">
            <w:pPr>
              <w:pStyle w:val="Tabletext"/>
              <w:keepNext/>
              <w:rPr>
                <w:sz w:val="18"/>
                <w:szCs w:val="18"/>
                <w:lang w:eastAsia="zh-TW"/>
              </w:rPr>
            </w:pPr>
            <w:r w:rsidRPr="004546DF">
              <w:rPr>
                <w:sz w:val="18"/>
                <w:szCs w:val="18"/>
                <w:lang w:eastAsia="zh-TW"/>
              </w:rPr>
              <w:t>Apalutamide patient initiations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DA43AB" w14:textId="77777777" w:rsidR="003D639F" w:rsidRPr="004546DF" w:rsidRDefault="00E61E4A" w:rsidP="00BF2149">
            <w:pPr>
              <w:pStyle w:val="Tabletext"/>
              <w:keepNext/>
              <w:jc w:val="center"/>
              <w:rPr>
                <w:sz w:val="18"/>
                <w:szCs w:val="18"/>
                <w:lang w:eastAsia="zh-TW"/>
              </w:rPr>
            </w:pPr>
            <w:r>
              <w:rPr>
                <w:rFonts w:cs="Arial"/>
                <w:noProof/>
                <w:color w:val="000000"/>
                <w:sz w:val="18"/>
                <w:szCs w:val="18"/>
                <w:highlight w:val="black"/>
              </w:rPr>
              <w:t>''''''''''''''</w:t>
            </w:r>
            <w:r w:rsidR="003D639F">
              <w:rPr>
                <w:rFonts w:cs="Arial"/>
                <w:color w:val="000000"/>
                <w:sz w:val="18"/>
                <w:szCs w:val="18"/>
                <w:vertAlign w:val="superscript"/>
              </w:rPr>
              <w:t>b</w:t>
            </w:r>
            <w:r w:rsidR="00835D63">
              <w:rPr>
                <w:rFonts w:cs="Arial"/>
                <w:color w:val="000000"/>
                <w:sz w:val="18"/>
                <w:szCs w:val="18"/>
                <w:vertAlign w:val="superscript"/>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62D9A6" w14:textId="77777777" w:rsidR="003D639F" w:rsidRPr="004546DF" w:rsidRDefault="00E61E4A" w:rsidP="00BF2149">
            <w:pPr>
              <w:pStyle w:val="Tabletext"/>
              <w:keepNext/>
              <w:jc w:val="center"/>
              <w:rPr>
                <w:sz w:val="18"/>
                <w:szCs w:val="18"/>
                <w:lang w:eastAsia="zh-TW"/>
              </w:rPr>
            </w:pPr>
            <w:r>
              <w:rPr>
                <w:rFonts w:cs="Arial"/>
                <w:noProof/>
                <w:color w:val="000000"/>
                <w:sz w:val="18"/>
                <w:szCs w:val="18"/>
                <w:highlight w:val="black"/>
              </w:rPr>
              <w:t>''''''''''''</w:t>
            </w:r>
            <w:r w:rsidR="003D639F">
              <w:rPr>
                <w:rFonts w:cs="Arial"/>
                <w:color w:val="000000"/>
                <w:sz w:val="18"/>
                <w:szCs w:val="18"/>
                <w:vertAlign w:val="superscript"/>
              </w:rPr>
              <w:t>c</w:t>
            </w:r>
            <w:r w:rsidR="00835D63">
              <w:rPr>
                <w:rFonts w:cs="Arial"/>
                <w:color w:val="000000"/>
                <w:sz w:val="18"/>
                <w:szCs w:val="18"/>
                <w:vertAlign w:val="superscript"/>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44B01D" w14:textId="77777777" w:rsidR="003D639F" w:rsidRPr="00E61E4A" w:rsidRDefault="00E61E4A" w:rsidP="00BF2149">
            <w:pPr>
              <w:pStyle w:val="Tabletext"/>
              <w:keepNext/>
              <w:jc w:val="center"/>
              <w:rPr>
                <w:sz w:val="18"/>
                <w:szCs w:val="18"/>
                <w:lang w:eastAsia="zh-TW"/>
              </w:rPr>
            </w:pPr>
            <w:r>
              <w:rPr>
                <w:rFonts w:cs="Arial"/>
                <w:noProof/>
                <w:color w:val="000000"/>
                <w:sz w:val="18"/>
                <w:szCs w:val="18"/>
                <w:highlight w:val="black"/>
              </w:rPr>
              <w:t>''''''''</w:t>
            </w:r>
            <w:r w:rsidR="00835D63">
              <w:rPr>
                <w:rFonts w:cs="Arial"/>
                <w:color w:val="000000"/>
                <w:sz w:val="18"/>
                <w:szCs w:val="18"/>
                <w:vertAlign w:val="superscript"/>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251736" w14:textId="77777777" w:rsidR="003D639F" w:rsidRPr="00E61E4A" w:rsidRDefault="00E61E4A" w:rsidP="00BF2149">
            <w:pPr>
              <w:pStyle w:val="Tabletext"/>
              <w:keepNext/>
              <w:jc w:val="center"/>
              <w:rPr>
                <w:sz w:val="18"/>
                <w:szCs w:val="18"/>
                <w:lang w:eastAsia="zh-TW"/>
              </w:rPr>
            </w:pPr>
            <w:r>
              <w:rPr>
                <w:rFonts w:cs="Arial"/>
                <w:noProof/>
                <w:color w:val="000000"/>
                <w:sz w:val="18"/>
                <w:szCs w:val="18"/>
                <w:highlight w:val="black"/>
              </w:rPr>
              <w:t>''''''''''''</w:t>
            </w:r>
            <w:r w:rsidR="00835D63">
              <w:rPr>
                <w:rFonts w:cs="Arial"/>
                <w:color w:val="000000"/>
                <w:sz w:val="18"/>
                <w:szCs w:val="18"/>
                <w:vertAlign w:val="superscript"/>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F841D2" w14:textId="77777777" w:rsidR="003D639F" w:rsidRPr="00E61E4A" w:rsidRDefault="00E61E4A" w:rsidP="00BF2149">
            <w:pPr>
              <w:pStyle w:val="Tabletext"/>
              <w:keepNext/>
              <w:jc w:val="center"/>
              <w:rPr>
                <w:sz w:val="18"/>
                <w:szCs w:val="18"/>
                <w:lang w:eastAsia="zh-TW"/>
              </w:rPr>
            </w:pPr>
            <w:r>
              <w:rPr>
                <w:rFonts w:cs="Arial"/>
                <w:noProof/>
                <w:color w:val="000000"/>
                <w:sz w:val="18"/>
                <w:szCs w:val="18"/>
                <w:highlight w:val="black"/>
              </w:rPr>
              <w:t>''''''''''''''</w:t>
            </w:r>
            <w:r w:rsidR="00835D63">
              <w:rPr>
                <w:rFonts w:cs="Arial"/>
                <w:color w:val="000000"/>
                <w:sz w:val="18"/>
                <w:szCs w:val="18"/>
                <w:vertAlign w:val="superscript"/>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01C88A" w14:textId="77777777" w:rsidR="003D639F" w:rsidRPr="00E61E4A" w:rsidRDefault="00E61E4A" w:rsidP="00BF2149">
            <w:pPr>
              <w:pStyle w:val="Tabletext"/>
              <w:keepNext/>
              <w:jc w:val="center"/>
              <w:rPr>
                <w:sz w:val="18"/>
                <w:szCs w:val="18"/>
                <w:lang w:eastAsia="zh-TW"/>
              </w:rPr>
            </w:pPr>
            <w:r>
              <w:rPr>
                <w:rFonts w:cs="Arial"/>
                <w:noProof/>
                <w:color w:val="000000"/>
                <w:sz w:val="18"/>
                <w:szCs w:val="18"/>
                <w:highlight w:val="black"/>
              </w:rPr>
              <w:t>'''''''''''''</w:t>
            </w:r>
            <w:r w:rsidR="00835D63">
              <w:rPr>
                <w:rFonts w:cs="Arial"/>
                <w:color w:val="000000"/>
                <w:sz w:val="18"/>
                <w:szCs w:val="18"/>
                <w:vertAlign w:val="superscript"/>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773944" w14:textId="77777777" w:rsidR="003D639F" w:rsidRPr="00E61E4A" w:rsidRDefault="00E61E4A" w:rsidP="00BF2149">
            <w:pPr>
              <w:pStyle w:val="Tabletext"/>
              <w:keepNext/>
              <w:jc w:val="center"/>
              <w:rPr>
                <w:sz w:val="18"/>
                <w:szCs w:val="18"/>
                <w:lang w:eastAsia="zh-TW"/>
              </w:rPr>
            </w:pPr>
            <w:r>
              <w:rPr>
                <w:rFonts w:cs="Arial"/>
                <w:noProof/>
                <w:color w:val="000000"/>
                <w:sz w:val="18"/>
                <w:szCs w:val="18"/>
                <w:highlight w:val="black"/>
              </w:rPr>
              <w:t>''''''''''''''</w:t>
            </w:r>
            <w:r w:rsidR="00835D63">
              <w:rPr>
                <w:rFonts w:cs="Arial"/>
                <w:color w:val="000000"/>
                <w:sz w:val="18"/>
                <w:szCs w:val="18"/>
                <w:vertAlign w:val="superscript"/>
              </w:rPr>
              <w:t>2</w:t>
            </w:r>
          </w:p>
        </w:tc>
      </w:tr>
      <w:tr w:rsidR="003D639F" w:rsidRPr="004546DF" w14:paraId="64C66FBA" w14:textId="77777777" w:rsidTr="00474F11">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656D1" w14:textId="77777777" w:rsidR="003D639F" w:rsidRPr="004546DF" w:rsidRDefault="003D639F" w:rsidP="00BF2149">
            <w:pPr>
              <w:pStyle w:val="Tabletext"/>
              <w:keepNext/>
              <w:jc w:val="both"/>
              <w:rPr>
                <w:sz w:val="18"/>
                <w:szCs w:val="18"/>
                <w:lang w:eastAsia="zh-TW"/>
              </w:rPr>
            </w:pPr>
            <w:r>
              <w:rPr>
                <w:sz w:val="18"/>
                <w:szCs w:val="18"/>
                <w:lang w:eastAsia="zh-TW"/>
              </w:rPr>
              <w:t>Apalutamide scripts</w:t>
            </w:r>
          </w:p>
        </w:tc>
        <w:tc>
          <w:tcPr>
            <w:tcW w:w="992" w:type="dxa"/>
            <w:tcBorders>
              <w:top w:val="nil"/>
              <w:left w:val="nil"/>
              <w:bottom w:val="single" w:sz="4" w:space="0" w:color="auto"/>
              <w:right w:val="single" w:sz="4" w:space="0" w:color="auto"/>
            </w:tcBorders>
            <w:shd w:val="clear" w:color="auto" w:fill="auto"/>
            <w:noWrap/>
          </w:tcPr>
          <w:p w14:paraId="4E2D8C9B" w14:textId="77777777" w:rsidR="003D639F" w:rsidRPr="00E61E4A" w:rsidRDefault="00E61E4A" w:rsidP="00BF2149">
            <w:pPr>
              <w:pStyle w:val="Tabletext"/>
              <w:keepNext/>
              <w:jc w:val="center"/>
              <w:rPr>
                <w:rFonts w:cs="Arial"/>
                <w:color w:val="000000"/>
                <w:sz w:val="18"/>
                <w:szCs w:val="18"/>
              </w:rPr>
            </w:pPr>
            <w:r>
              <w:rPr>
                <w:rFonts w:cs="Arial"/>
                <w:noProof/>
                <w:color w:val="000000"/>
                <w:sz w:val="18"/>
                <w:szCs w:val="18"/>
                <w:highlight w:val="black"/>
              </w:rPr>
              <w:t>''''''''''''''''</w:t>
            </w:r>
            <w:r w:rsidR="00835D63">
              <w:rPr>
                <w:rFonts w:cs="Arial"/>
                <w:color w:val="000000"/>
                <w:sz w:val="18"/>
                <w:szCs w:val="18"/>
                <w:vertAlign w:val="superscript"/>
              </w:rPr>
              <w:t>3</w:t>
            </w:r>
          </w:p>
        </w:tc>
        <w:tc>
          <w:tcPr>
            <w:tcW w:w="1134" w:type="dxa"/>
            <w:tcBorders>
              <w:top w:val="nil"/>
              <w:left w:val="nil"/>
              <w:bottom w:val="single" w:sz="4" w:space="0" w:color="auto"/>
              <w:right w:val="single" w:sz="4" w:space="0" w:color="auto"/>
            </w:tcBorders>
            <w:shd w:val="clear" w:color="auto" w:fill="auto"/>
            <w:noWrap/>
          </w:tcPr>
          <w:p w14:paraId="4477F9BD" w14:textId="77777777" w:rsidR="003D639F" w:rsidRPr="00E61E4A" w:rsidRDefault="00E61E4A" w:rsidP="00BF2149">
            <w:pPr>
              <w:pStyle w:val="Tabletext"/>
              <w:keepNext/>
              <w:jc w:val="center"/>
              <w:rPr>
                <w:rFonts w:cs="Arial"/>
                <w:color w:val="000000"/>
                <w:sz w:val="18"/>
                <w:szCs w:val="18"/>
              </w:rPr>
            </w:pPr>
            <w:r>
              <w:rPr>
                <w:rFonts w:cs="Arial"/>
                <w:noProof/>
                <w:color w:val="000000"/>
                <w:sz w:val="18"/>
                <w:szCs w:val="18"/>
                <w:highlight w:val="black"/>
              </w:rPr>
              <w:t>'''''''''''''''</w:t>
            </w:r>
            <w:r w:rsidR="008F7E60">
              <w:rPr>
                <w:rFonts w:cs="Arial"/>
                <w:color w:val="000000"/>
                <w:sz w:val="18"/>
                <w:szCs w:val="18"/>
                <w:vertAlign w:val="superscript"/>
              </w:rPr>
              <w:t>4</w:t>
            </w:r>
          </w:p>
        </w:tc>
        <w:tc>
          <w:tcPr>
            <w:tcW w:w="1134" w:type="dxa"/>
            <w:tcBorders>
              <w:top w:val="nil"/>
              <w:left w:val="nil"/>
              <w:bottom w:val="single" w:sz="4" w:space="0" w:color="auto"/>
              <w:right w:val="single" w:sz="4" w:space="0" w:color="auto"/>
            </w:tcBorders>
            <w:shd w:val="clear" w:color="auto" w:fill="auto"/>
            <w:noWrap/>
          </w:tcPr>
          <w:p w14:paraId="49B4A2EC" w14:textId="77777777" w:rsidR="003D639F" w:rsidRPr="00E61E4A" w:rsidRDefault="00E61E4A" w:rsidP="00BF2149">
            <w:pPr>
              <w:pStyle w:val="Tabletext"/>
              <w:keepNext/>
              <w:jc w:val="center"/>
              <w:rPr>
                <w:rFonts w:cs="Arial"/>
                <w:color w:val="000000"/>
                <w:sz w:val="18"/>
                <w:szCs w:val="18"/>
              </w:rPr>
            </w:pPr>
            <w:r>
              <w:rPr>
                <w:rFonts w:cs="Arial"/>
                <w:noProof/>
                <w:color w:val="000000"/>
                <w:sz w:val="18"/>
                <w:szCs w:val="18"/>
                <w:highlight w:val="black"/>
              </w:rPr>
              <w:t>'''''''''''''''</w:t>
            </w:r>
            <w:r w:rsidR="008F7E60">
              <w:rPr>
                <w:rFonts w:cs="Arial"/>
                <w:color w:val="000000"/>
                <w:sz w:val="18"/>
                <w:szCs w:val="18"/>
                <w:vertAlign w:val="superscript"/>
              </w:rPr>
              <w:t>4</w:t>
            </w:r>
          </w:p>
        </w:tc>
        <w:tc>
          <w:tcPr>
            <w:tcW w:w="1134" w:type="dxa"/>
            <w:tcBorders>
              <w:top w:val="nil"/>
              <w:left w:val="nil"/>
              <w:bottom w:val="single" w:sz="4" w:space="0" w:color="auto"/>
              <w:right w:val="single" w:sz="4" w:space="0" w:color="auto"/>
            </w:tcBorders>
            <w:shd w:val="clear" w:color="auto" w:fill="auto"/>
            <w:noWrap/>
          </w:tcPr>
          <w:p w14:paraId="31DB1AB7" w14:textId="77777777" w:rsidR="003D639F" w:rsidRPr="00E61E4A" w:rsidRDefault="00E61E4A" w:rsidP="00BF2149">
            <w:pPr>
              <w:pStyle w:val="Tabletext"/>
              <w:keepNext/>
              <w:jc w:val="center"/>
              <w:rPr>
                <w:rFonts w:cs="Arial"/>
                <w:color w:val="000000"/>
                <w:sz w:val="18"/>
                <w:szCs w:val="18"/>
              </w:rPr>
            </w:pPr>
            <w:r>
              <w:rPr>
                <w:rFonts w:cs="Arial"/>
                <w:noProof/>
                <w:color w:val="000000"/>
                <w:sz w:val="18"/>
                <w:szCs w:val="18"/>
                <w:highlight w:val="black"/>
              </w:rPr>
              <w:t>'''''''''''''''''</w:t>
            </w:r>
            <w:r w:rsidR="008F7E60">
              <w:rPr>
                <w:rFonts w:cs="Arial"/>
                <w:color w:val="000000"/>
                <w:sz w:val="18"/>
                <w:szCs w:val="18"/>
                <w:vertAlign w:val="superscript"/>
              </w:rPr>
              <w:t>4</w:t>
            </w:r>
          </w:p>
        </w:tc>
        <w:tc>
          <w:tcPr>
            <w:tcW w:w="1134" w:type="dxa"/>
            <w:tcBorders>
              <w:top w:val="nil"/>
              <w:left w:val="nil"/>
              <w:bottom w:val="single" w:sz="4" w:space="0" w:color="auto"/>
              <w:right w:val="single" w:sz="4" w:space="0" w:color="auto"/>
            </w:tcBorders>
            <w:shd w:val="clear" w:color="auto" w:fill="auto"/>
            <w:noWrap/>
          </w:tcPr>
          <w:p w14:paraId="3D9CB64C" w14:textId="77777777" w:rsidR="003D639F" w:rsidRPr="00E61E4A" w:rsidRDefault="00E61E4A" w:rsidP="00BF2149">
            <w:pPr>
              <w:pStyle w:val="Tabletext"/>
              <w:keepNext/>
              <w:jc w:val="center"/>
              <w:rPr>
                <w:rFonts w:cs="Arial"/>
                <w:color w:val="000000"/>
                <w:sz w:val="18"/>
                <w:szCs w:val="18"/>
              </w:rPr>
            </w:pPr>
            <w:r>
              <w:rPr>
                <w:rFonts w:cs="Arial"/>
                <w:noProof/>
                <w:color w:val="000000"/>
                <w:sz w:val="18"/>
                <w:szCs w:val="18"/>
                <w:highlight w:val="black"/>
              </w:rPr>
              <w:t>'''''''''''''''''</w:t>
            </w:r>
            <w:r w:rsidR="008F7E60">
              <w:rPr>
                <w:rFonts w:cs="Arial"/>
                <w:color w:val="000000"/>
                <w:sz w:val="18"/>
                <w:szCs w:val="18"/>
                <w:vertAlign w:val="superscript"/>
              </w:rPr>
              <w:t>4</w:t>
            </w:r>
          </w:p>
        </w:tc>
        <w:tc>
          <w:tcPr>
            <w:tcW w:w="1134" w:type="dxa"/>
            <w:tcBorders>
              <w:top w:val="nil"/>
              <w:left w:val="nil"/>
              <w:bottom w:val="single" w:sz="4" w:space="0" w:color="auto"/>
              <w:right w:val="single" w:sz="4" w:space="0" w:color="auto"/>
            </w:tcBorders>
            <w:shd w:val="clear" w:color="auto" w:fill="auto"/>
            <w:noWrap/>
          </w:tcPr>
          <w:p w14:paraId="400A56F4" w14:textId="77777777" w:rsidR="003D639F" w:rsidRPr="00E61E4A" w:rsidRDefault="00E61E4A" w:rsidP="00BF2149">
            <w:pPr>
              <w:pStyle w:val="Tabletext"/>
              <w:keepNext/>
              <w:jc w:val="center"/>
              <w:rPr>
                <w:rFonts w:cs="Arial"/>
                <w:color w:val="000000"/>
                <w:sz w:val="18"/>
                <w:szCs w:val="18"/>
              </w:rPr>
            </w:pPr>
            <w:r>
              <w:rPr>
                <w:rFonts w:cs="Arial"/>
                <w:noProof/>
                <w:color w:val="000000"/>
                <w:sz w:val="18"/>
                <w:szCs w:val="18"/>
                <w:highlight w:val="black"/>
              </w:rPr>
              <w:t>'''''''''''''''''</w:t>
            </w:r>
            <w:r w:rsidR="008F7E60">
              <w:rPr>
                <w:rFonts w:cs="Arial"/>
                <w:color w:val="000000"/>
                <w:sz w:val="18"/>
                <w:szCs w:val="18"/>
                <w:vertAlign w:val="superscript"/>
              </w:rPr>
              <w:t>4</w:t>
            </w:r>
          </w:p>
        </w:tc>
        <w:tc>
          <w:tcPr>
            <w:tcW w:w="1134" w:type="dxa"/>
            <w:tcBorders>
              <w:top w:val="nil"/>
              <w:left w:val="nil"/>
              <w:bottom w:val="single" w:sz="4" w:space="0" w:color="auto"/>
              <w:right w:val="single" w:sz="4" w:space="0" w:color="auto"/>
            </w:tcBorders>
            <w:shd w:val="clear" w:color="auto" w:fill="auto"/>
            <w:noWrap/>
          </w:tcPr>
          <w:p w14:paraId="67B6A435" w14:textId="77777777" w:rsidR="003D639F" w:rsidRPr="00E61E4A" w:rsidRDefault="00E61E4A" w:rsidP="00BF2149">
            <w:pPr>
              <w:pStyle w:val="Tabletext"/>
              <w:keepNext/>
              <w:jc w:val="center"/>
              <w:rPr>
                <w:rFonts w:cs="Arial"/>
                <w:color w:val="000000"/>
                <w:sz w:val="18"/>
                <w:szCs w:val="18"/>
              </w:rPr>
            </w:pPr>
            <w:r>
              <w:rPr>
                <w:rFonts w:cs="Arial"/>
                <w:noProof/>
                <w:color w:val="000000"/>
                <w:sz w:val="18"/>
                <w:szCs w:val="18"/>
                <w:highlight w:val="black"/>
              </w:rPr>
              <w:t>''''''''''''''''''''</w:t>
            </w:r>
            <w:r w:rsidR="008F7E60">
              <w:rPr>
                <w:rFonts w:cs="Arial"/>
                <w:color w:val="000000"/>
                <w:sz w:val="18"/>
                <w:szCs w:val="18"/>
                <w:vertAlign w:val="superscript"/>
              </w:rPr>
              <w:t>5</w:t>
            </w:r>
          </w:p>
        </w:tc>
      </w:tr>
      <w:tr w:rsidR="00526B6B" w:rsidRPr="004546DF" w14:paraId="75C1C271" w14:textId="77777777" w:rsidTr="00474F11">
        <w:tc>
          <w:tcPr>
            <w:tcW w:w="9351" w:type="dxa"/>
            <w:gridSpan w:val="8"/>
            <w:tcBorders>
              <w:top w:val="single" w:sz="4" w:space="0" w:color="auto"/>
              <w:left w:val="single" w:sz="4" w:space="0" w:color="auto"/>
              <w:right w:val="single" w:sz="4" w:space="0" w:color="auto"/>
            </w:tcBorders>
            <w:shd w:val="clear" w:color="auto" w:fill="auto"/>
            <w:noWrap/>
            <w:vAlign w:val="center"/>
          </w:tcPr>
          <w:p w14:paraId="2BB910AF" w14:textId="77777777" w:rsidR="00526B6B" w:rsidRPr="004546DF" w:rsidRDefault="00526B6B" w:rsidP="00BF2149">
            <w:pPr>
              <w:pStyle w:val="Tabletext"/>
              <w:keepNext/>
              <w:jc w:val="both"/>
              <w:rPr>
                <w:b/>
                <w:bCs/>
                <w:sz w:val="18"/>
                <w:szCs w:val="18"/>
              </w:rPr>
            </w:pPr>
            <w:r w:rsidRPr="004546DF">
              <w:rPr>
                <w:b/>
                <w:bCs/>
                <w:sz w:val="18"/>
                <w:szCs w:val="18"/>
              </w:rPr>
              <w:t>Estimated financial implications of apalutamide</w:t>
            </w:r>
          </w:p>
        </w:tc>
      </w:tr>
      <w:tr w:rsidR="003D639F" w:rsidRPr="004546DF" w14:paraId="3037381A" w14:textId="77777777" w:rsidTr="00474F11">
        <w:trPr>
          <w:trHeight w:val="423"/>
        </w:trPr>
        <w:tc>
          <w:tcPr>
            <w:tcW w:w="1555" w:type="dxa"/>
            <w:tcBorders>
              <w:top w:val="single" w:sz="4" w:space="0" w:color="auto"/>
              <w:left w:val="single" w:sz="4" w:space="0" w:color="auto"/>
              <w:right w:val="single" w:sz="4" w:space="0" w:color="auto"/>
            </w:tcBorders>
            <w:shd w:val="clear" w:color="auto" w:fill="auto"/>
            <w:noWrap/>
            <w:vAlign w:val="center"/>
            <w:hideMark/>
          </w:tcPr>
          <w:p w14:paraId="254D6416" w14:textId="77777777" w:rsidR="003D639F" w:rsidRPr="004546DF" w:rsidRDefault="003D639F" w:rsidP="00BF2149">
            <w:pPr>
              <w:pStyle w:val="Tabletext"/>
              <w:keepNext/>
              <w:rPr>
                <w:sz w:val="18"/>
                <w:szCs w:val="18"/>
                <w:lang w:eastAsia="zh-TW"/>
              </w:rPr>
            </w:pPr>
            <w:r w:rsidRPr="004546DF">
              <w:rPr>
                <w:sz w:val="18"/>
                <w:szCs w:val="18"/>
                <w:lang w:eastAsia="zh-TW"/>
              </w:rPr>
              <w:t>Cost to the PBS/RPBS less co</w:t>
            </w:r>
            <w:r w:rsidR="005E7AF5">
              <w:rPr>
                <w:sz w:val="18"/>
                <w:szCs w:val="18"/>
                <w:lang w:eastAsia="zh-TW"/>
              </w:rPr>
              <w:t>-</w:t>
            </w:r>
            <w:r w:rsidRPr="004546DF">
              <w:rPr>
                <w:sz w:val="18"/>
                <w:szCs w:val="18"/>
                <w:lang w:eastAsia="zh-TW"/>
              </w:rPr>
              <w:t>pay</w:t>
            </w:r>
            <w:r w:rsidR="005E7AF5">
              <w:rPr>
                <w:sz w:val="18"/>
                <w:szCs w:val="18"/>
                <w:lang w:eastAsia="zh-TW"/>
              </w:rPr>
              <w:t>ment</w:t>
            </w:r>
            <w:r w:rsidRPr="004546DF">
              <w:rPr>
                <w:sz w:val="18"/>
                <w:szCs w:val="18"/>
                <w:lang w:eastAsia="zh-TW"/>
              </w:rPr>
              <w:t xml:space="preserve"> (</w:t>
            </w:r>
            <w:r w:rsidR="00C355B5">
              <w:rPr>
                <w:sz w:val="18"/>
                <w:szCs w:val="18"/>
                <w:lang w:eastAsia="zh-TW"/>
              </w:rPr>
              <w:t>e</w:t>
            </w:r>
            <w:r w:rsidRPr="004546DF">
              <w:rPr>
                <w:sz w:val="18"/>
                <w:szCs w:val="18"/>
                <w:lang w:eastAsia="zh-TW"/>
              </w:rPr>
              <w:t>ffective price)</w:t>
            </w:r>
            <w:r w:rsidR="001A02B7">
              <w:rPr>
                <w:sz w:val="18"/>
                <w:szCs w:val="18"/>
                <w:lang w:eastAsia="zh-TW"/>
              </w:rPr>
              <w:t xml:space="preserve"> </w:t>
            </w:r>
          </w:p>
        </w:tc>
        <w:tc>
          <w:tcPr>
            <w:tcW w:w="992" w:type="dxa"/>
            <w:tcBorders>
              <w:top w:val="single" w:sz="4" w:space="0" w:color="auto"/>
              <w:left w:val="nil"/>
              <w:right w:val="single" w:sz="4" w:space="0" w:color="auto"/>
            </w:tcBorders>
            <w:shd w:val="clear" w:color="auto" w:fill="auto"/>
            <w:noWrap/>
            <w:vAlign w:val="center"/>
          </w:tcPr>
          <w:p w14:paraId="25055D5C" w14:textId="60F25798" w:rsidR="003D639F" w:rsidRPr="00E61E4A" w:rsidRDefault="00D010FD" w:rsidP="00BF2149">
            <w:pPr>
              <w:pStyle w:val="Tabletext"/>
              <w:keepNext/>
              <w:jc w:val="center"/>
              <w:rPr>
                <w:sz w:val="18"/>
                <w:szCs w:val="18"/>
                <w:lang w:eastAsia="zh-TW"/>
              </w:rPr>
            </w:pPr>
            <w:r>
              <w:rPr>
                <w:rFonts w:cs="Arial"/>
                <w:noProof/>
                <w:color w:val="000000"/>
                <w:sz w:val="18"/>
                <w:szCs w:val="18"/>
                <w:highlight w:val="black"/>
              </w:rPr>
              <w:t>''''''''''''''''''''''</w:t>
            </w:r>
            <w:r w:rsidR="00E61E4A">
              <w:rPr>
                <w:rFonts w:cs="Arial"/>
                <w:noProof/>
                <w:color w:val="000000"/>
                <w:sz w:val="18"/>
                <w:szCs w:val="18"/>
                <w:highlight w:val="black"/>
              </w:rPr>
              <w:t>'''''''</w:t>
            </w:r>
            <w:r w:rsidR="001A02B7">
              <w:rPr>
                <w:vertAlign w:val="superscript"/>
              </w:rPr>
              <w:t>6</w:t>
            </w:r>
          </w:p>
        </w:tc>
        <w:tc>
          <w:tcPr>
            <w:tcW w:w="1134" w:type="dxa"/>
            <w:tcBorders>
              <w:top w:val="single" w:sz="4" w:space="0" w:color="auto"/>
              <w:left w:val="nil"/>
              <w:right w:val="single" w:sz="4" w:space="0" w:color="auto"/>
            </w:tcBorders>
            <w:shd w:val="clear" w:color="auto" w:fill="auto"/>
            <w:noWrap/>
            <w:vAlign w:val="center"/>
          </w:tcPr>
          <w:p w14:paraId="59DB6331" w14:textId="77777777" w:rsidR="003D639F" w:rsidRPr="00E61E4A" w:rsidRDefault="00E61E4A" w:rsidP="00BF2149">
            <w:pPr>
              <w:pStyle w:val="Tabletext"/>
              <w:keepNext/>
              <w:jc w:val="center"/>
              <w:rPr>
                <w:sz w:val="18"/>
                <w:szCs w:val="18"/>
                <w:lang w:eastAsia="zh-TW"/>
              </w:rPr>
            </w:pPr>
            <w:r>
              <w:rPr>
                <w:rFonts w:cs="Arial"/>
                <w:noProof/>
                <w:color w:val="000000"/>
                <w:sz w:val="18"/>
                <w:szCs w:val="18"/>
                <w:highlight w:val="black"/>
              </w:rPr>
              <w:t>'''''''''''''''''''''''''''''</w:t>
            </w:r>
            <w:r w:rsidR="009671A9">
              <w:rPr>
                <w:vertAlign w:val="superscript"/>
              </w:rPr>
              <w:t>7</w:t>
            </w:r>
          </w:p>
        </w:tc>
        <w:tc>
          <w:tcPr>
            <w:tcW w:w="1134" w:type="dxa"/>
            <w:tcBorders>
              <w:top w:val="single" w:sz="4" w:space="0" w:color="auto"/>
              <w:left w:val="nil"/>
              <w:right w:val="single" w:sz="4" w:space="0" w:color="auto"/>
            </w:tcBorders>
            <w:shd w:val="clear" w:color="auto" w:fill="auto"/>
            <w:noWrap/>
            <w:vAlign w:val="center"/>
          </w:tcPr>
          <w:p w14:paraId="507947A9" w14:textId="77777777" w:rsidR="003D639F" w:rsidRPr="00E61E4A" w:rsidRDefault="00E61E4A" w:rsidP="00BF2149">
            <w:pPr>
              <w:pStyle w:val="Tabletext"/>
              <w:keepNext/>
              <w:jc w:val="center"/>
              <w:rPr>
                <w:sz w:val="18"/>
                <w:szCs w:val="18"/>
                <w:lang w:eastAsia="zh-TW"/>
              </w:rPr>
            </w:pPr>
            <w:r>
              <w:rPr>
                <w:rFonts w:cs="Arial"/>
                <w:noProof/>
                <w:color w:val="000000"/>
                <w:sz w:val="18"/>
                <w:szCs w:val="18"/>
                <w:highlight w:val="black"/>
              </w:rPr>
              <w:t>''''''''''''''''''''''''''''''''</w:t>
            </w:r>
            <w:r w:rsidR="009671A9">
              <w:rPr>
                <w:vertAlign w:val="superscript"/>
              </w:rPr>
              <w:t>7</w:t>
            </w:r>
          </w:p>
        </w:tc>
        <w:tc>
          <w:tcPr>
            <w:tcW w:w="1134" w:type="dxa"/>
            <w:tcBorders>
              <w:top w:val="single" w:sz="4" w:space="0" w:color="auto"/>
              <w:left w:val="nil"/>
              <w:right w:val="single" w:sz="4" w:space="0" w:color="auto"/>
            </w:tcBorders>
            <w:shd w:val="clear" w:color="auto" w:fill="auto"/>
            <w:noWrap/>
            <w:vAlign w:val="center"/>
          </w:tcPr>
          <w:p w14:paraId="57BEF7B5" w14:textId="77777777" w:rsidR="003D639F" w:rsidRPr="00E61E4A" w:rsidRDefault="00E61E4A" w:rsidP="00BF2149">
            <w:pPr>
              <w:pStyle w:val="Tabletext"/>
              <w:keepNext/>
              <w:jc w:val="center"/>
              <w:rPr>
                <w:sz w:val="18"/>
                <w:szCs w:val="18"/>
                <w:lang w:eastAsia="zh-TW"/>
              </w:rPr>
            </w:pPr>
            <w:r>
              <w:rPr>
                <w:rFonts w:cs="Arial"/>
                <w:noProof/>
                <w:color w:val="000000"/>
                <w:sz w:val="18"/>
                <w:szCs w:val="18"/>
                <w:highlight w:val="black"/>
              </w:rPr>
              <w:t>'''''''''''''''''''''''''''''''</w:t>
            </w:r>
            <w:r w:rsidR="009671A9">
              <w:rPr>
                <w:vertAlign w:val="superscript"/>
              </w:rPr>
              <w:t>7</w:t>
            </w:r>
          </w:p>
        </w:tc>
        <w:tc>
          <w:tcPr>
            <w:tcW w:w="1134" w:type="dxa"/>
            <w:tcBorders>
              <w:top w:val="single" w:sz="4" w:space="0" w:color="auto"/>
              <w:left w:val="nil"/>
              <w:right w:val="single" w:sz="4" w:space="0" w:color="auto"/>
            </w:tcBorders>
            <w:shd w:val="clear" w:color="auto" w:fill="auto"/>
            <w:noWrap/>
            <w:vAlign w:val="center"/>
          </w:tcPr>
          <w:p w14:paraId="5431C860" w14:textId="77777777" w:rsidR="003D639F" w:rsidRPr="00E61E4A" w:rsidRDefault="00E61E4A" w:rsidP="00BF2149">
            <w:pPr>
              <w:pStyle w:val="Tabletext"/>
              <w:keepNext/>
              <w:jc w:val="center"/>
              <w:rPr>
                <w:sz w:val="18"/>
                <w:szCs w:val="18"/>
                <w:lang w:eastAsia="zh-TW"/>
              </w:rPr>
            </w:pPr>
            <w:r>
              <w:rPr>
                <w:rFonts w:cs="Arial"/>
                <w:noProof/>
                <w:color w:val="000000"/>
                <w:sz w:val="18"/>
                <w:szCs w:val="18"/>
                <w:highlight w:val="black"/>
              </w:rPr>
              <w:t>''''''''''''''''''''''''''''''''</w:t>
            </w:r>
            <w:r w:rsidR="009671A9">
              <w:rPr>
                <w:vertAlign w:val="superscript"/>
              </w:rPr>
              <w:t>8</w:t>
            </w:r>
          </w:p>
        </w:tc>
        <w:tc>
          <w:tcPr>
            <w:tcW w:w="1134" w:type="dxa"/>
            <w:tcBorders>
              <w:top w:val="single" w:sz="4" w:space="0" w:color="auto"/>
              <w:left w:val="nil"/>
              <w:right w:val="single" w:sz="4" w:space="0" w:color="auto"/>
            </w:tcBorders>
            <w:shd w:val="clear" w:color="auto" w:fill="auto"/>
            <w:noWrap/>
            <w:vAlign w:val="center"/>
          </w:tcPr>
          <w:p w14:paraId="14E0DAC0" w14:textId="77777777" w:rsidR="003D639F" w:rsidRPr="00E61E4A" w:rsidRDefault="00E61E4A" w:rsidP="00BF2149">
            <w:pPr>
              <w:pStyle w:val="Tabletext"/>
              <w:keepNext/>
              <w:jc w:val="center"/>
              <w:rPr>
                <w:sz w:val="18"/>
                <w:szCs w:val="18"/>
                <w:lang w:eastAsia="zh-TW"/>
              </w:rPr>
            </w:pPr>
            <w:r>
              <w:rPr>
                <w:rFonts w:cs="Arial"/>
                <w:noProof/>
                <w:color w:val="000000"/>
                <w:sz w:val="18"/>
                <w:szCs w:val="18"/>
                <w:highlight w:val="black"/>
              </w:rPr>
              <w:t>''''''''''''''''''''''''''''''''</w:t>
            </w:r>
            <w:r w:rsidR="009671A9">
              <w:rPr>
                <w:vertAlign w:val="superscript"/>
              </w:rPr>
              <w:t>8</w:t>
            </w:r>
          </w:p>
        </w:tc>
        <w:tc>
          <w:tcPr>
            <w:tcW w:w="1134" w:type="dxa"/>
            <w:tcBorders>
              <w:top w:val="single" w:sz="4" w:space="0" w:color="auto"/>
              <w:left w:val="nil"/>
              <w:right w:val="single" w:sz="4" w:space="0" w:color="auto"/>
            </w:tcBorders>
            <w:shd w:val="clear" w:color="auto" w:fill="auto"/>
            <w:noWrap/>
            <w:vAlign w:val="center"/>
          </w:tcPr>
          <w:p w14:paraId="1134C35B" w14:textId="77777777" w:rsidR="003D639F" w:rsidRPr="00E61E4A" w:rsidRDefault="00E61E4A" w:rsidP="00BF2149">
            <w:pPr>
              <w:pStyle w:val="Tabletext"/>
              <w:keepNext/>
              <w:jc w:val="center"/>
              <w:rPr>
                <w:sz w:val="18"/>
                <w:szCs w:val="18"/>
                <w:lang w:eastAsia="zh-TW"/>
              </w:rPr>
            </w:pPr>
            <w:r>
              <w:rPr>
                <w:rFonts w:cs="Arial"/>
                <w:noProof/>
                <w:color w:val="000000"/>
                <w:sz w:val="18"/>
                <w:szCs w:val="18"/>
                <w:highlight w:val="black"/>
              </w:rPr>
              <w:t>''''''''''''''''''''''''''''''''''</w:t>
            </w:r>
            <w:r w:rsidR="009671A9">
              <w:rPr>
                <w:vertAlign w:val="superscript"/>
              </w:rPr>
              <w:t>9</w:t>
            </w:r>
          </w:p>
        </w:tc>
      </w:tr>
      <w:tr w:rsidR="003D639F" w:rsidRPr="004546DF" w14:paraId="58CB879A" w14:textId="77777777" w:rsidTr="00474F11">
        <w:trPr>
          <w:trHeight w:val="207"/>
        </w:trPr>
        <w:tc>
          <w:tcPr>
            <w:tcW w:w="1555" w:type="dxa"/>
            <w:tcBorders>
              <w:top w:val="single" w:sz="4" w:space="0" w:color="auto"/>
              <w:left w:val="single" w:sz="4" w:space="0" w:color="auto"/>
              <w:right w:val="single" w:sz="4" w:space="0" w:color="auto"/>
            </w:tcBorders>
            <w:shd w:val="clear" w:color="auto" w:fill="auto"/>
            <w:noWrap/>
            <w:vAlign w:val="center"/>
            <w:hideMark/>
          </w:tcPr>
          <w:p w14:paraId="51700035" w14:textId="77777777" w:rsidR="003D639F" w:rsidRPr="004546DF" w:rsidRDefault="003D639F" w:rsidP="00BF2149">
            <w:pPr>
              <w:pStyle w:val="Tabletext"/>
              <w:keepNext/>
              <w:rPr>
                <w:sz w:val="18"/>
                <w:szCs w:val="18"/>
                <w:lang w:eastAsia="zh-TW"/>
              </w:rPr>
            </w:pPr>
            <w:r w:rsidRPr="004546DF">
              <w:rPr>
                <w:sz w:val="18"/>
                <w:szCs w:val="18"/>
                <w:lang w:eastAsia="zh-TW"/>
              </w:rPr>
              <w:t>Change in cost of other medicines to PBS/RPBS*</w:t>
            </w:r>
          </w:p>
        </w:tc>
        <w:tc>
          <w:tcPr>
            <w:tcW w:w="992" w:type="dxa"/>
            <w:tcBorders>
              <w:top w:val="single" w:sz="4" w:space="0" w:color="auto"/>
              <w:left w:val="nil"/>
              <w:right w:val="single" w:sz="4" w:space="0" w:color="auto"/>
            </w:tcBorders>
            <w:shd w:val="clear" w:color="auto" w:fill="auto"/>
            <w:noWrap/>
            <w:vAlign w:val="center"/>
          </w:tcPr>
          <w:p w14:paraId="50C4C506" w14:textId="77777777" w:rsidR="003D639F" w:rsidRPr="001A2B8F" w:rsidRDefault="003D639F" w:rsidP="00BF2149">
            <w:pPr>
              <w:pStyle w:val="Tabletext"/>
              <w:keepNext/>
              <w:jc w:val="center"/>
              <w:rPr>
                <w:sz w:val="18"/>
                <w:szCs w:val="18"/>
                <w:vertAlign w:val="superscript"/>
                <w:lang w:eastAsia="zh-TW"/>
              </w:rPr>
            </w:pPr>
            <w:r w:rsidRPr="004546DF">
              <w:rPr>
                <w:rFonts w:cs="Arial"/>
                <w:color w:val="000000"/>
                <w:sz w:val="18"/>
                <w:szCs w:val="18"/>
              </w:rPr>
              <w:t>-</w:t>
            </w:r>
            <w:r w:rsidR="00E61E4A">
              <w:rPr>
                <w:rFonts w:cs="Arial"/>
                <w:noProof/>
                <w:color w:val="000000"/>
                <w:sz w:val="18"/>
                <w:szCs w:val="18"/>
                <w:highlight w:val="black"/>
              </w:rPr>
              <w:t>'''''''''''''''''''''''''''</w:t>
            </w:r>
            <w:r w:rsidR="001A2B8F" w:rsidRPr="001A2B8F">
              <w:rPr>
                <w:rFonts w:cs="Arial"/>
                <w:color w:val="000000"/>
                <w:sz w:val="18"/>
                <w:szCs w:val="18"/>
                <w:vertAlign w:val="superscript"/>
              </w:rPr>
              <w:t>10</w:t>
            </w:r>
          </w:p>
        </w:tc>
        <w:tc>
          <w:tcPr>
            <w:tcW w:w="1134" w:type="dxa"/>
            <w:tcBorders>
              <w:top w:val="single" w:sz="4" w:space="0" w:color="auto"/>
              <w:left w:val="nil"/>
              <w:right w:val="single" w:sz="4" w:space="0" w:color="auto"/>
            </w:tcBorders>
            <w:shd w:val="clear" w:color="auto" w:fill="auto"/>
            <w:noWrap/>
            <w:vAlign w:val="center"/>
          </w:tcPr>
          <w:p w14:paraId="27C753DE"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474F11">
              <w:rPr>
                <w:vertAlign w:val="superscript"/>
              </w:rPr>
              <w:t>11</w:t>
            </w:r>
          </w:p>
        </w:tc>
        <w:tc>
          <w:tcPr>
            <w:tcW w:w="1134" w:type="dxa"/>
            <w:tcBorders>
              <w:top w:val="single" w:sz="4" w:space="0" w:color="auto"/>
              <w:left w:val="nil"/>
              <w:right w:val="single" w:sz="4" w:space="0" w:color="auto"/>
            </w:tcBorders>
            <w:shd w:val="clear" w:color="auto" w:fill="auto"/>
            <w:noWrap/>
            <w:vAlign w:val="center"/>
          </w:tcPr>
          <w:p w14:paraId="24E93993"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474F11">
              <w:rPr>
                <w:vertAlign w:val="superscript"/>
              </w:rPr>
              <w:t>11</w:t>
            </w:r>
          </w:p>
        </w:tc>
        <w:tc>
          <w:tcPr>
            <w:tcW w:w="1134" w:type="dxa"/>
            <w:tcBorders>
              <w:top w:val="single" w:sz="4" w:space="0" w:color="auto"/>
              <w:left w:val="nil"/>
              <w:right w:val="single" w:sz="4" w:space="0" w:color="auto"/>
            </w:tcBorders>
            <w:shd w:val="clear" w:color="auto" w:fill="auto"/>
            <w:noWrap/>
            <w:vAlign w:val="center"/>
          </w:tcPr>
          <w:p w14:paraId="225292A6"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474F11">
              <w:rPr>
                <w:vertAlign w:val="superscript"/>
              </w:rPr>
              <w:t>11</w:t>
            </w:r>
          </w:p>
        </w:tc>
        <w:tc>
          <w:tcPr>
            <w:tcW w:w="1134" w:type="dxa"/>
            <w:tcBorders>
              <w:top w:val="single" w:sz="4" w:space="0" w:color="auto"/>
              <w:left w:val="nil"/>
              <w:right w:val="single" w:sz="4" w:space="0" w:color="auto"/>
            </w:tcBorders>
            <w:shd w:val="clear" w:color="auto" w:fill="auto"/>
            <w:noWrap/>
            <w:vAlign w:val="center"/>
          </w:tcPr>
          <w:p w14:paraId="54D0A067"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474F11">
              <w:rPr>
                <w:vertAlign w:val="superscript"/>
              </w:rPr>
              <w:t>11</w:t>
            </w:r>
          </w:p>
        </w:tc>
        <w:tc>
          <w:tcPr>
            <w:tcW w:w="1134" w:type="dxa"/>
            <w:tcBorders>
              <w:top w:val="single" w:sz="4" w:space="0" w:color="auto"/>
              <w:left w:val="nil"/>
              <w:right w:val="single" w:sz="4" w:space="0" w:color="auto"/>
            </w:tcBorders>
            <w:shd w:val="clear" w:color="auto" w:fill="auto"/>
            <w:noWrap/>
            <w:vAlign w:val="center"/>
          </w:tcPr>
          <w:p w14:paraId="62A66ECD"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474F11">
              <w:rPr>
                <w:vertAlign w:val="superscript"/>
              </w:rPr>
              <w:t>11</w:t>
            </w:r>
          </w:p>
        </w:tc>
        <w:tc>
          <w:tcPr>
            <w:tcW w:w="1134" w:type="dxa"/>
            <w:tcBorders>
              <w:top w:val="single" w:sz="4" w:space="0" w:color="auto"/>
              <w:left w:val="nil"/>
              <w:right w:val="single" w:sz="4" w:space="0" w:color="auto"/>
            </w:tcBorders>
            <w:shd w:val="clear" w:color="auto" w:fill="auto"/>
            <w:noWrap/>
            <w:vAlign w:val="center"/>
          </w:tcPr>
          <w:p w14:paraId="25F59115"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474F11">
              <w:rPr>
                <w:vertAlign w:val="superscript"/>
              </w:rPr>
              <w:t>12</w:t>
            </w:r>
          </w:p>
        </w:tc>
      </w:tr>
      <w:tr w:rsidR="003D639F" w:rsidRPr="004546DF" w14:paraId="7B9617CC" w14:textId="77777777" w:rsidTr="00474F11">
        <w:trPr>
          <w:trHeight w:val="242"/>
        </w:trPr>
        <w:tc>
          <w:tcPr>
            <w:tcW w:w="1555" w:type="dxa"/>
            <w:tcBorders>
              <w:top w:val="single" w:sz="4" w:space="0" w:color="auto"/>
              <w:left w:val="single" w:sz="4" w:space="0" w:color="auto"/>
              <w:right w:val="single" w:sz="4" w:space="0" w:color="auto"/>
            </w:tcBorders>
            <w:shd w:val="clear" w:color="auto" w:fill="auto"/>
            <w:noWrap/>
            <w:vAlign w:val="center"/>
            <w:hideMark/>
          </w:tcPr>
          <w:p w14:paraId="131E08E6" w14:textId="77777777" w:rsidR="003D639F" w:rsidRPr="004546DF" w:rsidRDefault="003D639F" w:rsidP="00BF2149">
            <w:pPr>
              <w:pStyle w:val="Tabletext"/>
              <w:keepNext/>
              <w:rPr>
                <w:sz w:val="18"/>
                <w:szCs w:val="18"/>
                <w:lang w:eastAsia="zh-TW"/>
              </w:rPr>
            </w:pPr>
            <w:r w:rsidRPr="004546DF">
              <w:rPr>
                <w:sz w:val="18"/>
                <w:szCs w:val="18"/>
                <w:lang w:eastAsia="zh-TW"/>
              </w:rPr>
              <w:t>Change in cost for the MBS</w:t>
            </w:r>
          </w:p>
        </w:tc>
        <w:tc>
          <w:tcPr>
            <w:tcW w:w="992" w:type="dxa"/>
            <w:tcBorders>
              <w:top w:val="single" w:sz="4" w:space="0" w:color="auto"/>
              <w:left w:val="nil"/>
              <w:right w:val="single" w:sz="4" w:space="0" w:color="auto"/>
            </w:tcBorders>
            <w:shd w:val="clear" w:color="auto" w:fill="auto"/>
            <w:noWrap/>
            <w:vAlign w:val="center"/>
          </w:tcPr>
          <w:p w14:paraId="02480CE4"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1A2B8F" w:rsidRPr="001A2B8F">
              <w:rPr>
                <w:rFonts w:cs="Arial"/>
                <w:color w:val="000000"/>
                <w:sz w:val="18"/>
                <w:szCs w:val="18"/>
                <w:vertAlign w:val="superscript"/>
              </w:rPr>
              <w:t>10</w:t>
            </w:r>
          </w:p>
        </w:tc>
        <w:tc>
          <w:tcPr>
            <w:tcW w:w="1134" w:type="dxa"/>
            <w:tcBorders>
              <w:top w:val="single" w:sz="4" w:space="0" w:color="auto"/>
              <w:left w:val="nil"/>
              <w:right w:val="single" w:sz="4" w:space="0" w:color="auto"/>
            </w:tcBorders>
            <w:shd w:val="clear" w:color="auto" w:fill="auto"/>
            <w:noWrap/>
            <w:vAlign w:val="center"/>
          </w:tcPr>
          <w:p w14:paraId="2123362F"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1A2B8F" w:rsidRPr="001A2B8F">
              <w:rPr>
                <w:rFonts w:cs="Arial"/>
                <w:color w:val="000000"/>
                <w:sz w:val="18"/>
                <w:szCs w:val="18"/>
                <w:vertAlign w:val="superscript"/>
              </w:rPr>
              <w:t>10</w:t>
            </w:r>
          </w:p>
        </w:tc>
        <w:tc>
          <w:tcPr>
            <w:tcW w:w="1134" w:type="dxa"/>
            <w:tcBorders>
              <w:top w:val="single" w:sz="4" w:space="0" w:color="auto"/>
              <w:left w:val="nil"/>
              <w:right w:val="single" w:sz="4" w:space="0" w:color="auto"/>
            </w:tcBorders>
            <w:shd w:val="clear" w:color="auto" w:fill="auto"/>
            <w:noWrap/>
            <w:vAlign w:val="center"/>
          </w:tcPr>
          <w:p w14:paraId="5EE27B1F"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1A2B8F" w:rsidRPr="001A2B8F">
              <w:rPr>
                <w:rFonts w:cs="Arial"/>
                <w:color w:val="000000"/>
                <w:sz w:val="18"/>
                <w:szCs w:val="18"/>
                <w:vertAlign w:val="superscript"/>
              </w:rPr>
              <w:t>10</w:t>
            </w:r>
          </w:p>
        </w:tc>
        <w:tc>
          <w:tcPr>
            <w:tcW w:w="1134" w:type="dxa"/>
            <w:tcBorders>
              <w:top w:val="single" w:sz="4" w:space="0" w:color="auto"/>
              <w:left w:val="nil"/>
              <w:right w:val="single" w:sz="4" w:space="0" w:color="auto"/>
            </w:tcBorders>
            <w:shd w:val="clear" w:color="auto" w:fill="auto"/>
            <w:noWrap/>
            <w:vAlign w:val="center"/>
          </w:tcPr>
          <w:p w14:paraId="319A4122"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1A2B8F" w:rsidRPr="001A2B8F">
              <w:rPr>
                <w:rFonts w:cs="Arial"/>
                <w:color w:val="000000"/>
                <w:sz w:val="18"/>
                <w:szCs w:val="18"/>
                <w:vertAlign w:val="superscript"/>
              </w:rPr>
              <w:t>10</w:t>
            </w:r>
          </w:p>
        </w:tc>
        <w:tc>
          <w:tcPr>
            <w:tcW w:w="1134" w:type="dxa"/>
            <w:tcBorders>
              <w:top w:val="single" w:sz="4" w:space="0" w:color="auto"/>
              <w:left w:val="nil"/>
              <w:right w:val="single" w:sz="4" w:space="0" w:color="auto"/>
            </w:tcBorders>
            <w:shd w:val="clear" w:color="auto" w:fill="auto"/>
            <w:noWrap/>
            <w:vAlign w:val="center"/>
          </w:tcPr>
          <w:p w14:paraId="05C18C46"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1A2B8F" w:rsidRPr="001A2B8F">
              <w:rPr>
                <w:rFonts w:cs="Arial"/>
                <w:color w:val="000000"/>
                <w:sz w:val="18"/>
                <w:szCs w:val="18"/>
                <w:vertAlign w:val="superscript"/>
              </w:rPr>
              <w:t>10</w:t>
            </w:r>
          </w:p>
        </w:tc>
        <w:tc>
          <w:tcPr>
            <w:tcW w:w="1134" w:type="dxa"/>
            <w:tcBorders>
              <w:top w:val="single" w:sz="4" w:space="0" w:color="auto"/>
              <w:left w:val="nil"/>
              <w:right w:val="single" w:sz="4" w:space="0" w:color="auto"/>
            </w:tcBorders>
            <w:shd w:val="clear" w:color="auto" w:fill="auto"/>
            <w:noWrap/>
            <w:vAlign w:val="center"/>
          </w:tcPr>
          <w:p w14:paraId="6D2F0184"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1A2B8F" w:rsidRPr="001A2B8F">
              <w:rPr>
                <w:rFonts w:cs="Arial"/>
                <w:color w:val="000000"/>
                <w:sz w:val="18"/>
                <w:szCs w:val="18"/>
                <w:vertAlign w:val="superscript"/>
              </w:rPr>
              <w:t>10</w:t>
            </w:r>
          </w:p>
        </w:tc>
        <w:tc>
          <w:tcPr>
            <w:tcW w:w="1134" w:type="dxa"/>
            <w:tcBorders>
              <w:top w:val="single" w:sz="4" w:space="0" w:color="auto"/>
              <w:left w:val="nil"/>
              <w:right w:val="single" w:sz="4" w:space="0" w:color="auto"/>
            </w:tcBorders>
            <w:shd w:val="clear" w:color="auto" w:fill="auto"/>
            <w:noWrap/>
            <w:vAlign w:val="center"/>
          </w:tcPr>
          <w:p w14:paraId="3F5A059C" w14:textId="77777777" w:rsidR="003D639F" w:rsidRPr="004546DF" w:rsidRDefault="003D639F" w:rsidP="00BF2149">
            <w:pPr>
              <w:pStyle w:val="Tabletext"/>
              <w:keepNext/>
              <w:jc w:val="center"/>
              <w:rPr>
                <w:sz w:val="18"/>
                <w:szCs w:val="18"/>
                <w:lang w:eastAsia="zh-TW"/>
              </w:rPr>
            </w:pPr>
            <w:r w:rsidRPr="004546DF">
              <w:rPr>
                <w:rFonts w:cs="Arial"/>
                <w:color w:val="000000"/>
                <w:sz w:val="18"/>
                <w:szCs w:val="18"/>
              </w:rPr>
              <w:t>-</w:t>
            </w:r>
            <w:r w:rsidR="00E61E4A">
              <w:rPr>
                <w:rFonts w:cs="Arial"/>
                <w:noProof/>
                <w:color w:val="000000"/>
                <w:sz w:val="18"/>
                <w:szCs w:val="18"/>
                <w:highlight w:val="black"/>
              </w:rPr>
              <w:t>'''''''''''''''''''''''''''''''</w:t>
            </w:r>
            <w:r w:rsidR="001A02B7">
              <w:rPr>
                <w:vertAlign w:val="superscript"/>
              </w:rPr>
              <w:t>6</w:t>
            </w:r>
          </w:p>
        </w:tc>
      </w:tr>
      <w:tr w:rsidR="003D639F" w:rsidRPr="004546DF" w14:paraId="7DB2A38F" w14:textId="77777777" w:rsidTr="00474F11">
        <w:trPr>
          <w:trHeight w:val="233"/>
        </w:trPr>
        <w:tc>
          <w:tcPr>
            <w:tcW w:w="1555" w:type="dxa"/>
            <w:tcBorders>
              <w:top w:val="single" w:sz="4" w:space="0" w:color="auto"/>
              <w:left w:val="single" w:sz="4" w:space="0" w:color="auto"/>
              <w:right w:val="single" w:sz="4" w:space="0" w:color="auto"/>
            </w:tcBorders>
            <w:shd w:val="clear" w:color="auto" w:fill="auto"/>
            <w:noWrap/>
            <w:vAlign w:val="center"/>
            <w:hideMark/>
          </w:tcPr>
          <w:p w14:paraId="481BDD0D" w14:textId="77777777" w:rsidR="003D639F" w:rsidRPr="004546DF" w:rsidRDefault="003D639F" w:rsidP="00BF2149">
            <w:pPr>
              <w:pStyle w:val="Tabletext"/>
              <w:keepNext/>
              <w:rPr>
                <w:sz w:val="18"/>
                <w:szCs w:val="18"/>
                <w:lang w:eastAsia="zh-TW"/>
              </w:rPr>
            </w:pPr>
            <w:r w:rsidRPr="004546DF">
              <w:rPr>
                <w:sz w:val="18"/>
                <w:szCs w:val="18"/>
                <w:lang w:eastAsia="zh-TW"/>
              </w:rPr>
              <w:t>Net cost for the health budget</w:t>
            </w:r>
          </w:p>
        </w:tc>
        <w:tc>
          <w:tcPr>
            <w:tcW w:w="992" w:type="dxa"/>
            <w:tcBorders>
              <w:top w:val="single" w:sz="4" w:space="0" w:color="auto"/>
              <w:left w:val="nil"/>
              <w:right w:val="single" w:sz="4" w:space="0" w:color="auto"/>
            </w:tcBorders>
            <w:shd w:val="clear" w:color="auto" w:fill="auto"/>
            <w:noWrap/>
            <w:vAlign w:val="center"/>
          </w:tcPr>
          <w:p w14:paraId="6FFC23F2" w14:textId="77777777" w:rsidR="003D639F" w:rsidRPr="00E61E4A" w:rsidRDefault="00E61E4A" w:rsidP="00BF2149">
            <w:pPr>
              <w:pStyle w:val="Tabletext"/>
              <w:keepNext/>
              <w:jc w:val="center"/>
              <w:rPr>
                <w:sz w:val="18"/>
                <w:szCs w:val="18"/>
                <w:lang w:eastAsia="zh-TW"/>
              </w:rPr>
            </w:pPr>
            <w:r>
              <w:rPr>
                <w:rFonts w:cs="Arial"/>
                <w:b/>
                <w:noProof/>
                <w:color w:val="000000"/>
                <w:sz w:val="18"/>
                <w:szCs w:val="18"/>
                <w:highlight w:val="black"/>
              </w:rPr>
              <w:t>''''''''''''''''''''''</w:t>
            </w:r>
            <w:r w:rsidR="001A02B7">
              <w:rPr>
                <w:vertAlign w:val="superscript"/>
              </w:rPr>
              <w:t>6</w:t>
            </w:r>
          </w:p>
        </w:tc>
        <w:tc>
          <w:tcPr>
            <w:tcW w:w="1134" w:type="dxa"/>
            <w:tcBorders>
              <w:top w:val="single" w:sz="4" w:space="0" w:color="auto"/>
              <w:left w:val="nil"/>
              <w:right w:val="single" w:sz="4" w:space="0" w:color="auto"/>
            </w:tcBorders>
            <w:shd w:val="clear" w:color="auto" w:fill="auto"/>
            <w:noWrap/>
            <w:vAlign w:val="center"/>
          </w:tcPr>
          <w:p w14:paraId="36FBEE28" w14:textId="77777777" w:rsidR="003D639F" w:rsidRPr="00E61E4A" w:rsidRDefault="00E61E4A" w:rsidP="00BF2149">
            <w:pPr>
              <w:pStyle w:val="Tabletext"/>
              <w:keepNext/>
              <w:jc w:val="center"/>
              <w:rPr>
                <w:sz w:val="18"/>
                <w:szCs w:val="18"/>
                <w:vertAlign w:val="superscript"/>
                <w:lang w:eastAsia="zh-TW"/>
              </w:rPr>
            </w:pPr>
            <w:r>
              <w:rPr>
                <w:rFonts w:cs="Arial"/>
                <w:b/>
                <w:noProof/>
                <w:color w:val="000000"/>
                <w:sz w:val="18"/>
                <w:szCs w:val="18"/>
                <w:highlight w:val="black"/>
              </w:rPr>
              <w:t>'''''''''''''''''''''''''</w:t>
            </w:r>
            <w:r w:rsidR="00474F11" w:rsidRPr="00474F11">
              <w:rPr>
                <w:rFonts w:cs="Arial"/>
                <w:color w:val="000000"/>
                <w:sz w:val="18"/>
                <w:szCs w:val="18"/>
                <w:vertAlign w:val="superscript"/>
              </w:rPr>
              <w:t>13</w:t>
            </w:r>
          </w:p>
        </w:tc>
        <w:tc>
          <w:tcPr>
            <w:tcW w:w="1134" w:type="dxa"/>
            <w:tcBorders>
              <w:top w:val="single" w:sz="4" w:space="0" w:color="auto"/>
              <w:left w:val="nil"/>
              <w:right w:val="single" w:sz="4" w:space="0" w:color="auto"/>
            </w:tcBorders>
            <w:shd w:val="clear" w:color="auto" w:fill="auto"/>
            <w:noWrap/>
            <w:vAlign w:val="center"/>
          </w:tcPr>
          <w:p w14:paraId="79EC3617" w14:textId="77777777" w:rsidR="003D639F" w:rsidRPr="00E61E4A" w:rsidRDefault="00E61E4A" w:rsidP="00BF2149">
            <w:pPr>
              <w:pStyle w:val="Tabletext"/>
              <w:keepNext/>
              <w:jc w:val="center"/>
              <w:rPr>
                <w:sz w:val="18"/>
                <w:szCs w:val="18"/>
                <w:lang w:eastAsia="zh-TW"/>
              </w:rPr>
            </w:pPr>
            <w:r>
              <w:rPr>
                <w:rFonts w:cs="Arial"/>
                <w:b/>
                <w:noProof/>
                <w:color w:val="000000"/>
                <w:sz w:val="18"/>
                <w:szCs w:val="18"/>
                <w:highlight w:val="black"/>
              </w:rPr>
              <w:t>''''''''''''''''''''''''</w:t>
            </w:r>
            <w:r w:rsidR="00474F11">
              <w:rPr>
                <w:vertAlign w:val="superscript"/>
              </w:rPr>
              <w:t>14</w:t>
            </w:r>
          </w:p>
        </w:tc>
        <w:tc>
          <w:tcPr>
            <w:tcW w:w="1134" w:type="dxa"/>
            <w:tcBorders>
              <w:top w:val="single" w:sz="4" w:space="0" w:color="auto"/>
              <w:left w:val="nil"/>
              <w:right w:val="single" w:sz="4" w:space="0" w:color="auto"/>
            </w:tcBorders>
            <w:shd w:val="clear" w:color="auto" w:fill="auto"/>
            <w:noWrap/>
            <w:vAlign w:val="center"/>
          </w:tcPr>
          <w:p w14:paraId="75E40E15" w14:textId="77777777" w:rsidR="003D639F" w:rsidRPr="00E61E4A" w:rsidRDefault="00E61E4A" w:rsidP="00BF2149">
            <w:pPr>
              <w:pStyle w:val="Tabletext"/>
              <w:keepNext/>
              <w:jc w:val="center"/>
              <w:rPr>
                <w:sz w:val="18"/>
                <w:szCs w:val="18"/>
                <w:lang w:eastAsia="zh-TW"/>
              </w:rPr>
            </w:pPr>
            <w:r>
              <w:rPr>
                <w:rFonts w:cs="Arial"/>
                <w:b/>
                <w:noProof/>
                <w:color w:val="000000"/>
                <w:sz w:val="18"/>
                <w:szCs w:val="18"/>
                <w:highlight w:val="black"/>
              </w:rPr>
              <w:t>'''''''''''''''''''''''</w:t>
            </w:r>
            <w:r w:rsidR="00474F11">
              <w:rPr>
                <w:vertAlign w:val="superscript"/>
              </w:rPr>
              <w:t>14</w:t>
            </w:r>
          </w:p>
        </w:tc>
        <w:tc>
          <w:tcPr>
            <w:tcW w:w="1134" w:type="dxa"/>
            <w:tcBorders>
              <w:top w:val="single" w:sz="4" w:space="0" w:color="auto"/>
              <w:left w:val="nil"/>
              <w:right w:val="single" w:sz="4" w:space="0" w:color="auto"/>
            </w:tcBorders>
            <w:shd w:val="clear" w:color="auto" w:fill="auto"/>
            <w:noWrap/>
            <w:vAlign w:val="center"/>
          </w:tcPr>
          <w:p w14:paraId="48FD340A" w14:textId="77777777" w:rsidR="003D639F" w:rsidRPr="00E61E4A" w:rsidRDefault="00E61E4A" w:rsidP="00BF2149">
            <w:pPr>
              <w:pStyle w:val="Tabletext"/>
              <w:keepNext/>
              <w:jc w:val="center"/>
              <w:rPr>
                <w:sz w:val="18"/>
                <w:szCs w:val="18"/>
                <w:lang w:eastAsia="zh-TW"/>
              </w:rPr>
            </w:pPr>
            <w:r>
              <w:rPr>
                <w:rFonts w:cs="Arial"/>
                <w:b/>
                <w:noProof/>
                <w:color w:val="000000"/>
                <w:sz w:val="18"/>
                <w:szCs w:val="18"/>
                <w:highlight w:val="black"/>
              </w:rPr>
              <w:t>'''''''''''''''''''''</w:t>
            </w:r>
            <w:r w:rsidR="00474F11">
              <w:rPr>
                <w:vertAlign w:val="superscript"/>
              </w:rPr>
              <w:t>14</w:t>
            </w:r>
          </w:p>
        </w:tc>
        <w:tc>
          <w:tcPr>
            <w:tcW w:w="1134" w:type="dxa"/>
            <w:tcBorders>
              <w:top w:val="single" w:sz="4" w:space="0" w:color="auto"/>
              <w:left w:val="nil"/>
              <w:right w:val="single" w:sz="4" w:space="0" w:color="auto"/>
            </w:tcBorders>
            <w:shd w:val="clear" w:color="auto" w:fill="auto"/>
            <w:noWrap/>
            <w:vAlign w:val="center"/>
          </w:tcPr>
          <w:p w14:paraId="34C23994" w14:textId="77777777" w:rsidR="003D639F" w:rsidRPr="00E61E4A" w:rsidRDefault="00E61E4A" w:rsidP="00BF2149">
            <w:pPr>
              <w:pStyle w:val="Tabletext"/>
              <w:keepNext/>
              <w:jc w:val="center"/>
              <w:rPr>
                <w:sz w:val="18"/>
                <w:szCs w:val="18"/>
                <w:lang w:eastAsia="zh-TW"/>
              </w:rPr>
            </w:pPr>
            <w:r>
              <w:rPr>
                <w:rFonts w:cs="Arial"/>
                <w:b/>
                <w:noProof/>
                <w:color w:val="000000"/>
                <w:sz w:val="18"/>
                <w:szCs w:val="18"/>
                <w:highlight w:val="black"/>
              </w:rPr>
              <w:t>'''''''''''''''''''''''</w:t>
            </w:r>
            <w:r w:rsidR="00474F11">
              <w:rPr>
                <w:vertAlign w:val="superscript"/>
              </w:rPr>
              <w:t>13</w:t>
            </w:r>
          </w:p>
        </w:tc>
        <w:tc>
          <w:tcPr>
            <w:tcW w:w="1134" w:type="dxa"/>
            <w:tcBorders>
              <w:top w:val="single" w:sz="4" w:space="0" w:color="auto"/>
              <w:left w:val="nil"/>
              <w:right w:val="single" w:sz="4" w:space="0" w:color="auto"/>
            </w:tcBorders>
            <w:shd w:val="clear" w:color="auto" w:fill="auto"/>
            <w:noWrap/>
            <w:vAlign w:val="center"/>
          </w:tcPr>
          <w:p w14:paraId="1A27A35B" w14:textId="30E1780A" w:rsidR="003D639F" w:rsidRPr="00E61E4A" w:rsidRDefault="00D010FD" w:rsidP="00BF2149">
            <w:pPr>
              <w:pStyle w:val="Tabletext"/>
              <w:keepNext/>
              <w:jc w:val="center"/>
              <w:rPr>
                <w:sz w:val="18"/>
                <w:szCs w:val="18"/>
                <w:lang w:eastAsia="zh-TW"/>
              </w:rPr>
            </w:pPr>
            <w:r>
              <w:rPr>
                <w:rFonts w:cs="Arial"/>
                <w:b/>
                <w:noProof/>
                <w:color w:val="000000"/>
                <w:sz w:val="18"/>
                <w:szCs w:val="18"/>
                <w:highlight w:val="black"/>
              </w:rPr>
              <w:t>''''''''''''''''</w:t>
            </w:r>
            <w:r w:rsidR="00E61E4A">
              <w:rPr>
                <w:rFonts w:cs="Arial"/>
                <w:b/>
                <w:noProof/>
                <w:color w:val="000000"/>
                <w:sz w:val="18"/>
                <w:szCs w:val="18"/>
                <w:highlight w:val="black"/>
              </w:rPr>
              <w:t>'''''''''</w:t>
            </w:r>
            <w:r w:rsidR="00474F11">
              <w:rPr>
                <w:vertAlign w:val="superscript"/>
              </w:rPr>
              <w:t>15</w:t>
            </w:r>
          </w:p>
        </w:tc>
      </w:tr>
      <w:tr w:rsidR="003D639F" w:rsidRPr="004546DF" w14:paraId="207C713E" w14:textId="77777777" w:rsidTr="00474F11">
        <w:tc>
          <w:tcPr>
            <w:tcW w:w="1555" w:type="dxa"/>
            <w:tcBorders>
              <w:left w:val="single" w:sz="4" w:space="0" w:color="auto"/>
              <w:bottom w:val="single" w:sz="4" w:space="0" w:color="auto"/>
              <w:right w:val="single" w:sz="4" w:space="0" w:color="auto"/>
            </w:tcBorders>
            <w:shd w:val="clear" w:color="auto" w:fill="auto"/>
            <w:noWrap/>
            <w:vAlign w:val="center"/>
          </w:tcPr>
          <w:p w14:paraId="4939AC6B" w14:textId="77777777" w:rsidR="003D639F" w:rsidRPr="004546DF" w:rsidRDefault="003D639F" w:rsidP="003D639F">
            <w:pPr>
              <w:pStyle w:val="Tabletext"/>
              <w:keepNext/>
              <w:jc w:val="both"/>
              <w:rPr>
                <w:sz w:val="18"/>
                <w:szCs w:val="18"/>
                <w:lang w:eastAsia="zh-TW"/>
              </w:rPr>
            </w:pPr>
            <w:r>
              <w:rPr>
                <w:sz w:val="18"/>
                <w:szCs w:val="18"/>
                <w:lang w:eastAsia="zh-TW"/>
              </w:rPr>
              <w:t>Nov 2020 submission</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986E4C" w14:textId="77777777" w:rsidR="003D639F" w:rsidRPr="00E61E4A" w:rsidRDefault="00E61E4A" w:rsidP="003D639F">
            <w:pPr>
              <w:pStyle w:val="Tabletext"/>
              <w:keepNext/>
              <w:jc w:val="center"/>
              <w:rPr>
                <w:rFonts w:cs="Arial"/>
                <w:b/>
                <w:color w:val="000000"/>
                <w:sz w:val="18"/>
                <w:szCs w:val="18"/>
              </w:rPr>
            </w:pPr>
            <w:r>
              <w:rPr>
                <w:noProof/>
                <w:color w:val="000000"/>
                <w:sz w:val="18"/>
                <w:szCs w:val="18"/>
                <w:highlight w:val="black"/>
              </w:rPr>
              <w:t>'''''''''''''''''''''''''''</w:t>
            </w:r>
            <w:r w:rsidR="001A02B7">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CC22E4" w14:textId="77777777" w:rsidR="003D639F" w:rsidRPr="00E61E4A" w:rsidRDefault="00E61E4A" w:rsidP="003D639F">
            <w:pPr>
              <w:pStyle w:val="Tabletext"/>
              <w:keepNext/>
              <w:jc w:val="center"/>
              <w:rPr>
                <w:rFonts w:cs="Arial"/>
                <w:b/>
                <w:color w:val="000000"/>
                <w:sz w:val="18"/>
                <w:szCs w:val="18"/>
              </w:rPr>
            </w:pPr>
            <w:r>
              <w:rPr>
                <w:noProof/>
                <w:color w:val="000000"/>
                <w:sz w:val="18"/>
                <w:szCs w:val="18"/>
                <w:highlight w:val="black"/>
              </w:rPr>
              <w:t>''''''''''''''''''''''''''''</w:t>
            </w:r>
            <w:r w:rsidR="00474F11">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635109" w14:textId="77777777" w:rsidR="003D639F" w:rsidRPr="00E61E4A" w:rsidRDefault="00E61E4A" w:rsidP="003D639F">
            <w:pPr>
              <w:pStyle w:val="Tabletext"/>
              <w:keepNext/>
              <w:jc w:val="center"/>
              <w:rPr>
                <w:rFonts w:cs="Arial"/>
                <w:b/>
                <w:color w:val="000000"/>
                <w:sz w:val="18"/>
                <w:szCs w:val="18"/>
              </w:rPr>
            </w:pPr>
            <w:r>
              <w:rPr>
                <w:noProof/>
                <w:color w:val="000000"/>
                <w:sz w:val="18"/>
                <w:szCs w:val="18"/>
                <w:highlight w:val="black"/>
              </w:rPr>
              <w:t>'''''''''''''''''''''''''''''''</w:t>
            </w:r>
            <w:r w:rsidR="00474F11">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286F54" w14:textId="77777777" w:rsidR="003D639F" w:rsidRPr="00E61E4A" w:rsidRDefault="00E61E4A" w:rsidP="003D639F">
            <w:pPr>
              <w:pStyle w:val="Tabletext"/>
              <w:keepNext/>
              <w:jc w:val="center"/>
              <w:rPr>
                <w:rFonts w:cs="Arial"/>
                <w:b/>
                <w:color w:val="000000"/>
                <w:sz w:val="18"/>
                <w:szCs w:val="18"/>
              </w:rPr>
            </w:pPr>
            <w:r>
              <w:rPr>
                <w:noProof/>
                <w:color w:val="000000"/>
                <w:sz w:val="18"/>
                <w:szCs w:val="18"/>
                <w:highlight w:val="black"/>
              </w:rPr>
              <w:t>'''''''''''''''''''''''''''''''</w:t>
            </w:r>
            <w:r w:rsidR="00474F11">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43D80A" w14:textId="77777777" w:rsidR="003D639F" w:rsidRPr="00E61E4A" w:rsidRDefault="00E61E4A" w:rsidP="003D639F">
            <w:pPr>
              <w:pStyle w:val="Tabletext"/>
              <w:keepNext/>
              <w:jc w:val="center"/>
              <w:rPr>
                <w:rFonts w:cs="Arial"/>
                <w:b/>
                <w:color w:val="000000"/>
                <w:sz w:val="18"/>
                <w:szCs w:val="18"/>
              </w:rPr>
            </w:pPr>
            <w:r>
              <w:rPr>
                <w:noProof/>
                <w:color w:val="000000"/>
                <w:sz w:val="18"/>
                <w:szCs w:val="18"/>
                <w:highlight w:val="black"/>
              </w:rPr>
              <w:t>'''''''''''''''''''''''''''</w:t>
            </w:r>
            <w:r w:rsidR="00474F11">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C3B680" w14:textId="77777777" w:rsidR="003D639F" w:rsidRPr="00E61E4A" w:rsidRDefault="00E61E4A" w:rsidP="003D639F">
            <w:pPr>
              <w:pStyle w:val="Tabletext"/>
              <w:keepNext/>
              <w:jc w:val="center"/>
              <w:rPr>
                <w:rFonts w:cs="Arial"/>
                <w:b/>
                <w:color w:val="000000"/>
                <w:sz w:val="18"/>
                <w:szCs w:val="18"/>
              </w:rPr>
            </w:pPr>
            <w:r>
              <w:rPr>
                <w:noProof/>
                <w:color w:val="000000"/>
                <w:sz w:val="18"/>
                <w:szCs w:val="18"/>
                <w:highlight w:val="black"/>
              </w:rPr>
              <w:t>''''''''''''''''''''''''''''</w:t>
            </w:r>
            <w:r w:rsidR="00474F11">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3D0F2F" w14:textId="77777777" w:rsidR="003D639F" w:rsidRPr="00E61E4A" w:rsidRDefault="00E61E4A" w:rsidP="003D639F">
            <w:pPr>
              <w:pStyle w:val="Tabletext"/>
              <w:keepNext/>
              <w:jc w:val="center"/>
              <w:rPr>
                <w:rFonts w:cs="Arial"/>
                <w:b/>
                <w:color w:val="000000"/>
                <w:sz w:val="18"/>
                <w:szCs w:val="18"/>
              </w:rPr>
            </w:pPr>
            <w:r>
              <w:rPr>
                <w:noProof/>
                <w:color w:val="000000"/>
                <w:sz w:val="18"/>
                <w:szCs w:val="18"/>
                <w:highlight w:val="black"/>
              </w:rPr>
              <w:t>'''''''''''''''''''''''''''''''</w:t>
            </w:r>
            <w:r w:rsidR="00474F11">
              <w:rPr>
                <w:vertAlign w:val="superscript"/>
              </w:rPr>
              <w:t>15</w:t>
            </w:r>
          </w:p>
        </w:tc>
      </w:tr>
    </w:tbl>
    <w:p w14:paraId="6111120A" w14:textId="77777777" w:rsidR="00526B6B" w:rsidRDefault="00526B6B" w:rsidP="00526B6B">
      <w:pPr>
        <w:pStyle w:val="TableFooter"/>
      </w:pPr>
      <w:r w:rsidRPr="004546DF">
        <w:t>Source: Table 4.3, p51; Table 4.14, p57 of the resubmission. Table 4.2, p119, Table 4.5, p121,</w:t>
      </w:r>
      <w:r>
        <w:t xml:space="preserve"> </w:t>
      </w:r>
      <w:r w:rsidRPr="004546DF">
        <w:t>Table 4.7, p123, Table 4.12, p126 Table 4.13, p126 of the November 2020 resubmission</w:t>
      </w:r>
    </w:p>
    <w:p w14:paraId="66EE0483" w14:textId="77777777" w:rsidR="00C355B5" w:rsidRPr="004546DF" w:rsidRDefault="00C355B5" w:rsidP="00526B6B">
      <w:pPr>
        <w:pStyle w:val="TableFooter"/>
      </w:pPr>
      <w:r>
        <w:t>DPMQ = dispensed price for maximum quantity</w:t>
      </w:r>
    </w:p>
    <w:p w14:paraId="54301198" w14:textId="77777777" w:rsidR="00526B6B" w:rsidRDefault="00526B6B" w:rsidP="00526B6B">
      <w:pPr>
        <w:pStyle w:val="TableFooter"/>
        <w:ind w:left="165" w:hanging="165"/>
      </w:pPr>
      <w:r w:rsidRPr="004546DF">
        <w:t>*</w:t>
      </w:r>
      <w:r>
        <w:tab/>
        <w:t>assuming a</w:t>
      </w:r>
      <w:r w:rsidRPr="004546DF">
        <w:t xml:space="preserve">biraterone and enzalutamide at </w:t>
      </w:r>
      <w:r>
        <w:t>same effective DPMQ of $</w:t>
      </w:r>
      <w:r w:rsidR="00E61E4A">
        <w:rPr>
          <w:noProof/>
          <w:color w:val="000000"/>
          <w:highlight w:val="black"/>
        </w:rPr>
        <w:t>''''''''''''''''''''''</w:t>
      </w:r>
      <w:r>
        <w:t xml:space="preserve"> </w:t>
      </w:r>
      <w:r w:rsidRPr="004546DF">
        <w:t>and the rest at published prices</w:t>
      </w:r>
      <w:r>
        <w:t xml:space="preserve"> (there were very minor discrepancies in the published prices used (out by a few cents) compared to those published on the PBS website, unlikely to impact results).</w:t>
      </w:r>
    </w:p>
    <w:p w14:paraId="531FE5A9" w14:textId="77777777" w:rsidR="00526B6B" w:rsidRDefault="00526B6B" w:rsidP="00526B6B">
      <w:pPr>
        <w:pStyle w:val="TableFooter"/>
      </w:pPr>
      <w:r>
        <w:rPr>
          <w:vertAlign w:val="superscript"/>
        </w:rPr>
        <w:t>b</w:t>
      </w:r>
      <w:r>
        <w:rPr>
          <w:vertAlign w:val="superscript"/>
        </w:rPr>
        <w:tab/>
      </w:r>
      <w:r>
        <w:t>including 3215 prevalent patients initiating</w:t>
      </w:r>
    </w:p>
    <w:p w14:paraId="09BA5E63" w14:textId="77777777" w:rsidR="00526B6B" w:rsidRDefault="00526B6B" w:rsidP="00765DBB">
      <w:pPr>
        <w:pStyle w:val="TableFooter"/>
      </w:pPr>
      <w:r>
        <w:rPr>
          <w:vertAlign w:val="superscript"/>
        </w:rPr>
        <w:t>c</w:t>
      </w:r>
      <w:r>
        <w:rPr>
          <w:vertAlign w:val="superscript"/>
        </w:rPr>
        <w:tab/>
      </w:r>
      <w:r>
        <w:t>including 785 prevalent patients initiating</w:t>
      </w:r>
      <w:bookmarkStart w:id="22" w:name="_Hlk80029392"/>
    </w:p>
    <w:p w14:paraId="4DC3B536" w14:textId="77777777" w:rsidR="00835D63" w:rsidRPr="009D6B95" w:rsidRDefault="00835D63" w:rsidP="00765DBB">
      <w:pPr>
        <w:pStyle w:val="TableFooter"/>
        <w:rPr>
          <w:i/>
        </w:rPr>
      </w:pPr>
      <w:r w:rsidRPr="009D6B95">
        <w:rPr>
          <w:i/>
        </w:rPr>
        <w:t>The redacted values correspond to the following ranges:</w:t>
      </w:r>
    </w:p>
    <w:p w14:paraId="680BA9C3" w14:textId="77777777" w:rsidR="00835D63" w:rsidRPr="009D6B95" w:rsidRDefault="00835D63" w:rsidP="00765DBB">
      <w:pPr>
        <w:pStyle w:val="TableFooter"/>
        <w:rPr>
          <w:i/>
        </w:rPr>
      </w:pPr>
      <w:r w:rsidRPr="009D6B95">
        <w:rPr>
          <w:i/>
          <w:vertAlign w:val="superscript"/>
        </w:rPr>
        <w:t>1</w:t>
      </w:r>
      <w:r w:rsidRPr="009D6B95">
        <w:rPr>
          <w:i/>
        </w:rPr>
        <w:t xml:space="preserve"> 500 to &lt; 5,000</w:t>
      </w:r>
    </w:p>
    <w:p w14:paraId="227C932E" w14:textId="77777777" w:rsidR="00835D63" w:rsidRPr="009D6B95" w:rsidRDefault="00835D63" w:rsidP="00765DBB">
      <w:pPr>
        <w:pStyle w:val="TableFooter"/>
        <w:rPr>
          <w:i/>
        </w:rPr>
      </w:pPr>
      <w:r w:rsidRPr="009D6B95">
        <w:rPr>
          <w:i/>
          <w:vertAlign w:val="superscript"/>
        </w:rPr>
        <w:t>2</w:t>
      </w:r>
      <w:r w:rsidRPr="009D6B95">
        <w:rPr>
          <w:i/>
        </w:rPr>
        <w:t xml:space="preserve"> 5,000 to &lt; 10,000</w:t>
      </w:r>
    </w:p>
    <w:p w14:paraId="2027106C" w14:textId="77777777" w:rsidR="00835D63" w:rsidRPr="009D6B95" w:rsidRDefault="00835D63" w:rsidP="00765DBB">
      <w:pPr>
        <w:pStyle w:val="TableFooter"/>
        <w:rPr>
          <w:i/>
        </w:rPr>
      </w:pPr>
      <w:r w:rsidRPr="009D6B95">
        <w:rPr>
          <w:i/>
          <w:vertAlign w:val="superscript"/>
        </w:rPr>
        <w:t>3</w:t>
      </w:r>
      <w:r w:rsidRPr="009D6B95">
        <w:rPr>
          <w:i/>
        </w:rPr>
        <w:t xml:space="preserve"> 10,000 to &lt; 20,000</w:t>
      </w:r>
    </w:p>
    <w:p w14:paraId="15ADC85E" w14:textId="77777777" w:rsidR="008F7E60" w:rsidRPr="009D6B95" w:rsidRDefault="008F7E60" w:rsidP="00765DBB">
      <w:pPr>
        <w:pStyle w:val="TableFooter"/>
        <w:rPr>
          <w:i/>
        </w:rPr>
      </w:pPr>
      <w:r w:rsidRPr="009D6B95">
        <w:rPr>
          <w:i/>
          <w:vertAlign w:val="superscript"/>
        </w:rPr>
        <w:t>4</w:t>
      </w:r>
      <w:r w:rsidRPr="009D6B95">
        <w:rPr>
          <w:i/>
        </w:rPr>
        <w:t xml:space="preserve"> 40,000 to &lt; 50,000</w:t>
      </w:r>
    </w:p>
    <w:p w14:paraId="46EC7C6A" w14:textId="77777777" w:rsidR="008F7E60" w:rsidRPr="009D6B95" w:rsidRDefault="008F7E60" w:rsidP="00765DBB">
      <w:pPr>
        <w:pStyle w:val="TableFooter"/>
        <w:rPr>
          <w:i/>
        </w:rPr>
      </w:pPr>
      <w:r w:rsidRPr="009D6B95">
        <w:rPr>
          <w:i/>
          <w:vertAlign w:val="superscript"/>
        </w:rPr>
        <w:t>5</w:t>
      </w:r>
      <w:r w:rsidRPr="009D6B95">
        <w:rPr>
          <w:i/>
        </w:rPr>
        <w:t xml:space="preserve"> 200,000 to &lt; 500,000</w:t>
      </w:r>
    </w:p>
    <w:p w14:paraId="796DC62C" w14:textId="77777777" w:rsidR="001A02B7" w:rsidRPr="009D6B95" w:rsidRDefault="001A02B7" w:rsidP="00765DBB">
      <w:pPr>
        <w:pStyle w:val="TableFooter"/>
        <w:rPr>
          <w:i/>
        </w:rPr>
      </w:pPr>
      <w:r w:rsidRPr="009D6B95">
        <w:rPr>
          <w:i/>
          <w:vertAlign w:val="superscript"/>
        </w:rPr>
        <w:t>6</w:t>
      </w:r>
      <w:r w:rsidRPr="009D6B95">
        <w:rPr>
          <w:i/>
        </w:rPr>
        <w:t xml:space="preserve"> $20 million to &lt; $30 million</w:t>
      </w:r>
    </w:p>
    <w:p w14:paraId="035873C2" w14:textId="77777777" w:rsidR="001A02B7" w:rsidRPr="009D6B95" w:rsidRDefault="001A02B7" w:rsidP="00765DBB">
      <w:pPr>
        <w:pStyle w:val="TableFooter"/>
        <w:rPr>
          <w:i/>
        </w:rPr>
      </w:pPr>
      <w:r w:rsidRPr="009D6B95">
        <w:rPr>
          <w:i/>
          <w:vertAlign w:val="superscript"/>
        </w:rPr>
        <w:t>7</w:t>
      </w:r>
      <w:r w:rsidRPr="009D6B95">
        <w:rPr>
          <w:i/>
        </w:rPr>
        <w:t xml:space="preserve"> </w:t>
      </w:r>
      <w:r w:rsidR="009671A9" w:rsidRPr="009D6B95">
        <w:rPr>
          <w:i/>
        </w:rPr>
        <w:t xml:space="preserve">$50 million to &lt; $60 million </w:t>
      </w:r>
    </w:p>
    <w:p w14:paraId="735D90FF" w14:textId="77777777" w:rsidR="009671A9" w:rsidRPr="009D6B95" w:rsidRDefault="009671A9" w:rsidP="00765DBB">
      <w:pPr>
        <w:pStyle w:val="TableFooter"/>
        <w:rPr>
          <w:i/>
        </w:rPr>
      </w:pPr>
      <w:r w:rsidRPr="009D6B95">
        <w:rPr>
          <w:i/>
          <w:vertAlign w:val="superscript"/>
        </w:rPr>
        <w:t>8</w:t>
      </w:r>
      <w:r w:rsidRPr="009D6B95">
        <w:rPr>
          <w:i/>
        </w:rPr>
        <w:t xml:space="preserve"> $60 million to &lt; $70 million</w:t>
      </w:r>
    </w:p>
    <w:p w14:paraId="67907754" w14:textId="77777777" w:rsidR="009671A9" w:rsidRPr="009D6B95" w:rsidRDefault="009671A9" w:rsidP="00765DBB">
      <w:pPr>
        <w:pStyle w:val="TableFooter"/>
        <w:rPr>
          <w:i/>
        </w:rPr>
      </w:pPr>
      <w:r w:rsidRPr="009D6B95">
        <w:rPr>
          <w:i/>
          <w:vertAlign w:val="superscript"/>
        </w:rPr>
        <w:t>9</w:t>
      </w:r>
      <w:r w:rsidRPr="009D6B95">
        <w:rPr>
          <w:i/>
        </w:rPr>
        <w:t xml:space="preserve"> $300 million to &lt; $400 million</w:t>
      </w:r>
    </w:p>
    <w:p w14:paraId="2C3EB28D" w14:textId="77777777" w:rsidR="009671A9" w:rsidRPr="009D6B95" w:rsidRDefault="009671A9" w:rsidP="00765DBB">
      <w:pPr>
        <w:pStyle w:val="TableFooter"/>
        <w:rPr>
          <w:i/>
        </w:rPr>
      </w:pPr>
      <w:r w:rsidRPr="009D6B95">
        <w:rPr>
          <w:i/>
          <w:vertAlign w:val="superscript"/>
        </w:rPr>
        <w:t>10</w:t>
      </w:r>
      <w:r w:rsidRPr="009D6B95">
        <w:rPr>
          <w:i/>
        </w:rPr>
        <w:t xml:space="preserve"> $0 to &lt; $10 million</w:t>
      </w:r>
    </w:p>
    <w:p w14:paraId="7C548750" w14:textId="77777777" w:rsidR="00474F11" w:rsidRPr="009D6B95" w:rsidRDefault="00474F11" w:rsidP="00765DBB">
      <w:pPr>
        <w:pStyle w:val="TableFooter"/>
        <w:rPr>
          <w:i/>
        </w:rPr>
      </w:pPr>
      <w:r w:rsidRPr="009D6B95">
        <w:rPr>
          <w:i/>
          <w:vertAlign w:val="superscript"/>
        </w:rPr>
        <w:t>11</w:t>
      </w:r>
      <w:r w:rsidRPr="009D6B95">
        <w:rPr>
          <w:i/>
        </w:rPr>
        <w:t xml:space="preserve"> $10 million to &lt; $20 million</w:t>
      </w:r>
    </w:p>
    <w:p w14:paraId="51D7FBD3" w14:textId="77777777" w:rsidR="00474F11" w:rsidRPr="009D6B95" w:rsidRDefault="00474F11" w:rsidP="00765DBB">
      <w:pPr>
        <w:pStyle w:val="TableFooter"/>
        <w:rPr>
          <w:i/>
        </w:rPr>
      </w:pPr>
      <w:r w:rsidRPr="009D6B95">
        <w:rPr>
          <w:i/>
          <w:vertAlign w:val="superscript"/>
        </w:rPr>
        <w:t>12</w:t>
      </w:r>
      <w:r w:rsidRPr="009D6B95">
        <w:rPr>
          <w:i/>
        </w:rPr>
        <w:t xml:space="preserve"> $80 million to &lt; $90 million</w:t>
      </w:r>
    </w:p>
    <w:p w14:paraId="65E4BFEA" w14:textId="77777777" w:rsidR="00474F11" w:rsidRPr="009D6B95" w:rsidRDefault="00474F11" w:rsidP="00765DBB">
      <w:pPr>
        <w:pStyle w:val="TableFooter"/>
        <w:rPr>
          <w:i/>
        </w:rPr>
      </w:pPr>
      <w:r w:rsidRPr="009D6B95">
        <w:rPr>
          <w:i/>
          <w:vertAlign w:val="superscript"/>
        </w:rPr>
        <w:t>13</w:t>
      </w:r>
      <w:r w:rsidRPr="009D6B95">
        <w:rPr>
          <w:i/>
          <w:vertAlign w:val="subscript"/>
        </w:rPr>
        <w:t xml:space="preserve"> </w:t>
      </w:r>
      <w:r w:rsidRPr="009D6B95">
        <w:rPr>
          <w:i/>
        </w:rPr>
        <w:t>$40 million to &lt; $50 million</w:t>
      </w:r>
    </w:p>
    <w:p w14:paraId="13A3744A" w14:textId="77777777" w:rsidR="00474F11" w:rsidRPr="009D6B95" w:rsidRDefault="00474F11" w:rsidP="00765DBB">
      <w:pPr>
        <w:pStyle w:val="TableFooter"/>
        <w:rPr>
          <w:i/>
        </w:rPr>
      </w:pPr>
      <w:r w:rsidRPr="009D6B95">
        <w:rPr>
          <w:i/>
          <w:vertAlign w:val="superscript"/>
        </w:rPr>
        <w:t>14</w:t>
      </w:r>
      <w:r w:rsidRPr="009D6B95">
        <w:rPr>
          <w:i/>
        </w:rPr>
        <w:t xml:space="preserve"> $30 million to &lt; $40 million</w:t>
      </w:r>
    </w:p>
    <w:p w14:paraId="00B0ED2A" w14:textId="77777777" w:rsidR="00474F11" w:rsidRPr="009D6B95" w:rsidRDefault="00474F11" w:rsidP="00765DBB">
      <w:pPr>
        <w:pStyle w:val="TableFooter"/>
        <w:rPr>
          <w:i/>
        </w:rPr>
      </w:pPr>
      <w:r w:rsidRPr="009D6B95">
        <w:rPr>
          <w:i/>
          <w:vertAlign w:val="superscript"/>
        </w:rPr>
        <w:t>15</w:t>
      </w:r>
      <w:r w:rsidRPr="009D6B95">
        <w:rPr>
          <w:i/>
        </w:rPr>
        <w:t xml:space="preserve"> $200 million to &lt; $300 million</w:t>
      </w:r>
    </w:p>
    <w:p w14:paraId="1E87132A" w14:textId="77777777" w:rsidR="00526B6B" w:rsidRPr="00D379EA" w:rsidRDefault="00526B6B" w:rsidP="00526B6B">
      <w:pPr>
        <w:pStyle w:val="4-SubsectionHeading"/>
      </w:pPr>
      <w:bookmarkStart w:id="23" w:name="_Toc82426517"/>
      <w:bookmarkEnd w:id="22"/>
      <w:r w:rsidRPr="00D379EA">
        <w:t>Financial Management – Risk Sharing Arrangements</w:t>
      </w:r>
      <w:bookmarkEnd w:id="23"/>
    </w:p>
    <w:p w14:paraId="3EF700DC" w14:textId="77777777" w:rsidR="00526B6B" w:rsidRPr="00765DBB" w:rsidRDefault="00526B6B" w:rsidP="00765DBB">
      <w:pPr>
        <w:pStyle w:val="3-BodyText"/>
        <w:ind w:left="709"/>
        <w:rPr>
          <w:iCs/>
        </w:rPr>
      </w:pPr>
      <w:r w:rsidRPr="00061BCA">
        <w:rPr>
          <w:iCs/>
        </w:rPr>
        <w:t xml:space="preserve">The resubmission proposed </w:t>
      </w:r>
      <w:r w:rsidR="00493656">
        <w:rPr>
          <w:iCs/>
        </w:rPr>
        <w:t xml:space="preserve">a </w:t>
      </w:r>
      <w:r w:rsidRPr="00061BCA">
        <w:rPr>
          <w:iCs/>
        </w:rPr>
        <w:t>risk sharing arrangement (RSA)</w:t>
      </w:r>
      <w:r w:rsidR="00493656">
        <w:rPr>
          <w:iCs/>
        </w:rPr>
        <w:t xml:space="preserve"> which consisted of </w:t>
      </w:r>
      <w:r w:rsidRPr="00061BCA">
        <w:rPr>
          <w:iCs/>
        </w:rPr>
        <w:t xml:space="preserve">a single subsidisation cap beyond which rebates of </w:t>
      </w:r>
      <w:r w:rsidR="00E61E4A">
        <w:rPr>
          <w:iCs/>
          <w:noProof/>
          <w:color w:val="000000"/>
          <w:highlight w:val="black"/>
        </w:rPr>
        <w:t>'''''</w:t>
      </w:r>
      <w:r w:rsidRPr="00061BCA">
        <w:rPr>
          <w:iCs/>
        </w:rPr>
        <w:t>% w</w:t>
      </w:r>
      <w:r w:rsidR="00493656">
        <w:rPr>
          <w:iCs/>
        </w:rPr>
        <w:t>ould</w:t>
      </w:r>
      <w:r w:rsidRPr="00061BCA">
        <w:rPr>
          <w:iCs/>
        </w:rPr>
        <w:t xml:space="preserve"> be applied.</w:t>
      </w:r>
      <w:r w:rsidR="00493656">
        <w:rPr>
          <w:iCs/>
        </w:rPr>
        <w:t xml:space="preserve"> The PBAC noted that there was no RSA in place for darolutamide in m0CRPC. </w:t>
      </w:r>
    </w:p>
    <w:bookmarkEnd w:id="1"/>
    <w:p w14:paraId="24E8CBA8" w14:textId="77777777" w:rsidR="00337846" w:rsidRDefault="00337846" w:rsidP="00765DBB">
      <w:pPr>
        <w:ind w:left="709"/>
        <w:jc w:val="left"/>
        <w:rPr>
          <w:i/>
          <w:iCs/>
        </w:rPr>
      </w:pPr>
      <w:r w:rsidRPr="00337846">
        <w:rPr>
          <w:i/>
          <w:iCs/>
        </w:rPr>
        <w:t>For more detail on PBAC’s view, see section 7 PBAC outcome.</w:t>
      </w:r>
    </w:p>
    <w:p w14:paraId="11D9B204" w14:textId="77777777" w:rsidR="00337846" w:rsidRPr="0090150D" w:rsidRDefault="00337846" w:rsidP="00337846">
      <w:pPr>
        <w:pStyle w:val="2-SectionHeading"/>
      </w:pPr>
      <w:bookmarkStart w:id="24" w:name="_Hlk76381249"/>
      <w:bookmarkStart w:id="25" w:name="_Hlk76377955"/>
      <w:r w:rsidRPr="0090150D">
        <w:t>PBAC Outcome</w:t>
      </w:r>
    </w:p>
    <w:p w14:paraId="678F0FF4" w14:textId="77777777" w:rsidR="0044615F" w:rsidRDefault="0044615F" w:rsidP="0033784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recommended the listing of apalutamide for the treatment of patients with non-metastatic castration resistant prostate cancer (m0CRPC). The PBAC was satisfied that apalutamide provides, for some patients, a moderate overall survival (OS) benefit compared to standard of care</w:t>
      </w:r>
      <w:r w:rsidR="00AB6D8B">
        <w:rPr>
          <w:rFonts w:asciiTheme="minorHAnsi" w:hAnsiTheme="minorHAnsi"/>
          <w:snapToGrid w:val="0"/>
          <w:lang w:val="en-GB"/>
        </w:rPr>
        <w:t xml:space="preserve"> (SOC)</w:t>
      </w:r>
      <w:r>
        <w:rPr>
          <w:rFonts w:asciiTheme="minorHAnsi" w:hAnsiTheme="minorHAnsi"/>
          <w:snapToGrid w:val="0"/>
          <w:lang w:val="en-GB"/>
        </w:rPr>
        <w:t xml:space="preserve"> and was non-inferior in terms of efficacy and safety compared to darolutamide. </w:t>
      </w:r>
      <w:r w:rsidR="00E94276" w:rsidRPr="000F196D">
        <w:t xml:space="preserve">The PBAC’s recommendation for listing was based on, among other matters, its assessment that the cost-effectiveness of </w:t>
      </w:r>
      <w:r w:rsidR="00E94276">
        <w:t>apalutamide</w:t>
      </w:r>
      <w:r w:rsidR="00E94276" w:rsidRPr="000F196D">
        <w:t xml:space="preserve"> would be acceptable if it were cost-minimised </w:t>
      </w:r>
      <w:r w:rsidR="00E94276">
        <w:t>to darolutamide</w:t>
      </w:r>
      <w:r>
        <w:rPr>
          <w:rFonts w:asciiTheme="minorHAnsi" w:hAnsiTheme="minorHAnsi"/>
          <w:snapToGrid w:val="0"/>
          <w:lang w:val="en-GB"/>
        </w:rPr>
        <w:t>.</w:t>
      </w:r>
    </w:p>
    <w:p w14:paraId="7663EEEF" w14:textId="77777777" w:rsidR="0044615F" w:rsidRDefault="0044615F" w:rsidP="0033784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noted the comments from consumers, prostate cancer support groups and the Medical Oncology Group of Australia, all of which supported the listing of apalutamide on the PBS for the treatment of m0CRPC.</w:t>
      </w:r>
    </w:p>
    <w:p w14:paraId="72D24B38" w14:textId="77777777" w:rsidR="0044615F" w:rsidRDefault="0044615F" w:rsidP="0033784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recalled that </w:t>
      </w:r>
      <w:r w:rsidR="00AB6D8B">
        <w:rPr>
          <w:rFonts w:asciiTheme="minorHAnsi" w:hAnsiTheme="minorHAnsi"/>
          <w:snapToGrid w:val="0"/>
          <w:lang w:val="en-GB"/>
        </w:rPr>
        <w:t>in November 2020 it had considered that apalutamide resulted in superior comparative effectiveness and inferior comparative safety compared to SOC.</w:t>
      </w:r>
    </w:p>
    <w:p w14:paraId="089CA20D" w14:textId="77777777" w:rsidR="00AB6D8B" w:rsidRDefault="00AB6D8B" w:rsidP="0033784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also recalled that in November 2020 it had considered that apalutamide was likely to be non-inferior compared to darolutamide in terms of efficacy and safety, based on an indirect treatment comparison of apalutamide (SPARTAN trial) and darolutamide (ARAMIS trial) using placebo as the common comparator.</w:t>
      </w:r>
    </w:p>
    <w:p w14:paraId="7C018630" w14:textId="77777777" w:rsidR="00AB6D8B" w:rsidRDefault="00AB6D8B" w:rsidP="0033784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noted that the resubmission addressed the key issues with the economic model</w:t>
      </w:r>
      <w:r w:rsidR="000C7564">
        <w:rPr>
          <w:rFonts w:asciiTheme="minorHAnsi" w:hAnsiTheme="minorHAnsi"/>
          <w:snapToGrid w:val="0"/>
          <w:lang w:val="en-GB"/>
        </w:rPr>
        <w:t xml:space="preserve">; however, </w:t>
      </w:r>
      <w:r>
        <w:rPr>
          <w:rFonts w:asciiTheme="minorHAnsi" w:hAnsiTheme="minorHAnsi"/>
          <w:snapToGrid w:val="0"/>
          <w:lang w:val="en-GB"/>
        </w:rPr>
        <w:t>considered that the appropriate comparison was a cost minimisation approach relative to darolutamide.</w:t>
      </w:r>
    </w:p>
    <w:p w14:paraId="6185EBDA" w14:textId="77777777" w:rsidR="00AB6D8B" w:rsidRDefault="00AB6D8B" w:rsidP="0033784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considered that the equi-effective doses were:</w:t>
      </w:r>
    </w:p>
    <w:p w14:paraId="69B5F351" w14:textId="77777777" w:rsidR="00AB6D8B" w:rsidRPr="00AB6D8B" w:rsidRDefault="00AB6D8B" w:rsidP="00AB6D8B">
      <w:pPr>
        <w:pStyle w:val="3-BodyText"/>
        <w:numPr>
          <w:ilvl w:val="0"/>
          <w:numId w:val="0"/>
        </w:numPr>
        <w:ind w:left="1288" w:firstLine="72"/>
      </w:pPr>
      <w:r w:rsidRPr="00AB6D8B">
        <w:t xml:space="preserve">apalutamide 240 mg per day = darolutamide 1,200 mg per day </w:t>
      </w:r>
    </w:p>
    <w:p w14:paraId="04446490" w14:textId="77777777" w:rsidR="00AB6D8B" w:rsidRPr="000C7564" w:rsidRDefault="00AB6D8B" w:rsidP="00AB6D8B">
      <w:pPr>
        <w:widowControl w:val="0"/>
        <w:numPr>
          <w:ilvl w:val="1"/>
          <w:numId w:val="1"/>
        </w:numPr>
        <w:spacing w:after="120"/>
        <w:ind w:left="720"/>
        <w:rPr>
          <w:rFonts w:asciiTheme="minorHAnsi" w:hAnsiTheme="minorHAnsi"/>
          <w:snapToGrid w:val="0"/>
          <w:lang w:val="en-GB"/>
        </w:rPr>
      </w:pPr>
      <w:r w:rsidRPr="00AB6D8B">
        <w:t xml:space="preserve">The </w:t>
      </w:r>
      <w:r>
        <w:t xml:space="preserve">PBAC noted that the </w:t>
      </w:r>
      <w:r w:rsidRPr="00AB6D8B">
        <w:t>equi-effective doses d</w:t>
      </w:r>
      <w:r>
        <w:t>id</w:t>
      </w:r>
      <w:r w:rsidRPr="00AB6D8B">
        <w:t xml:space="preserve"> not account for differences in compliance, treatment duration</w:t>
      </w:r>
      <w:r w:rsidR="000C7564">
        <w:t xml:space="preserve"> or</w:t>
      </w:r>
      <w:r w:rsidRPr="00AB6D8B">
        <w:t xml:space="preserve"> differences in adverse event profiles, </w:t>
      </w:r>
      <w:r w:rsidR="000C7564">
        <w:t xml:space="preserve">and </w:t>
      </w:r>
      <w:r>
        <w:t xml:space="preserve">considered that </w:t>
      </w:r>
      <w:r w:rsidRPr="00AB6D8B">
        <w:t xml:space="preserve">these </w:t>
      </w:r>
      <w:r>
        <w:t>we</w:t>
      </w:r>
      <w:r w:rsidRPr="00AB6D8B">
        <w:t>re not expected to differ</w:t>
      </w:r>
      <w:r w:rsidR="00BF57BE">
        <w:t xml:space="preserve"> on average</w:t>
      </w:r>
      <w:r w:rsidRPr="00AB6D8B">
        <w:t xml:space="preserve"> between the two treatments</w:t>
      </w:r>
      <w:r>
        <w:t>.</w:t>
      </w:r>
    </w:p>
    <w:p w14:paraId="4ED29EA3" w14:textId="77777777" w:rsidR="000C7564" w:rsidRPr="000C7564" w:rsidRDefault="000C7564" w:rsidP="00AB6D8B">
      <w:pPr>
        <w:widowControl w:val="0"/>
        <w:numPr>
          <w:ilvl w:val="1"/>
          <w:numId w:val="1"/>
        </w:numPr>
        <w:spacing w:after="120"/>
        <w:ind w:left="720"/>
        <w:rPr>
          <w:rFonts w:asciiTheme="minorHAnsi" w:hAnsiTheme="minorHAnsi"/>
          <w:snapToGrid w:val="0"/>
          <w:lang w:val="en-GB"/>
        </w:rPr>
      </w:pPr>
      <w:r>
        <w:t>The PBAC noted that the resubmission presented updated financial estimates. The PBAC</w:t>
      </w:r>
      <w:r w:rsidR="00493656">
        <w:t xml:space="preserve">, noting that apalutamide would share a portion of the </w:t>
      </w:r>
      <w:r w:rsidR="00BB20D6">
        <w:t xml:space="preserve">previously agreed </w:t>
      </w:r>
      <w:r w:rsidR="00493656">
        <w:t xml:space="preserve">darolutamide market, </w:t>
      </w:r>
      <w:r>
        <w:t xml:space="preserve">considered that the recommendation of apalutamide would be cost neutral </w:t>
      </w:r>
      <w:r w:rsidR="00BB20D6">
        <w:t xml:space="preserve">as its listing would not result in an incremental cost to Government. </w:t>
      </w:r>
    </w:p>
    <w:p w14:paraId="011CA125" w14:textId="77777777" w:rsidR="000C7564" w:rsidRDefault="000C7564" w:rsidP="00AB6D8B">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advised that apalutamide should be listed on the PBS with the same restriction as darolutamide</w:t>
      </w:r>
      <w:r w:rsidR="007E1E3B">
        <w:rPr>
          <w:rFonts w:asciiTheme="minorHAnsi" w:hAnsiTheme="minorHAnsi"/>
          <w:snapToGrid w:val="0"/>
          <w:lang w:val="en-GB"/>
        </w:rPr>
        <w:t>, but as the second drug for m0CRPC, the intent would be that sequential treatment with each drug not occur in the patient who tolerates the first drug. The darolutamide restriction should be updated to reflect this intent, as well as</w:t>
      </w:r>
      <w:r w:rsidR="00A47C2D">
        <w:rPr>
          <w:rFonts w:asciiTheme="minorHAnsi" w:hAnsiTheme="minorHAnsi"/>
          <w:snapToGrid w:val="0"/>
          <w:lang w:val="en-GB"/>
        </w:rPr>
        <w:t xml:space="preserve"> flow on changes to the enzalutamide and abiraterone restrictions to </w:t>
      </w:r>
      <w:r w:rsidR="007E1E3B">
        <w:rPr>
          <w:rFonts w:asciiTheme="minorHAnsi" w:hAnsiTheme="minorHAnsi"/>
          <w:snapToGrid w:val="0"/>
          <w:lang w:val="en-GB"/>
        </w:rPr>
        <w:t xml:space="preserve">communicate that </w:t>
      </w:r>
      <w:r w:rsidR="00A47C2D">
        <w:rPr>
          <w:rFonts w:asciiTheme="minorHAnsi" w:hAnsiTheme="minorHAnsi"/>
          <w:snapToGrid w:val="0"/>
          <w:lang w:val="en-GB"/>
        </w:rPr>
        <w:t>subsequent use of novel hormonal agents</w:t>
      </w:r>
      <w:r w:rsidR="007E1E3B">
        <w:rPr>
          <w:rFonts w:asciiTheme="minorHAnsi" w:hAnsiTheme="minorHAnsi"/>
          <w:snapToGrid w:val="0"/>
          <w:lang w:val="en-GB"/>
        </w:rPr>
        <w:t xml:space="preserve"> is not intended on the PBS</w:t>
      </w:r>
      <w:r>
        <w:rPr>
          <w:rFonts w:asciiTheme="minorHAnsi" w:hAnsiTheme="minorHAnsi"/>
          <w:snapToGrid w:val="0"/>
          <w:lang w:val="en-GB"/>
        </w:rPr>
        <w:t>.</w:t>
      </w:r>
      <w:r w:rsidR="002C5457">
        <w:rPr>
          <w:rFonts w:asciiTheme="minorHAnsi" w:hAnsiTheme="minorHAnsi"/>
          <w:snapToGrid w:val="0"/>
          <w:lang w:val="en-GB"/>
        </w:rPr>
        <w:t xml:space="preserve"> </w:t>
      </w:r>
    </w:p>
    <w:p w14:paraId="425EB852" w14:textId="77777777" w:rsidR="000C7564" w:rsidRDefault="000C7564" w:rsidP="00AB6D8B">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advised that apalutamide is not suitable for prescribing by nurse practitioners.</w:t>
      </w:r>
    </w:p>
    <w:p w14:paraId="46D1FE40" w14:textId="77777777" w:rsidR="00351EBE" w:rsidRDefault="000C7564" w:rsidP="00351EBE">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advised that apalutamide should not be exempt from the Early Supply Rule.</w:t>
      </w:r>
    </w:p>
    <w:p w14:paraId="0113C81A" w14:textId="77777777" w:rsidR="00351EBE" w:rsidRPr="00765DBB" w:rsidRDefault="000C7564" w:rsidP="00351EBE">
      <w:pPr>
        <w:widowControl w:val="0"/>
        <w:numPr>
          <w:ilvl w:val="1"/>
          <w:numId w:val="1"/>
        </w:numPr>
        <w:spacing w:after="120"/>
        <w:ind w:left="720"/>
        <w:rPr>
          <w:rFonts w:asciiTheme="minorHAnsi" w:hAnsiTheme="minorHAnsi"/>
          <w:snapToGrid w:val="0"/>
          <w:lang w:val="en-GB"/>
        </w:rPr>
      </w:pPr>
      <w:r w:rsidRPr="003D070A">
        <w:rPr>
          <w:snapToGrid w:val="0"/>
        </w:rPr>
        <w:t xml:space="preserve">The PBAC advised that, under Section 101(3BA) of the </w:t>
      </w:r>
      <w:r w:rsidRPr="00351EBE">
        <w:rPr>
          <w:i/>
          <w:snapToGrid w:val="0"/>
        </w:rPr>
        <w:t>National Health Act 1953</w:t>
      </w:r>
      <w:r w:rsidRPr="003D070A">
        <w:rPr>
          <w:snapToGrid w:val="0"/>
        </w:rPr>
        <w:t xml:space="preserve">, </w:t>
      </w:r>
      <w:r>
        <w:t>apa</w:t>
      </w:r>
      <w:r w:rsidRPr="003D070A">
        <w:rPr>
          <w:snapToGrid w:val="0"/>
        </w:rPr>
        <w:t>lutamide should not be treated as interchangeable on an individual patient basis with any other drug.</w:t>
      </w:r>
    </w:p>
    <w:p w14:paraId="6EF041AB" w14:textId="77777777" w:rsidR="00765DBB" w:rsidRPr="00351EBE" w:rsidRDefault="00765DBB" w:rsidP="00351EBE">
      <w:pPr>
        <w:widowControl w:val="0"/>
        <w:numPr>
          <w:ilvl w:val="1"/>
          <w:numId w:val="1"/>
        </w:numPr>
        <w:spacing w:after="120"/>
        <w:ind w:left="720"/>
        <w:rPr>
          <w:rFonts w:asciiTheme="minorHAnsi" w:hAnsiTheme="minorHAnsi"/>
          <w:snapToGrid w:val="0"/>
          <w:lang w:val="en-GB"/>
        </w:rPr>
      </w:pPr>
      <w:r>
        <w:rPr>
          <w:snapToGrid w:val="0"/>
        </w:rPr>
        <w:t xml:space="preserve">The PBAC noted that its recommendation was on a cost-minimisation basis and advised that, because apalutamide is not expected to provide a substantial and clinically relevant improvement in efficacy, or reduction of toxicity, over darolutamide, or not expected to address a high and urgent unmet clinical need given the presence of an alternative therapy, the criteria prescribed by the </w:t>
      </w:r>
      <w:r w:rsidRPr="00765DBB">
        <w:rPr>
          <w:i/>
          <w:iCs/>
          <w:snapToGrid w:val="0"/>
        </w:rPr>
        <w:t xml:space="preserve">National Health (Pharmaceuticals and Vaccines – Cost Recovery) Regulations 2009 </w:t>
      </w:r>
      <w:r>
        <w:rPr>
          <w:snapToGrid w:val="0"/>
        </w:rPr>
        <w:t>for Pricing Pathway A were not met.</w:t>
      </w:r>
    </w:p>
    <w:p w14:paraId="12142E1E" w14:textId="77777777" w:rsidR="000C7564" w:rsidRPr="00AB6D8B" w:rsidRDefault="00351EBE" w:rsidP="00AB6D8B">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noted that this submission was not eligible for an Independent Review as it received a positive recommendation.</w:t>
      </w:r>
    </w:p>
    <w:p w14:paraId="2B39F09E" w14:textId="77777777" w:rsidR="00337846" w:rsidRPr="00525B39" w:rsidRDefault="00337846" w:rsidP="00337846">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8BC6039" w14:textId="428A9AA5" w:rsidR="00337846" w:rsidRPr="00C80148" w:rsidRDefault="00337846" w:rsidP="00C80148">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24"/>
    <w:p w14:paraId="5DC43BC7" w14:textId="77777777" w:rsidR="00337846" w:rsidRPr="00F237A4" w:rsidRDefault="00337846" w:rsidP="00337846">
      <w:pPr>
        <w:pStyle w:val="2-SectionHeading"/>
        <w:rPr>
          <w:iCs/>
          <w:lang w:val="en-GB"/>
        </w:rPr>
      </w:pPr>
      <w:r w:rsidRPr="00525B39">
        <w:rPr>
          <w:lang w:val="en-GB"/>
        </w:rPr>
        <w:t>Recommended listing</w:t>
      </w:r>
    </w:p>
    <w:p w14:paraId="4C362FA9" w14:textId="77777777" w:rsidR="00337846" w:rsidRPr="00351EBE" w:rsidRDefault="00337846" w:rsidP="00351EBE">
      <w:pPr>
        <w:widowControl w:val="0"/>
        <w:numPr>
          <w:ilvl w:val="1"/>
          <w:numId w:val="1"/>
        </w:numPr>
        <w:spacing w:after="120"/>
        <w:ind w:left="720"/>
        <w:contextualSpacing/>
        <w:rPr>
          <w:rFonts w:asciiTheme="minorHAnsi" w:hAnsiTheme="minorHAnsi"/>
          <w:bCs/>
          <w:snapToGrid w:val="0"/>
        </w:rPr>
      </w:pPr>
      <w:r w:rsidRPr="00351EBE">
        <w:rPr>
          <w:rFonts w:asciiTheme="minorHAnsi" w:hAnsiTheme="minorHAnsi"/>
          <w:bCs/>
          <w:snapToGrid w:val="0"/>
        </w:rPr>
        <w:t xml:space="preserve">Add new </w:t>
      </w:r>
      <w:r w:rsidR="00351EBE">
        <w:rPr>
          <w:rFonts w:asciiTheme="minorHAnsi" w:hAnsiTheme="minorHAnsi"/>
          <w:bCs/>
          <w:snapToGrid w:val="0"/>
        </w:rPr>
        <w:t xml:space="preserve">medicinal product </w:t>
      </w:r>
      <w:r w:rsidR="00331608">
        <w:rPr>
          <w:rFonts w:asciiTheme="minorHAnsi" w:hAnsiTheme="minorHAnsi"/>
          <w:bCs/>
          <w:snapToGrid w:val="0"/>
        </w:rPr>
        <w:t xml:space="preserve">(apalutamide) </w:t>
      </w:r>
      <w:r w:rsidR="00351EBE">
        <w:rPr>
          <w:rFonts w:asciiTheme="minorHAnsi" w:hAnsiTheme="minorHAnsi"/>
          <w:bCs/>
          <w:snapToGrid w:val="0"/>
        </w:rPr>
        <w:t>as follows</w:t>
      </w:r>
      <w:r w:rsidRPr="00351EBE">
        <w:rPr>
          <w:rFonts w:asciiTheme="minorHAnsi" w:hAnsiTheme="minorHAnsi"/>
          <w:bCs/>
          <w:snapToGrid w:val="0"/>
        </w:rPr>
        <w:t>:</w:t>
      </w:r>
    </w:p>
    <w:p w14:paraId="55CF5596" w14:textId="77777777" w:rsidR="00351EBE" w:rsidRDefault="00351EBE" w:rsidP="00337846">
      <w:pPr>
        <w:widowControl w:val="0"/>
        <w:rPr>
          <w:rFonts w:asciiTheme="minorHAnsi" w:hAnsiTheme="minorHAnsi"/>
          <w:bCs/>
          <w:snapToGrid w:val="0"/>
        </w:rPr>
      </w:pPr>
    </w:p>
    <w:tbl>
      <w:tblPr>
        <w:tblStyle w:val="TableGrid"/>
        <w:tblW w:w="9067" w:type="dxa"/>
        <w:tblLayout w:type="fixed"/>
        <w:tblLook w:val="04A0" w:firstRow="1" w:lastRow="0" w:firstColumn="1" w:lastColumn="0" w:noHBand="0" w:noVBand="1"/>
      </w:tblPr>
      <w:tblGrid>
        <w:gridCol w:w="1271"/>
        <w:gridCol w:w="1418"/>
        <w:gridCol w:w="1275"/>
        <w:gridCol w:w="1418"/>
        <w:gridCol w:w="1417"/>
        <w:gridCol w:w="1134"/>
        <w:gridCol w:w="1134"/>
      </w:tblGrid>
      <w:tr w:rsidR="00351EBE" w:rsidRPr="00F573A7" w14:paraId="7BDCAC2C" w14:textId="77777777" w:rsidTr="00D010FD">
        <w:trPr>
          <w:tblHeader/>
        </w:trPr>
        <w:tc>
          <w:tcPr>
            <w:tcW w:w="2689" w:type="dxa"/>
            <w:gridSpan w:val="2"/>
          </w:tcPr>
          <w:p w14:paraId="0E134A9D" w14:textId="77777777" w:rsidR="00351EBE" w:rsidRPr="00F573A7" w:rsidRDefault="00351EBE" w:rsidP="00493656">
            <w:pPr>
              <w:rPr>
                <w:rFonts w:ascii="Arial Narrow" w:hAnsi="Arial Narrow"/>
                <w:b/>
                <w:snapToGrid w:val="0"/>
                <w:sz w:val="18"/>
                <w:szCs w:val="18"/>
              </w:rPr>
            </w:pPr>
            <w:r w:rsidRPr="00EB7B92">
              <w:rPr>
                <w:rFonts w:ascii="Arial Narrow" w:hAnsi="Arial Narrow"/>
                <w:b/>
                <w:snapToGrid w:val="0"/>
                <w:sz w:val="18"/>
                <w:szCs w:val="18"/>
              </w:rPr>
              <w:t>MEDICINAL</w:t>
            </w:r>
            <w:r w:rsidRPr="00F573A7">
              <w:rPr>
                <w:rFonts w:ascii="Arial Narrow" w:hAnsi="Arial Narrow"/>
                <w:b/>
                <w:snapToGrid w:val="0"/>
                <w:sz w:val="18"/>
                <w:szCs w:val="18"/>
              </w:rPr>
              <w:t xml:space="preserve"> PRODUCT</w:t>
            </w:r>
          </w:p>
          <w:p w14:paraId="15222AD3" w14:textId="77777777" w:rsidR="00351EBE" w:rsidRPr="00F573A7" w:rsidRDefault="00351EBE" w:rsidP="00493656">
            <w:pPr>
              <w:rPr>
                <w:rFonts w:ascii="Arial Narrow" w:hAnsi="Arial Narrow"/>
                <w:b/>
                <w:snapToGrid w:val="0"/>
                <w:sz w:val="18"/>
                <w:szCs w:val="18"/>
              </w:rPr>
            </w:pPr>
            <w:r w:rsidRPr="00F573A7">
              <w:rPr>
                <w:rFonts w:ascii="Arial Narrow" w:hAnsi="Arial Narrow"/>
                <w:b/>
                <w:snapToGrid w:val="0"/>
                <w:sz w:val="18"/>
                <w:szCs w:val="18"/>
              </w:rPr>
              <w:t>medicinal product pack</w:t>
            </w:r>
          </w:p>
        </w:tc>
        <w:tc>
          <w:tcPr>
            <w:tcW w:w="1275" w:type="dxa"/>
          </w:tcPr>
          <w:p w14:paraId="5AD1A68F" w14:textId="77777777" w:rsidR="00351EBE" w:rsidRPr="00F573A7" w:rsidRDefault="00351EBE" w:rsidP="00493656">
            <w:pPr>
              <w:jc w:val="center"/>
              <w:rPr>
                <w:rFonts w:ascii="Arial Narrow" w:hAnsi="Arial Narrow"/>
                <w:b/>
                <w:snapToGrid w:val="0"/>
                <w:sz w:val="18"/>
                <w:szCs w:val="18"/>
              </w:rPr>
            </w:pPr>
            <w:r w:rsidRPr="00F573A7">
              <w:rPr>
                <w:rFonts w:ascii="Arial Narrow" w:hAnsi="Arial Narrow"/>
                <w:b/>
                <w:snapToGrid w:val="0"/>
                <w:sz w:val="18"/>
                <w:szCs w:val="18"/>
              </w:rPr>
              <w:t>PBS item code</w:t>
            </w:r>
          </w:p>
        </w:tc>
        <w:tc>
          <w:tcPr>
            <w:tcW w:w="1418" w:type="dxa"/>
          </w:tcPr>
          <w:p w14:paraId="37EFA7D9" w14:textId="77777777" w:rsidR="00351EBE" w:rsidRPr="00F573A7" w:rsidRDefault="00351EBE" w:rsidP="00493656">
            <w:pPr>
              <w:jc w:val="center"/>
              <w:rPr>
                <w:rFonts w:ascii="Arial Narrow" w:hAnsi="Arial Narrow"/>
                <w:b/>
                <w:snapToGrid w:val="0"/>
                <w:sz w:val="18"/>
                <w:szCs w:val="18"/>
              </w:rPr>
            </w:pPr>
            <w:r w:rsidRPr="00F573A7">
              <w:rPr>
                <w:rFonts w:ascii="Arial Narrow" w:hAnsi="Arial Narrow"/>
                <w:b/>
                <w:snapToGrid w:val="0"/>
                <w:sz w:val="18"/>
                <w:szCs w:val="18"/>
              </w:rPr>
              <w:t>Max</w:t>
            </w:r>
            <w:r>
              <w:rPr>
                <w:rFonts w:ascii="Arial Narrow" w:hAnsi="Arial Narrow"/>
                <w:b/>
                <w:snapToGrid w:val="0"/>
                <w:sz w:val="18"/>
                <w:szCs w:val="18"/>
              </w:rPr>
              <w:t xml:space="preserve">. </w:t>
            </w:r>
            <w:r w:rsidRPr="00F573A7">
              <w:rPr>
                <w:rFonts w:ascii="Arial Narrow" w:hAnsi="Arial Narrow"/>
                <w:b/>
                <w:snapToGrid w:val="0"/>
                <w:sz w:val="18"/>
                <w:szCs w:val="18"/>
              </w:rPr>
              <w:t>Qty (units)</w:t>
            </w:r>
          </w:p>
        </w:tc>
        <w:tc>
          <w:tcPr>
            <w:tcW w:w="1417" w:type="dxa"/>
          </w:tcPr>
          <w:p w14:paraId="0006F8E4" w14:textId="77777777" w:rsidR="00351EBE" w:rsidRPr="00796ADA" w:rsidRDefault="00351EBE" w:rsidP="00493656">
            <w:pPr>
              <w:jc w:val="center"/>
              <w:rPr>
                <w:rFonts w:ascii="Arial Narrow" w:hAnsi="Arial Narrow"/>
                <w:b/>
                <w:snapToGrid w:val="0"/>
                <w:sz w:val="18"/>
                <w:szCs w:val="18"/>
              </w:rPr>
            </w:pPr>
            <w:r w:rsidRPr="00F573A7">
              <w:rPr>
                <w:rFonts w:ascii="Arial Narrow" w:hAnsi="Arial Narrow"/>
                <w:b/>
                <w:snapToGrid w:val="0"/>
                <w:sz w:val="18"/>
                <w:szCs w:val="18"/>
              </w:rPr>
              <w:t>Max. Qty (packs)</w:t>
            </w:r>
          </w:p>
        </w:tc>
        <w:tc>
          <w:tcPr>
            <w:tcW w:w="1134" w:type="dxa"/>
          </w:tcPr>
          <w:p w14:paraId="2686FA21" w14:textId="77777777" w:rsidR="00351EBE" w:rsidRPr="00F573A7" w:rsidRDefault="00351EBE" w:rsidP="00493656">
            <w:pPr>
              <w:jc w:val="center"/>
              <w:rPr>
                <w:rFonts w:ascii="Arial Narrow" w:hAnsi="Arial Narrow"/>
                <w:b/>
                <w:snapToGrid w:val="0"/>
                <w:sz w:val="18"/>
                <w:szCs w:val="18"/>
              </w:rPr>
            </w:pPr>
            <w:r w:rsidRPr="00F573A7">
              <w:rPr>
                <w:rFonts w:ascii="Arial Narrow" w:hAnsi="Arial Narrow"/>
                <w:b/>
                <w:snapToGrid w:val="0"/>
                <w:sz w:val="18"/>
                <w:szCs w:val="18"/>
              </w:rPr>
              <w:t>No. of Rpts</w:t>
            </w:r>
          </w:p>
        </w:tc>
        <w:tc>
          <w:tcPr>
            <w:tcW w:w="1134" w:type="dxa"/>
          </w:tcPr>
          <w:p w14:paraId="2336796A" w14:textId="77777777" w:rsidR="00351EBE" w:rsidRPr="00F573A7" w:rsidRDefault="00351EBE" w:rsidP="00493656">
            <w:pPr>
              <w:rPr>
                <w:rFonts w:ascii="Arial Narrow" w:hAnsi="Arial Narrow"/>
                <w:b/>
                <w:snapToGrid w:val="0"/>
                <w:sz w:val="18"/>
                <w:szCs w:val="18"/>
              </w:rPr>
            </w:pPr>
            <w:r w:rsidRPr="00F573A7">
              <w:rPr>
                <w:rFonts w:ascii="Arial Narrow" w:hAnsi="Arial Narrow"/>
                <w:b/>
                <w:snapToGrid w:val="0"/>
                <w:sz w:val="18"/>
                <w:szCs w:val="18"/>
              </w:rPr>
              <w:t>Available brands</w:t>
            </w:r>
          </w:p>
        </w:tc>
      </w:tr>
      <w:tr w:rsidR="00351EBE" w:rsidRPr="00F573A7" w14:paraId="5A76F65F" w14:textId="77777777" w:rsidTr="00493656">
        <w:tc>
          <w:tcPr>
            <w:tcW w:w="9067" w:type="dxa"/>
            <w:gridSpan w:val="7"/>
          </w:tcPr>
          <w:p w14:paraId="5BC61DED" w14:textId="77777777" w:rsidR="00351EBE" w:rsidRPr="00351EBE" w:rsidRDefault="00351EBE" w:rsidP="00493656">
            <w:pPr>
              <w:rPr>
                <w:rFonts w:ascii="Arial Narrow" w:hAnsi="Arial Narrow"/>
                <w:snapToGrid w:val="0"/>
                <w:sz w:val="18"/>
                <w:szCs w:val="18"/>
              </w:rPr>
            </w:pPr>
            <w:r w:rsidRPr="00351EBE">
              <w:rPr>
                <w:rFonts w:ascii="Arial Narrow" w:hAnsi="Arial Narrow"/>
                <w:snapToGrid w:val="0"/>
                <w:sz w:val="18"/>
                <w:szCs w:val="18"/>
              </w:rPr>
              <w:t>APALUTAMIDE</w:t>
            </w:r>
          </w:p>
        </w:tc>
      </w:tr>
      <w:tr w:rsidR="00351EBE" w:rsidRPr="00F573A7" w14:paraId="45925541" w14:textId="77777777" w:rsidTr="00493656">
        <w:trPr>
          <w:trHeight w:val="220"/>
        </w:trPr>
        <w:tc>
          <w:tcPr>
            <w:tcW w:w="2689" w:type="dxa"/>
            <w:gridSpan w:val="2"/>
          </w:tcPr>
          <w:p w14:paraId="20D67C38" w14:textId="77777777" w:rsidR="00351EBE" w:rsidRPr="00351EBE" w:rsidRDefault="00351EBE" w:rsidP="00493656">
            <w:pPr>
              <w:rPr>
                <w:rFonts w:ascii="Arial Narrow" w:hAnsi="Arial Narrow"/>
                <w:snapToGrid w:val="0"/>
                <w:sz w:val="18"/>
                <w:szCs w:val="18"/>
              </w:rPr>
            </w:pPr>
            <w:r w:rsidRPr="00351EBE">
              <w:rPr>
                <w:rFonts w:ascii="Arial Narrow" w:hAnsi="Arial Narrow"/>
                <w:snapToGrid w:val="0"/>
                <w:sz w:val="18"/>
                <w:szCs w:val="18"/>
              </w:rPr>
              <w:t>apalutamide 60 mg tablet, 120</w:t>
            </w:r>
          </w:p>
        </w:tc>
        <w:tc>
          <w:tcPr>
            <w:tcW w:w="1275" w:type="dxa"/>
          </w:tcPr>
          <w:p w14:paraId="5F6844C9" w14:textId="77777777" w:rsidR="00351EBE" w:rsidRPr="00351EBE" w:rsidRDefault="00351EBE" w:rsidP="00493656">
            <w:pPr>
              <w:jc w:val="center"/>
              <w:rPr>
                <w:rFonts w:ascii="Arial Narrow" w:hAnsi="Arial Narrow"/>
                <w:snapToGrid w:val="0"/>
                <w:sz w:val="18"/>
                <w:szCs w:val="18"/>
              </w:rPr>
            </w:pPr>
            <w:r w:rsidRPr="00351EBE">
              <w:rPr>
                <w:rFonts w:ascii="Arial Narrow" w:hAnsi="Arial Narrow"/>
                <w:snapToGrid w:val="0"/>
                <w:sz w:val="18"/>
                <w:szCs w:val="18"/>
              </w:rPr>
              <w:t>New</w:t>
            </w:r>
          </w:p>
        </w:tc>
        <w:tc>
          <w:tcPr>
            <w:tcW w:w="1418" w:type="dxa"/>
          </w:tcPr>
          <w:p w14:paraId="3E23C80F" w14:textId="77777777" w:rsidR="00351EBE" w:rsidRPr="00351EBE" w:rsidRDefault="00351EBE" w:rsidP="00493656">
            <w:pPr>
              <w:jc w:val="center"/>
              <w:rPr>
                <w:rFonts w:ascii="Arial Narrow" w:hAnsi="Arial Narrow"/>
                <w:snapToGrid w:val="0"/>
                <w:sz w:val="18"/>
                <w:szCs w:val="18"/>
              </w:rPr>
            </w:pPr>
            <w:r w:rsidRPr="00351EBE">
              <w:rPr>
                <w:rFonts w:ascii="Arial Narrow" w:hAnsi="Arial Narrow"/>
                <w:snapToGrid w:val="0"/>
                <w:sz w:val="18"/>
                <w:szCs w:val="18"/>
              </w:rPr>
              <w:t>120</w:t>
            </w:r>
          </w:p>
        </w:tc>
        <w:tc>
          <w:tcPr>
            <w:tcW w:w="1417" w:type="dxa"/>
          </w:tcPr>
          <w:p w14:paraId="7DBEB6A5" w14:textId="77777777" w:rsidR="00351EBE" w:rsidRPr="00351EBE" w:rsidRDefault="00351EBE" w:rsidP="00493656">
            <w:pPr>
              <w:jc w:val="center"/>
              <w:rPr>
                <w:rFonts w:ascii="Arial Narrow" w:hAnsi="Arial Narrow"/>
                <w:snapToGrid w:val="0"/>
                <w:sz w:val="18"/>
                <w:szCs w:val="18"/>
              </w:rPr>
            </w:pPr>
            <w:r w:rsidRPr="00351EBE">
              <w:rPr>
                <w:rFonts w:ascii="Arial Narrow" w:hAnsi="Arial Narrow"/>
                <w:snapToGrid w:val="0"/>
                <w:sz w:val="18"/>
                <w:szCs w:val="18"/>
              </w:rPr>
              <w:t>1</w:t>
            </w:r>
          </w:p>
        </w:tc>
        <w:tc>
          <w:tcPr>
            <w:tcW w:w="1134" w:type="dxa"/>
          </w:tcPr>
          <w:p w14:paraId="1871D7EC" w14:textId="77777777" w:rsidR="00351EBE" w:rsidRPr="00351EBE" w:rsidRDefault="00351EBE" w:rsidP="00493656">
            <w:pPr>
              <w:keepNext/>
              <w:keepLines/>
              <w:jc w:val="center"/>
              <w:rPr>
                <w:rFonts w:ascii="Arial Narrow" w:hAnsi="Arial Narrow"/>
                <w:sz w:val="18"/>
                <w:szCs w:val="18"/>
              </w:rPr>
            </w:pPr>
            <w:r w:rsidRPr="00351EBE">
              <w:rPr>
                <w:rFonts w:ascii="Arial Narrow" w:hAnsi="Arial Narrow"/>
                <w:sz w:val="18"/>
                <w:szCs w:val="18"/>
              </w:rPr>
              <w:t>5</w:t>
            </w:r>
          </w:p>
        </w:tc>
        <w:tc>
          <w:tcPr>
            <w:tcW w:w="1134" w:type="dxa"/>
          </w:tcPr>
          <w:p w14:paraId="62753580" w14:textId="77777777" w:rsidR="00351EBE" w:rsidRPr="00351EBE" w:rsidRDefault="00351EBE" w:rsidP="00493656">
            <w:pPr>
              <w:rPr>
                <w:rFonts w:ascii="Arial Narrow" w:hAnsi="Arial Narrow"/>
                <w:snapToGrid w:val="0"/>
                <w:sz w:val="18"/>
                <w:szCs w:val="18"/>
                <w:vertAlign w:val="superscript"/>
              </w:rPr>
            </w:pPr>
            <w:r w:rsidRPr="00351EBE">
              <w:rPr>
                <w:rFonts w:ascii="Arial Narrow" w:hAnsi="Arial Narrow"/>
                <w:snapToGrid w:val="0"/>
                <w:sz w:val="18"/>
                <w:szCs w:val="18"/>
              </w:rPr>
              <w:t>Erlyand</w:t>
            </w:r>
          </w:p>
        </w:tc>
      </w:tr>
      <w:tr w:rsidR="00351EBE" w:rsidRPr="00F573A7" w14:paraId="5E7A21CC" w14:textId="77777777" w:rsidTr="00493656">
        <w:tc>
          <w:tcPr>
            <w:tcW w:w="9067" w:type="dxa"/>
            <w:gridSpan w:val="7"/>
          </w:tcPr>
          <w:p w14:paraId="19DD6BB8" w14:textId="77777777" w:rsidR="00351EBE" w:rsidRPr="00351EBE" w:rsidRDefault="00351EBE" w:rsidP="00493656">
            <w:pPr>
              <w:rPr>
                <w:rFonts w:ascii="Arial Narrow" w:hAnsi="Arial Narrow"/>
                <w:snapToGrid w:val="0"/>
                <w:sz w:val="18"/>
                <w:szCs w:val="18"/>
              </w:rPr>
            </w:pPr>
          </w:p>
        </w:tc>
      </w:tr>
      <w:tr w:rsidR="00351EBE" w:rsidRPr="00F573A7" w14:paraId="6489F365" w14:textId="77777777" w:rsidTr="00493656">
        <w:tc>
          <w:tcPr>
            <w:tcW w:w="9067" w:type="dxa"/>
            <w:gridSpan w:val="7"/>
          </w:tcPr>
          <w:p w14:paraId="0E6F728B" w14:textId="77777777" w:rsidR="00351EBE" w:rsidRPr="00351EBE" w:rsidRDefault="00351EBE" w:rsidP="00493656">
            <w:pPr>
              <w:rPr>
                <w:rFonts w:ascii="Arial Narrow" w:hAnsi="Arial Narrow"/>
                <w:b/>
                <w:snapToGrid w:val="0"/>
                <w:sz w:val="18"/>
                <w:szCs w:val="18"/>
              </w:rPr>
            </w:pPr>
            <w:r w:rsidRPr="00351EBE">
              <w:rPr>
                <w:rFonts w:ascii="Arial Narrow" w:hAnsi="Arial Narrow"/>
                <w:b/>
                <w:snapToGrid w:val="0"/>
                <w:sz w:val="18"/>
                <w:szCs w:val="18"/>
              </w:rPr>
              <w:t>Restriction Summary / Treatment of Concept: [</w:t>
            </w:r>
            <w:r w:rsidR="00331608">
              <w:rPr>
                <w:rFonts w:ascii="Arial Narrow" w:hAnsi="Arial Narrow"/>
                <w:b/>
                <w:snapToGrid w:val="0"/>
                <w:sz w:val="18"/>
                <w:szCs w:val="18"/>
              </w:rPr>
              <w:t xml:space="preserve">12398 edited] </w:t>
            </w:r>
            <w:r w:rsidRPr="00351EBE">
              <w:rPr>
                <w:rFonts w:ascii="Arial Narrow" w:hAnsi="Arial Narrow"/>
                <w:bCs/>
                <w:snapToGrid w:val="0"/>
                <w:sz w:val="18"/>
                <w:szCs w:val="18"/>
              </w:rPr>
              <w:t xml:space="preserve">– </w:t>
            </w:r>
            <w:r w:rsidRPr="00331608">
              <w:rPr>
                <w:rFonts w:ascii="Arial Narrow" w:hAnsi="Arial Narrow"/>
                <w:bCs/>
                <w:i/>
                <w:iCs/>
                <w:snapToGrid w:val="0"/>
                <w:sz w:val="18"/>
                <w:szCs w:val="18"/>
              </w:rPr>
              <w:t>as per darolutamide’s restriction</w:t>
            </w:r>
            <w:r w:rsidR="00331608" w:rsidRPr="00331608">
              <w:rPr>
                <w:rFonts w:ascii="Arial Narrow" w:hAnsi="Arial Narrow"/>
                <w:bCs/>
                <w:i/>
                <w:iCs/>
                <w:snapToGrid w:val="0"/>
                <w:sz w:val="18"/>
                <w:szCs w:val="18"/>
              </w:rPr>
              <w:t xml:space="preserve"> </w:t>
            </w:r>
            <w:r w:rsidR="005F5D7F">
              <w:rPr>
                <w:rFonts w:ascii="Arial Narrow" w:hAnsi="Arial Narrow"/>
                <w:bCs/>
                <w:i/>
                <w:iCs/>
                <w:snapToGrid w:val="0"/>
                <w:sz w:val="18"/>
                <w:szCs w:val="18"/>
              </w:rPr>
              <w:t xml:space="preserve">as at </w:t>
            </w:r>
            <w:r w:rsidR="00331608" w:rsidRPr="00331608">
              <w:rPr>
                <w:rFonts w:ascii="Arial Narrow" w:hAnsi="Arial Narrow"/>
                <w:bCs/>
                <w:i/>
                <w:iCs/>
                <w:snapToGrid w:val="0"/>
                <w:sz w:val="18"/>
                <w:szCs w:val="18"/>
              </w:rPr>
              <w:t>1 November 2021</w:t>
            </w:r>
          </w:p>
        </w:tc>
      </w:tr>
      <w:tr w:rsidR="00351EBE" w:rsidRPr="00F573A7" w14:paraId="6CCE7150" w14:textId="77777777" w:rsidTr="00493656">
        <w:tc>
          <w:tcPr>
            <w:tcW w:w="1271" w:type="dxa"/>
            <w:vMerge w:val="restart"/>
          </w:tcPr>
          <w:p w14:paraId="1B4B4CAD" w14:textId="77777777" w:rsidR="00351EBE" w:rsidRPr="00351EBE" w:rsidRDefault="00351EBE" w:rsidP="005E7AF5">
            <w:pPr>
              <w:jc w:val="center"/>
              <w:rPr>
                <w:rFonts w:ascii="Arial Narrow" w:hAnsi="Arial Narrow"/>
                <w:snapToGrid w:val="0"/>
                <w:sz w:val="18"/>
                <w:szCs w:val="18"/>
              </w:rPr>
            </w:pPr>
          </w:p>
        </w:tc>
        <w:tc>
          <w:tcPr>
            <w:tcW w:w="7796" w:type="dxa"/>
            <w:gridSpan w:val="6"/>
          </w:tcPr>
          <w:p w14:paraId="32C93A4D" w14:textId="77777777" w:rsidR="00351EBE" w:rsidRPr="00351EBE" w:rsidRDefault="00351EBE" w:rsidP="00493656">
            <w:pPr>
              <w:ind w:left="-57"/>
              <w:rPr>
                <w:rFonts w:ascii="Arial Narrow" w:hAnsi="Arial Narrow"/>
                <w:snapToGrid w:val="0"/>
                <w:sz w:val="18"/>
                <w:szCs w:val="18"/>
              </w:rPr>
            </w:pPr>
            <w:r w:rsidRPr="00351EBE">
              <w:rPr>
                <w:rFonts w:ascii="Arial Narrow" w:hAnsi="Arial Narrow"/>
                <w:b/>
                <w:snapToGrid w:val="0"/>
                <w:sz w:val="18"/>
                <w:szCs w:val="18"/>
              </w:rPr>
              <w:t xml:space="preserve">Category/Program: </w:t>
            </w:r>
            <w:r w:rsidRPr="00351EBE">
              <w:rPr>
                <w:rFonts w:ascii="Arial Narrow" w:hAnsi="Arial Narrow"/>
                <w:snapToGrid w:val="0"/>
                <w:sz w:val="18"/>
                <w:szCs w:val="18"/>
              </w:rPr>
              <w:t>GENERAL – General Schedule (GE)</w:t>
            </w:r>
          </w:p>
        </w:tc>
      </w:tr>
      <w:tr w:rsidR="00351EBE" w:rsidRPr="00F573A7" w14:paraId="56D2FC3D" w14:textId="77777777" w:rsidTr="00493656">
        <w:trPr>
          <w:trHeight w:val="135"/>
        </w:trPr>
        <w:tc>
          <w:tcPr>
            <w:tcW w:w="1271" w:type="dxa"/>
            <w:vMerge/>
          </w:tcPr>
          <w:p w14:paraId="46DE05FE" w14:textId="77777777" w:rsidR="00351EBE" w:rsidRPr="00351EBE" w:rsidRDefault="00351EBE" w:rsidP="005E7AF5">
            <w:pPr>
              <w:jc w:val="center"/>
              <w:rPr>
                <w:rFonts w:ascii="Arial Narrow" w:hAnsi="Arial Narrow"/>
                <w:snapToGrid w:val="0"/>
                <w:sz w:val="18"/>
                <w:szCs w:val="18"/>
              </w:rPr>
            </w:pPr>
          </w:p>
        </w:tc>
        <w:tc>
          <w:tcPr>
            <w:tcW w:w="7796" w:type="dxa"/>
            <w:gridSpan w:val="6"/>
          </w:tcPr>
          <w:p w14:paraId="4E98CBE5" w14:textId="77777777" w:rsidR="00351EBE" w:rsidRPr="00351EBE" w:rsidRDefault="00351EBE" w:rsidP="00493656">
            <w:pPr>
              <w:ind w:left="-57"/>
              <w:rPr>
                <w:rFonts w:ascii="Arial Narrow" w:hAnsi="Arial Narrow"/>
                <w:snapToGrid w:val="0"/>
                <w:sz w:val="18"/>
                <w:szCs w:val="18"/>
              </w:rPr>
            </w:pPr>
            <w:r w:rsidRPr="00351EBE">
              <w:rPr>
                <w:rFonts w:ascii="Arial Narrow" w:hAnsi="Arial Narrow"/>
                <w:b/>
                <w:snapToGrid w:val="0"/>
                <w:sz w:val="18"/>
                <w:szCs w:val="18"/>
              </w:rPr>
              <w:t xml:space="preserve">Prescriber type: </w:t>
            </w:r>
            <w:r w:rsidRPr="00351EBE">
              <w:rPr>
                <w:rFonts w:ascii="Arial Narrow" w:hAnsi="Arial Narrow"/>
                <w:snapToGrid w:val="0"/>
                <w:sz w:val="18"/>
                <w:szCs w:val="18"/>
              </w:rPr>
              <w:fldChar w:fldCharType="begin">
                <w:ffData>
                  <w:name w:val=""/>
                  <w:enabled/>
                  <w:calcOnExit w:val="0"/>
                  <w:checkBox>
                    <w:sizeAuto/>
                    <w:default w:val="1"/>
                  </w:checkBox>
                </w:ffData>
              </w:fldChar>
            </w:r>
            <w:r w:rsidRPr="00351EBE">
              <w:rPr>
                <w:rFonts w:ascii="Arial Narrow" w:hAnsi="Arial Narrow"/>
                <w:snapToGrid w:val="0"/>
                <w:sz w:val="18"/>
                <w:szCs w:val="18"/>
              </w:rPr>
              <w:instrText xml:space="preserve"> FORMCHECKBOX </w:instrText>
            </w:r>
            <w:r w:rsidR="00F86915">
              <w:rPr>
                <w:rFonts w:ascii="Arial Narrow" w:hAnsi="Arial Narrow"/>
                <w:snapToGrid w:val="0"/>
                <w:sz w:val="18"/>
                <w:szCs w:val="18"/>
              </w:rPr>
            </w:r>
            <w:r w:rsidR="00F86915">
              <w:rPr>
                <w:rFonts w:ascii="Arial Narrow" w:hAnsi="Arial Narrow"/>
                <w:snapToGrid w:val="0"/>
                <w:sz w:val="18"/>
                <w:szCs w:val="18"/>
              </w:rPr>
              <w:fldChar w:fldCharType="separate"/>
            </w:r>
            <w:r w:rsidRPr="00351EBE">
              <w:rPr>
                <w:rFonts w:ascii="Arial Narrow" w:hAnsi="Arial Narrow"/>
                <w:snapToGrid w:val="0"/>
                <w:sz w:val="18"/>
                <w:szCs w:val="18"/>
              </w:rPr>
              <w:fldChar w:fldCharType="end"/>
            </w:r>
            <w:r w:rsidRPr="00351EBE">
              <w:rPr>
                <w:rFonts w:ascii="Arial Narrow" w:hAnsi="Arial Narrow"/>
                <w:snapToGrid w:val="0"/>
                <w:sz w:val="18"/>
                <w:szCs w:val="18"/>
              </w:rPr>
              <w:t xml:space="preserve"> Medical Practitioners    </w:t>
            </w:r>
          </w:p>
        </w:tc>
      </w:tr>
      <w:tr w:rsidR="00351EBE" w:rsidRPr="00F573A7" w14:paraId="352A2F08" w14:textId="77777777" w:rsidTr="00493656">
        <w:tc>
          <w:tcPr>
            <w:tcW w:w="1271" w:type="dxa"/>
            <w:vMerge/>
          </w:tcPr>
          <w:p w14:paraId="77238726" w14:textId="77777777" w:rsidR="00351EBE" w:rsidRPr="00351EBE" w:rsidRDefault="00351EBE" w:rsidP="005E7AF5">
            <w:pPr>
              <w:jc w:val="center"/>
              <w:rPr>
                <w:rFonts w:ascii="Arial Narrow" w:hAnsi="Arial Narrow"/>
                <w:snapToGrid w:val="0"/>
                <w:sz w:val="18"/>
                <w:szCs w:val="18"/>
              </w:rPr>
            </w:pPr>
          </w:p>
        </w:tc>
        <w:tc>
          <w:tcPr>
            <w:tcW w:w="7796" w:type="dxa"/>
            <w:gridSpan w:val="6"/>
          </w:tcPr>
          <w:p w14:paraId="2904B897" w14:textId="77777777" w:rsidR="00351EBE" w:rsidRPr="00351EBE" w:rsidRDefault="00351EBE" w:rsidP="00493656">
            <w:pPr>
              <w:ind w:left="-57"/>
              <w:rPr>
                <w:rFonts w:ascii="Arial Narrow" w:hAnsi="Arial Narrow"/>
                <w:b/>
                <w:snapToGrid w:val="0"/>
                <w:sz w:val="18"/>
                <w:szCs w:val="18"/>
              </w:rPr>
            </w:pPr>
            <w:r w:rsidRPr="00351EBE">
              <w:rPr>
                <w:rFonts w:ascii="Arial Narrow" w:hAnsi="Arial Narrow"/>
                <w:b/>
                <w:snapToGrid w:val="0"/>
                <w:sz w:val="18"/>
                <w:szCs w:val="18"/>
              </w:rPr>
              <w:t>Restriction type:</w:t>
            </w:r>
            <w:r w:rsidRPr="00351EBE">
              <w:rPr>
                <w:rFonts w:ascii="Arial Narrow" w:hAnsi="Arial Narrow"/>
                <w:snapToGrid w:val="0"/>
                <w:sz w:val="18"/>
                <w:szCs w:val="18"/>
              </w:rPr>
              <w:fldChar w:fldCharType="begin">
                <w:ffData>
                  <w:name w:val=""/>
                  <w:enabled/>
                  <w:calcOnExit w:val="0"/>
                  <w:checkBox>
                    <w:sizeAuto/>
                    <w:default w:val="1"/>
                  </w:checkBox>
                </w:ffData>
              </w:fldChar>
            </w:r>
            <w:r w:rsidRPr="00351EBE">
              <w:rPr>
                <w:rFonts w:ascii="Arial Narrow" w:hAnsi="Arial Narrow"/>
                <w:snapToGrid w:val="0"/>
                <w:sz w:val="18"/>
                <w:szCs w:val="18"/>
              </w:rPr>
              <w:instrText xml:space="preserve"> FORMCHECKBOX </w:instrText>
            </w:r>
            <w:r w:rsidR="00F86915">
              <w:rPr>
                <w:rFonts w:ascii="Arial Narrow" w:hAnsi="Arial Narrow"/>
                <w:snapToGrid w:val="0"/>
                <w:sz w:val="18"/>
                <w:szCs w:val="18"/>
              </w:rPr>
            </w:r>
            <w:r w:rsidR="00F86915">
              <w:rPr>
                <w:rFonts w:ascii="Arial Narrow" w:hAnsi="Arial Narrow"/>
                <w:snapToGrid w:val="0"/>
                <w:sz w:val="18"/>
                <w:szCs w:val="18"/>
              </w:rPr>
              <w:fldChar w:fldCharType="separate"/>
            </w:r>
            <w:r w:rsidRPr="00351EBE">
              <w:rPr>
                <w:rFonts w:ascii="Arial Narrow" w:hAnsi="Arial Narrow"/>
                <w:snapToGrid w:val="0"/>
                <w:sz w:val="18"/>
                <w:szCs w:val="18"/>
              </w:rPr>
              <w:fldChar w:fldCharType="end"/>
            </w:r>
            <w:r w:rsidRPr="00351EBE">
              <w:rPr>
                <w:rFonts w:ascii="Arial Narrow" w:hAnsi="Arial Narrow"/>
                <w:snapToGrid w:val="0"/>
                <w:sz w:val="18"/>
                <w:szCs w:val="18"/>
              </w:rPr>
              <w:t xml:space="preserve"> Authority Required (</w:t>
            </w:r>
            <w:r w:rsidR="00331608">
              <w:rPr>
                <w:rFonts w:ascii="Arial Narrow" w:hAnsi="Arial Narrow"/>
                <w:snapToGrid w:val="0"/>
                <w:sz w:val="18"/>
                <w:szCs w:val="18"/>
              </w:rPr>
              <w:t>telephone/</w:t>
            </w:r>
            <w:r w:rsidRPr="00351EBE">
              <w:rPr>
                <w:rFonts w:ascii="Arial Narrow" w:hAnsi="Arial Narrow"/>
                <w:snapToGrid w:val="0"/>
                <w:sz w:val="18"/>
                <w:szCs w:val="18"/>
              </w:rPr>
              <w:t>online</w:t>
            </w:r>
            <w:r w:rsidR="00331608">
              <w:rPr>
                <w:rFonts w:ascii="Arial Narrow" w:hAnsi="Arial Narrow"/>
                <w:snapToGrid w:val="0"/>
                <w:sz w:val="18"/>
                <w:szCs w:val="18"/>
              </w:rPr>
              <w:t xml:space="preserve"> PBS authorities system</w:t>
            </w:r>
            <w:r w:rsidRPr="00351EBE">
              <w:rPr>
                <w:rFonts w:ascii="Arial Narrow" w:hAnsi="Arial Narrow"/>
                <w:snapToGrid w:val="0"/>
                <w:sz w:val="18"/>
                <w:szCs w:val="18"/>
              </w:rPr>
              <w:t>)</w:t>
            </w:r>
          </w:p>
        </w:tc>
      </w:tr>
      <w:tr w:rsidR="00331608" w:rsidRPr="00F573A7" w14:paraId="4F6CC88F" w14:textId="77777777" w:rsidTr="00493656">
        <w:tc>
          <w:tcPr>
            <w:tcW w:w="1271" w:type="dxa"/>
          </w:tcPr>
          <w:p w14:paraId="2E5B05E5" w14:textId="77777777" w:rsidR="00331608" w:rsidRPr="00351EBE" w:rsidRDefault="00331608" w:rsidP="005E7AF5">
            <w:pPr>
              <w:jc w:val="center"/>
              <w:rPr>
                <w:rFonts w:ascii="Arial Narrow" w:hAnsi="Arial Narrow"/>
                <w:snapToGrid w:val="0"/>
                <w:sz w:val="18"/>
                <w:szCs w:val="18"/>
              </w:rPr>
            </w:pPr>
          </w:p>
        </w:tc>
        <w:tc>
          <w:tcPr>
            <w:tcW w:w="7796" w:type="dxa"/>
            <w:gridSpan w:val="6"/>
          </w:tcPr>
          <w:p w14:paraId="74FE00AC" w14:textId="77777777" w:rsidR="00331608" w:rsidRPr="00351EBE" w:rsidRDefault="00331608" w:rsidP="00493656">
            <w:pPr>
              <w:ind w:left="-57"/>
              <w:rPr>
                <w:rFonts w:ascii="Arial Narrow" w:hAnsi="Arial Narrow"/>
                <w:b/>
                <w:snapToGrid w:val="0"/>
                <w:sz w:val="18"/>
                <w:szCs w:val="18"/>
              </w:rPr>
            </w:pPr>
          </w:p>
        </w:tc>
      </w:tr>
      <w:tr w:rsidR="00351EBE" w:rsidRPr="00F573A7" w14:paraId="340A721C" w14:textId="77777777" w:rsidTr="00493656">
        <w:tc>
          <w:tcPr>
            <w:tcW w:w="1271" w:type="dxa"/>
          </w:tcPr>
          <w:p w14:paraId="1B56FC61" w14:textId="77777777" w:rsidR="00351EBE" w:rsidRPr="00351EBE" w:rsidRDefault="00351EBE" w:rsidP="005E7AF5">
            <w:pPr>
              <w:jc w:val="center"/>
              <w:rPr>
                <w:rFonts w:ascii="Arial Narrow" w:hAnsi="Arial Narrow"/>
                <w:snapToGrid w:val="0"/>
                <w:sz w:val="18"/>
                <w:szCs w:val="18"/>
              </w:rPr>
            </w:pPr>
          </w:p>
        </w:tc>
        <w:tc>
          <w:tcPr>
            <w:tcW w:w="7796" w:type="dxa"/>
            <w:gridSpan w:val="6"/>
          </w:tcPr>
          <w:p w14:paraId="731CD453" w14:textId="77777777" w:rsidR="00351EBE" w:rsidRPr="00351EBE" w:rsidRDefault="00351EBE" w:rsidP="00493656">
            <w:pPr>
              <w:ind w:left="-57"/>
              <w:rPr>
                <w:rFonts w:ascii="Arial Narrow" w:hAnsi="Arial Narrow"/>
                <w:snapToGrid w:val="0"/>
                <w:sz w:val="18"/>
                <w:szCs w:val="18"/>
              </w:rPr>
            </w:pPr>
            <w:r w:rsidRPr="00351EBE">
              <w:rPr>
                <w:rFonts w:ascii="Arial Narrow" w:hAnsi="Arial Narrow"/>
                <w:b/>
                <w:snapToGrid w:val="0"/>
                <w:sz w:val="18"/>
                <w:szCs w:val="18"/>
              </w:rPr>
              <w:t xml:space="preserve">PBS indication: </w:t>
            </w:r>
            <w:r w:rsidRPr="00351EBE">
              <w:rPr>
                <w:rFonts w:ascii="Arial Narrow" w:hAnsi="Arial Narrow"/>
                <w:snapToGrid w:val="0"/>
                <w:sz w:val="18"/>
                <w:szCs w:val="18"/>
              </w:rPr>
              <w:t>Castration resistant non-metastatic carcinoma of the prostate</w:t>
            </w:r>
          </w:p>
        </w:tc>
      </w:tr>
      <w:tr w:rsidR="00351EBE" w:rsidRPr="00F573A7" w14:paraId="3B9E9D30" w14:textId="77777777" w:rsidTr="00493656">
        <w:tc>
          <w:tcPr>
            <w:tcW w:w="1271" w:type="dxa"/>
          </w:tcPr>
          <w:p w14:paraId="0FC85CB0" w14:textId="77777777" w:rsidR="00351EBE" w:rsidRPr="00351EBE" w:rsidRDefault="00351EBE" w:rsidP="005E7AF5">
            <w:pPr>
              <w:jc w:val="center"/>
              <w:rPr>
                <w:rFonts w:ascii="Arial Narrow" w:hAnsi="Arial Narrow"/>
                <w:snapToGrid w:val="0"/>
                <w:sz w:val="18"/>
                <w:szCs w:val="18"/>
              </w:rPr>
            </w:pPr>
          </w:p>
        </w:tc>
        <w:tc>
          <w:tcPr>
            <w:tcW w:w="7796" w:type="dxa"/>
            <w:gridSpan w:val="6"/>
          </w:tcPr>
          <w:p w14:paraId="14988E7A" w14:textId="77777777" w:rsidR="00351EBE" w:rsidRPr="00351EBE" w:rsidRDefault="00351EBE" w:rsidP="00493656">
            <w:pPr>
              <w:ind w:left="-57"/>
              <w:rPr>
                <w:rFonts w:ascii="Arial Narrow" w:hAnsi="Arial Narrow"/>
                <w:snapToGrid w:val="0"/>
                <w:sz w:val="18"/>
                <w:szCs w:val="18"/>
              </w:rPr>
            </w:pPr>
            <w:r w:rsidRPr="00351EBE">
              <w:rPr>
                <w:rFonts w:ascii="Arial Narrow" w:hAnsi="Arial Narrow"/>
                <w:b/>
                <w:snapToGrid w:val="0"/>
                <w:sz w:val="18"/>
                <w:szCs w:val="18"/>
              </w:rPr>
              <w:t xml:space="preserve">Treatment phase: </w:t>
            </w:r>
            <w:r w:rsidRPr="00351EBE">
              <w:rPr>
                <w:rFonts w:ascii="Arial Narrow" w:hAnsi="Arial Narrow"/>
                <w:bCs/>
                <w:snapToGrid w:val="0"/>
                <w:sz w:val="18"/>
                <w:szCs w:val="18"/>
              </w:rPr>
              <w:t>[blank]</w:t>
            </w:r>
          </w:p>
        </w:tc>
      </w:tr>
      <w:tr w:rsidR="00331608" w:rsidRPr="00F573A7" w14:paraId="12A11368" w14:textId="77777777" w:rsidTr="005E7AF5">
        <w:trPr>
          <w:trHeight w:val="56"/>
        </w:trPr>
        <w:tc>
          <w:tcPr>
            <w:tcW w:w="1271" w:type="dxa"/>
          </w:tcPr>
          <w:p w14:paraId="4F00FD20" w14:textId="77777777" w:rsidR="00331608" w:rsidRPr="00351EBE" w:rsidRDefault="00331608" w:rsidP="005E7AF5">
            <w:pPr>
              <w:jc w:val="center"/>
              <w:rPr>
                <w:rFonts w:ascii="Arial Narrow" w:hAnsi="Arial Narrow"/>
                <w:snapToGrid w:val="0"/>
                <w:sz w:val="18"/>
                <w:szCs w:val="18"/>
              </w:rPr>
            </w:pPr>
          </w:p>
        </w:tc>
        <w:tc>
          <w:tcPr>
            <w:tcW w:w="7796" w:type="dxa"/>
            <w:gridSpan w:val="6"/>
          </w:tcPr>
          <w:p w14:paraId="73FB816C" w14:textId="77777777" w:rsidR="00331608" w:rsidRPr="00351EBE" w:rsidRDefault="00331608" w:rsidP="00493656">
            <w:pPr>
              <w:ind w:left="-57"/>
              <w:rPr>
                <w:rFonts w:ascii="Arial Narrow" w:hAnsi="Arial Narrow"/>
                <w:b/>
                <w:snapToGrid w:val="0"/>
                <w:sz w:val="18"/>
                <w:szCs w:val="18"/>
              </w:rPr>
            </w:pPr>
          </w:p>
        </w:tc>
      </w:tr>
      <w:tr w:rsidR="00351EBE" w:rsidRPr="00F573A7" w14:paraId="38131CA5" w14:textId="77777777" w:rsidTr="00493656">
        <w:trPr>
          <w:trHeight w:val="173"/>
        </w:trPr>
        <w:tc>
          <w:tcPr>
            <w:tcW w:w="1271" w:type="dxa"/>
          </w:tcPr>
          <w:p w14:paraId="48724A55" w14:textId="77777777" w:rsidR="00351EBE" w:rsidRPr="00351EBE" w:rsidRDefault="00351EBE" w:rsidP="005E7AF5">
            <w:pPr>
              <w:jc w:val="center"/>
              <w:rPr>
                <w:rFonts w:ascii="Arial Narrow" w:hAnsi="Arial Narrow"/>
                <w:snapToGrid w:val="0"/>
                <w:sz w:val="18"/>
                <w:szCs w:val="18"/>
              </w:rPr>
            </w:pPr>
          </w:p>
        </w:tc>
        <w:tc>
          <w:tcPr>
            <w:tcW w:w="7796" w:type="dxa"/>
            <w:gridSpan w:val="6"/>
          </w:tcPr>
          <w:p w14:paraId="639A78A4" w14:textId="77777777" w:rsidR="00351EBE" w:rsidRPr="00351EBE" w:rsidRDefault="00351EBE" w:rsidP="00493656">
            <w:pPr>
              <w:ind w:left="-57"/>
              <w:rPr>
                <w:rFonts w:ascii="Arial Narrow" w:hAnsi="Arial Narrow"/>
                <w:b/>
                <w:snapToGrid w:val="0"/>
                <w:sz w:val="18"/>
                <w:szCs w:val="18"/>
              </w:rPr>
            </w:pPr>
            <w:r w:rsidRPr="00351EBE">
              <w:rPr>
                <w:rFonts w:ascii="Arial Narrow" w:hAnsi="Arial Narrow"/>
                <w:b/>
                <w:snapToGrid w:val="0"/>
                <w:sz w:val="18"/>
                <w:szCs w:val="18"/>
              </w:rPr>
              <w:t>Clinical criteria:</w:t>
            </w:r>
          </w:p>
        </w:tc>
      </w:tr>
      <w:tr w:rsidR="00351EBE" w:rsidRPr="00F573A7" w14:paraId="44620D8C" w14:textId="77777777" w:rsidTr="00493656">
        <w:tc>
          <w:tcPr>
            <w:tcW w:w="1271" w:type="dxa"/>
            <w:vAlign w:val="center"/>
          </w:tcPr>
          <w:p w14:paraId="503EC374" w14:textId="77777777" w:rsidR="00351EBE" w:rsidRPr="00351EBE" w:rsidRDefault="00351EBE" w:rsidP="005E7AF5">
            <w:pPr>
              <w:jc w:val="center"/>
              <w:rPr>
                <w:rFonts w:ascii="Arial Narrow" w:hAnsi="Arial Narrow"/>
                <w:snapToGrid w:val="0"/>
                <w:sz w:val="18"/>
                <w:szCs w:val="18"/>
              </w:rPr>
            </w:pPr>
          </w:p>
        </w:tc>
        <w:tc>
          <w:tcPr>
            <w:tcW w:w="7796" w:type="dxa"/>
            <w:gridSpan w:val="6"/>
            <w:shd w:val="clear" w:color="auto" w:fill="auto"/>
          </w:tcPr>
          <w:p w14:paraId="12DD06FF" w14:textId="77777777" w:rsidR="00351EBE" w:rsidRPr="00351EBE" w:rsidDel="00D8558E" w:rsidRDefault="00351EBE" w:rsidP="00493656">
            <w:pPr>
              <w:ind w:left="-57"/>
              <w:rPr>
                <w:rFonts w:ascii="Arial Narrow" w:hAnsi="Arial Narrow"/>
                <w:snapToGrid w:val="0"/>
                <w:sz w:val="18"/>
                <w:szCs w:val="18"/>
              </w:rPr>
            </w:pPr>
            <w:r w:rsidRPr="00351EBE">
              <w:rPr>
                <w:rFonts w:ascii="Arial Narrow" w:hAnsi="Arial Narrow"/>
                <w:snapToGrid w:val="0"/>
                <w:sz w:val="18"/>
                <w:szCs w:val="18"/>
              </w:rPr>
              <w:t xml:space="preserve">The condition must have evidence of an absence of distant metastases on the most recently performed conventional medical imaging used to evaluate the condition. </w:t>
            </w:r>
          </w:p>
        </w:tc>
      </w:tr>
      <w:tr w:rsidR="00351EBE" w:rsidRPr="00F573A7" w14:paraId="39CD2F94" w14:textId="77777777" w:rsidTr="00493656">
        <w:tc>
          <w:tcPr>
            <w:tcW w:w="1271" w:type="dxa"/>
            <w:vAlign w:val="center"/>
          </w:tcPr>
          <w:p w14:paraId="00AE9472" w14:textId="77777777" w:rsidR="00351EBE" w:rsidRPr="00351EBE" w:rsidRDefault="00351EBE" w:rsidP="005E7AF5">
            <w:pPr>
              <w:jc w:val="center"/>
              <w:rPr>
                <w:rFonts w:ascii="Arial Narrow" w:hAnsi="Arial Narrow"/>
                <w:snapToGrid w:val="0"/>
                <w:sz w:val="18"/>
                <w:szCs w:val="18"/>
              </w:rPr>
            </w:pPr>
          </w:p>
        </w:tc>
        <w:tc>
          <w:tcPr>
            <w:tcW w:w="7796" w:type="dxa"/>
            <w:gridSpan w:val="6"/>
            <w:shd w:val="clear" w:color="auto" w:fill="auto"/>
          </w:tcPr>
          <w:p w14:paraId="4481920F" w14:textId="77777777" w:rsidR="00351EBE" w:rsidRPr="00351EBE" w:rsidRDefault="00351EBE" w:rsidP="00493656">
            <w:pPr>
              <w:ind w:left="-57"/>
              <w:rPr>
                <w:rFonts w:ascii="Arial Narrow" w:hAnsi="Arial Narrow"/>
                <w:b/>
                <w:snapToGrid w:val="0"/>
                <w:sz w:val="18"/>
                <w:szCs w:val="18"/>
              </w:rPr>
            </w:pPr>
            <w:r w:rsidRPr="00351EBE">
              <w:rPr>
                <w:rFonts w:ascii="Arial Narrow" w:hAnsi="Arial Narrow"/>
                <w:b/>
                <w:snapToGrid w:val="0"/>
                <w:sz w:val="18"/>
                <w:szCs w:val="18"/>
              </w:rPr>
              <w:t>AND</w:t>
            </w:r>
          </w:p>
        </w:tc>
      </w:tr>
      <w:tr w:rsidR="00351EBE" w:rsidRPr="00F573A7" w14:paraId="4DB76692" w14:textId="77777777" w:rsidTr="00493656">
        <w:tc>
          <w:tcPr>
            <w:tcW w:w="1271" w:type="dxa"/>
            <w:vAlign w:val="center"/>
          </w:tcPr>
          <w:p w14:paraId="0FA715D0" w14:textId="77777777" w:rsidR="00351EBE" w:rsidRPr="00351EBE" w:rsidRDefault="00351EBE" w:rsidP="005E7AF5">
            <w:pPr>
              <w:jc w:val="center"/>
              <w:rPr>
                <w:rFonts w:ascii="Arial Narrow" w:hAnsi="Arial Narrow"/>
                <w:snapToGrid w:val="0"/>
                <w:sz w:val="18"/>
                <w:szCs w:val="18"/>
              </w:rPr>
            </w:pPr>
          </w:p>
        </w:tc>
        <w:tc>
          <w:tcPr>
            <w:tcW w:w="7796" w:type="dxa"/>
            <w:gridSpan w:val="6"/>
            <w:shd w:val="clear" w:color="auto" w:fill="auto"/>
          </w:tcPr>
          <w:p w14:paraId="17FC8643" w14:textId="77777777" w:rsidR="00351EBE" w:rsidRPr="00351EBE" w:rsidRDefault="00351EBE" w:rsidP="00493656">
            <w:pPr>
              <w:ind w:left="-57"/>
              <w:rPr>
                <w:rFonts w:ascii="Arial Narrow" w:hAnsi="Arial Narrow"/>
                <w:snapToGrid w:val="0"/>
                <w:sz w:val="18"/>
                <w:szCs w:val="18"/>
              </w:rPr>
            </w:pPr>
            <w:r w:rsidRPr="00351EBE">
              <w:rPr>
                <w:rFonts w:ascii="Arial Narrow" w:hAnsi="Arial Narrow"/>
                <w:b/>
                <w:snapToGrid w:val="0"/>
                <w:sz w:val="18"/>
                <w:szCs w:val="18"/>
              </w:rPr>
              <w:t>Clinical criteria:</w:t>
            </w:r>
          </w:p>
        </w:tc>
      </w:tr>
      <w:tr w:rsidR="00351EBE" w:rsidRPr="00F573A7" w14:paraId="6962B07C" w14:textId="77777777" w:rsidTr="00493656">
        <w:trPr>
          <w:trHeight w:val="291"/>
        </w:trPr>
        <w:tc>
          <w:tcPr>
            <w:tcW w:w="1271" w:type="dxa"/>
            <w:vAlign w:val="center"/>
          </w:tcPr>
          <w:p w14:paraId="0FE6CBA7" w14:textId="77777777" w:rsidR="00351EBE" w:rsidRPr="00351EBE" w:rsidRDefault="00351EBE" w:rsidP="005E7AF5">
            <w:pPr>
              <w:jc w:val="center"/>
              <w:rPr>
                <w:rFonts w:ascii="Arial Narrow" w:hAnsi="Arial Narrow"/>
                <w:snapToGrid w:val="0"/>
                <w:sz w:val="18"/>
                <w:szCs w:val="18"/>
              </w:rPr>
            </w:pPr>
          </w:p>
        </w:tc>
        <w:tc>
          <w:tcPr>
            <w:tcW w:w="7796" w:type="dxa"/>
            <w:gridSpan w:val="6"/>
            <w:shd w:val="clear" w:color="auto" w:fill="auto"/>
          </w:tcPr>
          <w:p w14:paraId="241F8CA1" w14:textId="77777777" w:rsidR="00351EBE" w:rsidRPr="00351EBE" w:rsidRDefault="00351EBE" w:rsidP="00493656">
            <w:pPr>
              <w:ind w:left="-57"/>
              <w:rPr>
                <w:rFonts w:ascii="Arial Narrow" w:hAnsi="Arial Narrow"/>
                <w:snapToGrid w:val="0"/>
                <w:sz w:val="18"/>
                <w:szCs w:val="18"/>
              </w:rPr>
            </w:pPr>
            <w:r w:rsidRPr="00351EBE">
              <w:rPr>
                <w:rFonts w:ascii="Arial Narrow" w:hAnsi="Arial Narrow"/>
                <w:snapToGrid w:val="0"/>
                <w:sz w:val="18"/>
                <w:szCs w:val="18"/>
              </w:rPr>
              <w:t>The condition must be associated with a prostate-specific antigen level that was observed to have at least doubled in value in a time period of within 10 months any time prior to first commencing treatment with this drug.</w:t>
            </w:r>
          </w:p>
        </w:tc>
      </w:tr>
      <w:tr w:rsidR="00351EBE" w:rsidRPr="00F573A7" w14:paraId="323ED4D8" w14:textId="77777777" w:rsidTr="00493656">
        <w:tc>
          <w:tcPr>
            <w:tcW w:w="1271" w:type="dxa"/>
          </w:tcPr>
          <w:p w14:paraId="0A198780" w14:textId="77777777" w:rsidR="00351EBE" w:rsidRPr="00351EBE" w:rsidRDefault="00351EBE" w:rsidP="005E7AF5">
            <w:pPr>
              <w:jc w:val="center"/>
              <w:rPr>
                <w:rFonts w:ascii="Arial Narrow" w:hAnsi="Arial Narrow"/>
                <w:snapToGrid w:val="0"/>
                <w:sz w:val="18"/>
                <w:szCs w:val="18"/>
              </w:rPr>
            </w:pPr>
          </w:p>
        </w:tc>
        <w:tc>
          <w:tcPr>
            <w:tcW w:w="7796" w:type="dxa"/>
            <w:gridSpan w:val="6"/>
          </w:tcPr>
          <w:p w14:paraId="106FF60C" w14:textId="77777777" w:rsidR="00351EBE" w:rsidRPr="00351EBE" w:rsidRDefault="00351EBE" w:rsidP="00493656">
            <w:pPr>
              <w:ind w:left="-57"/>
              <w:rPr>
                <w:rFonts w:ascii="Arial Narrow" w:hAnsi="Arial Narrow"/>
                <w:b/>
                <w:snapToGrid w:val="0"/>
                <w:sz w:val="18"/>
                <w:szCs w:val="18"/>
              </w:rPr>
            </w:pPr>
            <w:r w:rsidRPr="00351EBE">
              <w:rPr>
                <w:rFonts w:ascii="Arial Narrow" w:hAnsi="Arial Narrow"/>
                <w:b/>
                <w:snapToGrid w:val="0"/>
                <w:sz w:val="18"/>
                <w:szCs w:val="18"/>
              </w:rPr>
              <w:t>AND</w:t>
            </w:r>
          </w:p>
        </w:tc>
      </w:tr>
      <w:tr w:rsidR="00351EBE" w:rsidRPr="00F573A7" w14:paraId="42532873" w14:textId="77777777" w:rsidTr="00493656">
        <w:tc>
          <w:tcPr>
            <w:tcW w:w="1271" w:type="dxa"/>
          </w:tcPr>
          <w:p w14:paraId="2F783BEF" w14:textId="77777777" w:rsidR="00351EBE" w:rsidRPr="00351EBE" w:rsidRDefault="00351EBE" w:rsidP="005E7AF5">
            <w:pPr>
              <w:jc w:val="center"/>
              <w:rPr>
                <w:rFonts w:ascii="Arial Narrow" w:hAnsi="Arial Narrow"/>
                <w:snapToGrid w:val="0"/>
                <w:sz w:val="18"/>
                <w:szCs w:val="18"/>
              </w:rPr>
            </w:pPr>
          </w:p>
        </w:tc>
        <w:tc>
          <w:tcPr>
            <w:tcW w:w="7796" w:type="dxa"/>
            <w:gridSpan w:val="6"/>
            <w:shd w:val="clear" w:color="auto" w:fill="auto"/>
          </w:tcPr>
          <w:p w14:paraId="32A01505" w14:textId="77777777" w:rsidR="00351EBE" w:rsidRPr="00351EBE" w:rsidRDefault="00351EBE" w:rsidP="00493656">
            <w:pPr>
              <w:ind w:left="-57"/>
              <w:rPr>
                <w:rFonts w:ascii="Arial Narrow" w:hAnsi="Arial Narrow"/>
                <w:snapToGrid w:val="0"/>
                <w:sz w:val="18"/>
                <w:szCs w:val="18"/>
              </w:rPr>
            </w:pPr>
            <w:r w:rsidRPr="00351EBE">
              <w:rPr>
                <w:rFonts w:ascii="Arial Narrow" w:hAnsi="Arial Narrow"/>
                <w:b/>
                <w:snapToGrid w:val="0"/>
                <w:sz w:val="18"/>
                <w:szCs w:val="18"/>
              </w:rPr>
              <w:t>Clinical criteria:</w:t>
            </w:r>
          </w:p>
        </w:tc>
      </w:tr>
      <w:tr w:rsidR="00351EBE" w:rsidRPr="00F573A7" w14:paraId="3EA87F9C" w14:textId="77777777" w:rsidTr="00493656">
        <w:tc>
          <w:tcPr>
            <w:tcW w:w="1271" w:type="dxa"/>
          </w:tcPr>
          <w:p w14:paraId="0B439022" w14:textId="77777777" w:rsidR="00351EBE" w:rsidRPr="00351EBE" w:rsidRDefault="00351EBE" w:rsidP="005E7AF5">
            <w:pPr>
              <w:jc w:val="center"/>
              <w:rPr>
                <w:rFonts w:ascii="Arial Narrow" w:hAnsi="Arial Narrow"/>
                <w:snapToGrid w:val="0"/>
                <w:sz w:val="18"/>
                <w:szCs w:val="18"/>
              </w:rPr>
            </w:pPr>
          </w:p>
        </w:tc>
        <w:tc>
          <w:tcPr>
            <w:tcW w:w="7796" w:type="dxa"/>
            <w:gridSpan w:val="6"/>
            <w:shd w:val="clear" w:color="auto" w:fill="auto"/>
          </w:tcPr>
          <w:p w14:paraId="39FD1F5A" w14:textId="77777777" w:rsidR="00351EBE" w:rsidRPr="00351EBE" w:rsidRDefault="00351EBE" w:rsidP="00493656">
            <w:pPr>
              <w:ind w:left="-57"/>
              <w:rPr>
                <w:rFonts w:ascii="Arial Narrow" w:hAnsi="Arial Narrow"/>
                <w:snapToGrid w:val="0"/>
                <w:sz w:val="18"/>
                <w:szCs w:val="18"/>
              </w:rPr>
            </w:pPr>
            <w:r w:rsidRPr="00351EBE">
              <w:rPr>
                <w:rFonts w:ascii="Arial Narrow" w:hAnsi="Arial Narrow"/>
                <w:snapToGrid w:val="0"/>
                <w:sz w:val="18"/>
                <w:szCs w:val="18"/>
              </w:rPr>
              <w:t>Patient must have a World Health Organisation (WHO) or Eastern Cooperative Oncology Group (ECOG) performance status score no higher than 1 prior to treatment initiation.</w:t>
            </w:r>
          </w:p>
        </w:tc>
      </w:tr>
      <w:tr w:rsidR="00351EBE" w:rsidRPr="00F573A7" w14:paraId="4A31DD1E" w14:textId="77777777" w:rsidTr="00493656">
        <w:tc>
          <w:tcPr>
            <w:tcW w:w="1271" w:type="dxa"/>
          </w:tcPr>
          <w:p w14:paraId="61345B30" w14:textId="77777777" w:rsidR="00351EBE" w:rsidRPr="00351EBE" w:rsidRDefault="00351EBE" w:rsidP="005E7AF5">
            <w:pPr>
              <w:jc w:val="center"/>
              <w:rPr>
                <w:rFonts w:ascii="Arial Narrow" w:hAnsi="Arial Narrow"/>
                <w:snapToGrid w:val="0"/>
                <w:sz w:val="18"/>
                <w:szCs w:val="18"/>
              </w:rPr>
            </w:pPr>
          </w:p>
        </w:tc>
        <w:tc>
          <w:tcPr>
            <w:tcW w:w="7796" w:type="dxa"/>
            <w:gridSpan w:val="6"/>
            <w:shd w:val="clear" w:color="auto" w:fill="auto"/>
          </w:tcPr>
          <w:p w14:paraId="309B2046" w14:textId="77777777" w:rsidR="00351EBE" w:rsidRPr="00351EBE" w:rsidRDefault="00351EBE" w:rsidP="00493656">
            <w:pPr>
              <w:ind w:left="-57"/>
              <w:rPr>
                <w:rFonts w:ascii="Arial Narrow" w:hAnsi="Arial Narrow"/>
                <w:snapToGrid w:val="0"/>
                <w:sz w:val="18"/>
                <w:szCs w:val="18"/>
              </w:rPr>
            </w:pPr>
            <w:r w:rsidRPr="00351EBE">
              <w:rPr>
                <w:rFonts w:ascii="Arial Narrow" w:hAnsi="Arial Narrow"/>
                <w:b/>
                <w:snapToGrid w:val="0"/>
                <w:sz w:val="18"/>
                <w:szCs w:val="18"/>
              </w:rPr>
              <w:t>AND</w:t>
            </w:r>
          </w:p>
        </w:tc>
      </w:tr>
      <w:tr w:rsidR="00351EBE" w:rsidRPr="00F573A7" w14:paraId="5D2AA12E" w14:textId="77777777" w:rsidTr="00493656">
        <w:tc>
          <w:tcPr>
            <w:tcW w:w="1271" w:type="dxa"/>
          </w:tcPr>
          <w:p w14:paraId="75FCB0DF" w14:textId="77777777" w:rsidR="00351EBE" w:rsidRPr="00351EBE" w:rsidRDefault="00351EBE" w:rsidP="005E7AF5">
            <w:pPr>
              <w:jc w:val="center"/>
              <w:rPr>
                <w:rFonts w:ascii="Arial Narrow" w:hAnsi="Arial Narrow"/>
                <w:snapToGrid w:val="0"/>
                <w:sz w:val="18"/>
                <w:szCs w:val="18"/>
              </w:rPr>
            </w:pPr>
          </w:p>
        </w:tc>
        <w:tc>
          <w:tcPr>
            <w:tcW w:w="7796" w:type="dxa"/>
            <w:gridSpan w:val="6"/>
            <w:shd w:val="clear" w:color="auto" w:fill="auto"/>
          </w:tcPr>
          <w:p w14:paraId="7A1A4734" w14:textId="77777777" w:rsidR="00351EBE" w:rsidRPr="00351EBE" w:rsidRDefault="00351EBE" w:rsidP="00493656">
            <w:pPr>
              <w:ind w:left="-57"/>
              <w:rPr>
                <w:rFonts w:ascii="Arial Narrow" w:hAnsi="Arial Narrow"/>
                <w:snapToGrid w:val="0"/>
                <w:sz w:val="18"/>
                <w:szCs w:val="18"/>
              </w:rPr>
            </w:pPr>
            <w:r w:rsidRPr="00351EBE">
              <w:rPr>
                <w:rFonts w:ascii="Arial Narrow" w:hAnsi="Arial Narrow"/>
                <w:b/>
                <w:snapToGrid w:val="0"/>
                <w:sz w:val="18"/>
                <w:szCs w:val="18"/>
              </w:rPr>
              <w:t>Clinical criteria:</w:t>
            </w:r>
          </w:p>
        </w:tc>
      </w:tr>
      <w:tr w:rsidR="00351EBE" w:rsidRPr="00F573A7" w14:paraId="1971B1F9" w14:textId="77777777" w:rsidTr="00493656">
        <w:trPr>
          <w:trHeight w:val="46"/>
        </w:trPr>
        <w:tc>
          <w:tcPr>
            <w:tcW w:w="1271" w:type="dxa"/>
            <w:shd w:val="clear" w:color="auto" w:fill="auto"/>
          </w:tcPr>
          <w:p w14:paraId="47765553" w14:textId="77777777" w:rsidR="00351EBE" w:rsidRPr="00351EBE" w:rsidRDefault="00351EBE" w:rsidP="005E7AF5">
            <w:pPr>
              <w:jc w:val="center"/>
              <w:rPr>
                <w:rFonts w:ascii="Arial Narrow" w:hAnsi="Arial Narrow"/>
                <w:snapToGrid w:val="0"/>
                <w:sz w:val="18"/>
                <w:szCs w:val="18"/>
              </w:rPr>
            </w:pPr>
          </w:p>
        </w:tc>
        <w:tc>
          <w:tcPr>
            <w:tcW w:w="7796" w:type="dxa"/>
            <w:gridSpan w:val="6"/>
            <w:shd w:val="clear" w:color="auto" w:fill="auto"/>
          </w:tcPr>
          <w:p w14:paraId="21B43569" w14:textId="77777777" w:rsidR="00351EBE" w:rsidRPr="00351EBE" w:rsidRDefault="00351EBE" w:rsidP="00493656">
            <w:pPr>
              <w:ind w:left="-57"/>
              <w:rPr>
                <w:rFonts w:ascii="Arial Narrow" w:hAnsi="Arial Narrow"/>
                <w:b/>
                <w:bCs/>
                <w:snapToGrid w:val="0"/>
                <w:sz w:val="18"/>
                <w:szCs w:val="18"/>
              </w:rPr>
            </w:pPr>
            <w:r w:rsidRPr="00351EBE">
              <w:rPr>
                <w:rFonts w:ascii="Arial Narrow" w:hAnsi="Arial Narrow"/>
                <w:sz w:val="18"/>
                <w:szCs w:val="18"/>
              </w:rPr>
              <w:t>Patient must not receive PBS-subsidised treatment with this drug if progressive disease develops while on this drug.</w:t>
            </w:r>
          </w:p>
        </w:tc>
      </w:tr>
      <w:tr w:rsidR="00B36B4E" w:rsidRPr="00B36B4E" w14:paraId="69CC8A5A" w14:textId="77777777" w:rsidTr="00493656">
        <w:trPr>
          <w:trHeight w:val="46"/>
        </w:trPr>
        <w:tc>
          <w:tcPr>
            <w:tcW w:w="1271" w:type="dxa"/>
            <w:shd w:val="clear" w:color="auto" w:fill="auto"/>
          </w:tcPr>
          <w:p w14:paraId="39C5531B" w14:textId="77777777" w:rsidR="00B36B4E" w:rsidRPr="00840498" w:rsidRDefault="00B36B4E" w:rsidP="005E7AF5">
            <w:pPr>
              <w:jc w:val="center"/>
              <w:rPr>
                <w:rFonts w:ascii="Arial Narrow" w:hAnsi="Arial Narrow"/>
                <w:b/>
                <w:bCs/>
                <w:i/>
                <w:iCs/>
                <w:sz w:val="18"/>
                <w:szCs w:val="18"/>
              </w:rPr>
            </w:pPr>
          </w:p>
        </w:tc>
        <w:tc>
          <w:tcPr>
            <w:tcW w:w="7796" w:type="dxa"/>
            <w:gridSpan w:val="6"/>
            <w:shd w:val="clear" w:color="auto" w:fill="auto"/>
          </w:tcPr>
          <w:p w14:paraId="62120EBE" w14:textId="77777777" w:rsidR="00B36B4E" w:rsidRPr="00840498" w:rsidRDefault="003A27A6" w:rsidP="00492A38">
            <w:pPr>
              <w:rPr>
                <w:rFonts w:ascii="Arial Narrow" w:hAnsi="Arial Narrow"/>
                <w:b/>
                <w:bCs/>
                <w:i/>
                <w:iCs/>
                <w:sz w:val="18"/>
                <w:szCs w:val="18"/>
              </w:rPr>
            </w:pPr>
            <w:r>
              <w:rPr>
                <w:rFonts w:ascii="Arial Narrow" w:hAnsi="Arial Narrow"/>
                <w:b/>
                <w:bCs/>
                <w:i/>
                <w:iCs/>
                <w:sz w:val="18"/>
                <w:szCs w:val="18"/>
              </w:rPr>
              <w:t>AND</w:t>
            </w:r>
          </w:p>
        </w:tc>
      </w:tr>
      <w:tr w:rsidR="00B36B4E" w:rsidRPr="00492A38" w14:paraId="257EFA8E" w14:textId="77777777" w:rsidTr="00493656">
        <w:trPr>
          <w:trHeight w:val="46"/>
        </w:trPr>
        <w:tc>
          <w:tcPr>
            <w:tcW w:w="1271" w:type="dxa"/>
            <w:shd w:val="clear" w:color="auto" w:fill="auto"/>
          </w:tcPr>
          <w:p w14:paraId="66E49E25" w14:textId="77777777" w:rsidR="00B36B4E" w:rsidRPr="00840498" w:rsidRDefault="00B36B4E" w:rsidP="005E7AF5">
            <w:pPr>
              <w:jc w:val="center"/>
              <w:rPr>
                <w:rFonts w:ascii="Arial Narrow" w:hAnsi="Arial Narrow"/>
                <w:b/>
                <w:bCs/>
                <w:sz w:val="18"/>
                <w:szCs w:val="18"/>
              </w:rPr>
            </w:pPr>
          </w:p>
        </w:tc>
        <w:tc>
          <w:tcPr>
            <w:tcW w:w="7796" w:type="dxa"/>
            <w:gridSpan w:val="6"/>
            <w:shd w:val="clear" w:color="auto" w:fill="auto"/>
          </w:tcPr>
          <w:p w14:paraId="6B93F084" w14:textId="77777777" w:rsidR="00B36B4E" w:rsidRPr="00840498" w:rsidRDefault="003A27A6" w:rsidP="00493656">
            <w:pPr>
              <w:ind w:left="-57"/>
              <w:rPr>
                <w:rFonts w:ascii="Arial Narrow" w:hAnsi="Arial Narrow"/>
                <w:b/>
                <w:bCs/>
                <w:i/>
                <w:iCs/>
                <w:sz w:val="18"/>
                <w:szCs w:val="18"/>
              </w:rPr>
            </w:pPr>
            <w:r>
              <w:rPr>
                <w:rFonts w:ascii="Arial Narrow" w:hAnsi="Arial Narrow"/>
                <w:b/>
                <w:bCs/>
                <w:i/>
                <w:iCs/>
                <w:sz w:val="18"/>
                <w:szCs w:val="18"/>
              </w:rPr>
              <w:t xml:space="preserve">Clinical </w:t>
            </w:r>
            <w:r w:rsidR="00B36B4E" w:rsidRPr="00840498">
              <w:rPr>
                <w:rFonts w:ascii="Arial Narrow" w:hAnsi="Arial Narrow"/>
                <w:b/>
                <w:bCs/>
                <w:i/>
                <w:iCs/>
                <w:sz w:val="18"/>
                <w:szCs w:val="18"/>
              </w:rPr>
              <w:t>criteria:</w:t>
            </w:r>
          </w:p>
        </w:tc>
      </w:tr>
      <w:tr w:rsidR="00B36B4E" w:rsidRPr="00492A38" w14:paraId="044FC4C4" w14:textId="77777777" w:rsidTr="00493656">
        <w:trPr>
          <w:trHeight w:val="46"/>
        </w:trPr>
        <w:tc>
          <w:tcPr>
            <w:tcW w:w="1271" w:type="dxa"/>
            <w:shd w:val="clear" w:color="auto" w:fill="auto"/>
          </w:tcPr>
          <w:p w14:paraId="135EE425" w14:textId="77777777" w:rsidR="00B36B4E" w:rsidRPr="00840498" w:rsidRDefault="00B36B4E" w:rsidP="005E7AF5">
            <w:pPr>
              <w:jc w:val="center"/>
              <w:rPr>
                <w:rFonts w:ascii="Arial Narrow" w:hAnsi="Arial Narrow"/>
                <w:sz w:val="18"/>
                <w:szCs w:val="18"/>
              </w:rPr>
            </w:pPr>
          </w:p>
        </w:tc>
        <w:tc>
          <w:tcPr>
            <w:tcW w:w="7796" w:type="dxa"/>
            <w:gridSpan w:val="6"/>
            <w:shd w:val="clear" w:color="auto" w:fill="auto"/>
          </w:tcPr>
          <w:p w14:paraId="3A6308A7" w14:textId="77777777" w:rsidR="00B36B4E" w:rsidRPr="00840498" w:rsidRDefault="00B36B4E" w:rsidP="00493656">
            <w:pPr>
              <w:ind w:left="-57"/>
              <w:rPr>
                <w:rFonts w:ascii="Arial Narrow" w:hAnsi="Arial Narrow"/>
                <w:i/>
                <w:iCs/>
                <w:sz w:val="18"/>
                <w:szCs w:val="18"/>
              </w:rPr>
            </w:pPr>
            <w:r w:rsidRPr="00840498">
              <w:rPr>
                <w:rFonts w:ascii="Arial Narrow" w:hAnsi="Arial Narrow"/>
                <w:i/>
                <w:iCs/>
                <w:sz w:val="18"/>
                <w:szCs w:val="18"/>
              </w:rPr>
              <w:t xml:space="preserve">Patient must </w:t>
            </w:r>
            <w:r w:rsidR="003A27A6">
              <w:rPr>
                <w:rFonts w:ascii="Arial Narrow" w:hAnsi="Arial Narrow"/>
                <w:i/>
                <w:iCs/>
                <w:sz w:val="18"/>
                <w:szCs w:val="18"/>
              </w:rPr>
              <w:t xml:space="preserve">only receive </w:t>
            </w:r>
            <w:r w:rsidRPr="00840498">
              <w:rPr>
                <w:rFonts w:ascii="Arial Narrow" w:hAnsi="Arial Narrow"/>
                <w:i/>
                <w:iCs/>
                <w:sz w:val="18"/>
                <w:szCs w:val="18"/>
              </w:rPr>
              <w:t>treatment with one novel hormonal drug per lifetime</w:t>
            </w:r>
          </w:p>
        </w:tc>
      </w:tr>
      <w:tr w:rsidR="00351EBE" w:rsidRPr="00492A38" w14:paraId="76A00C00" w14:textId="77777777" w:rsidTr="00493656">
        <w:tc>
          <w:tcPr>
            <w:tcW w:w="1271" w:type="dxa"/>
          </w:tcPr>
          <w:p w14:paraId="033C3B5E" w14:textId="77777777" w:rsidR="00351EBE" w:rsidRPr="00840498" w:rsidRDefault="00351EBE" w:rsidP="005E7AF5">
            <w:pPr>
              <w:jc w:val="center"/>
              <w:rPr>
                <w:rFonts w:ascii="Arial Narrow" w:hAnsi="Arial Narrow"/>
                <w:snapToGrid w:val="0"/>
                <w:sz w:val="18"/>
                <w:szCs w:val="18"/>
              </w:rPr>
            </w:pPr>
          </w:p>
        </w:tc>
        <w:tc>
          <w:tcPr>
            <w:tcW w:w="7796" w:type="dxa"/>
            <w:gridSpan w:val="6"/>
            <w:shd w:val="clear" w:color="auto" w:fill="auto"/>
          </w:tcPr>
          <w:p w14:paraId="38BE4669" w14:textId="77777777" w:rsidR="00351EBE" w:rsidRPr="0009526D" w:rsidRDefault="00840498" w:rsidP="00493656">
            <w:pPr>
              <w:ind w:left="-57"/>
              <w:rPr>
                <w:rFonts w:ascii="Arial Narrow" w:hAnsi="Arial Narrow"/>
                <w:b/>
                <w:i/>
                <w:iCs/>
                <w:snapToGrid w:val="0"/>
                <w:sz w:val="18"/>
                <w:szCs w:val="18"/>
              </w:rPr>
            </w:pPr>
            <w:r w:rsidRPr="0009526D">
              <w:rPr>
                <w:rFonts w:ascii="Arial Narrow" w:hAnsi="Arial Narrow"/>
                <w:b/>
                <w:i/>
                <w:iCs/>
                <w:snapToGrid w:val="0"/>
                <w:sz w:val="18"/>
                <w:szCs w:val="18"/>
              </w:rPr>
              <w:t>OR</w:t>
            </w:r>
          </w:p>
        </w:tc>
      </w:tr>
      <w:tr w:rsidR="00331608" w:rsidRPr="00492A38" w14:paraId="6274B1BA" w14:textId="77777777" w:rsidTr="00493656">
        <w:tc>
          <w:tcPr>
            <w:tcW w:w="1271" w:type="dxa"/>
          </w:tcPr>
          <w:p w14:paraId="74F95562" w14:textId="77777777" w:rsidR="00331608" w:rsidRPr="00840498" w:rsidRDefault="00331608" w:rsidP="005E7AF5">
            <w:pPr>
              <w:jc w:val="center"/>
              <w:rPr>
                <w:rFonts w:ascii="Arial Narrow" w:hAnsi="Arial Narrow"/>
                <w:snapToGrid w:val="0"/>
                <w:sz w:val="18"/>
                <w:szCs w:val="18"/>
              </w:rPr>
            </w:pPr>
          </w:p>
        </w:tc>
        <w:tc>
          <w:tcPr>
            <w:tcW w:w="7796" w:type="dxa"/>
            <w:gridSpan w:val="6"/>
            <w:shd w:val="clear" w:color="auto" w:fill="auto"/>
          </w:tcPr>
          <w:p w14:paraId="1C4D7455" w14:textId="77777777" w:rsidR="00331608" w:rsidRPr="00840498" w:rsidRDefault="003A27A6" w:rsidP="00331608">
            <w:pPr>
              <w:ind w:left="-57"/>
              <w:rPr>
                <w:rFonts w:ascii="Arial Narrow" w:hAnsi="Arial Narrow"/>
                <w:b/>
                <w:bCs/>
                <w:i/>
                <w:iCs/>
                <w:sz w:val="18"/>
                <w:szCs w:val="18"/>
              </w:rPr>
            </w:pPr>
            <w:r>
              <w:rPr>
                <w:rFonts w:ascii="Arial Narrow" w:hAnsi="Arial Narrow"/>
                <w:b/>
                <w:bCs/>
                <w:i/>
                <w:iCs/>
                <w:sz w:val="18"/>
                <w:szCs w:val="18"/>
              </w:rPr>
              <w:t>Clinical</w:t>
            </w:r>
            <w:r w:rsidR="00331608" w:rsidRPr="00840498">
              <w:rPr>
                <w:rFonts w:ascii="Arial Narrow" w:hAnsi="Arial Narrow"/>
                <w:b/>
                <w:bCs/>
                <w:i/>
                <w:iCs/>
                <w:sz w:val="18"/>
                <w:szCs w:val="18"/>
              </w:rPr>
              <w:t xml:space="preserve"> criteria</w:t>
            </w:r>
          </w:p>
        </w:tc>
      </w:tr>
      <w:tr w:rsidR="00351EBE" w:rsidRPr="00F573A7" w14:paraId="6E3708DC" w14:textId="77777777" w:rsidTr="00493656">
        <w:tc>
          <w:tcPr>
            <w:tcW w:w="1271" w:type="dxa"/>
          </w:tcPr>
          <w:p w14:paraId="31D30609" w14:textId="77777777" w:rsidR="00351EBE" w:rsidRPr="00840498" w:rsidRDefault="00351EBE" w:rsidP="005E7AF5">
            <w:pPr>
              <w:jc w:val="center"/>
              <w:rPr>
                <w:rFonts w:ascii="Arial Narrow" w:hAnsi="Arial Narrow"/>
                <w:snapToGrid w:val="0"/>
                <w:sz w:val="18"/>
                <w:szCs w:val="18"/>
              </w:rPr>
            </w:pPr>
          </w:p>
        </w:tc>
        <w:tc>
          <w:tcPr>
            <w:tcW w:w="7796" w:type="dxa"/>
            <w:gridSpan w:val="6"/>
            <w:shd w:val="clear" w:color="auto" w:fill="auto"/>
          </w:tcPr>
          <w:p w14:paraId="079B5C77" w14:textId="77777777" w:rsidR="00351EBE" w:rsidRPr="00840498" w:rsidRDefault="00351EBE" w:rsidP="00331608">
            <w:pPr>
              <w:ind w:left="-57"/>
              <w:rPr>
                <w:rFonts w:ascii="Arial Narrow" w:hAnsi="Arial Narrow"/>
                <w:i/>
                <w:iCs/>
                <w:sz w:val="18"/>
                <w:szCs w:val="18"/>
              </w:rPr>
            </w:pPr>
            <w:r w:rsidRPr="00840498">
              <w:rPr>
                <w:rFonts w:ascii="Arial Narrow" w:hAnsi="Arial Narrow"/>
                <w:i/>
                <w:iCs/>
                <w:sz w:val="18"/>
                <w:szCs w:val="18"/>
              </w:rPr>
              <w:t xml:space="preserve">Patient must </w:t>
            </w:r>
            <w:r w:rsidR="003A27A6">
              <w:rPr>
                <w:rFonts w:ascii="Arial Narrow" w:hAnsi="Arial Narrow"/>
                <w:i/>
                <w:iCs/>
                <w:sz w:val="18"/>
                <w:szCs w:val="18"/>
              </w:rPr>
              <w:t xml:space="preserve">only receive </w:t>
            </w:r>
            <w:r w:rsidR="00840498" w:rsidRPr="00840498">
              <w:rPr>
                <w:rFonts w:ascii="Arial Narrow" w:hAnsi="Arial Narrow"/>
                <w:i/>
                <w:iCs/>
                <w:sz w:val="18"/>
                <w:szCs w:val="18"/>
              </w:rPr>
              <w:t xml:space="preserve">treatment </w:t>
            </w:r>
            <w:r w:rsidR="00B36B4E" w:rsidRPr="00840498">
              <w:rPr>
                <w:rFonts w:ascii="Arial Narrow" w:hAnsi="Arial Narrow"/>
                <w:i/>
                <w:iCs/>
                <w:sz w:val="18"/>
                <w:szCs w:val="18"/>
              </w:rPr>
              <w:t>with a subsequent novel hormonal drug where there has been a severe intolerance to another novel hormonal drug leading to permanent treatment cessation</w:t>
            </w:r>
          </w:p>
        </w:tc>
      </w:tr>
      <w:tr w:rsidR="00331608" w:rsidRPr="00F573A7" w14:paraId="10CF918E" w14:textId="77777777" w:rsidTr="00493656">
        <w:tc>
          <w:tcPr>
            <w:tcW w:w="1271" w:type="dxa"/>
          </w:tcPr>
          <w:p w14:paraId="505BD2A3" w14:textId="77777777" w:rsidR="00331608" w:rsidRPr="00840498" w:rsidRDefault="00331608" w:rsidP="005E7AF5">
            <w:pPr>
              <w:jc w:val="center"/>
              <w:rPr>
                <w:rFonts w:ascii="Arial Narrow" w:hAnsi="Arial Narrow"/>
                <w:snapToGrid w:val="0"/>
                <w:sz w:val="18"/>
                <w:szCs w:val="18"/>
              </w:rPr>
            </w:pPr>
          </w:p>
        </w:tc>
        <w:tc>
          <w:tcPr>
            <w:tcW w:w="7796" w:type="dxa"/>
            <w:gridSpan w:val="6"/>
            <w:shd w:val="clear" w:color="auto" w:fill="auto"/>
          </w:tcPr>
          <w:p w14:paraId="6DAC94A6" w14:textId="77777777" w:rsidR="00331608" w:rsidRPr="00840498" w:rsidRDefault="00331608" w:rsidP="00331608">
            <w:pPr>
              <w:ind w:left="-57"/>
              <w:rPr>
                <w:rFonts w:ascii="Arial Narrow" w:hAnsi="Arial Narrow"/>
                <w:b/>
                <w:bCs/>
                <w:i/>
                <w:iCs/>
                <w:sz w:val="18"/>
                <w:szCs w:val="18"/>
              </w:rPr>
            </w:pPr>
          </w:p>
        </w:tc>
      </w:tr>
      <w:tr w:rsidR="00351EBE" w:rsidRPr="00F573A7" w14:paraId="2C08929F" w14:textId="77777777" w:rsidTr="00493656">
        <w:tc>
          <w:tcPr>
            <w:tcW w:w="1271" w:type="dxa"/>
          </w:tcPr>
          <w:p w14:paraId="060FA1C6" w14:textId="77777777" w:rsidR="00351EBE" w:rsidRPr="00840498" w:rsidRDefault="00351EBE" w:rsidP="005E7AF5">
            <w:pPr>
              <w:jc w:val="center"/>
              <w:rPr>
                <w:rFonts w:ascii="Arial Narrow" w:hAnsi="Arial Narrow"/>
                <w:snapToGrid w:val="0"/>
                <w:sz w:val="18"/>
                <w:szCs w:val="18"/>
              </w:rPr>
            </w:pPr>
          </w:p>
        </w:tc>
        <w:tc>
          <w:tcPr>
            <w:tcW w:w="7796" w:type="dxa"/>
            <w:gridSpan w:val="6"/>
            <w:shd w:val="clear" w:color="auto" w:fill="auto"/>
          </w:tcPr>
          <w:p w14:paraId="20BDCA5A" w14:textId="77777777" w:rsidR="00351EBE" w:rsidRPr="00840498" w:rsidRDefault="00351EBE" w:rsidP="00493656">
            <w:pPr>
              <w:ind w:left="-57"/>
              <w:rPr>
                <w:rFonts w:ascii="Arial Narrow" w:hAnsi="Arial Narrow"/>
                <w:b/>
                <w:bCs/>
                <w:snapToGrid w:val="0"/>
                <w:sz w:val="18"/>
                <w:szCs w:val="18"/>
              </w:rPr>
            </w:pPr>
            <w:r w:rsidRPr="00840498">
              <w:rPr>
                <w:rFonts w:ascii="Arial Narrow" w:hAnsi="Arial Narrow"/>
                <w:b/>
                <w:snapToGrid w:val="0"/>
                <w:sz w:val="18"/>
                <w:szCs w:val="18"/>
              </w:rPr>
              <w:t>Treatment criteria:</w:t>
            </w:r>
          </w:p>
        </w:tc>
      </w:tr>
      <w:tr w:rsidR="00351EBE" w:rsidRPr="00F573A7" w14:paraId="029857AE" w14:textId="77777777" w:rsidTr="00493656">
        <w:trPr>
          <w:trHeight w:val="46"/>
        </w:trPr>
        <w:tc>
          <w:tcPr>
            <w:tcW w:w="1271" w:type="dxa"/>
          </w:tcPr>
          <w:p w14:paraId="5FEDB2E1" w14:textId="77777777" w:rsidR="00351EBE" w:rsidRPr="00840498" w:rsidRDefault="00351EBE" w:rsidP="005E7AF5">
            <w:pPr>
              <w:jc w:val="center"/>
              <w:rPr>
                <w:rFonts w:ascii="Arial Narrow" w:hAnsi="Arial Narrow"/>
                <w:snapToGrid w:val="0"/>
                <w:sz w:val="18"/>
                <w:szCs w:val="18"/>
              </w:rPr>
            </w:pPr>
          </w:p>
        </w:tc>
        <w:tc>
          <w:tcPr>
            <w:tcW w:w="7796" w:type="dxa"/>
            <w:gridSpan w:val="6"/>
            <w:shd w:val="clear" w:color="auto" w:fill="auto"/>
          </w:tcPr>
          <w:p w14:paraId="3CF448C4" w14:textId="77777777" w:rsidR="00351EBE" w:rsidRPr="00840498" w:rsidRDefault="00351EBE" w:rsidP="00493656">
            <w:pPr>
              <w:ind w:left="-57"/>
              <w:rPr>
                <w:rFonts w:ascii="Arial Narrow" w:hAnsi="Arial Narrow"/>
                <w:snapToGrid w:val="0"/>
                <w:sz w:val="18"/>
                <w:szCs w:val="18"/>
              </w:rPr>
            </w:pPr>
            <w:r w:rsidRPr="00840498">
              <w:rPr>
                <w:rFonts w:ascii="Arial Narrow" w:hAnsi="Arial Narrow"/>
                <w:snapToGrid w:val="0"/>
                <w:sz w:val="18"/>
                <w:szCs w:val="18"/>
              </w:rPr>
              <w:t>Patient must be undergoing concurrent treatment with androgen deprivation therapy.</w:t>
            </w:r>
          </w:p>
        </w:tc>
      </w:tr>
      <w:tr w:rsidR="00331608" w:rsidRPr="00F573A7" w14:paraId="52C5A679" w14:textId="77777777" w:rsidTr="00493656">
        <w:trPr>
          <w:trHeight w:val="46"/>
        </w:trPr>
        <w:tc>
          <w:tcPr>
            <w:tcW w:w="1271" w:type="dxa"/>
          </w:tcPr>
          <w:p w14:paraId="296864D6" w14:textId="77777777" w:rsidR="00331608" w:rsidRPr="00840498" w:rsidRDefault="00331608" w:rsidP="005E7AF5">
            <w:pPr>
              <w:jc w:val="center"/>
              <w:rPr>
                <w:rFonts w:ascii="Arial Narrow" w:hAnsi="Arial Narrow"/>
                <w:snapToGrid w:val="0"/>
                <w:sz w:val="18"/>
                <w:szCs w:val="18"/>
              </w:rPr>
            </w:pPr>
          </w:p>
        </w:tc>
        <w:tc>
          <w:tcPr>
            <w:tcW w:w="7796" w:type="dxa"/>
            <w:gridSpan w:val="6"/>
            <w:shd w:val="clear" w:color="auto" w:fill="auto"/>
          </w:tcPr>
          <w:p w14:paraId="24F1292F" w14:textId="77777777" w:rsidR="00331608" w:rsidRPr="00840498" w:rsidRDefault="00331608" w:rsidP="00493656">
            <w:pPr>
              <w:ind w:left="-57"/>
              <w:rPr>
                <w:rFonts w:ascii="Arial Narrow" w:hAnsi="Arial Narrow"/>
                <w:snapToGrid w:val="0"/>
                <w:sz w:val="18"/>
                <w:szCs w:val="18"/>
              </w:rPr>
            </w:pPr>
          </w:p>
        </w:tc>
      </w:tr>
      <w:tr w:rsidR="00351EBE" w:rsidRPr="00F573A7" w14:paraId="6C8272F9" w14:textId="77777777" w:rsidTr="00493656">
        <w:trPr>
          <w:trHeight w:val="1323"/>
        </w:trPr>
        <w:tc>
          <w:tcPr>
            <w:tcW w:w="1271" w:type="dxa"/>
          </w:tcPr>
          <w:p w14:paraId="039044DB" w14:textId="77777777" w:rsidR="00351EBE" w:rsidRPr="00840498" w:rsidRDefault="00351EBE" w:rsidP="005E7AF5">
            <w:pPr>
              <w:jc w:val="center"/>
              <w:rPr>
                <w:rFonts w:ascii="Arial Narrow" w:hAnsi="Arial Narrow"/>
                <w:snapToGrid w:val="0"/>
                <w:sz w:val="18"/>
                <w:szCs w:val="18"/>
              </w:rPr>
            </w:pPr>
          </w:p>
        </w:tc>
        <w:tc>
          <w:tcPr>
            <w:tcW w:w="7796" w:type="dxa"/>
            <w:gridSpan w:val="6"/>
            <w:shd w:val="clear" w:color="auto" w:fill="auto"/>
          </w:tcPr>
          <w:p w14:paraId="50AE3151" w14:textId="77777777" w:rsidR="00351EBE" w:rsidRPr="00840498" w:rsidRDefault="00351EBE" w:rsidP="00493656">
            <w:pPr>
              <w:ind w:left="-57"/>
              <w:rPr>
                <w:rFonts w:ascii="Arial Narrow" w:hAnsi="Arial Narrow"/>
                <w:b/>
                <w:snapToGrid w:val="0"/>
                <w:sz w:val="18"/>
                <w:szCs w:val="18"/>
              </w:rPr>
            </w:pPr>
            <w:r w:rsidRPr="00840498">
              <w:rPr>
                <w:rFonts w:ascii="Arial Narrow" w:hAnsi="Arial Narrow"/>
                <w:b/>
                <w:snapToGrid w:val="0"/>
                <w:sz w:val="18"/>
                <w:szCs w:val="18"/>
              </w:rPr>
              <w:t>Prescribing instructions:</w:t>
            </w:r>
          </w:p>
          <w:p w14:paraId="45A6CD43" w14:textId="77777777" w:rsidR="00351EBE" w:rsidRPr="00840498" w:rsidRDefault="00351EBE" w:rsidP="00493656">
            <w:pPr>
              <w:ind w:left="-57"/>
              <w:rPr>
                <w:rFonts w:ascii="Arial Narrow" w:hAnsi="Arial Narrow"/>
                <w:snapToGrid w:val="0"/>
                <w:sz w:val="18"/>
                <w:szCs w:val="18"/>
              </w:rPr>
            </w:pPr>
            <w:r w:rsidRPr="00840498">
              <w:rPr>
                <w:rFonts w:ascii="Arial Narrow" w:hAnsi="Arial Narrow"/>
                <w:snapToGrid w:val="0"/>
                <w:sz w:val="18"/>
                <w:szCs w:val="18"/>
              </w:rPr>
              <w:t>Prescribing instructions:</w:t>
            </w:r>
          </w:p>
          <w:p w14:paraId="2B1D5F34" w14:textId="77777777" w:rsidR="00351EBE" w:rsidRPr="00840498" w:rsidRDefault="00351EBE" w:rsidP="00493656">
            <w:pPr>
              <w:ind w:left="-57"/>
              <w:rPr>
                <w:rFonts w:ascii="Arial Narrow" w:hAnsi="Arial Narrow"/>
                <w:snapToGrid w:val="0"/>
                <w:sz w:val="18"/>
                <w:szCs w:val="18"/>
              </w:rPr>
            </w:pPr>
            <w:r w:rsidRPr="00840498">
              <w:rPr>
                <w:rFonts w:ascii="Arial Narrow" w:hAnsi="Arial Narrow"/>
                <w:snapToGrid w:val="0"/>
                <w:sz w:val="18"/>
                <w:szCs w:val="18"/>
              </w:rPr>
              <w:t>Retain the results of all investigative imaging and prostate-specific antigen (PSA) level measurements on the patient’s medical records - do not submit copies of these with this authority application.</w:t>
            </w:r>
          </w:p>
          <w:p w14:paraId="20DA1BE5" w14:textId="77777777" w:rsidR="00351EBE" w:rsidRPr="00840498" w:rsidRDefault="00351EBE" w:rsidP="00493656">
            <w:pPr>
              <w:ind w:left="-57"/>
              <w:rPr>
                <w:rFonts w:ascii="Arial Narrow" w:hAnsi="Arial Narrow"/>
                <w:snapToGrid w:val="0"/>
                <w:sz w:val="18"/>
                <w:szCs w:val="18"/>
              </w:rPr>
            </w:pPr>
          </w:p>
          <w:p w14:paraId="6A6CD709" w14:textId="77777777" w:rsidR="00351EBE" w:rsidRPr="00840498" w:rsidRDefault="00351EBE" w:rsidP="00493656">
            <w:pPr>
              <w:ind w:left="-57"/>
              <w:rPr>
                <w:rFonts w:ascii="Arial Narrow" w:hAnsi="Arial Narrow"/>
                <w:snapToGrid w:val="0"/>
                <w:sz w:val="18"/>
                <w:szCs w:val="18"/>
              </w:rPr>
            </w:pPr>
            <w:r w:rsidRPr="00840498">
              <w:rPr>
                <w:rFonts w:ascii="Arial Narrow" w:hAnsi="Arial Narrow"/>
                <w:snapToGrid w:val="0"/>
                <w:sz w:val="18"/>
                <w:szCs w:val="18"/>
              </w:rPr>
              <w:t xml:space="preserve">The PSA level doubling time must be based on at least three PSA levels obtained within a time period of 10 months any time prior to first commencing </w:t>
            </w:r>
            <w:r w:rsidRPr="00840498">
              <w:rPr>
                <w:rFonts w:ascii="Arial Narrow" w:hAnsi="Arial Narrow"/>
                <w:strike/>
                <w:snapToGrid w:val="0"/>
                <w:sz w:val="18"/>
                <w:szCs w:val="18"/>
              </w:rPr>
              <w:t>treatment with this drug</w:t>
            </w:r>
            <w:r w:rsidR="00331608" w:rsidRPr="00840498">
              <w:rPr>
                <w:rFonts w:ascii="Arial Narrow" w:hAnsi="Arial Narrow"/>
                <w:snapToGrid w:val="0"/>
                <w:sz w:val="18"/>
                <w:szCs w:val="18"/>
              </w:rPr>
              <w:t xml:space="preserve"> </w:t>
            </w:r>
            <w:r w:rsidR="00331608" w:rsidRPr="00840498">
              <w:rPr>
                <w:rFonts w:ascii="Arial Narrow" w:hAnsi="Arial Narrow"/>
                <w:i/>
                <w:iCs/>
                <w:snapToGrid w:val="0"/>
                <w:sz w:val="18"/>
                <w:szCs w:val="18"/>
              </w:rPr>
              <w:t>a novel hormonal agent for this condition</w:t>
            </w:r>
            <w:r w:rsidRPr="00840498">
              <w:rPr>
                <w:rFonts w:ascii="Arial Narrow" w:hAnsi="Arial Narrow"/>
                <w:snapToGrid w:val="0"/>
                <w:sz w:val="18"/>
                <w:szCs w:val="18"/>
              </w:rPr>
              <w:t>. The third reading is to demonstrate that the doubling was durable and must be at least 1 week apart from the second reading.</w:t>
            </w:r>
          </w:p>
        </w:tc>
      </w:tr>
      <w:tr w:rsidR="00351EBE" w:rsidRPr="00F573A7" w14:paraId="498285A6" w14:textId="77777777" w:rsidTr="00493656">
        <w:trPr>
          <w:trHeight w:val="46"/>
        </w:trPr>
        <w:tc>
          <w:tcPr>
            <w:tcW w:w="1271" w:type="dxa"/>
          </w:tcPr>
          <w:p w14:paraId="63819A37" w14:textId="77777777" w:rsidR="00351EBE" w:rsidRPr="00840498" w:rsidRDefault="00351EBE" w:rsidP="005E7AF5">
            <w:pPr>
              <w:jc w:val="center"/>
              <w:rPr>
                <w:rFonts w:ascii="Arial Narrow" w:hAnsi="Arial Narrow"/>
                <w:snapToGrid w:val="0"/>
                <w:sz w:val="18"/>
                <w:szCs w:val="18"/>
              </w:rPr>
            </w:pPr>
          </w:p>
        </w:tc>
        <w:tc>
          <w:tcPr>
            <w:tcW w:w="7796" w:type="dxa"/>
            <w:gridSpan w:val="6"/>
            <w:shd w:val="clear" w:color="auto" w:fill="auto"/>
          </w:tcPr>
          <w:p w14:paraId="7E060F36" w14:textId="77777777" w:rsidR="00351EBE" w:rsidRPr="00840498" w:rsidRDefault="00351EBE" w:rsidP="00493656">
            <w:pPr>
              <w:ind w:left="-57"/>
              <w:rPr>
                <w:rFonts w:ascii="Arial Narrow" w:hAnsi="Arial Narrow"/>
                <w:snapToGrid w:val="0"/>
                <w:sz w:val="18"/>
                <w:szCs w:val="18"/>
              </w:rPr>
            </w:pPr>
            <w:r w:rsidRPr="00840498">
              <w:rPr>
                <w:rFonts w:ascii="Arial Narrow" w:hAnsi="Arial Narrow"/>
                <w:b/>
                <w:snapToGrid w:val="0"/>
                <w:sz w:val="18"/>
                <w:szCs w:val="18"/>
              </w:rPr>
              <w:t>Administrative advice:</w:t>
            </w:r>
            <w:r w:rsidRPr="00840498">
              <w:rPr>
                <w:rFonts w:ascii="Arial Narrow" w:hAnsi="Arial Narrow"/>
                <w:snapToGrid w:val="0"/>
                <w:sz w:val="18"/>
                <w:szCs w:val="18"/>
              </w:rPr>
              <w:t xml:space="preserve"> Special Pricing Arrangements apply</w:t>
            </w:r>
          </w:p>
        </w:tc>
      </w:tr>
      <w:tr w:rsidR="00351EBE" w:rsidRPr="00F573A7" w14:paraId="5A40B616" w14:textId="77777777" w:rsidTr="00493656">
        <w:trPr>
          <w:trHeight w:val="159"/>
        </w:trPr>
        <w:tc>
          <w:tcPr>
            <w:tcW w:w="1271" w:type="dxa"/>
          </w:tcPr>
          <w:p w14:paraId="2F4E1509" w14:textId="77777777" w:rsidR="00351EBE" w:rsidRPr="00840498" w:rsidRDefault="00351EBE" w:rsidP="005E7AF5">
            <w:pPr>
              <w:jc w:val="center"/>
              <w:rPr>
                <w:rFonts w:ascii="Arial Narrow" w:hAnsi="Arial Narrow"/>
                <w:snapToGrid w:val="0"/>
                <w:sz w:val="18"/>
                <w:szCs w:val="18"/>
              </w:rPr>
            </w:pPr>
          </w:p>
        </w:tc>
        <w:tc>
          <w:tcPr>
            <w:tcW w:w="7796" w:type="dxa"/>
            <w:gridSpan w:val="6"/>
            <w:shd w:val="clear" w:color="auto" w:fill="auto"/>
          </w:tcPr>
          <w:p w14:paraId="6189CB0A" w14:textId="77777777" w:rsidR="00351EBE" w:rsidRPr="00840498" w:rsidRDefault="00351EBE" w:rsidP="00493656">
            <w:pPr>
              <w:ind w:left="-57"/>
              <w:rPr>
                <w:rFonts w:ascii="Arial Narrow" w:hAnsi="Arial Narrow"/>
                <w:b/>
                <w:snapToGrid w:val="0"/>
                <w:sz w:val="18"/>
                <w:szCs w:val="18"/>
              </w:rPr>
            </w:pPr>
            <w:r w:rsidRPr="00840498">
              <w:rPr>
                <w:rFonts w:ascii="Arial Narrow" w:hAnsi="Arial Narrow"/>
                <w:b/>
                <w:snapToGrid w:val="0"/>
                <w:sz w:val="18"/>
                <w:szCs w:val="18"/>
              </w:rPr>
              <w:t xml:space="preserve">Administrative advice: </w:t>
            </w:r>
          </w:p>
          <w:p w14:paraId="7E3F377D" w14:textId="77777777" w:rsidR="00351EBE" w:rsidRPr="00840498" w:rsidRDefault="005F5D7F" w:rsidP="00493656">
            <w:pPr>
              <w:ind w:left="-57"/>
              <w:rPr>
                <w:rFonts w:ascii="Arial Narrow" w:hAnsi="Arial Narrow"/>
                <w:bCs/>
                <w:snapToGrid w:val="0"/>
                <w:sz w:val="18"/>
                <w:szCs w:val="18"/>
              </w:rPr>
            </w:pPr>
            <w:r w:rsidRPr="00840498">
              <w:rPr>
                <w:rFonts w:ascii="Arial Narrow" w:hAnsi="Arial Narrow"/>
                <w:bCs/>
                <w:snapToGrid w:val="0"/>
                <w:sz w:val="18"/>
                <w:szCs w:val="18"/>
              </w:rPr>
              <w:t>Where the term ‘n</w:t>
            </w:r>
            <w:r w:rsidR="00331608" w:rsidRPr="00840498">
              <w:rPr>
                <w:rFonts w:ascii="Arial Narrow" w:hAnsi="Arial Narrow"/>
                <w:bCs/>
                <w:snapToGrid w:val="0"/>
                <w:sz w:val="18"/>
                <w:szCs w:val="18"/>
              </w:rPr>
              <w:t xml:space="preserve">ovel hormonal </w:t>
            </w:r>
            <w:r w:rsidRPr="00840498">
              <w:rPr>
                <w:rFonts w:ascii="Arial Narrow" w:hAnsi="Arial Narrow"/>
                <w:bCs/>
                <w:snapToGrid w:val="0"/>
                <w:sz w:val="18"/>
                <w:szCs w:val="18"/>
              </w:rPr>
              <w:t>drug’</w:t>
            </w:r>
            <w:r w:rsidR="00331608" w:rsidRPr="00840498">
              <w:rPr>
                <w:rFonts w:ascii="Arial Narrow" w:hAnsi="Arial Narrow"/>
                <w:bCs/>
                <w:snapToGrid w:val="0"/>
                <w:sz w:val="18"/>
                <w:szCs w:val="18"/>
              </w:rPr>
              <w:t xml:space="preserve"> </w:t>
            </w:r>
            <w:r w:rsidRPr="00840498">
              <w:rPr>
                <w:rFonts w:ascii="Arial Narrow" w:hAnsi="Arial Narrow"/>
                <w:bCs/>
                <w:snapToGrid w:val="0"/>
                <w:sz w:val="18"/>
                <w:szCs w:val="18"/>
              </w:rPr>
              <w:t>appears</w:t>
            </w:r>
            <w:r w:rsidR="00331608" w:rsidRPr="00840498">
              <w:rPr>
                <w:rFonts w:ascii="Arial Narrow" w:hAnsi="Arial Narrow"/>
                <w:bCs/>
                <w:snapToGrid w:val="0"/>
                <w:sz w:val="18"/>
                <w:szCs w:val="18"/>
              </w:rPr>
              <w:t xml:space="preserve"> in this restriction</w:t>
            </w:r>
            <w:r w:rsidRPr="00840498">
              <w:rPr>
                <w:rFonts w:ascii="Arial Narrow" w:hAnsi="Arial Narrow"/>
                <w:bCs/>
                <w:snapToGrid w:val="0"/>
                <w:sz w:val="18"/>
                <w:szCs w:val="18"/>
              </w:rPr>
              <w:t>, it refers to:</w:t>
            </w:r>
            <w:r w:rsidR="00331608" w:rsidRPr="00840498">
              <w:rPr>
                <w:rFonts w:ascii="Arial Narrow" w:hAnsi="Arial Narrow"/>
                <w:bCs/>
                <w:snapToGrid w:val="0"/>
                <w:sz w:val="18"/>
                <w:szCs w:val="18"/>
              </w:rPr>
              <w:t xml:space="preserve"> </w:t>
            </w:r>
            <w:r w:rsidR="00331608" w:rsidRPr="00840498">
              <w:rPr>
                <w:rFonts w:ascii="Arial Narrow" w:hAnsi="Arial Narrow"/>
                <w:bCs/>
                <w:i/>
                <w:iCs/>
                <w:snapToGrid w:val="0"/>
                <w:sz w:val="18"/>
                <w:szCs w:val="18"/>
              </w:rPr>
              <w:t>(i)</w:t>
            </w:r>
            <w:r w:rsidR="00B36B4E" w:rsidRPr="00840498">
              <w:rPr>
                <w:rFonts w:ascii="Arial Narrow" w:hAnsi="Arial Narrow"/>
                <w:bCs/>
                <w:i/>
                <w:iCs/>
                <w:snapToGrid w:val="0"/>
                <w:sz w:val="18"/>
                <w:szCs w:val="18"/>
              </w:rPr>
              <w:t xml:space="preserve"> abiraterone</w:t>
            </w:r>
            <w:r w:rsidR="00B36B4E" w:rsidRPr="00840498">
              <w:rPr>
                <w:rFonts w:ascii="Arial Narrow" w:hAnsi="Arial Narrow"/>
                <w:bCs/>
                <w:snapToGrid w:val="0"/>
                <w:sz w:val="18"/>
                <w:szCs w:val="18"/>
              </w:rPr>
              <w:t>, (ii)</w:t>
            </w:r>
            <w:r w:rsidR="00331608" w:rsidRPr="00840498">
              <w:rPr>
                <w:rFonts w:ascii="Arial Narrow" w:hAnsi="Arial Narrow"/>
                <w:bCs/>
                <w:snapToGrid w:val="0"/>
                <w:sz w:val="18"/>
                <w:szCs w:val="18"/>
              </w:rPr>
              <w:t xml:space="preserve"> apalutamide, (</w:t>
            </w:r>
            <w:r w:rsidR="00B36B4E" w:rsidRPr="00840498">
              <w:rPr>
                <w:rFonts w:ascii="Arial Narrow" w:hAnsi="Arial Narrow"/>
                <w:bCs/>
                <w:snapToGrid w:val="0"/>
                <w:sz w:val="18"/>
                <w:szCs w:val="18"/>
              </w:rPr>
              <w:t>i</w:t>
            </w:r>
            <w:r w:rsidR="005E7AF5" w:rsidRPr="00840498">
              <w:rPr>
                <w:rFonts w:ascii="Arial Narrow" w:hAnsi="Arial Narrow"/>
                <w:bCs/>
                <w:snapToGrid w:val="0"/>
                <w:sz w:val="18"/>
                <w:szCs w:val="18"/>
              </w:rPr>
              <w:t>ii) darolutamide</w:t>
            </w:r>
            <w:r w:rsidR="00B36B4E" w:rsidRPr="00840498">
              <w:rPr>
                <w:rFonts w:ascii="Arial Narrow" w:hAnsi="Arial Narrow"/>
                <w:bCs/>
                <w:snapToGrid w:val="0"/>
                <w:sz w:val="18"/>
                <w:szCs w:val="18"/>
              </w:rPr>
              <w:t xml:space="preserve">, </w:t>
            </w:r>
            <w:r w:rsidR="00B36B4E" w:rsidRPr="00840498">
              <w:rPr>
                <w:rFonts w:ascii="Arial Narrow" w:hAnsi="Arial Narrow"/>
                <w:bCs/>
                <w:i/>
                <w:iCs/>
                <w:snapToGrid w:val="0"/>
                <w:sz w:val="18"/>
                <w:szCs w:val="18"/>
              </w:rPr>
              <w:t>(iv) enzalutamide</w:t>
            </w:r>
          </w:p>
        </w:tc>
      </w:tr>
    </w:tbl>
    <w:p w14:paraId="7F96579C" w14:textId="77777777" w:rsidR="005E7AF5" w:rsidRDefault="00A47C2D" w:rsidP="005E7AF5">
      <w:pPr>
        <w:pStyle w:val="3-BodyText"/>
        <w:numPr>
          <w:ilvl w:val="0"/>
          <w:numId w:val="0"/>
        </w:numPr>
        <w:spacing w:before="240"/>
        <w:ind w:left="720"/>
      </w:pPr>
      <w:r>
        <w:t>Flow on changes</w:t>
      </w:r>
      <w:r w:rsidR="005E7AF5">
        <w:t xml:space="preserve">: </w:t>
      </w:r>
    </w:p>
    <w:p w14:paraId="45ABF1E9" w14:textId="77777777" w:rsidR="005E7AF5" w:rsidRDefault="005E7AF5" w:rsidP="005E7AF5">
      <w:pPr>
        <w:pStyle w:val="3-BodyText"/>
        <w:ind w:left="720"/>
      </w:pPr>
      <w:r>
        <w:t>Update darolutamide’s restriction to appear identical to that displayed above.</w:t>
      </w:r>
    </w:p>
    <w:p w14:paraId="706C4365" w14:textId="77777777" w:rsidR="00A47C2D" w:rsidRDefault="005E7AF5" w:rsidP="00A47C2D">
      <w:pPr>
        <w:pStyle w:val="3-BodyText"/>
        <w:ind w:left="720"/>
      </w:pPr>
      <w:r>
        <w:t>Update abiraterone’s restriction to exclude abiraterone use for metastatic disease following treatment with any of apalutamide/darolutamide (in non-metastatic disease</w:t>
      </w:r>
      <w:r w:rsidR="00B828F7">
        <w:t>)</w:t>
      </w:r>
      <w:r>
        <w:t xml:space="preserve"> as follows.</w:t>
      </w:r>
    </w:p>
    <w:tbl>
      <w:tblPr>
        <w:tblStyle w:val="TableGridLigh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079"/>
      </w:tblGrid>
      <w:tr w:rsidR="005E7AF5" w:rsidRPr="00053C2E" w14:paraId="4ED74FF0" w14:textId="77777777" w:rsidTr="00D010FD">
        <w:trPr>
          <w:tblHeader/>
        </w:trPr>
        <w:tc>
          <w:tcPr>
            <w:tcW w:w="9067" w:type="dxa"/>
            <w:gridSpan w:val="2"/>
          </w:tcPr>
          <w:p w14:paraId="04626C09" w14:textId="77777777" w:rsidR="005E7AF5" w:rsidRPr="00053C2E" w:rsidRDefault="005E7AF5" w:rsidP="005F5D7F">
            <w:pPr>
              <w:ind w:left="720" w:hanging="720"/>
              <w:rPr>
                <w:rFonts w:ascii="Arial Narrow" w:hAnsi="Arial Narrow"/>
                <w:b/>
                <w:bCs/>
                <w:sz w:val="18"/>
                <w:szCs w:val="18"/>
              </w:rPr>
            </w:pPr>
            <w:r>
              <w:rPr>
                <w:rFonts w:ascii="Arial Narrow" w:hAnsi="Arial Narrow"/>
                <w:b/>
                <w:bCs/>
                <w:sz w:val="18"/>
                <w:szCs w:val="18"/>
              </w:rPr>
              <w:t xml:space="preserve">Relevant extract of abiraterone Restriction summary 12353 / ToC: 12352 </w:t>
            </w:r>
            <w:r w:rsidRPr="000F4BE5">
              <w:rPr>
                <w:rFonts w:ascii="Arial Narrow" w:hAnsi="Arial Narrow"/>
                <w:i/>
                <w:iCs/>
                <w:sz w:val="18"/>
                <w:szCs w:val="18"/>
              </w:rPr>
              <w:t>(current as at 1 November 2021)</w:t>
            </w:r>
          </w:p>
        </w:tc>
      </w:tr>
      <w:tr w:rsidR="005E7AF5" w14:paraId="780C4F0D" w14:textId="77777777" w:rsidTr="005E7AF5">
        <w:tc>
          <w:tcPr>
            <w:tcW w:w="9067" w:type="dxa"/>
            <w:gridSpan w:val="2"/>
          </w:tcPr>
          <w:p w14:paraId="35228CA5" w14:textId="77777777" w:rsidR="005E7AF5" w:rsidRDefault="005E7AF5" w:rsidP="005F5D7F">
            <w:pPr>
              <w:ind w:left="720" w:hanging="720"/>
              <w:rPr>
                <w:rFonts w:ascii="Arial Narrow" w:hAnsi="Arial Narrow"/>
                <w:b/>
                <w:bCs/>
                <w:sz w:val="18"/>
                <w:szCs w:val="18"/>
              </w:rPr>
            </w:pPr>
            <w:r>
              <w:rPr>
                <w:rFonts w:ascii="Arial Narrow" w:hAnsi="Arial Narrow"/>
                <w:b/>
                <w:bCs/>
                <w:sz w:val="18"/>
                <w:szCs w:val="18"/>
              </w:rPr>
              <w:t xml:space="preserve">PB item codes: </w:t>
            </w:r>
          </w:p>
          <w:p w14:paraId="097A6359" w14:textId="77777777" w:rsidR="005E7AF5" w:rsidRPr="00163B1E" w:rsidRDefault="005E7AF5" w:rsidP="005F5D7F">
            <w:pPr>
              <w:ind w:left="720" w:hanging="720"/>
              <w:rPr>
                <w:rFonts w:ascii="Arial Narrow" w:hAnsi="Arial Narrow"/>
                <w:sz w:val="18"/>
                <w:szCs w:val="18"/>
              </w:rPr>
            </w:pPr>
            <w:r w:rsidRPr="00163B1E">
              <w:rPr>
                <w:rFonts w:ascii="Arial Narrow" w:hAnsi="Arial Narrow"/>
                <w:sz w:val="18"/>
                <w:szCs w:val="18"/>
              </w:rPr>
              <w:t>11206T (abiraterone acetate 500 mg tablet, 60)</w:t>
            </w:r>
          </w:p>
          <w:p w14:paraId="3741F2CC" w14:textId="77777777" w:rsidR="005E7AF5" w:rsidRPr="005E7AF5" w:rsidRDefault="005E7AF5" w:rsidP="005E7AF5">
            <w:pPr>
              <w:ind w:left="720" w:hanging="720"/>
              <w:rPr>
                <w:rFonts w:ascii="Arial Narrow" w:hAnsi="Arial Narrow"/>
                <w:sz w:val="18"/>
                <w:szCs w:val="18"/>
              </w:rPr>
            </w:pPr>
            <w:r w:rsidRPr="00163B1E">
              <w:rPr>
                <w:rFonts w:ascii="Arial Narrow" w:hAnsi="Arial Narrow"/>
                <w:sz w:val="18"/>
                <w:szCs w:val="18"/>
              </w:rPr>
              <w:t>2698B (abiraterone acetate 250 mg tablet, 120)</w:t>
            </w:r>
          </w:p>
        </w:tc>
      </w:tr>
      <w:tr w:rsidR="005E7AF5" w:rsidRPr="00053C2E" w14:paraId="5D72AE6E" w14:textId="77777777" w:rsidTr="001A5A72">
        <w:tc>
          <w:tcPr>
            <w:tcW w:w="988" w:type="dxa"/>
          </w:tcPr>
          <w:p w14:paraId="0B41A8DA" w14:textId="77777777" w:rsidR="005E7AF5" w:rsidRPr="00053C2E" w:rsidRDefault="005E7AF5" w:rsidP="005F5D7F">
            <w:pPr>
              <w:ind w:left="720" w:hanging="720"/>
              <w:jc w:val="center"/>
              <w:rPr>
                <w:rFonts w:ascii="Arial Narrow" w:hAnsi="Arial Narrow"/>
                <w:sz w:val="18"/>
                <w:szCs w:val="18"/>
              </w:rPr>
            </w:pPr>
          </w:p>
        </w:tc>
        <w:tc>
          <w:tcPr>
            <w:tcW w:w="8079" w:type="dxa"/>
            <w:hideMark/>
          </w:tcPr>
          <w:p w14:paraId="70F761DF" w14:textId="77777777" w:rsidR="005E7AF5" w:rsidRPr="00053C2E" w:rsidRDefault="005E7AF5" w:rsidP="005F5D7F">
            <w:pPr>
              <w:ind w:left="-57"/>
              <w:rPr>
                <w:rFonts w:ascii="Arial Narrow" w:hAnsi="Arial Narrow"/>
                <w:sz w:val="18"/>
                <w:szCs w:val="18"/>
              </w:rPr>
            </w:pPr>
            <w:r w:rsidRPr="00053C2E">
              <w:rPr>
                <w:rFonts w:ascii="Arial Narrow" w:hAnsi="Arial Narrow"/>
                <w:b/>
                <w:bCs/>
                <w:sz w:val="18"/>
                <w:szCs w:val="18"/>
              </w:rPr>
              <w:t>Clinical criteria:</w:t>
            </w:r>
          </w:p>
        </w:tc>
      </w:tr>
      <w:tr w:rsidR="005E7AF5" w:rsidRPr="00053C2E" w14:paraId="64755149" w14:textId="77777777" w:rsidTr="001A5A72">
        <w:tc>
          <w:tcPr>
            <w:tcW w:w="988" w:type="dxa"/>
          </w:tcPr>
          <w:p w14:paraId="139AAD12" w14:textId="77777777" w:rsidR="005E7AF5" w:rsidRPr="00053C2E" w:rsidRDefault="005E7AF5" w:rsidP="005F5D7F">
            <w:pPr>
              <w:ind w:left="720" w:hanging="720"/>
              <w:jc w:val="center"/>
              <w:rPr>
                <w:rFonts w:ascii="Arial Narrow" w:hAnsi="Arial Narrow"/>
                <w:sz w:val="18"/>
                <w:szCs w:val="18"/>
              </w:rPr>
            </w:pPr>
          </w:p>
        </w:tc>
        <w:tc>
          <w:tcPr>
            <w:tcW w:w="8079" w:type="dxa"/>
            <w:hideMark/>
          </w:tcPr>
          <w:p w14:paraId="2FEE4FBA" w14:textId="77777777" w:rsidR="005E7AF5" w:rsidRPr="00053C2E" w:rsidRDefault="005E7AF5" w:rsidP="005F5D7F">
            <w:pPr>
              <w:ind w:left="-57"/>
              <w:rPr>
                <w:rFonts w:ascii="Arial Narrow" w:hAnsi="Arial Narrow"/>
                <w:strike/>
                <w:sz w:val="18"/>
                <w:szCs w:val="18"/>
              </w:rPr>
            </w:pPr>
            <w:r w:rsidRPr="00053C2E">
              <w:rPr>
                <w:rFonts w:ascii="Arial Narrow" w:hAnsi="Arial Narrow"/>
                <w:strike/>
                <w:sz w:val="18"/>
                <w:szCs w:val="18"/>
              </w:rPr>
              <w:t>Patient must not be undergoing treatment with this drug following treatment with any of: (i) darolutamide, (ii)</w:t>
            </w:r>
            <w:r w:rsidRPr="00163B1E">
              <w:rPr>
                <w:rFonts w:ascii="Arial Narrow" w:hAnsi="Arial Narrow"/>
                <w:strike/>
                <w:sz w:val="18"/>
                <w:szCs w:val="18"/>
              </w:rPr>
              <w:t xml:space="preserve"> </w:t>
            </w:r>
            <w:r w:rsidRPr="00053C2E">
              <w:rPr>
                <w:rFonts w:ascii="Arial Narrow" w:hAnsi="Arial Narrow"/>
                <w:strike/>
                <w:sz w:val="18"/>
                <w:szCs w:val="18"/>
              </w:rPr>
              <w:t>enzalutamide</w:t>
            </w:r>
            <w:r w:rsidRPr="00163B1E">
              <w:rPr>
                <w:rFonts w:ascii="Arial Narrow" w:hAnsi="Arial Narrow"/>
                <w:strike/>
                <w:sz w:val="18"/>
                <w:szCs w:val="18"/>
              </w:rPr>
              <w:t>;</w:t>
            </w:r>
            <w:r w:rsidRPr="00053C2E">
              <w:rPr>
                <w:rFonts w:ascii="Arial Narrow" w:hAnsi="Arial Narrow"/>
                <w:strike/>
                <w:sz w:val="18"/>
                <w:szCs w:val="18"/>
              </w:rPr>
              <w:t>or</w:t>
            </w:r>
          </w:p>
        </w:tc>
      </w:tr>
      <w:tr w:rsidR="005E7AF5" w:rsidRPr="00053C2E" w14:paraId="25CBF840" w14:textId="77777777" w:rsidTr="001A5A72">
        <w:tc>
          <w:tcPr>
            <w:tcW w:w="988" w:type="dxa"/>
          </w:tcPr>
          <w:p w14:paraId="03BC38A3" w14:textId="77777777" w:rsidR="005E7AF5" w:rsidRPr="00053C2E" w:rsidRDefault="005E7AF5" w:rsidP="005F5D7F">
            <w:pPr>
              <w:ind w:left="720" w:hanging="720"/>
              <w:jc w:val="center"/>
              <w:rPr>
                <w:rFonts w:ascii="Arial Narrow" w:hAnsi="Arial Narrow"/>
                <w:sz w:val="18"/>
                <w:szCs w:val="18"/>
              </w:rPr>
            </w:pPr>
          </w:p>
        </w:tc>
        <w:tc>
          <w:tcPr>
            <w:tcW w:w="8079" w:type="dxa"/>
            <w:hideMark/>
          </w:tcPr>
          <w:p w14:paraId="66D573E5" w14:textId="77777777" w:rsidR="005E7AF5" w:rsidRPr="00053C2E" w:rsidRDefault="005E7AF5" w:rsidP="005F5D7F">
            <w:pPr>
              <w:ind w:left="-57"/>
              <w:rPr>
                <w:rFonts w:ascii="Arial Narrow" w:hAnsi="Arial Narrow"/>
                <w:strike/>
                <w:sz w:val="18"/>
                <w:szCs w:val="18"/>
              </w:rPr>
            </w:pPr>
            <w:r w:rsidRPr="00053C2E">
              <w:rPr>
                <w:rFonts w:ascii="Arial Narrow" w:hAnsi="Arial Narrow"/>
                <w:strike/>
                <w:sz w:val="18"/>
                <w:szCs w:val="18"/>
              </w:rPr>
              <w:t>Patient must have developed an intolerance to enzalutamide of a severity necessitating permanent treatment withdrawal</w:t>
            </w:r>
          </w:p>
        </w:tc>
      </w:tr>
      <w:tr w:rsidR="005E7AF5" w:rsidRPr="003543C4" w14:paraId="56953696" w14:textId="77777777" w:rsidTr="005E7AF5">
        <w:tc>
          <w:tcPr>
            <w:tcW w:w="988" w:type="dxa"/>
          </w:tcPr>
          <w:p w14:paraId="1CFF83D9" w14:textId="77777777" w:rsidR="005E7AF5" w:rsidRDefault="005E7AF5" w:rsidP="005F5D7F">
            <w:pPr>
              <w:ind w:left="720" w:hanging="720"/>
              <w:jc w:val="center"/>
              <w:rPr>
                <w:rFonts w:ascii="Arial Narrow" w:hAnsi="Arial Narrow"/>
                <w:sz w:val="18"/>
                <w:szCs w:val="18"/>
              </w:rPr>
            </w:pPr>
          </w:p>
        </w:tc>
        <w:tc>
          <w:tcPr>
            <w:tcW w:w="8079" w:type="dxa"/>
          </w:tcPr>
          <w:p w14:paraId="1171D215" w14:textId="77777777" w:rsidR="005E7AF5" w:rsidRPr="003543C4" w:rsidRDefault="005E7AF5" w:rsidP="005F5D7F">
            <w:pPr>
              <w:ind w:left="-57"/>
              <w:rPr>
                <w:rFonts w:ascii="Arial Narrow" w:hAnsi="Arial Narrow"/>
                <w:i/>
                <w:iCs/>
                <w:sz w:val="18"/>
                <w:szCs w:val="18"/>
              </w:rPr>
            </w:pPr>
          </w:p>
        </w:tc>
      </w:tr>
      <w:tr w:rsidR="003A27A6" w:rsidRPr="00163B1E" w14:paraId="174677D9" w14:textId="77777777" w:rsidTr="005E7AF5">
        <w:tc>
          <w:tcPr>
            <w:tcW w:w="988" w:type="dxa"/>
          </w:tcPr>
          <w:p w14:paraId="355BF2DB" w14:textId="77777777" w:rsidR="003A27A6" w:rsidRDefault="003A27A6" w:rsidP="003A27A6">
            <w:pPr>
              <w:ind w:left="720" w:hanging="720"/>
              <w:jc w:val="center"/>
              <w:rPr>
                <w:rFonts w:ascii="Arial Narrow" w:hAnsi="Arial Narrow"/>
                <w:sz w:val="18"/>
                <w:szCs w:val="18"/>
              </w:rPr>
            </w:pPr>
          </w:p>
        </w:tc>
        <w:tc>
          <w:tcPr>
            <w:tcW w:w="8079" w:type="dxa"/>
          </w:tcPr>
          <w:p w14:paraId="238097A6" w14:textId="77777777" w:rsidR="003A27A6" w:rsidRPr="00163B1E" w:rsidRDefault="003A27A6" w:rsidP="003A27A6">
            <w:pPr>
              <w:ind w:left="-57"/>
              <w:rPr>
                <w:rFonts w:ascii="Arial Narrow" w:hAnsi="Arial Narrow"/>
                <w:b/>
                <w:bCs/>
                <w:i/>
                <w:iCs/>
                <w:sz w:val="18"/>
                <w:szCs w:val="18"/>
              </w:rPr>
            </w:pPr>
            <w:r>
              <w:rPr>
                <w:rFonts w:ascii="Arial Narrow" w:hAnsi="Arial Narrow"/>
                <w:b/>
                <w:bCs/>
                <w:i/>
                <w:iCs/>
                <w:sz w:val="18"/>
                <w:szCs w:val="18"/>
              </w:rPr>
              <w:t xml:space="preserve">Clinical </w:t>
            </w:r>
            <w:r w:rsidRPr="00840498">
              <w:rPr>
                <w:rFonts w:ascii="Arial Narrow" w:hAnsi="Arial Narrow"/>
                <w:b/>
                <w:bCs/>
                <w:i/>
                <w:iCs/>
                <w:sz w:val="18"/>
                <w:szCs w:val="18"/>
              </w:rPr>
              <w:t>criteria:</w:t>
            </w:r>
          </w:p>
        </w:tc>
      </w:tr>
      <w:tr w:rsidR="003A27A6" w:rsidRPr="00492A38" w14:paraId="0F038E0B" w14:textId="77777777" w:rsidTr="005E7AF5">
        <w:tc>
          <w:tcPr>
            <w:tcW w:w="988" w:type="dxa"/>
          </w:tcPr>
          <w:p w14:paraId="057090AF" w14:textId="77777777" w:rsidR="003A27A6" w:rsidRPr="00840498" w:rsidRDefault="003A27A6" w:rsidP="003A27A6">
            <w:pPr>
              <w:ind w:left="720" w:hanging="720"/>
              <w:jc w:val="center"/>
              <w:rPr>
                <w:rFonts w:ascii="Arial Narrow" w:hAnsi="Arial Narrow"/>
                <w:sz w:val="18"/>
                <w:szCs w:val="18"/>
              </w:rPr>
            </w:pPr>
          </w:p>
        </w:tc>
        <w:tc>
          <w:tcPr>
            <w:tcW w:w="8079" w:type="dxa"/>
          </w:tcPr>
          <w:p w14:paraId="4A6B3CAD" w14:textId="77777777" w:rsidR="003A27A6" w:rsidRPr="00840498" w:rsidRDefault="003A27A6" w:rsidP="003A27A6">
            <w:pPr>
              <w:ind w:left="-57"/>
              <w:rPr>
                <w:rFonts w:ascii="Arial Narrow" w:hAnsi="Arial Narrow"/>
                <w:i/>
                <w:iCs/>
                <w:sz w:val="18"/>
                <w:szCs w:val="18"/>
              </w:rPr>
            </w:pPr>
            <w:r w:rsidRPr="00840498">
              <w:rPr>
                <w:rFonts w:ascii="Arial Narrow" w:hAnsi="Arial Narrow"/>
                <w:i/>
                <w:iCs/>
                <w:sz w:val="18"/>
                <w:szCs w:val="18"/>
              </w:rPr>
              <w:t xml:space="preserve">Patient must </w:t>
            </w:r>
            <w:r>
              <w:rPr>
                <w:rFonts w:ascii="Arial Narrow" w:hAnsi="Arial Narrow"/>
                <w:i/>
                <w:iCs/>
                <w:sz w:val="18"/>
                <w:szCs w:val="18"/>
              </w:rPr>
              <w:t xml:space="preserve">only receive </w:t>
            </w:r>
            <w:r w:rsidRPr="00840498">
              <w:rPr>
                <w:rFonts w:ascii="Arial Narrow" w:hAnsi="Arial Narrow"/>
                <w:i/>
                <w:iCs/>
                <w:sz w:val="18"/>
                <w:szCs w:val="18"/>
              </w:rPr>
              <w:t>treatment with one novel hormonal drug per lifetime</w:t>
            </w:r>
          </w:p>
        </w:tc>
      </w:tr>
      <w:tr w:rsidR="003A27A6" w:rsidRPr="00492A38" w14:paraId="466D2C77" w14:textId="77777777" w:rsidTr="005E7AF5">
        <w:tc>
          <w:tcPr>
            <w:tcW w:w="988" w:type="dxa"/>
          </w:tcPr>
          <w:p w14:paraId="166D03A1" w14:textId="77777777" w:rsidR="003A27A6" w:rsidRPr="00840498" w:rsidRDefault="003A27A6" w:rsidP="003A27A6">
            <w:pPr>
              <w:ind w:left="720" w:hanging="720"/>
              <w:jc w:val="center"/>
              <w:rPr>
                <w:rFonts w:ascii="Arial Narrow" w:hAnsi="Arial Narrow"/>
                <w:sz w:val="18"/>
                <w:szCs w:val="18"/>
              </w:rPr>
            </w:pPr>
          </w:p>
        </w:tc>
        <w:tc>
          <w:tcPr>
            <w:tcW w:w="8079" w:type="dxa"/>
          </w:tcPr>
          <w:p w14:paraId="6F3103D6" w14:textId="77777777" w:rsidR="003A27A6" w:rsidRPr="00840498" w:rsidRDefault="003A27A6" w:rsidP="003A27A6">
            <w:pPr>
              <w:ind w:left="-57"/>
              <w:rPr>
                <w:rFonts w:ascii="Arial Narrow" w:hAnsi="Arial Narrow"/>
                <w:i/>
                <w:iCs/>
                <w:sz w:val="18"/>
                <w:szCs w:val="18"/>
              </w:rPr>
            </w:pPr>
            <w:r w:rsidRPr="0009526D">
              <w:rPr>
                <w:rFonts w:ascii="Arial Narrow" w:hAnsi="Arial Narrow"/>
                <w:b/>
                <w:i/>
                <w:iCs/>
                <w:snapToGrid w:val="0"/>
                <w:sz w:val="18"/>
                <w:szCs w:val="18"/>
              </w:rPr>
              <w:t>OR</w:t>
            </w:r>
          </w:p>
        </w:tc>
      </w:tr>
      <w:tr w:rsidR="003A27A6" w:rsidRPr="00492A38" w14:paraId="0D51A5A4" w14:textId="77777777" w:rsidTr="005E7AF5">
        <w:tc>
          <w:tcPr>
            <w:tcW w:w="988" w:type="dxa"/>
          </w:tcPr>
          <w:p w14:paraId="654FB7A8" w14:textId="77777777" w:rsidR="003A27A6" w:rsidRPr="00840498" w:rsidRDefault="003A27A6" w:rsidP="003A27A6">
            <w:pPr>
              <w:ind w:left="720" w:hanging="720"/>
              <w:jc w:val="center"/>
              <w:rPr>
                <w:rFonts w:ascii="Arial Narrow" w:hAnsi="Arial Narrow"/>
                <w:sz w:val="18"/>
                <w:szCs w:val="18"/>
              </w:rPr>
            </w:pPr>
          </w:p>
        </w:tc>
        <w:tc>
          <w:tcPr>
            <w:tcW w:w="8079" w:type="dxa"/>
          </w:tcPr>
          <w:p w14:paraId="3E458D7C" w14:textId="77777777" w:rsidR="003A27A6" w:rsidRPr="00840498" w:rsidRDefault="003A27A6" w:rsidP="003A27A6">
            <w:pPr>
              <w:ind w:left="-57"/>
              <w:rPr>
                <w:rFonts w:ascii="Arial Narrow" w:hAnsi="Arial Narrow"/>
                <w:i/>
                <w:iCs/>
                <w:sz w:val="18"/>
                <w:szCs w:val="18"/>
              </w:rPr>
            </w:pPr>
            <w:r>
              <w:rPr>
                <w:rFonts w:ascii="Arial Narrow" w:hAnsi="Arial Narrow"/>
                <w:b/>
                <w:bCs/>
                <w:i/>
                <w:iCs/>
                <w:sz w:val="18"/>
                <w:szCs w:val="18"/>
              </w:rPr>
              <w:t>Clinical</w:t>
            </w:r>
            <w:r w:rsidRPr="00840498">
              <w:rPr>
                <w:rFonts w:ascii="Arial Narrow" w:hAnsi="Arial Narrow"/>
                <w:b/>
                <w:bCs/>
                <w:i/>
                <w:iCs/>
                <w:sz w:val="18"/>
                <w:szCs w:val="18"/>
              </w:rPr>
              <w:t xml:space="preserve"> criteria</w:t>
            </w:r>
          </w:p>
        </w:tc>
      </w:tr>
    </w:tbl>
    <w:tbl>
      <w:tblPr>
        <w:tblStyle w:val="TableGrid"/>
        <w:tblW w:w="9067" w:type="dxa"/>
        <w:tblBorders>
          <w:top w:val="none" w:sz="0" w:space="0" w:color="auto"/>
          <w:bottom w:val="none" w:sz="0" w:space="0" w:color="auto"/>
        </w:tblBorders>
        <w:tblLayout w:type="fixed"/>
        <w:tblLook w:val="04A0" w:firstRow="1" w:lastRow="0" w:firstColumn="1" w:lastColumn="0" w:noHBand="0" w:noVBand="1"/>
      </w:tblPr>
      <w:tblGrid>
        <w:gridCol w:w="988"/>
        <w:gridCol w:w="8079"/>
      </w:tblGrid>
      <w:tr w:rsidR="003A27A6" w:rsidRPr="00F573A7" w14:paraId="051674F4" w14:textId="77777777" w:rsidTr="003A27A6">
        <w:tc>
          <w:tcPr>
            <w:tcW w:w="988" w:type="dxa"/>
          </w:tcPr>
          <w:p w14:paraId="104C4505" w14:textId="77777777" w:rsidR="003A27A6" w:rsidRPr="00840498" w:rsidRDefault="003A27A6" w:rsidP="009271C6">
            <w:pPr>
              <w:jc w:val="center"/>
              <w:rPr>
                <w:rFonts w:ascii="Arial Narrow" w:hAnsi="Arial Narrow"/>
                <w:snapToGrid w:val="0"/>
                <w:sz w:val="18"/>
                <w:szCs w:val="18"/>
              </w:rPr>
            </w:pPr>
          </w:p>
        </w:tc>
        <w:tc>
          <w:tcPr>
            <w:tcW w:w="8079" w:type="dxa"/>
            <w:shd w:val="clear" w:color="auto" w:fill="auto"/>
          </w:tcPr>
          <w:p w14:paraId="59008C62" w14:textId="77777777" w:rsidR="003A27A6" w:rsidRPr="00840498" w:rsidRDefault="003A27A6" w:rsidP="009271C6">
            <w:pPr>
              <w:ind w:left="-57"/>
              <w:rPr>
                <w:rFonts w:ascii="Arial Narrow" w:hAnsi="Arial Narrow"/>
                <w:i/>
                <w:iCs/>
                <w:sz w:val="18"/>
                <w:szCs w:val="18"/>
              </w:rPr>
            </w:pPr>
            <w:r w:rsidRPr="00840498">
              <w:rPr>
                <w:rFonts w:ascii="Arial Narrow" w:hAnsi="Arial Narrow"/>
                <w:i/>
                <w:iCs/>
                <w:sz w:val="18"/>
                <w:szCs w:val="18"/>
              </w:rPr>
              <w:t xml:space="preserve">Patient must </w:t>
            </w:r>
            <w:r>
              <w:rPr>
                <w:rFonts w:ascii="Arial Narrow" w:hAnsi="Arial Narrow"/>
                <w:i/>
                <w:iCs/>
                <w:sz w:val="18"/>
                <w:szCs w:val="18"/>
              </w:rPr>
              <w:t xml:space="preserve">only receive </w:t>
            </w:r>
            <w:r w:rsidRPr="00840498">
              <w:rPr>
                <w:rFonts w:ascii="Arial Narrow" w:hAnsi="Arial Narrow"/>
                <w:i/>
                <w:iCs/>
                <w:sz w:val="18"/>
                <w:szCs w:val="18"/>
              </w:rPr>
              <w:t>treatment with a subsequent novel hormonal drug where there has been a severe intolerance to another novel hormonal drug leading to permanent treatment cessation</w:t>
            </w:r>
          </w:p>
        </w:tc>
      </w:tr>
    </w:tbl>
    <w:tbl>
      <w:tblPr>
        <w:tblStyle w:val="TableGridLigh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079"/>
      </w:tblGrid>
      <w:tr w:rsidR="005E7AF5" w:rsidRPr="00492A38" w14:paraId="01B558C9" w14:textId="77777777" w:rsidTr="005E7AF5">
        <w:tc>
          <w:tcPr>
            <w:tcW w:w="988" w:type="dxa"/>
          </w:tcPr>
          <w:p w14:paraId="499176F4" w14:textId="77777777" w:rsidR="005E7AF5" w:rsidRPr="00840498" w:rsidRDefault="005E7AF5" w:rsidP="005F5D7F">
            <w:pPr>
              <w:ind w:left="720" w:hanging="720"/>
              <w:jc w:val="center"/>
              <w:rPr>
                <w:rFonts w:ascii="Arial Narrow" w:hAnsi="Arial Narrow"/>
                <w:sz w:val="18"/>
                <w:szCs w:val="18"/>
              </w:rPr>
            </w:pPr>
          </w:p>
        </w:tc>
        <w:tc>
          <w:tcPr>
            <w:tcW w:w="8079" w:type="dxa"/>
          </w:tcPr>
          <w:p w14:paraId="6C8D3EF6" w14:textId="77777777" w:rsidR="005E7AF5" w:rsidRPr="00840498" w:rsidRDefault="005E7AF5" w:rsidP="005F5D7F">
            <w:pPr>
              <w:ind w:left="-57"/>
              <w:rPr>
                <w:rFonts w:ascii="Arial Narrow" w:hAnsi="Arial Narrow"/>
                <w:i/>
                <w:iCs/>
                <w:sz w:val="18"/>
                <w:szCs w:val="18"/>
              </w:rPr>
            </w:pPr>
          </w:p>
        </w:tc>
      </w:tr>
      <w:tr w:rsidR="005E7AF5" w:rsidRPr="00163B1E" w14:paraId="37FFFA42" w14:textId="77777777" w:rsidTr="005E7AF5">
        <w:tc>
          <w:tcPr>
            <w:tcW w:w="988" w:type="dxa"/>
          </w:tcPr>
          <w:p w14:paraId="251BBC69" w14:textId="77777777" w:rsidR="005E7AF5" w:rsidRPr="00840498" w:rsidRDefault="005E7AF5" w:rsidP="005F5D7F">
            <w:pPr>
              <w:ind w:left="720" w:hanging="720"/>
              <w:jc w:val="center"/>
              <w:rPr>
                <w:rFonts w:ascii="Arial Narrow" w:hAnsi="Arial Narrow"/>
                <w:sz w:val="18"/>
                <w:szCs w:val="18"/>
              </w:rPr>
            </w:pPr>
          </w:p>
        </w:tc>
        <w:tc>
          <w:tcPr>
            <w:tcW w:w="8079" w:type="dxa"/>
            <w:shd w:val="clear" w:color="auto" w:fill="auto"/>
          </w:tcPr>
          <w:p w14:paraId="3417D420" w14:textId="77777777" w:rsidR="005E7AF5" w:rsidRPr="00840498" w:rsidRDefault="005E7AF5" w:rsidP="005F5D7F">
            <w:pPr>
              <w:ind w:left="-57"/>
              <w:rPr>
                <w:rFonts w:ascii="Arial Narrow" w:hAnsi="Arial Narrow"/>
                <w:b/>
                <w:i/>
                <w:iCs/>
                <w:snapToGrid w:val="0"/>
                <w:sz w:val="18"/>
                <w:szCs w:val="18"/>
              </w:rPr>
            </w:pPr>
            <w:r w:rsidRPr="00840498">
              <w:rPr>
                <w:rFonts w:ascii="Arial Narrow" w:hAnsi="Arial Narrow"/>
                <w:b/>
                <w:i/>
                <w:iCs/>
                <w:snapToGrid w:val="0"/>
                <w:sz w:val="18"/>
                <w:szCs w:val="18"/>
              </w:rPr>
              <w:t xml:space="preserve">Administrative advice: </w:t>
            </w:r>
          </w:p>
          <w:p w14:paraId="1131A126" w14:textId="77777777" w:rsidR="005E7AF5" w:rsidRPr="00840498" w:rsidRDefault="00B828F7" w:rsidP="005F5D7F">
            <w:pPr>
              <w:ind w:left="-57"/>
              <w:rPr>
                <w:rFonts w:ascii="Arial Narrow" w:hAnsi="Arial Narrow"/>
                <w:b/>
                <w:i/>
                <w:iCs/>
                <w:snapToGrid w:val="0"/>
                <w:sz w:val="18"/>
                <w:szCs w:val="18"/>
              </w:rPr>
            </w:pPr>
            <w:r w:rsidRPr="00840498">
              <w:rPr>
                <w:rFonts w:ascii="Arial Narrow" w:hAnsi="Arial Narrow"/>
                <w:bCs/>
                <w:i/>
                <w:iCs/>
                <w:snapToGrid w:val="0"/>
                <w:sz w:val="18"/>
                <w:szCs w:val="18"/>
              </w:rPr>
              <w:t>Where the term ‘n</w:t>
            </w:r>
            <w:r w:rsidR="005E7AF5" w:rsidRPr="00840498">
              <w:rPr>
                <w:rFonts w:ascii="Arial Narrow" w:hAnsi="Arial Narrow"/>
                <w:bCs/>
                <w:i/>
                <w:iCs/>
                <w:snapToGrid w:val="0"/>
                <w:sz w:val="18"/>
                <w:szCs w:val="18"/>
              </w:rPr>
              <w:t xml:space="preserve">ovel hormonal </w:t>
            </w:r>
            <w:r w:rsidRPr="00840498">
              <w:rPr>
                <w:rFonts w:ascii="Arial Narrow" w:hAnsi="Arial Narrow"/>
                <w:bCs/>
                <w:i/>
                <w:iCs/>
                <w:snapToGrid w:val="0"/>
                <w:sz w:val="18"/>
                <w:szCs w:val="18"/>
              </w:rPr>
              <w:t>drug’</w:t>
            </w:r>
            <w:r w:rsidR="005E7AF5" w:rsidRPr="00840498">
              <w:rPr>
                <w:rFonts w:ascii="Arial Narrow" w:hAnsi="Arial Narrow"/>
                <w:bCs/>
                <w:i/>
                <w:iCs/>
                <w:snapToGrid w:val="0"/>
                <w:sz w:val="18"/>
                <w:szCs w:val="18"/>
              </w:rPr>
              <w:t xml:space="preserve"> </w:t>
            </w:r>
            <w:r w:rsidRPr="00840498">
              <w:rPr>
                <w:rFonts w:ascii="Arial Narrow" w:hAnsi="Arial Narrow"/>
                <w:bCs/>
                <w:i/>
                <w:iCs/>
                <w:snapToGrid w:val="0"/>
                <w:sz w:val="18"/>
                <w:szCs w:val="18"/>
              </w:rPr>
              <w:t xml:space="preserve">appears in this restriction, it </w:t>
            </w:r>
            <w:r w:rsidR="005E7AF5" w:rsidRPr="00840498">
              <w:rPr>
                <w:rFonts w:ascii="Arial Narrow" w:hAnsi="Arial Narrow"/>
                <w:bCs/>
                <w:i/>
                <w:iCs/>
                <w:snapToGrid w:val="0"/>
                <w:sz w:val="18"/>
                <w:szCs w:val="18"/>
              </w:rPr>
              <w:t>refer</w:t>
            </w:r>
            <w:r w:rsidRPr="00840498">
              <w:rPr>
                <w:rFonts w:ascii="Arial Narrow" w:hAnsi="Arial Narrow"/>
                <w:bCs/>
                <w:i/>
                <w:iCs/>
                <w:snapToGrid w:val="0"/>
                <w:sz w:val="18"/>
                <w:szCs w:val="18"/>
              </w:rPr>
              <w:t>s</w:t>
            </w:r>
            <w:r w:rsidR="005E7AF5" w:rsidRPr="00840498">
              <w:rPr>
                <w:rFonts w:ascii="Arial Narrow" w:hAnsi="Arial Narrow"/>
                <w:bCs/>
                <w:i/>
                <w:iCs/>
                <w:snapToGrid w:val="0"/>
                <w:sz w:val="18"/>
                <w:szCs w:val="18"/>
              </w:rPr>
              <w:t xml:space="preserve"> to</w:t>
            </w:r>
            <w:r w:rsidRPr="00840498">
              <w:rPr>
                <w:rFonts w:ascii="Arial Narrow" w:hAnsi="Arial Narrow"/>
                <w:bCs/>
                <w:i/>
                <w:iCs/>
                <w:snapToGrid w:val="0"/>
                <w:sz w:val="18"/>
                <w:szCs w:val="18"/>
              </w:rPr>
              <w:t>:</w:t>
            </w:r>
            <w:r w:rsidR="005E7AF5" w:rsidRPr="00840498">
              <w:rPr>
                <w:rFonts w:ascii="Arial Narrow" w:hAnsi="Arial Narrow"/>
                <w:bCs/>
                <w:i/>
                <w:iCs/>
                <w:snapToGrid w:val="0"/>
                <w:sz w:val="18"/>
                <w:szCs w:val="18"/>
              </w:rPr>
              <w:t xml:space="preserve"> (i)</w:t>
            </w:r>
            <w:r w:rsidR="00492A38" w:rsidRPr="00840498">
              <w:rPr>
                <w:rFonts w:ascii="Arial Narrow" w:hAnsi="Arial Narrow"/>
                <w:bCs/>
                <w:i/>
                <w:iCs/>
                <w:snapToGrid w:val="0"/>
                <w:sz w:val="18"/>
                <w:szCs w:val="18"/>
              </w:rPr>
              <w:t xml:space="preserve"> abiraterone, (ii)</w:t>
            </w:r>
            <w:r w:rsidR="005E7AF5" w:rsidRPr="00840498">
              <w:rPr>
                <w:rFonts w:ascii="Arial Narrow" w:hAnsi="Arial Narrow"/>
                <w:bCs/>
                <w:i/>
                <w:iCs/>
                <w:snapToGrid w:val="0"/>
                <w:sz w:val="18"/>
                <w:szCs w:val="18"/>
              </w:rPr>
              <w:t xml:space="preserve"> apalutamide, (</w:t>
            </w:r>
            <w:r w:rsidR="00492A38" w:rsidRPr="00840498">
              <w:rPr>
                <w:rFonts w:ascii="Arial Narrow" w:hAnsi="Arial Narrow"/>
                <w:bCs/>
                <w:i/>
                <w:iCs/>
                <w:snapToGrid w:val="0"/>
                <w:sz w:val="18"/>
                <w:szCs w:val="18"/>
              </w:rPr>
              <w:t>i</w:t>
            </w:r>
            <w:r w:rsidR="005E7AF5" w:rsidRPr="00840498">
              <w:rPr>
                <w:rFonts w:ascii="Arial Narrow" w:hAnsi="Arial Narrow"/>
                <w:bCs/>
                <w:i/>
                <w:iCs/>
                <w:snapToGrid w:val="0"/>
                <w:sz w:val="18"/>
                <w:szCs w:val="18"/>
              </w:rPr>
              <w:t>ii) darolutamide</w:t>
            </w:r>
            <w:r w:rsidR="00492A38" w:rsidRPr="00840498">
              <w:rPr>
                <w:rFonts w:ascii="Arial Narrow" w:hAnsi="Arial Narrow"/>
                <w:bCs/>
                <w:i/>
                <w:iCs/>
                <w:snapToGrid w:val="0"/>
                <w:sz w:val="18"/>
                <w:szCs w:val="18"/>
              </w:rPr>
              <w:t>, (iv) enzalutamide</w:t>
            </w:r>
          </w:p>
        </w:tc>
      </w:tr>
    </w:tbl>
    <w:p w14:paraId="72308C71" w14:textId="77777777" w:rsidR="005E7AF5" w:rsidRDefault="005E7AF5" w:rsidP="005E7AF5">
      <w:pPr>
        <w:pStyle w:val="3-BodyText"/>
        <w:spacing w:before="240"/>
        <w:ind w:left="720"/>
      </w:pPr>
      <w:r>
        <w:t>Update enzalutamide’s restriction to exclude enzalutamide use for metastatic disease following treatment with any of apalutamide/darolutamide (in non-metastatic disease) as follows.</w:t>
      </w:r>
    </w:p>
    <w:tbl>
      <w:tblPr>
        <w:tblW w:w="4950" w:type="pct"/>
        <w:shd w:val="clear" w:color="auto" w:fill="FFFFFF"/>
        <w:tblCellMar>
          <w:left w:w="0" w:type="dxa"/>
          <w:right w:w="0" w:type="dxa"/>
        </w:tblCellMar>
        <w:tblLook w:val="04A0" w:firstRow="1" w:lastRow="0" w:firstColumn="1" w:lastColumn="0" w:noHBand="0" w:noVBand="1"/>
      </w:tblPr>
      <w:tblGrid>
        <w:gridCol w:w="8927"/>
      </w:tblGrid>
      <w:tr w:rsidR="005E7AF5" w:rsidRPr="00053C2E" w14:paraId="57B127F7" w14:textId="77777777" w:rsidTr="005E7AF5">
        <w:trPr>
          <w:trHeight w:val="18"/>
        </w:trPr>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240" w:type="dxa"/>
              <w:bottom w:w="0" w:type="dxa"/>
              <w:right w:w="240" w:type="dxa"/>
            </w:tcMar>
          </w:tcPr>
          <w:p w14:paraId="4B88BC6B" w14:textId="77777777" w:rsidR="005E7AF5" w:rsidRPr="00053C2E" w:rsidRDefault="005E7AF5" w:rsidP="00A01C84">
            <w:pPr>
              <w:keepNext/>
              <w:ind w:left="-170" w:right="57"/>
              <w:rPr>
                <w:rFonts w:ascii="Arial Narrow" w:hAnsi="Arial Narrow"/>
                <w:b/>
                <w:bCs/>
                <w:sz w:val="18"/>
                <w:szCs w:val="18"/>
              </w:rPr>
            </w:pPr>
            <w:r>
              <w:rPr>
                <w:rFonts w:ascii="Arial Narrow" w:hAnsi="Arial Narrow"/>
                <w:b/>
                <w:bCs/>
                <w:sz w:val="18"/>
                <w:szCs w:val="18"/>
              </w:rPr>
              <w:t xml:space="preserve">Relevant extract of enzalutamide Restriction summary 12370 / ToC: 12371 </w:t>
            </w:r>
            <w:r w:rsidRPr="005E7AF5">
              <w:rPr>
                <w:rFonts w:ascii="Arial Narrow" w:hAnsi="Arial Narrow"/>
                <w:b/>
                <w:bCs/>
                <w:sz w:val="18"/>
                <w:szCs w:val="18"/>
              </w:rPr>
              <w:t>(current as at 1 November 2021)</w:t>
            </w:r>
          </w:p>
        </w:tc>
      </w:tr>
      <w:tr w:rsidR="005E7AF5" w:rsidRPr="00053C2E" w14:paraId="22775D9D" w14:textId="77777777" w:rsidTr="005E7AF5">
        <w:trPr>
          <w:trHeight w:val="18"/>
        </w:trPr>
        <w:tc>
          <w:tcPr>
            <w:tcW w:w="5000" w:type="pct"/>
            <w:tcBorders>
              <w:top w:val="single" w:sz="4" w:space="0" w:color="auto"/>
              <w:left w:val="single" w:sz="4" w:space="0" w:color="auto"/>
              <w:right w:val="single" w:sz="4" w:space="0" w:color="auto"/>
            </w:tcBorders>
            <w:shd w:val="clear" w:color="auto" w:fill="auto"/>
            <w:tcMar>
              <w:top w:w="0" w:type="dxa"/>
              <w:left w:w="240" w:type="dxa"/>
              <w:bottom w:w="0" w:type="dxa"/>
              <w:right w:w="240" w:type="dxa"/>
            </w:tcMar>
          </w:tcPr>
          <w:p w14:paraId="4257196E" w14:textId="77777777" w:rsidR="005E7AF5" w:rsidRDefault="005E7AF5" w:rsidP="00A01C84">
            <w:pPr>
              <w:keepNext/>
              <w:ind w:left="-170" w:right="57"/>
              <w:rPr>
                <w:rFonts w:ascii="Arial Narrow" w:hAnsi="Arial Narrow"/>
                <w:b/>
                <w:bCs/>
                <w:sz w:val="18"/>
                <w:szCs w:val="18"/>
              </w:rPr>
            </w:pPr>
            <w:r>
              <w:rPr>
                <w:rFonts w:ascii="Arial Narrow" w:hAnsi="Arial Narrow"/>
                <w:b/>
                <w:bCs/>
                <w:sz w:val="18"/>
                <w:szCs w:val="18"/>
              </w:rPr>
              <w:t xml:space="preserve">PB item codes: </w:t>
            </w:r>
            <w:r w:rsidRPr="005E7AF5">
              <w:rPr>
                <w:rFonts w:ascii="Arial Narrow" w:hAnsi="Arial Narrow"/>
                <w:b/>
                <w:bCs/>
                <w:sz w:val="18"/>
                <w:szCs w:val="18"/>
              </w:rPr>
              <w:t>10174L (enzalutamide 40 mg capsule, 112)</w:t>
            </w:r>
          </w:p>
        </w:tc>
      </w:tr>
    </w:tbl>
    <w:tbl>
      <w:tblPr>
        <w:tblStyle w:val="TableGridLight"/>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938"/>
      </w:tblGrid>
      <w:tr w:rsidR="005E7AF5" w:rsidRPr="00053C2E" w14:paraId="2C7255EB" w14:textId="77777777" w:rsidTr="00D010FD">
        <w:trPr>
          <w:tblHeader/>
        </w:trPr>
        <w:tc>
          <w:tcPr>
            <w:tcW w:w="988" w:type="dxa"/>
          </w:tcPr>
          <w:p w14:paraId="584F22E8" w14:textId="77777777" w:rsidR="005E7AF5" w:rsidRPr="00053C2E" w:rsidRDefault="005E7AF5" w:rsidP="00A01C84">
            <w:pPr>
              <w:keepNext/>
              <w:ind w:left="720" w:hanging="720"/>
              <w:jc w:val="center"/>
              <w:rPr>
                <w:rFonts w:ascii="Arial Narrow" w:hAnsi="Arial Narrow"/>
                <w:sz w:val="18"/>
                <w:szCs w:val="18"/>
              </w:rPr>
            </w:pPr>
          </w:p>
        </w:tc>
        <w:tc>
          <w:tcPr>
            <w:tcW w:w="7938" w:type="dxa"/>
            <w:hideMark/>
          </w:tcPr>
          <w:p w14:paraId="6EFAF412" w14:textId="77777777" w:rsidR="005E7AF5" w:rsidRPr="00053C2E" w:rsidRDefault="005E7AF5" w:rsidP="00A01C84">
            <w:pPr>
              <w:keepNext/>
              <w:ind w:left="-57"/>
              <w:rPr>
                <w:rFonts w:ascii="Arial Narrow" w:hAnsi="Arial Narrow"/>
                <w:sz w:val="18"/>
                <w:szCs w:val="18"/>
              </w:rPr>
            </w:pPr>
            <w:r w:rsidRPr="00053C2E">
              <w:rPr>
                <w:rFonts w:ascii="Arial Narrow" w:hAnsi="Arial Narrow"/>
                <w:b/>
                <w:bCs/>
                <w:sz w:val="18"/>
                <w:szCs w:val="18"/>
              </w:rPr>
              <w:t>Clinical criteria:</w:t>
            </w:r>
          </w:p>
        </w:tc>
      </w:tr>
      <w:tr w:rsidR="005E7AF5" w:rsidRPr="00053C2E" w14:paraId="4A7FEB15" w14:textId="77777777" w:rsidTr="001A5A72">
        <w:tc>
          <w:tcPr>
            <w:tcW w:w="988" w:type="dxa"/>
          </w:tcPr>
          <w:p w14:paraId="3956EA1E" w14:textId="77777777" w:rsidR="005E7AF5" w:rsidRPr="00053C2E" w:rsidRDefault="005E7AF5" w:rsidP="00A01C84">
            <w:pPr>
              <w:keepNext/>
              <w:ind w:left="720" w:hanging="720"/>
              <w:jc w:val="center"/>
              <w:rPr>
                <w:rFonts w:ascii="Arial Narrow" w:hAnsi="Arial Narrow"/>
                <w:sz w:val="18"/>
                <w:szCs w:val="18"/>
              </w:rPr>
            </w:pPr>
          </w:p>
        </w:tc>
        <w:tc>
          <w:tcPr>
            <w:tcW w:w="7938" w:type="dxa"/>
            <w:hideMark/>
          </w:tcPr>
          <w:p w14:paraId="56606141" w14:textId="77777777" w:rsidR="005E7AF5" w:rsidRPr="00053C2E" w:rsidRDefault="005E7AF5" w:rsidP="00A01C84">
            <w:pPr>
              <w:keepNext/>
              <w:ind w:left="-57"/>
              <w:rPr>
                <w:rFonts w:ascii="Arial Narrow" w:hAnsi="Arial Narrow"/>
                <w:strike/>
                <w:sz w:val="18"/>
                <w:szCs w:val="18"/>
              </w:rPr>
            </w:pPr>
            <w:r w:rsidRPr="00053C2E">
              <w:rPr>
                <w:rFonts w:ascii="Arial Narrow" w:hAnsi="Arial Narrow"/>
                <w:strike/>
                <w:sz w:val="18"/>
                <w:szCs w:val="18"/>
              </w:rPr>
              <w:t>Patient must not be undergoing treatment with this drug following treatment with any of: (i) darolutamide, (ii)</w:t>
            </w:r>
            <w:r w:rsidRPr="00163B1E">
              <w:rPr>
                <w:rFonts w:ascii="Arial Narrow" w:hAnsi="Arial Narrow"/>
                <w:strike/>
                <w:sz w:val="18"/>
                <w:szCs w:val="18"/>
              </w:rPr>
              <w:t xml:space="preserve"> </w:t>
            </w:r>
            <w:r>
              <w:rPr>
                <w:rFonts w:ascii="Arial Narrow" w:hAnsi="Arial Narrow"/>
                <w:strike/>
                <w:sz w:val="18"/>
                <w:szCs w:val="18"/>
              </w:rPr>
              <w:t>abiraterone</w:t>
            </w:r>
            <w:r w:rsidRPr="00163B1E">
              <w:rPr>
                <w:rFonts w:ascii="Arial Narrow" w:hAnsi="Arial Narrow"/>
                <w:strike/>
                <w:sz w:val="18"/>
                <w:szCs w:val="18"/>
              </w:rPr>
              <w:t>;</w:t>
            </w:r>
            <w:r>
              <w:rPr>
                <w:rFonts w:ascii="Arial Narrow" w:hAnsi="Arial Narrow"/>
                <w:strike/>
                <w:sz w:val="18"/>
                <w:szCs w:val="18"/>
              </w:rPr>
              <w:t xml:space="preserve"> </w:t>
            </w:r>
            <w:r w:rsidRPr="00053C2E">
              <w:rPr>
                <w:rFonts w:ascii="Arial Narrow" w:hAnsi="Arial Narrow"/>
                <w:strike/>
                <w:sz w:val="18"/>
                <w:szCs w:val="18"/>
              </w:rPr>
              <w:t>or</w:t>
            </w:r>
          </w:p>
        </w:tc>
      </w:tr>
      <w:tr w:rsidR="005E7AF5" w:rsidRPr="00053C2E" w14:paraId="18499F1B" w14:textId="77777777" w:rsidTr="001A5A72">
        <w:tc>
          <w:tcPr>
            <w:tcW w:w="988" w:type="dxa"/>
          </w:tcPr>
          <w:p w14:paraId="286A50C2" w14:textId="77777777" w:rsidR="005E7AF5" w:rsidRPr="00053C2E" w:rsidRDefault="005E7AF5" w:rsidP="005F5D7F">
            <w:pPr>
              <w:ind w:left="720" w:hanging="720"/>
              <w:jc w:val="center"/>
              <w:rPr>
                <w:rFonts w:ascii="Arial Narrow" w:hAnsi="Arial Narrow"/>
                <w:sz w:val="18"/>
                <w:szCs w:val="18"/>
              </w:rPr>
            </w:pPr>
          </w:p>
        </w:tc>
        <w:tc>
          <w:tcPr>
            <w:tcW w:w="7938" w:type="dxa"/>
            <w:hideMark/>
          </w:tcPr>
          <w:p w14:paraId="11A8EAEF" w14:textId="77777777" w:rsidR="005E7AF5" w:rsidRPr="00053C2E" w:rsidRDefault="005E7AF5" w:rsidP="005F5D7F">
            <w:pPr>
              <w:ind w:left="-57"/>
              <w:rPr>
                <w:rFonts w:ascii="Arial Narrow" w:hAnsi="Arial Narrow"/>
                <w:strike/>
                <w:sz w:val="18"/>
                <w:szCs w:val="18"/>
              </w:rPr>
            </w:pPr>
            <w:r w:rsidRPr="00053C2E">
              <w:rPr>
                <w:rFonts w:ascii="Arial Narrow" w:hAnsi="Arial Narrow"/>
                <w:strike/>
                <w:sz w:val="18"/>
                <w:szCs w:val="18"/>
              </w:rPr>
              <w:t xml:space="preserve">Patient must have developed an intolerance to </w:t>
            </w:r>
            <w:r>
              <w:rPr>
                <w:rFonts w:ascii="Arial Narrow" w:hAnsi="Arial Narrow"/>
                <w:strike/>
                <w:sz w:val="18"/>
                <w:szCs w:val="18"/>
              </w:rPr>
              <w:t>abirateron</w:t>
            </w:r>
            <w:r w:rsidRPr="00053C2E">
              <w:rPr>
                <w:rFonts w:ascii="Arial Narrow" w:hAnsi="Arial Narrow"/>
                <w:strike/>
                <w:sz w:val="18"/>
                <w:szCs w:val="18"/>
              </w:rPr>
              <w:t>e of a severity necessitating permanent treatment withdrawal</w:t>
            </w:r>
          </w:p>
        </w:tc>
      </w:tr>
      <w:tr w:rsidR="005E7AF5" w:rsidRPr="003543C4" w14:paraId="51ABB638" w14:textId="77777777" w:rsidTr="005E7AF5">
        <w:tc>
          <w:tcPr>
            <w:tcW w:w="988" w:type="dxa"/>
          </w:tcPr>
          <w:p w14:paraId="5B697ED6" w14:textId="77777777" w:rsidR="005E7AF5" w:rsidRDefault="005E7AF5" w:rsidP="005F5D7F">
            <w:pPr>
              <w:ind w:left="720" w:hanging="720"/>
              <w:jc w:val="center"/>
              <w:rPr>
                <w:rFonts w:ascii="Arial Narrow" w:hAnsi="Arial Narrow"/>
                <w:sz w:val="18"/>
                <w:szCs w:val="18"/>
              </w:rPr>
            </w:pPr>
          </w:p>
        </w:tc>
        <w:tc>
          <w:tcPr>
            <w:tcW w:w="7938" w:type="dxa"/>
          </w:tcPr>
          <w:p w14:paraId="7933C223" w14:textId="77777777" w:rsidR="005E7AF5" w:rsidRPr="003543C4" w:rsidRDefault="005E7AF5" w:rsidP="005F5D7F">
            <w:pPr>
              <w:ind w:left="-57"/>
              <w:rPr>
                <w:rFonts w:ascii="Arial Narrow" w:hAnsi="Arial Narrow"/>
                <w:i/>
                <w:iCs/>
                <w:sz w:val="18"/>
                <w:szCs w:val="18"/>
              </w:rPr>
            </w:pPr>
          </w:p>
        </w:tc>
      </w:tr>
      <w:tr w:rsidR="005E7AF5" w:rsidRPr="00492A38" w14:paraId="7C3B92C7" w14:textId="77777777" w:rsidTr="005E7AF5">
        <w:tc>
          <w:tcPr>
            <w:tcW w:w="988" w:type="dxa"/>
          </w:tcPr>
          <w:p w14:paraId="437A65C6" w14:textId="77777777" w:rsidR="005E7AF5" w:rsidRPr="00840498" w:rsidRDefault="005E7AF5" w:rsidP="005F5D7F">
            <w:pPr>
              <w:ind w:left="720" w:hanging="720"/>
              <w:jc w:val="center"/>
              <w:rPr>
                <w:rFonts w:ascii="Arial Narrow" w:hAnsi="Arial Narrow"/>
                <w:sz w:val="18"/>
                <w:szCs w:val="18"/>
              </w:rPr>
            </w:pPr>
          </w:p>
        </w:tc>
        <w:tc>
          <w:tcPr>
            <w:tcW w:w="7938" w:type="dxa"/>
          </w:tcPr>
          <w:p w14:paraId="499F3831" w14:textId="77777777" w:rsidR="005E7AF5" w:rsidRPr="00840498" w:rsidRDefault="003A27A6" w:rsidP="005F5D7F">
            <w:pPr>
              <w:ind w:left="-57"/>
              <w:rPr>
                <w:rFonts w:ascii="Arial Narrow" w:hAnsi="Arial Narrow"/>
                <w:b/>
                <w:bCs/>
                <w:i/>
                <w:iCs/>
                <w:sz w:val="18"/>
                <w:szCs w:val="18"/>
              </w:rPr>
            </w:pPr>
            <w:r>
              <w:rPr>
                <w:rFonts w:ascii="Arial Narrow" w:hAnsi="Arial Narrow"/>
                <w:b/>
                <w:bCs/>
                <w:i/>
                <w:iCs/>
                <w:sz w:val="18"/>
                <w:szCs w:val="18"/>
              </w:rPr>
              <w:t>Clinical</w:t>
            </w:r>
            <w:r w:rsidR="005E7AF5" w:rsidRPr="00840498">
              <w:rPr>
                <w:rFonts w:ascii="Arial Narrow" w:hAnsi="Arial Narrow"/>
                <w:b/>
                <w:bCs/>
                <w:i/>
                <w:iCs/>
                <w:sz w:val="18"/>
                <w:szCs w:val="18"/>
              </w:rPr>
              <w:t xml:space="preserve"> criteria:</w:t>
            </w:r>
          </w:p>
        </w:tc>
      </w:tr>
      <w:tr w:rsidR="00492A38" w:rsidRPr="00492A38" w14:paraId="7B69448A" w14:textId="77777777" w:rsidTr="005E7AF5">
        <w:tc>
          <w:tcPr>
            <w:tcW w:w="988" w:type="dxa"/>
          </w:tcPr>
          <w:p w14:paraId="147ADA7A" w14:textId="77777777" w:rsidR="00492A38" w:rsidRPr="00840498" w:rsidRDefault="00492A38" w:rsidP="00492A38">
            <w:pPr>
              <w:ind w:left="720" w:hanging="720"/>
              <w:jc w:val="center"/>
              <w:rPr>
                <w:rFonts w:ascii="Arial Narrow" w:hAnsi="Arial Narrow"/>
                <w:sz w:val="18"/>
                <w:szCs w:val="18"/>
              </w:rPr>
            </w:pPr>
          </w:p>
        </w:tc>
        <w:tc>
          <w:tcPr>
            <w:tcW w:w="7938" w:type="dxa"/>
          </w:tcPr>
          <w:p w14:paraId="481C294D" w14:textId="77777777" w:rsidR="00492A38" w:rsidRPr="00840498" w:rsidRDefault="00492A38" w:rsidP="00492A38">
            <w:pPr>
              <w:ind w:left="-57"/>
              <w:rPr>
                <w:rFonts w:ascii="Arial Narrow" w:hAnsi="Arial Narrow"/>
                <w:i/>
                <w:iCs/>
                <w:sz w:val="18"/>
                <w:szCs w:val="18"/>
              </w:rPr>
            </w:pPr>
            <w:r w:rsidRPr="00840498">
              <w:rPr>
                <w:rFonts w:ascii="Arial Narrow" w:hAnsi="Arial Narrow"/>
                <w:i/>
                <w:iCs/>
                <w:sz w:val="18"/>
                <w:szCs w:val="18"/>
              </w:rPr>
              <w:t>Patient must</w:t>
            </w:r>
            <w:r w:rsidR="003A27A6">
              <w:rPr>
                <w:rFonts w:ascii="Arial Narrow" w:hAnsi="Arial Narrow"/>
                <w:i/>
                <w:iCs/>
                <w:sz w:val="18"/>
                <w:szCs w:val="18"/>
              </w:rPr>
              <w:t xml:space="preserve"> only receive</w:t>
            </w:r>
            <w:r w:rsidRPr="00840498">
              <w:rPr>
                <w:rFonts w:ascii="Arial Narrow" w:hAnsi="Arial Narrow"/>
                <w:i/>
                <w:iCs/>
                <w:sz w:val="18"/>
                <w:szCs w:val="18"/>
              </w:rPr>
              <w:t xml:space="preserve"> treatment with one novel hormonal drug per lifetime</w:t>
            </w:r>
          </w:p>
        </w:tc>
      </w:tr>
      <w:tr w:rsidR="00840498" w:rsidRPr="00492A38" w14:paraId="07932BFB" w14:textId="77777777" w:rsidTr="005E7AF5">
        <w:tc>
          <w:tcPr>
            <w:tcW w:w="988" w:type="dxa"/>
          </w:tcPr>
          <w:p w14:paraId="10774C9C" w14:textId="77777777" w:rsidR="00840498" w:rsidRPr="00840498" w:rsidRDefault="00840498" w:rsidP="00492A38">
            <w:pPr>
              <w:ind w:left="720" w:hanging="720"/>
              <w:jc w:val="center"/>
              <w:rPr>
                <w:rFonts w:ascii="Arial Narrow" w:hAnsi="Arial Narrow"/>
                <w:sz w:val="18"/>
                <w:szCs w:val="18"/>
              </w:rPr>
            </w:pPr>
          </w:p>
        </w:tc>
        <w:tc>
          <w:tcPr>
            <w:tcW w:w="7938" w:type="dxa"/>
          </w:tcPr>
          <w:p w14:paraId="4BC2B47E" w14:textId="77777777" w:rsidR="00840498" w:rsidRPr="00840498" w:rsidRDefault="00840498" w:rsidP="00492A38">
            <w:pPr>
              <w:ind w:left="-57"/>
              <w:rPr>
                <w:rFonts w:ascii="Arial Narrow" w:hAnsi="Arial Narrow"/>
                <w:i/>
                <w:iCs/>
                <w:sz w:val="18"/>
                <w:szCs w:val="18"/>
              </w:rPr>
            </w:pPr>
            <w:r w:rsidRPr="00840498">
              <w:rPr>
                <w:rFonts w:ascii="Arial Narrow" w:hAnsi="Arial Narrow"/>
                <w:i/>
                <w:iCs/>
                <w:sz w:val="18"/>
                <w:szCs w:val="18"/>
              </w:rPr>
              <w:t>OR</w:t>
            </w:r>
          </w:p>
        </w:tc>
      </w:tr>
      <w:tr w:rsidR="00492A38" w:rsidRPr="00492A38" w14:paraId="7756331F" w14:textId="77777777" w:rsidTr="005E7AF5">
        <w:tc>
          <w:tcPr>
            <w:tcW w:w="988" w:type="dxa"/>
          </w:tcPr>
          <w:p w14:paraId="340AE65F" w14:textId="77777777" w:rsidR="00492A38" w:rsidRPr="00840498" w:rsidRDefault="00492A38" w:rsidP="00492A38">
            <w:pPr>
              <w:ind w:left="720" w:hanging="720"/>
              <w:jc w:val="center"/>
              <w:rPr>
                <w:rFonts w:ascii="Arial Narrow" w:hAnsi="Arial Narrow"/>
                <w:sz w:val="18"/>
                <w:szCs w:val="18"/>
              </w:rPr>
            </w:pPr>
          </w:p>
        </w:tc>
        <w:tc>
          <w:tcPr>
            <w:tcW w:w="7938" w:type="dxa"/>
          </w:tcPr>
          <w:p w14:paraId="2134881B" w14:textId="77777777" w:rsidR="00492A38" w:rsidRPr="00840498" w:rsidRDefault="00492A38" w:rsidP="00492A38">
            <w:pPr>
              <w:ind w:left="-57"/>
              <w:rPr>
                <w:rFonts w:ascii="Arial Narrow" w:hAnsi="Arial Narrow"/>
                <w:i/>
                <w:iCs/>
                <w:sz w:val="18"/>
                <w:szCs w:val="18"/>
              </w:rPr>
            </w:pPr>
            <w:r w:rsidRPr="00840498">
              <w:rPr>
                <w:rFonts w:ascii="Arial Narrow" w:hAnsi="Arial Narrow"/>
                <w:i/>
                <w:iCs/>
                <w:sz w:val="18"/>
                <w:szCs w:val="18"/>
              </w:rPr>
              <w:t xml:space="preserve">Patient must </w:t>
            </w:r>
            <w:r w:rsidR="003A27A6">
              <w:rPr>
                <w:rFonts w:ascii="Arial Narrow" w:hAnsi="Arial Narrow"/>
                <w:i/>
                <w:iCs/>
                <w:sz w:val="18"/>
                <w:szCs w:val="18"/>
              </w:rPr>
              <w:t xml:space="preserve">only receive </w:t>
            </w:r>
            <w:r w:rsidR="00840498" w:rsidRPr="00840498">
              <w:rPr>
                <w:rFonts w:ascii="Arial Narrow" w:hAnsi="Arial Narrow"/>
                <w:i/>
                <w:iCs/>
                <w:sz w:val="18"/>
                <w:szCs w:val="18"/>
              </w:rPr>
              <w:t xml:space="preserve">treatment </w:t>
            </w:r>
            <w:r w:rsidRPr="00840498">
              <w:rPr>
                <w:rFonts w:ascii="Arial Narrow" w:hAnsi="Arial Narrow"/>
                <w:i/>
                <w:iCs/>
                <w:sz w:val="18"/>
                <w:szCs w:val="18"/>
              </w:rPr>
              <w:t>with a subsequent novel hormonal drug where there has been a severe intolerance to another novel hormonal drug leading to permanent treatment cessation</w:t>
            </w:r>
          </w:p>
        </w:tc>
      </w:tr>
      <w:tr w:rsidR="003A27A6" w:rsidRPr="00492A38" w14:paraId="4FD18810" w14:textId="77777777" w:rsidTr="005E7AF5">
        <w:tc>
          <w:tcPr>
            <w:tcW w:w="988" w:type="dxa"/>
          </w:tcPr>
          <w:p w14:paraId="40F418C2" w14:textId="77777777" w:rsidR="003A27A6" w:rsidRPr="00840498" w:rsidRDefault="003A27A6" w:rsidP="00B828F7">
            <w:pPr>
              <w:ind w:left="720" w:hanging="720"/>
              <w:jc w:val="center"/>
              <w:rPr>
                <w:rFonts w:ascii="Arial Narrow" w:hAnsi="Arial Narrow"/>
                <w:sz w:val="18"/>
                <w:szCs w:val="18"/>
              </w:rPr>
            </w:pPr>
          </w:p>
        </w:tc>
        <w:tc>
          <w:tcPr>
            <w:tcW w:w="7938" w:type="dxa"/>
          </w:tcPr>
          <w:p w14:paraId="6F66A4EA" w14:textId="77777777" w:rsidR="003A27A6" w:rsidRPr="00840498" w:rsidRDefault="003A27A6" w:rsidP="00B828F7">
            <w:pPr>
              <w:ind w:left="-57"/>
              <w:rPr>
                <w:rFonts w:ascii="Arial Narrow" w:hAnsi="Arial Narrow"/>
                <w:i/>
                <w:iCs/>
                <w:sz w:val="18"/>
                <w:szCs w:val="18"/>
              </w:rPr>
            </w:pPr>
          </w:p>
        </w:tc>
      </w:tr>
      <w:tr w:rsidR="00B828F7" w:rsidRPr="00492A38" w14:paraId="3B709A90" w14:textId="77777777" w:rsidTr="005E7AF5">
        <w:tc>
          <w:tcPr>
            <w:tcW w:w="988" w:type="dxa"/>
          </w:tcPr>
          <w:p w14:paraId="345DACBF" w14:textId="77777777" w:rsidR="00B828F7" w:rsidRPr="00840498" w:rsidRDefault="00B828F7" w:rsidP="00B828F7">
            <w:pPr>
              <w:ind w:left="720" w:hanging="720"/>
              <w:jc w:val="center"/>
              <w:rPr>
                <w:rFonts w:ascii="Arial Narrow" w:hAnsi="Arial Narrow"/>
                <w:sz w:val="18"/>
                <w:szCs w:val="18"/>
              </w:rPr>
            </w:pPr>
          </w:p>
        </w:tc>
        <w:tc>
          <w:tcPr>
            <w:tcW w:w="7938" w:type="dxa"/>
          </w:tcPr>
          <w:p w14:paraId="08B8FA8D" w14:textId="77777777" w:rsidR="00B828F7" w:rsidRPr="00840498" w:rsidRDefault="00B828F7" w:rsidP="00B828F7">
            <w:pPr>
              <w:ind w:left="-57"/>
              <w:rPr>
                <w:rFonts w:ascii="Arial Narrow" w:hAnsi="Arial Narrow"/>
                <w:i/>
                <w:iCs/>
                <w:sz w:val="18"/>
                <w:szCs w:val="18"/>
              </w:rPr>
            </w:pPr>
          </w:p>
        </w:tc>
      </w:tr>
      <w:tr w:rsidR="00B828F7" w:rsidRPr="003543C4" w14:paraId="4076220F" w14:textId="77777777" w:rsidTr="005E7AF5">
        <w:tc>
          <w:tcPr>
            <w:tcW w:w="988" w:type="dxa"/>
          </w:tcPr>
          <w:p w14:paraId="69E647A6" w14:textId="77777777" w:rsidR="00B828F7" w:rsidRPr="00840498" w:rsidRDefault="00B828F7" w:rsidP="00B828F7">
            <w:pPr>
              <w:ind w:left="720" w:hanging="720"/>
              <w:jc w:val="center"/>
              <w:rPr>
                <w:rFonts w:ascii="Arial Narrow" w:hAnsi="Arial Narrow"/>
                <w:sz w:val="18"/>
                <w:szCs w:val="18"/>
              </w:rPr>
            </w:pPr>
          </w:p>
        </w:tc>
        <w:tc>
          <w:tcPr>
            <w:tcW w:w="7938" w:type="dxa"/>
            <w:shd w:val="clear" w:color="auto" w:fill="auto"/>
          </w:tcPr>
          <w:p w14:paraId="42579421" w14:textId="77777777" w:rsidR="00B828F7" w:rsidRPr="00840498" w:rsidRDefault="00B828F7" w:rsidP="00B828F7">
            <w:pPr>
              <w:ind w:left="-57"/>
              <w:rPr>
                <w:rFonts w:ascii="Arial Narrow" w:hAnsi="Arial Narrow"/>
                <w:b/>
                <w:i/>
                <w:iCs/>
                <w:snapToGrid w:val="0"/>
                <w:sz w:val="18"/>
                <w:szCs w:val="18"/>
              </w:rPr>
            </w:pPr>
            <w:r w:rsidRPr="00840498">
              <w:rPr>
                <w:rFonts w:ascii="Arial Narrow" w:hAnsi="Arial Narrow"/>
                <w:b/>
                <w:i/>
                <w:iCs/>
                <w:snapToGrid w:val="0"/>
                <w:sz w:val="18"/>
                <w:szCs w:val="18"/>
              </w:rPr>
              <w:t xml:space="preserve">Administrative advice: </w:t>
            </w:r>
          </w:p>
          <w:p w14:paraId="34DA9440" w14:textId="77777777" w:rsidR="00B828F7" w:rsidRPr="00840498" w:rsidRDefault="00B828F7" w:rsidP="00B828F7">
            <w:pPr>
              <w:ind w:left="-57"/>
              <w:rPr>
                <w:rFonts w:ascii="Arial Narrow" w:hAnsi="Arial Narrow"/>
                <w:b/>
                <w:i/>
                <w:iCs/>
                <w:snapToGrid w:val="0"/>
                <w:sz w:val="18"/>
                <w:szCs w:val="18"/>
              </w:rPr>
            </w:pPr>
            <w:r w:rsidRPr="00840498">
              <w:rPr>
                <w:rFonts w:ascii="Arial Narrow" w:hAnsi="Arial Narrow"/>
                <w:bCs/>
                <w:i/>
                <w:iCs/>
                <w:snapToGrid w:val="0"/>
                <w:sz w:val="18"/>
                <w:szCs w:val="18"/>
              </w:rPr>
              <w:t xml:space="preserve">Where the term ‘novel hormonal drug’ appears in this restriction, it refers to: (i) </w:t>
            </w:r>
            <w:r w:rsidR="00492A38" w:rsidRPr="00840498">
              <w:rPr>
                <w:rFonts w:ascii="Arial Narrow" w:hAnsi="Arial Narrow"/>
                <w:bCs/>
                <w:i/>
                <w:iCs/>
                <w:snapToGrid w:val="0"/>
                <w:sz w:val="18"/>
                <w:szCs w:val="18"/>
              </w:rPr>
              <w:t xml:space="preserve">abiraterone, (ii) </w:t>
            </w:r>
            <w:r w:rsidRPr="00840498">
              <w:rPr>
                <w:rFonts w:ascii="Arial Narrow" w:hAnsi="Arial Narrow"/>
                <w:bCs/>
                <w:i/>
                <w:iCs/>
                <w:snapToGrid w:val="0"/>
                <w:sz w:val="18"/>
                <w:szCs w:val="18"/>
              </w:rPr>
              <w:t>apalutamide, (ii) darolutamide</w:t>
            </w:r>
            <w:r w:rsidR="00492A38" w:rsidRPr="00840498">
              <w:rPr>
                <w:rFonts w:ascii="Arial Narrow" w:hAnsi="Arial Narrow"/>
                <w:bCs/>
                <w:i/>
                <w:iCs/>
                <w:snapToGrid w:val="0"/>
                <w:sz w:val="18"/>
                <w:szCs w:val="18"/>
              </w:rPr>
              <w:t>, (iv) enzalutamide</w:t>
            </w:r>
          </w:p>
        </w:tc>
      </w:tr>
      <w:bookmarkEnd w:id="2"/>
      <w:bookmarkEnd w:id="25"/>
    </w:tbl>
    <w:p w14:paraId="0F0565E1" w14:textId="77777777" w:rsidR="00351EBE" w:rsidRDefault="00351EBE" w:rsidP="00351EBE">
      <w:pPr>
        <w:jc w:val="left"/>
        <w:rPr>
          <w:color w:val="3366FF"/>
        </w:rPr>
      </w:pPr>
    </w:p>
    <w:p w14:paraId="0233A98D" w14:textId="17DE5F87" w:rsidR="00A145D8" w:rsidRDefault="00217AC2" w:rsidP="00351EBE">
      <w:pPr>
        <w:jc w:val="left"/>
        <w:rPr>
          <w:rFonts w:asciiTheme="minorHAnsi" w:hAnsiTheme="minorHAnsi"/>
          <w:b/>
          <w:i/>
        </w:rPr>
      </w:pPr>
      <w:r w:rsidRPr="00936FC8">
        <w:rPr>
          <w:rFonts w:asciiTheme="minorHAnsi" w:hAnsiTheme="minorHAnsi"/>
          <w:b/>
          <w:i/>
        </w:rPr>
        <w:t>This restriction may be subject to further review. Should there be any changes made to the restriction the Sponsor will be informed.</w:t>
      </w:r>
    </w:p>
    <w:p w14:paraId="12FC37C1" w14:textId="77777777" w:rsidR="00A145D8" w:rsidRPr="00A145D8" w:rsidRDefault="00A145D8" w:rsidP="00A145D8">
      <w:pPr>
        <w:pStyle w:val="2-SectionHeading"/>
        <w:rPr>
          <w:lang w:val="en-GB"/>
        </w:rPr>
      </w:pPr>
      <w:r w:rsidRPr="00A145D8">
        <w:rPr>
          <w:lang w:val="en-GB"/>
        </w:rPr>
        <w:t>Context for Decision</w:t>
      </w:r>
    </w:p>
    <w:p w14:paraId="70F39D10" w14:textId="77777777" w:rsidR="00A145D8" w:rsidRPr="007129F2" w:rsidRDefault="00A145D8" w:rsidP="00DF31B1">
      <w:pPr>
        <w:spacing w:after="120"/>
        <w:ind w:left="68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CDD5743" w14:textId="77777777" w:rsidR="00A145D8" w:rsidRPr="00A145D8" w:rsidRDefault="00A145D8" w:rsidP="00A145D8">
      <w:pPr>
        <w:pStyle w:val="2-SectionHeading"/>
        <w:rPr>
          <w:lang w:val="en-GB"/>
        </w:rPr>
      </w:pPr>
      <w:r w:rsidRPr="00A145D8">
        <w:rPr>
          <w:lang w:val="en-GB"/>
        </w:rPr>
        <w:t>Sponsor’s Comment</w:t>
      </w:r>
    </w:p>
    <w:p w14:paraId="62698745" w14:textId="77777777" w:rsidR="00A145D8" w:rsidRPr="001179AC" w:rsidRDefault="00A145D8" w:rsidP="00DF31B1">
      <w:pPr>
        <w:spacing w:after="120"/>
        <w:ind w:left="596" w:firstLine="84"/>
        <w:rPr>
          <w:rFonts w:asciiTheme="minorHAnsi" w:hAnsiTheme="minorHAnsi"/>
          <w:bCs/>
        </w:rPr>
      </w:pPr>
      <w:r w:rsidRPr="00C07617">
        <w:rPr>
          <w:rFonts w:asciiTheme="minorHAnsi" w:hAnsiTheme="minorHAnsi"/>
          <w:bCs/>
        </w:rPr>
        <w:t>The sponsor had no comment.</w:t>
      </w:r>
    </w:p>
    <w:p w14:paraId="05774B6B" w14:textId="77777777" w:rsidR="00A145D8" w:rsidRDefault="00A145D8" w:rsidP="00351EBE">
      <w:pPr>
        <w:jc w:val="left"/>
        <w:rPr>
          <w:color w:val="3366FF"/>
        </w:rPr>
      </w:pPr>
      <w:bookmarkStart w:id="26" w:name="_GoBack"/>
      <w:bookmarkEnd w:id="26"/>
    </w:p>
    <w:sectPr w:rsidR="00A145D8" w:rsidSect="00DA3A97">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9F4A4" w16cid:durableId="25C348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4F0D6" w14:textId="77777777" w:rsidR="005C79BB" w:rsidRDefault="005C79BB" w:rsidP="00124A51">
      <w:r>
        <w:separator/>
      </w:r>
    </w:p>
    <w:p w14:paraId="77180673" w14:textId="77777777" w:rsidR="005C79BB" w:rsidRDefault="005C79BB"/>
  </w:endnote>
  <w:endnote w:type="continuationSeparator" w:id="0">
    <w:p w14:paraId="27B990B2" w14:textId="77777777" w:rsidR="005C79BB" w:rsidRDefault="005C79BB" w:rsidP="00124A51">
      <w:r>
        <w:continuationSeparator/>
      </w:r>
    </w:p>
    <w:p w14:paraId="14F0D468" w14:textId="77777777" w:rsidR="005C79BB" w:rsidRDefault="005C7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old">
    <w:altName w:val="Arial"/>
    <w:panose1 w:val="020B0704020202020204"/>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8009B" w14:textId="77777777" w:rsidR="00D010FD" w:rsidRDefault="00D01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0C82" w14:textId="77777777" w:rsidR="005C79BB" w:rsidRDefault="005C79BB">
    <w:pPr>
      <w:pStyle w:val="Footer"/>
      <w:jc w:val="center"/>
    </w:pPr>
  </w:p>
  <w:sdt>
    <w:sdtPr>
      <w:id w:val="2076393357"/>
      <w:docPartObj>
        <w:docPartGallery w:val="Page Numbers (Bottom of Page)"/>
        <w:docPartUnique/>
      </w:docPartObj>
    </w:sdtPr>
    <w:sdtEndPr>
      <w:rPr>
        <w:b/>
        <w:bCs/>
        <w:noProof/>
      </w:rPr>
    </w:sdtEndPr>
    <w:sdtContent>
      <w:p w14:paraId="2411A980" w14:textId="567C3CBE" w:rsidR="005C79BB" w:rsidRPr="00A01C84" w:rsidRDefault="005C79BB">
        <w:pPr>
          <w:pStyle w:val="Footer"/>
          <w:jc w:val="center"/>
          <w:rPr>
            <w:b/>
            <w:bCs/>
          </w:rPr>
        </w:pPr>
        <w:r w:rsidRPr="00A01C84">
          <w:rPr>
            <w:b/>
            <w:bCs/>
          </w:rPr>
          <w:fldChar w:fldCharType="begin"/>
        </w:r>
        <w:r w:rsidRPr="00A01C84">
          <w:rPr>
            <w:b/>
            <w:bCs/>
          </w:rPr>
          <w:instrText xml:space="preserve"> PAGE   \* MERGEFORMAT </w:instrText>
        </w:r>
        <w:r w:rsidRPr="00A01C84">
          <w:rPr>
            <w:b/>
            <w:bCs/>
          </w:rPr>
          <w:fldChar w:fldCharType="separate"/>
        </w:r>
        <w:r w:rsidR="00F86915">
          <w:rPr>
            <w:b/>
            <w:bCs/>
            <w:noProof/>
          </w:rPr>
          <w:t>19</w:t>
        </w:r>
        <w:r w:rsidRPr="00A01C84">
          <w:rPr>
            <w:b/>
            <w:bCs/>
            <w:noProof/>
          </w:rPr>
          <w:fldChar w:fldCharType="end"/>
        </w:r>
      </w:p>
    </w:sdtContent>
  </w:sdt>
  <w:p w14:paraId="54A057E9" w14:textId="77777777" w:rsidR="005C79BB" w:rsidRDefault="005C79B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5DE9E" w14:textId="77777777" w:rsidR="00D010FD" w:rsidRDefault="00D01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CE46C" w14:textId="77777777" w:rsidR="005C79BB" w:rsidRDefault="005C79BB" w:rsidP="00124A51">
      <w:r>
        <w:separator/>
      </w:r>
    </w:p>
    <w:p w14:paraId="1A73D8E1" w14:textId="77777777" w:rsidR="005C79BB" w:rsidRDefault="005C79BB"/>
  </w:footnote>
  <w:footnote w:type="continuationSeparator" w:id="0">
    <w:p w14:paraId="55C9FDEA" w14:textId="77777777" w:rsidR="005C79BB" w:rsidRDefault="005C79BB" w:rsidP="00124A51">
      <w:r>
        <w:continuationSeparator/>
      </w:r>
    </w:p>
    <w:p w14:paraId="411ED99E" w14:textId="77777777" w:rsidR="005C79BB" w:rsidRDefault="005C79BB"/>
  </w:footnote>
  <w:footnote w:id="1">
    <w:p w14:paraId="0BD3CE8A" w14:textId="77777777" w:rsidR="005C79BB" w:rsidRDefault="005C79BB">
      <w:pPr>
        <w:pStyle w:val="FootnoteText"/>
      </w:pPr>
      <w:r>
        <w:rPr>
          <w:rStyle w:val="FootnoteReference"/>
        </w:rPr>
        <w:footnoteRef/>
      </w:r>
      <w:r>
        <w:t xml:space="preserve"> </w:t>
      </w:r>
      <w:r w:rsidRPr="00525B39">
        <w:rPr>
          <w:rFonts w:asciiTheme="minorHAnsi" w:hAnsiTheme="minorHAnsi"/>
          <w:bCs/>
          <w:sz w:val="16"/>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5E9E" w14:textId="77777777" w:rsidR="00D010FD" w:rsidRDefault="00D01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CA68E" w14:textId="77777777" w:rsidR="005C79BB" w:rsidRPr="00A01C84" w:rsidRDefault="005C79BB" w:rsidP="00A01C84">
    <w:pPr>
      <w:tabs>
        <w:tab w:val="left" w:pos="142"/>
        <w:tab w:val="right" w:pos="9026"/>
      </w:tabs>
      <w:jc w:val="center"/>
      <w:rPr>
        <w:i/>
        <w:iCs/>
      </w:rPr>
    </w:pPr>
    <w:r>
      <w:rPr>
        <w:i/>
        <w:iCs/>
      </w:rPr>
      <w:t>Public Summary Document</w:t>
    </w:r>
    <w:r w:rsidRPr="00A01C84">
      <w:rPr>
        <w:i/>
        <w:iCs/>
      </w:rPr>
      <w:t xml:space="preserve"> – November 2021 PBAC Meeting</w:t>
    </w:r>
  </w:p>
  <w:p w14:paraId="2D9E5EF1" w14:textId="77777777" w:rsidR="005C79BB" w:rsidRDefault="005C79B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D31A" w14:textId="77777777" w:rsidR="00D010FD" w:rsidRDefault="00D01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B6FD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B6EC1"/>
    <w:multiLevelType w:val="hybridMultilevel"/>
    <w:tmpl w:val="835C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83A9F"/>
    <w:multiLevelType w:val="hybridMultilevel"/>
    <w:tmpl w:val="36B65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A51F5"/>
    <w:multiLevelType w:val="hybridMultilevel"/>
    <w:tmpl w:val="D9565BDE"/>
    <w:lvl w:ilvl="0" w:tplc="921E3354">
      <w:numFmt w:val="bullet"/>
      <w:lvlText w:val="-"/>
      <w:lvlJc w:val="left"/>
      <w:pPr>
        <w:ind w:left="720" w:hanging="360"/>
      </w:pPr>
      <w:rPr>
        <w:rFonts w:ascii="Arial" w:eastAsia="MS Mincho"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46AF0"/>
    <w:multiLevelType w:val="multilevel"/>
    <w:tmpl w:val="7826DB1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33FC6"/>
    <w:multiLevelType w:val="hybridMultilevel"/>
    <w:tmpl w:val="349A5E58"/>
    <w:lvl w:ilvl="0" w:tplc="0C090001">
      <w:start w:val="1"/>
      <w:numFmt w:val="bullet"/>
      <w:lvlText w:val=""/>
      <w:lvlJc w:val="left"/>
      <w:pPr>
        <w:ind w:left="360" w:hanging="360"/>
      </w:pPr>
      <w:rPr>
        <w:rFonts w:ascii="Symbol" w:hAnsi="Symbol" w:hint="default"/>
      </w:rPr>
    </w:lvl>
    <w:lvl w:ilvl="1" w:tplc="C55AC7D4">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C83403"/>
    <w:multiLevelType w:val="hybridMultilevel"/>
    <w:tmpl w:val="44E45BA2"/>
    <w:lvl w:ilvl="0" w:tplc="B018371A">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880DF0"/>
    <w:multiLevelType w:val="hybridMultilevel"/>
    <w:tmpl w:val="A83A4B3C"/>
    <w:lvl w:ilvl="0" w:tplc="C55AC7D4">
      <w:numFmt w:val="bullet"/>
      <w:lvlText w:val="•"/>
      <w:lvlJc w:val="left"/>
      <w:pPr>
        <w:ind w:left="530" w:hanging="360"/>
      </w:pPr>
      <w:rPr>
        <w:rFonts w:ascii="Calibri" w:eastAsia="Times New Roman" w:hAnsi="Calibri" w:cs="Calibri"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4" w15:restartNumberingAfterBreak="0">
    <w:nsid w:val="349B54DE"/>
    <w:multiLevelType w:val="hybridMultilevel"/>
    <w:tmpl w:val="139CCF6C"/>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AF26E9BA">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34245"/>
    <w:multiLevelType w:val="hybridMultilevel"/>
    <w:tmpl w:val="43BE2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2E4ACF"/>
    <w:multiLevelType w:val="hybridMultilevel"/>
    <w:tmpl w:val="2E920734"/>
    <w:lvl w:ilvl="0" w:tplc="C55AC7D4">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0B6ECC"/>
    <w:multiLevelType w:val="hybridMultilevel"/>
    <w:tmpl w:val="C23E7B90"/>
    <w:lvl w:ilvl="0" w:tplc="ED1E5F1E">
      <w:start w:val="1"/>
      <w:numFmt w:val="bullet"/>
      <w:pStyle w:val="BulletedList"/>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7F43C68"/>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AF26E9BA">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4F163A51"/>
    <w:multiLevelType w:val="hybridMultilevel"/>
    <w:tmpl w:val="FB243AC4"/>
    <w:lvl w:ilvl="0" w:tplc="31CCB374">
      <w:start w:val="1"/>
      <w:numFmt w:val="decimal"/>
      <w:pStyle w:val="Tableheading"/>
      <w:lvlText w:val="Table 2-%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5222" w:hanging="360"/>
      </w:pPr>
    </w:lvl>
    <w:lvl w:ilvl="2" w:tplc="0409001B" w:tentative="1">
      <w:start w:val="1"/>
      <w:numFmt w:val="lowerRoman"/>
      <w:lvlText w:val="%3."/>
      <w:lvlJc w:val="right"/>
      <w:pPr>
        <w:ind w:left="-450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3062" w:hanging="360"/>
      </w:pPr>
    </w:lvl>
    <w:lvl w:ilvl="5" w:tplc="0409001B" w:tentative="1">
      <w:start w:val="1"/>
      <w:numFmt w:val="lowerRoman"/>
      <w:lvlText w:val="%6."/>
      <w:lvlJc w:val="right"/>
      <w:pPr>
        <w:ind w:left="-2342" w:hanging="180"/>
      </w:pPr>
    </w:lvl>
    <w:lvl w:ilvl="6" w:tplc="0409000F" w:tentative="1">
      <w:start w:val="1"/>
      <w:numFmt w:val="decimal"/>
      <w:lvlText w:val="%7."/>
      <w:lvlJc w:val="left"/>
      <w:pPr>
        <w:ind w:left="-1622" w:hanging="360"/>
      </w:pPr>
    </w:lvl>
    <w:lvl w:ilvl="7" w:tplc="04090019" w:tentative="1">
      <w:start w:val="1"/>
      <w:numFmt w:val="lowerLetter"/>
      <w:lvlText w:val="%8."/>
      <w:lvlJc w:val="left"/>
      <w:pPr>
        <w:ind w:left="-902" w:hanging="360"/>
      </w:pPr>
    </w:lvl>
    <w:lvl w:ilvl="8" w:tplc="0409001B" w:tentative="1">
      <w:start w:val="1"/>
      <w:numFmt w:val="lowerRoman"/>
      <w:lvlText w:val="%9."/>
      <w:lvlJc w:val="right"/>
      <w:pPr>
        <w:ind w:left="-182" w:hanging="180"/>
      </w:pPr>
    </w:lvl>
  </w:abstractNum>
  <w:abstractNum w:abstractNumId="22"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3" w15:restartNumberingAfterBreak="0">
    <w:nsid w:val="519F0C1B"/>
    <w:multiLevelType w:val="hybridMultilevel"/>
    <w:tmpl w:val="46AC9E1A"/>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AF26E9BA">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0F2795"/>
    <w:multiLevelType w:val="hybridMultilevel"/>
    <w:tmpl w:val="390030C0"/>
    <w:lvl w:ilvl="0" w:tplc="81DE8742">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C5FFD"/>
    <w:multiLevelType w:val="multilevel"/>
    <w:tmpl w:val="279A8AB8"/>
    <w:lvl w:ilvl="0">
      <w:start w:val="1"/>
      <w:numFmt w:val="decimal"/>
      <w:lvlText w:val="%1"/>
      <w:lvlJc w:val="left"/>
      <w:pPr>
        <w:ind w:left="720" w:hanging="72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i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253606F"/>
    <w:multiLevelType w:val="hybridMultilevel"/>
    <w:tmpl w:val="8AEE35BE"/>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EB22D1"/>
    <w:multiLevelType w:val="hybridMultilevel"/>
    <w:tmpl w:val="ECBA579E"/>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AF26E9BA">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82C34"/>
    <w:multiLevelType w:val="hybridMultilevel"/>
    <w:tmpl w:val="E5C45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F22442"/>
    <w:multiLevelType w:val="hybridMultilevel"/>
    <w:tmpl w:val="AA9A7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CDC72C1"/>
    <w:multiLevelType w:val="hybridMultilevel"/>
    <w:tmpl w:val="4866F006"/>
    <w:lvl w:ilvl="0" w:tplc="590EFF8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8416F"/>
    <w:multiLevelType w:val="hybridMultilevel"/>
    <w:tmpl w:val="FE98A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DD2804"/>
    <w:multiLevelType w:val="hybridMultilevel"/>
    <w:tmpl w:val="135E6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288"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6433CC"/>
    <w:multiLevelType w:val="multilevel"/>
    <w:tmpl w:val="8BE08D0A"/>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i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37"/>
  </w:num>
  <w:num w:numId="2">
    <w:abstractNumId w:val="18"/>
  </w:num>
  <w:num w:numId="3">
    <w:abstractNumId w:val="19"/>
  </w:num>
  <w:num w:numId="4">
    <w:abstractNumId w:val="0"/>
  </w:num>
  <w:num w:numId="5">
    <w:abstractNumId w:val="37"/>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8"/>
  </w:num>
  <w:num w:numId="10">
    <w:abstractNumId w:val="2"/>
  </w:num>
  <w:num w:numId="11">
    <w:abstractNumId w:val="17"/>
  </w:num>
  <w:num w:numId="12">
    <w:abstractNumId w:val="21"/>
  </w:num>
  <w:num w:numId="13">
    <w:abstractNumId w:val="20"/>
  </w:num>
  <w:num w:numId="14">
    <w:abstractNumId w:val="11"/>
  </w:num>
  <w:num w:numId="15">
    <w:abstractNumId w:val="29"/>
  </w:num>
  <w:num w:numId="16">
    <w:abstractNumId w:val="16"/>
  </w:num>
  <w:num w:numId="17">
    <w:abstractNumId w:val="13"/>
  </w:num>
  <w:num w:numId="18">
    <w:abstractNumId w:val="31"/>
  </w:num>
  <w:num w:numId="19">
    <w:abstractNumId w:val="5"/>
  </w:num>
  <w:num w:numId="20">
    <w:abstractNumId w:val="34"/>
  </w:num>
  <w:num w:numId="21">
    <w:abstractNumId w:val="36"/>
  </w:num>
  <w:num w:numId="22">
    <w:abstractNumId w:val="7"/>
  </w:num>
  <w:num w:numId="23">
    <w:abstractNumId w:val="33"/>
  </w:num>
  <w:num w:numId="24">
    <w:abstractNumId w:val="27"/>
  </w:num>
  <w:num w:numId="25">
    <w:abstractNumId w:val="26"/>
  </w:num>
  <w:num w:numId="26">
    <w:abstractNumId w:val="22"/>
  </w:num>
  <w:num w:numId="27">
    <w:abstractNumId w:val="23"/>
  </w:num>
  <w:num w:numId="28">
    <w:abstractNumId w:val="32"/>
  </w:num>
  <w:num w:numId="29">
    <w:abstractNumId w:val="14"/>
  </w:num>
  <w:num w:numId="30">
    <w:abstractNumId w:val="30"/>
  </w:num>
  <w:num w:numId="31">
    <w:abstractNumId w:val="3"/>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5"/>
  </w:num>
  <w:num w:numId="35">
    <w:abstractNumId w:val="4"/>
  </w:num>
  <w:num w:numId="36">
    <w:abstractNumId w:val="1"/>
  </w:num>
  <w:num w:numId="37">
    <w:abstractNumId w:val="10"/>
  </w:num>
  <w:num w:numId="38">
    <w:abstractNumId w:val="12"/>
  </w:num>
  <w:num w:numId="39">
    <w:abstractNumId w:val="9"/>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8"/>
  </w:num>
  <w:num w:numId="43">
    <w:abstractNumId w:val="37"/>
  </w:num>
  <w:num w:numId="44">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C40"/>
    <w:rsid w:val="00003499"/>
    <w:rsid w:val="0000357F"/>
    <w:rsid w:val="000039B7"/>
    <w:rsid w:val="0000639A"/>
    <w:rsid w:val="00007143"/>
    <w:rsid w:val="000103FB"/>
    <w:rsid w:val="00012155"/>
    <w:rsid w:val="0001225A"/>
    <w:rsid w:val="00013247"/>
    <w:rsid w:val="00013A3B"/>
    <w:rsid w:val="00013B89"/>
    <w:rsid w:val="00015886"/>
    <w:rsid w:val="000162EF"/>
    <w:rsid w:val="00016470"/>
    <w:rsid w:val="00020389"/>
    <w:rsid w:val="000207C9"/>
    <w:rsid w:val="00020C64"/>
    <w:rsid w:val="000218EE"/>
    <w:rsid w:val="0002225F"/>
    <w:rsid w:val="00023763"/>
    <w:rsid w:val="000239E8"/>
    <w:rsid w:val="00025F08"/>
    <w:rsid w:val="000274B8"/>
    <w:rsid w:val="000308BB"/>
    <w:rsid w:val="00033863"/>
    <w:rsid w:val="00034A0E"/>
    <w:rsid w:val="00035DC0"/>
    <w:rsid w:val="00036044"/>
    <w:rsid w:val="00036829"/>
    <w:rsid w:val="00036AC9"/>
    <w:rsid w:val="00036D7F"/>
    <w:rsid w:val="0003755F"/>
    <w:rsid w:val="0004010C"/>
    <w:rsid w:val="00040895"/>
    <w:rsid w:val="000435EE"/>
    <w:rsid w:val="00043C37"/>
    <w:rsid w:val="0004463E"/>
    <w:rsid w:val="00044ABB"/>
    <w:rsid w:val="00045017"/>
    <w:rsid w:val="0004585C"/>
    <w:rsid w:val="00045A2B"/>
    <w:rsid w:val="0004698F"/>
    <w:rsid w:val="00046DF5"/>
    <w:rsid w:val="00050D2A"/>
    <w:rsid w:val="00051513"/>
    <w:rsid w:val="0005279E"/>
    <w:rsid w:val="00052C40"/>
    <w:rsid w:val="00052E9C"/>
    <w:rsid w:val="0005361A"/>
    <w:rsid w:val="000539D0"/>
    <w:rsid w:val="00054621"/>
    <w:rsid w:val="000546D7"/>
    <w:rsid w:val="00055D77"/>
    <w:rsid w:val="00056ECF"/>
    <w:rsid w:val="00056F46"/>
    <w:rsid w:val="000575C0"/>
    <w:rsid w:val="00057693"/>
    <w:rsid w:val="00057A8F"/>
    <w:rsid w:val="000604DF"/>
    <w:rsid w:val="00060EEF"/>
    <w:rsid w:val="000614C7"/>
    <w:rsid w:val="00061BCA"/>
    <w:rsid w:val="00062DA5"/>
    <w:rsid w:val="00064A7F"/>
    <w:rsid w:val="000653B5"/>
    <w:rsid w:val="00065751"/>
    <w:rsid w:val="00066360"/>
    <w:rsid w:val="00066AF8"/>
    <w:rsid w:val="00066C2E"/>
    <w:rsid w:val="00071248"/>
    <w:rsid w:val="0007169F"/>
    <w:rsid w:val="000720B9"/>
    <w:rsid w:val="00072386"/>
    <w:rsid w:val="000737F7"/>
    <w:rsid w:val="00074267"/>
    <w:rsid w:val="0007672F"/>
    <w:rsid w:val="00076B0F"/>
    <w:rsid w:val="00076B54"/>
    <w:rsid w:val="000774F0"/>
    <w:rsid w:val="00080909"/>
    <w:rsid w:val="00080B39"/>
    <w:rsid w:val="000812CA"/>
    <w:rsid w:val="00081421"/>
    <w:rsid w:val="00081860"/>
    <w:rsid w:val="00081E63"/>
    <w:rsid w:val="0008214C"/>
    <w:rsid w:val="0008258D"/>
    <w:rsid w:val="00083243"/>
    <w:rsid w:val="000835B9"/>
    <w:rsid w:val="00083E99"/>
    <w:rsid w:val="00084FA8"/>
    <w:rsid w:val="0008569C"/>
    <w:rsid w:val="000856C5"/>
    <w:rsid w:val="00085C23"/>
    <w:rsid w:val="00085C31"/>
    <w:rsid w:val="000902D9"/>
    <w:rsid w:val="00090926"/>
    <w:rsid w:val="00090C7E"/>
    <w:rsid w:val="00091D4C"/>
    <w:rsid w:val="0009210B"/>
    <w:rsid w:val="00092600"/>
    <w:rsid w:val="0009262B"/>
    <w:rsid w:val="000927A3"/>
    <w:rsid w:val="00093310"/>
    <w:rsid w:val="0009445C"/>
    <w:rsid w:val="00094E31"/>
    <w:rsid w:val="00094F2B"/>
    <w:rsid w:val="00095200"/>
    <w:rsid w:val="0009526D"/>
    <w:rsid w:val="00095ACA"/>
    <w:rsid w:val="00095FE5"/>
    <w:rsid w:val="00096014"/>
    <w:rsid w:val="00096040"/>
    <w:rsid w:val="00096284"/>
    <w:rsid w:val="000967BA"/>
    <w:rsid w:val="000A0D7D"/>
    <w:rsid w:val="000A114D"/>
    <w:rsid w:val="000A1774"/>
    <w:rsid w:val="000A1BC0"/>
    <w:rsid w:val="000A3220"/>
    <w:rsid w:val="000A3E07"/>
    <w:rsid w:val="000A406E"/>
    <w:rsid w:val="000A45EF"/>
    <w:rsid w:val="000A4D26"/>
    <w:rsid w:val="000A5F2E"/>
    <w:rsid w:val="000A6039"/>
    <w:rsid w:val="000A70E6"/>
    <w:rsid w:val="000A7453"/>
    <w:rsid w:val="000A7812"/>
    <w:rsid w:val="000A7D08"/>
    <w:rsid w:val="000B0121"/>
    <w:rsid w:val="000B04D5"/>
    <w:rsid w:val="000B0670"/>
    <w:rsid w:val="000B0839"/>
    <w:rsid w:val="000B0E75"/>
    <w:rsid w:val="000B1E3D"/>
    <w:rsid w:val="000B2DCB"/>
    <w:rsid w:val="000B4435"/>
    <w:rsid w:val="000B5CE0"/>
    <w:rsid w:val="000B6CAC"/>
    <w:rsid w:val="000B7244"/>
    <w:rsid w:val="000B7612"/>
    <w:rsid w:val="000B78AE"/>
    <w:rsid w:val="000C205D"/>
    <w:rsid w:val="000C31B3"/>
    <w:rsid w:val="000C3DF9"/>
    <w:rsid w:val="000C42BD"/>
    <w:rsid w:val="000C6713"/>
    <w:rsid w:val="000C7564"/>
    <w:rsid w:val="000D1BFC"/>
    <w:rsid w:val="000D1C77"/>
    <w:rsid w:val="000D1D5D"/>
    <w:rsid w:val="000D281A"/>
    <w:rsid w:val="000D2823"/>
    <w:rsid w:val="000D2848"/>
    <w:rsid w:val="000D297B"/>
    <w:rsid w:val="000D2EF9"/>
    <w:rsid w:val="000D326A"/>
    <w:rsid w:val="000D400B"/>
    <w:rsid w:val="000D4A2F"/>
    <w:rsid w:val="000D51FB"/>
    <w:rsid w:val="000D6A73"/>
    <w:rsid w:val="000D71BA"/>
    <w:rsid w:val="000E0640"/>
    <w:rsid w:val="000E0FCF"/>
    <w:rsid w:val="000E135D"/>
    <w:rsid w:val="000E1A20"/>
    <w:rsid w:val="000E425B"/>
    <w:rsid w:val="000E43C8"/>
    <w:rsid w:val="000E465C"/>
    <w:rsid w:val="000E4A10"/>
    <w:rsid w:val="000E4A87"/>
    <w:rsid w:val="000E6684"/>
    <w:rsid w:val="000F00BA"/>
    <w:rsid w:val="000F1729"/>
    <w:rsid w:val="000F316A"/>
    <w:rsid w:val="000F3C74"/>
    <w:rsid w:val="000F495A"/>
    <w:rsid w:val="000F4BB8"/>
    <w:rsid w:val="000F4FA9"/>
    <w:rsid w:val="000F53FB"/>
    <w:rsid w:val="000F5CA0"/>
    <w:rsid w:val="000F7127"/>
    <w:rsid w:val="000F7B54"/>
    <w:rsid w:val="00100F8A"/>
    <w:rsid w:val="00103938"/>
    <w:rsid w:val="0010452E"/>
    <w:rsid w:val="00105AE2"/>
    <w:rsid w:val="00105CAB"/>
    <w:rsid w:val="001060C6"/>
    <w:rsid w:val="001067EA"/>
    <w:rsid w:val="00106B80"/>
    <w:rsid w:val="00106F0E"/>
    <w:rsid w:val="001071EB"/>
    <w:rsid w:val="0011032E"/>
    <w:rsid w:val="00110C75"/>
    <w:rsid w:val="001111A2"/>
    <w:rsid w:val="00112DE1"/>
    <w:rsid w:val="0011348B"/>
    <w:rsid w:val="00115982"/>
    <w:rsid w:val="00115A69"/>
    <w:rsid w:val="001161A7"/>
    <w:rsid w:val="00116C53"/>
    <w:rsid w:val="001202EE"/>
    <w:rsid w:val="0012127F"/>
    <w:rsid w:val="00121799"/>
    <w:rsid w:val="001222FC"/>
    <w:rsid w:val="001223EF"/>
    <w:rsid w:val="001225D0"/>
    <w:rsid w:val="00123902"/>
    <w:rsid w:val="00124A51"/>
    <w:rsid w:val="00125777"/>
    <w:rsid w:val="00125E77"/>
    <w:rsid w:val="00126621"/>
    <w:rsid w:val="00126B1D"/>
    <w:rsid w:val="001301E9"/>
    <w:rsid w:val="00131D5A"/>
    <w:rsid w:val="00131D82"/>
    <w:rsid w:val="00131EE3"/>
    <w:rsid w:val="00132B22"/>
    <w:rsid w:val="00133D36"/>
    <w:rsid w:val="0013464F"/>
    <w:rsid w:val="00137645"/>
    <w:rsid w:val="0014015A"/>
    <w:rsid w:val="00140B60"/>
    <w:rsid w:val="00140E99"/>
    <w:rsid w:val="00141F87"/>
    <w:rsid w:val="00142F1A"/>
    <w:rsid w:val="00143929"/>
    <w:rsid w:val="00143F67"/>
    <w:rsid w:val="00145540"/>
    <w:rsid w:val="001456B0"/>
    <w:rsid w:val="00146C1C"/>
    <w:rsid w:val="00147A6E"/>
    <w:rsid w:val="00150A52"/>
    <w:rsid w:val="00150FC8"/>
    <w:rsid w:val="00151C72"/>
    <w:rsid w:val="001525FF"/>
    <w:rsid w:val="001535DE"/>
    <w:rsid w:val="001539A6"/>
    <w:rsid w:val="001539F9"/>
    <w:rsid w:val="00153E7C"/>
    <w:rsid w:val="00154519"/>
    <w:rsid w:val="00154B6D"/>
    <w:rsid w:val="00154E1A"/>
    <w:rsid w:val="00155B09"/>
    <w:rsid w:val="00156F8F"/>
    <w:rsid w:val="00157130"/>
    <w:rsid w:val="001576B1"/>
    <w:rsid w:val="0016047B"/>
    <w:rsid w:val="00160A4C"/>
    <w:rsid w:val="001620C9"/>
    <w:rsid w:val="0016239A"/>
    <w:rsid w:val="00162413"/>
    <w:rsid w:val="0016258E"/>
    <w:rsid w:val="00162913"/>
    <w:rsid w:val="00163EFF"/>
    <w:rsid w:val="00163F66"/>
    <w:rsid w:val="001642B2"/>
    <w:rsid w:val="001661FB"/>
    <w:rsid w:val="0016627B"/>
    <w:rsid w:val="00166483"/>
    <w:rsid w:val="001671A0"/>
    <w:rsid w:val="0016767F"/>
    <w:rsid w:val="00170238"/>
    <w:rsid w:val="001709F4"/>
    <w:rsid w:val="00171A8F"/>
    <w:rsid w:val="0017311B"/>
    <w:rsid w:val="00173565"/>
    <w:rsid w:val="00173B07"/>
    <w:rsid w:val="00174B15"/>
    <w:rsid w:val="001751FA"/>
    <w:rsid w:val="00180F50"/>
    <w:rsid w:val="0018162E"/>
    <w:rsid w:val="00181D9C"/>
    <w:rsid w:val="00181DEA"/>
    <w:rsid w:val="00182132"/>
    <w:rsid w:val="00184B0E"/>
    <w:rsid w:val="001851A1"/>
    <w:rsid w:val="001874DB"/>
    <w:rsid w:val="0018752F"/>
    <w:rsid w:val="00190255"/>
    <w:rsid w:val="00190AED"/>
    <w:rsid w:val="00190AFE"/>
    <w:rsid w:val="00192FF5"/>
    <w:rsid w:val="00193838"/>
    <w:rsid w:val="00194AD8"/>
    <w:rsid w:val="00195222"/>
    <w:rsid w:val="001968FF"/>
    <w:rsid w:val="001975D8"/>
    <w:rsid w:val="001A02B7"/>
    <w:rsid w:val="001A0357"/>
    <w:rsid w:val="001A178E"/>
    <w:rsid w:val="001A2B8F"/>
    <w:rsid w:val="001A37DA"/>
    <w:rsid w:val="001A3DE1"/>
    <w:rsid w:val="001A3FB3"/>
    <w:rsid w:val="001A43FA"/>
    <w:rsid w:val="001A47C5"/>
    <w:rsid w:val="001A4C2C"/>
    <w:rsid w:val="001A4ED0"/>
    <w:rsid w:val="001A50E8"/>
    <w:rsid w:val="001A59FB"/>
    <w:rsid w:val="001A5A72"/>
    <w:rsid w:val="001A5E9E"/>
    <w:rsid w:val="001A6354"/>
    <w:rsid w:val="001A6366"/>
    <w:rsid w:val="001A7644"/>
    <w:rsid w:val="001A7AE8"/>
    <w:rsid w:val="001B196F"/>
    <w:rsid w:val="001B204E"/>
    <w:rsid w:val="001B2372"/>
    <w:rsid w:val="001B3019"/>
    <w:rsid w:val="001B3443"/>
    <w:rsid w:val="001B3894"/>
    <w:rsid w:val="001B402E"/>
    <w:rsid w:val="001B4D20"/>
    <w:rsid w:val="001B58CF"/>
    <w:rsid w:val="001B6453"/>
    <w:rsid w:val="001C024D"/>
    <w:rsid w:val="001C106E"/>
    <w:rsid w:val="001C16D1"/>
    <w:rsid w:val="001C2A9B"/>
    <w:rsid w:val="001C395A"/>
    <w:rsid w:val="001C3E67"/>
    <w:rsid w:val="001C4299"/>
    <w:rsid w:val="001C4874"/>
    <w:rsid w:val="001C5B43"/>
    <w:rsid w:val="001C5E8D"/>
    <w:rsid w:val="001C5F94"/>
    <w:rsid w:val="001C6689"/>
    <w:rsid w:val="001C685B"/>
    <w:rsid w:val="001C6E66"/>
    <w:rsid w:val="001D04FA"/>
    <w:rsid w:val="001D0528"/>
    <w:rsid w:val="001D1100"/>
    <w:rsid w:val="001D1391"/>
    <w:rsid w:val="001D25D7"/>
    <w:rsid w:val="001D29EC"/>
    <w:rsid w:val="001D2E66"/>
    <w:rsid w:val="001D4285"/>
    <w:rsid w:val="001D50B2"/>
    <w:rsid w:val="001D7645"/>
    <w:rsid w:val="001D786E"/>
    <w:rsid w:val="001E038D"/>
    <w:rsid w:val="001E1E86"/>
    <w:rsid w:val="001E1EA6"/>
    <w:rsid w:val="001E238E"/>
    <w:rsid w:val="001E2483"/>
    <w:rsid w:val="001E2B1E"/>
    <w:rsid w:val="001E2CFF"/>
    <w:rsid w:val="001E2F24"/>
    <w:rsid w:val="001E2F2D"/>
    <w:rsid w:val="001E30D4"/>
    <w:rsid w:val="001E3451"/>
    <w:rsid w:val="001E34DF"/>
    <w:rsid w:val="001E3956"/>
    <w:rsid w:val="001E52EB"/>
    <w:rsid w:val="001E5939"/>
    <w:rsid w:val="001E61D2"/>
    <w:rsid w:val="001E61FE"/>
    <w:rsid w:val="001E6816"/>
    <w:rsid w:val="001E716C"/>
    <w:rsid w:val="001E740C"/>
    <w:rsid w:val="001E7799"/>
    <w:rsid w:val="001F02DA"/>
    <w:rsid w:val="001F1235"/>
    <w:rsid w:val="001F1CB3"/>
    <w:rsid w:val="001F2094"/>
    <w:rsid w:val="001F2609"/>
    <w:rsid w:val="001F356A"/>
    <w:rsid w:val="001F38B5"/>
    <w:rsid w:val="001F4081"/>
    <w:rsid w:val="001F43DE"/>
    <w:rsid w:val="001F44F7"/>
    <w:rsid w:val="001F5311"/>
    <w:rsid w:val="001F6022"/>
    <w:rsid w:val="001F6585"/>
    <w:rsid w:val="001F6CE1"/>
    <w:rsid w:val="001F72B2"/>
    <w:rsid w:val="001F7361"/>
    <w:rsid w:val="002011B0"/>
    <w:rsid w:val="00201A0B"/>
    <w:rsid w:val="00202031"/>
    <w:rsid w:val="0020266A"/>
    <w:rsid w:val="00203181"/>
    <w:rsid w:val="002033FE"/>
    <w:rsid w:val="00203783"/>
    <w:rsid w:val="0020385F"/>
    <w:rsid w:val="00204679"/>
    <w:rsid w:val="00204DF7"/>
    <w:rsid w:val="002057A6"/>
    <w:rsid w:val="002068A0"/>
    <w:rsid w:val="00207021"/>
    <w:rsid w:val="0020732F"/>
    <w:rsid w:val="00207AB4"/>
    <w:rsid w:val="00207D00"/>
    <w:rsid w:val="002105C1"/>
    <w:rsid w:val="00210E97"/>
    <w:rsid w:val="00211BF8"/>
    <w:rsid w:val="00212D41"/>
    <w:rsid w:val="00213CB9"/>
    <w:rsid w:val="00213EF5"/>
    <w:rsid w:val="002146DF"/>
    <w:rsid w:val="00214C9D"/>
    <w:rsid w:val="00215492"/>
    <w:rsid w:val="002163A4"/>
    <w:rsid w:val="00216BF5"/>
    <w:rsid w:val="00216D2C"/>
    <w:rsid w:val="00217AC2"/>
    <w:rsid w:val="00222061"/>
    <w:rsid w:val="002224B5"/>
    <w:rsid w:val="00223B49"/>
    <w:rsid w:val="00223D5A"/>
    <w:rsid w:val="00223DE7"/>
    <w:rsid w:val="00224DD4"/>
    <w:rsid w:val="00225079"/>
    <w:rsid w:val="002252A0"/>
    <w:rsid w:val="002267C6"/>
    <w:rsid w:val="002278A0"/>
    <w:rsid w:val="00227AD1"/>
    <w:rsid w:val="00227C7F"/>
    <w:rsid w:val="00227FF0"/>
    <w:rsid w:val="002309CC"/>
    <w:rsid w:val="0023209F"/>
    <w:rsid w:val="00233C01"/>
    <w:rsid w:val="0023413C"/>
    <w:rsid w:val="002346F0"/>
    <w:rsid w:val="0023496D"/>
    <w:rsid w:val="00234CFB"/>
    <w:rsid w:val="00235833"/>
    <w:rsid w:val="0023629D"/>
    <w:rsid w:val="00237255"/>
    <w:rsid w:val="00237E51"/>
    <w:rsid w:val="0024047B"/>
    <w:rsid w:val="00240911"/>
    <w:rsid w:val="00240922"/>
    <w:rsid w:val="00240D24"/>
    <w:rsid w:val="002424AF"/>
    <w:rsid w:val="002439DC"/>
    <w:rsid w:val="00243A3E"/>
    <w:rsid w:val="002441D2"/>
    <w:rsid w:val="002441D8"/>
    <w:rsid w:val="002442A0"/>
    <w:rsid w:val="00244DC8"/>
    <w:rsid w:val="0024583F"/>
    <w:rsid w:val="002458BA"/>
    <w:rsid w:val="00245CE9"/>
    <w:rsid w:val="00245FB4"/>
    <w:rsid w:val="0024636C"/>
    <w:rsid w:val="00246EA4"/>
    <w:rsid w:val="0024734F"/>
    <w:rsid w:val="00247925"/>
    <w:rsid w:val="00250BBE"/>
    <w:rsid w:val="00250CA5"/>
    <w:rsid w:val="00251006"/>
    <w:rsid w:val="00251704"/>
    <w:rsid w:val="002518D6"/>
    <w:rsid w:val="002524D5"/>
    <w:rsid w:val="002534FF"/>
    <w:rsid w:val="00253B1D"/>
    <w:rsid w:val="00254704"/>
    <w:rsid w:val="00254DCF"/>
    <w:rsid w:val="0025534B"/>
    <w:rsid w:val="002556A3"/>
    <w:rsid w:val="00255BB7"/>
    <w:rsid w:val="0025600D"/>
    <w:rsid w:val="00256998"/>
    <w:rsid w:val="00257541"/>
    <w:rsid w:val="00257A39"/>
    <w:rsid w:val="00257AC4"/>
    <w:rsid w:val="00261EEF"/>
    <w:rsid w:val="00262A1A"/>
    <w:rsid w:val="00262A87"/>
    <w:rsid w:val="002630E6"/>
    <w:rsid w:val="002642FC"/>
    <w:rsid w:val="00264D26"/>
    <w:rsid w:val="002650D9"/>
    <w:rsid w:val="002653BA"/>
    <w:rsid w:val="00267642"/>
    <w:rsid w:val="00267AEA"/>
    <w:rsid w:val="002700E6"/>
    <w:rsid w:val="002701CB"/>
    <w:rsid w:val="00271106"/>
    <w:rsid w:val="00271D22"/>
    <w:rsid w:val="002723F7"/>
    <w:rsid w:val="0027268D"/>
    <w:rsid w:val="0027294B"/>
    <w:rsid w:val="002735C6"/>
    <w:rsid w:val="00273EB4"/>
    <w:rsid w:val="00274682"/>
    <w:rsid w:val="002746DC"/>
    <w:rsid w:val="00275C5A"/>
    <w:rsid w:val="00275EE5"/>
    <w:rsid w:val="002765BA"/>
    <w:rsid w:val="00277D7B"/>
    <w:rsid w:val="00280C27"/>
    <w:rsid w:val="00281014"/>
    <w:rsid w:val="00281B4D"/>
    <w:rsid w:val="00282A12"/>
    <w:rsid w:val="00284110"/>
    <w:rsid w:val="0028665D"/>
    <w:rsid w:val="00286E86"/>
    <w:rsid w:val="00290BBB"/>
    <w:rsid w:val="0029128D"/>
    <w:rsid w:val="00292336"/>
    <w:rsid w:val="0029431A"/>
    <w:rsid w:val="00297359"/>
    <w:rsid w:val="002A023F"/>
    <w:rsid w:val="002A0321"/>
    <w:rsid w:val="002A14AB"/>
    <w:rsid w:val="002A2ADE"/>
    <w:rsid w:val="002A2D51"/>
    <w:rsid w:val="002A2F50"/>
    <w:rsid w:val="002A3013"/>
    <w:rsid w:val="002A30C8"/>
    <w:rsid w:val="002A4F10"/>
    <w:rsid w:val="002A6B44"/>
    <w:rsid w:val="002A6DBF"/>
    <w:rsid w:val="002A71C7"/>
    <w:rsid w:val="002A7DF5"/>
    <w:rsid w:val="002B05A1"/>
    <w:rsid w:val="002B09A4"/>
    <w:rsid w:val="002B0DD9"/>
    <w:rsid w:val="002B1C1F"/>
    <w:rsid w:val="002B233A"/>
    <w:rsid w:val="002B3553"/>
    <w:rsid w:val="002B418F"/>
    <w:rsid w:val="002B432F"/>
    <w:rsid w:val="002B43CD"/>
    <w:rsid w:val="002B47FE"/>
    <w:rsid w:val="002B5E63"/>
    <w:rsid w:val="002B62B3"/>
    <w:rsid w:val="002B6754"/>
    <w:rsid w:val="002B6CCE"/>
    <w:rsid w:val="002B781C"/>
    <w:rsid w:val="002C0023"/>
    <w:rsid w:val="002C0166"/>
    <w:rsid w:val="002C049A"/>
    <w:rsid w:val="002C2510"/>
    <w:rsid w:val="002C2775"/>
    <w:rsid w:val="002C27C1"/>
    <w:rsid w:val="002C2D55"/>
    <w:rsid w:val="002C45A2"/>
    <w:rsid w:val="002C5099"/>
    <w:rsid w:val="002C50D1"/>
    <w:rsid w:val="002C52DD"/>
    <w:rsid w:val="002C5457"/>
    <w:rsid w:val="002C5889"/>
    <w:rsid w:val="002C58C6"/>
    <w:rsid w:val="002C5A02"/>
    <w:rsid w:val="002C61DC"/>
    <w:rsid w:val="002C71CE"/>
    <w:rsid w:val="002D025E"/>
    <w:rsid w:val="002D08F8"/>
    <w:rsid w:val="002D1E9A"/>
    <w:rsid w:val="002D3650"/>
    <w:rsid w:val="002D577C"/>
    <w:rsid w:val="002D5B24"/>
    <w:rsid w:val="002E1071"/>
    <w:rsid w:val="002E15B9"/>
    <w:rsid w:val="002E1BAA"/>
    <w:rsid w:val="002E2158"/>
    <w:rsid w:val="002E2463"/>
    <w:rsid w:val="002E274C"/>
    <w:rsid w:val="002E284A"/>
    <w:rsid w:val="002E4F02"/>
    <w:rsid w:val="002E572E"/>
    <w:rsid w:val="002E7531"/>
    <w:rsid w:val="002E7722"/>
    <w:rsid w:val="002F07BA"/>
    <w:rsid w:val="002F09DC"/>
    <w:rsid w:val="002F0DA9"/>
    <w:rsid w:val="002F1014"/>
    <w:rsid w:val="002F25FE"/>
    <w:rsid w:val="002F2758"/>
    <w:rsid w:val="002F47AC"/>
    <w:rsid w:val="002F5798"/>
    <w:rsid w:val="002F5D1B"/>
    <w:rsid w:val="002F643C"/>
    <w:rsid w:val="002F71C0"/>
    <w:rsid w:val="002F74F1"/>
    <w:rsid w:val="00301017"/>
    <w:rsid w:val="0030155F"/>
    <w:rsid w:val="00303BDE"/>
    <w:rsid w:val="00304AC3"/>
    <w:rsid w:val="0030587B"/>
    <w:rsid w:val="00305B42"/>
    <w:rsid w:val="00305E62"/>
    <w:rsid w:val="00306588"/>
    <w:rsid w:val="00306D98"/>
    <w:rsid w:val="0030786C"/>
    <w:rsid w:val="00310033"/>
    <w:rsid w:val="0031031A"/>
    <w:rsid w:val="00310423"/>
    <w:rsid w:val="00310981"/>
    <w:rsid w:val="00310BA7"/>
    <w:rsid w:val="003124D9"/>
    <w:rsid w:val="00312594"/>
    <w:rsid w:val="00312D6A"/>
    <w:rsid w:val="00314526"/>
    <w:rsid w:val="00314A62"/>
    <w:rsid w:val="00314D59"/>
    <w:rsid w:val="00315498"/>
    <w:rsid w:val="00315D8C"/>
    <w:rsid w:val="00316035"/>
    <w:rsid w:val="00316474"/>
    <w:rsid w:val="003169B9"/>
    <w:rsid w:val="00316C11"/>
    <w:rsid w:val="00317F52"/>
    <w:rsid w:val="003208F2"/>
    <w:rsid w:val="003211B7"/>
    <w:rsid w:val="00322107"/>
    <w:rsid w:val="00322355"/>
    <w:rsid w:val="0032243D"/>
    <w:rsid w:val="00322846"/>
    <w:rsid w:val="00323301"/>
    <w:rsid w:val="00323729"/>
    <w:rsid w:val="00324A40"/>
    <w:rsid w:val="00324CDB"/>
    <w:rsid w:val="003265BE"/>
    <w:rsid w:val="00326DA7"/>
    <w:rsid w:val="003270E4"/>
    <w:rsid w:val="00330DAA"/>
    <w:rsid w:val="00330F5C"/>
    <w:rsid w:val="003312EC"/>
    <w:rsid w:val="00331608"/>
    <w:rsid w:val="00334C54"/>
    <w:rsid w:val="0033510B"/>
    <w:rsid w:val="00335FC6"/>
    <w:rsid w:val="003366C9"/>
    <w:rsid w:val="00337163"/>
    <w:rsid w:val="003371B0"/>
    <w:rsid w:val="00337846"/>
    <w:rsid w:val="00337D24"/>
    <w:rsid w:val="00340460"/>
    <w:rsid w:val="00340CD1"/>
    <w:rsid w:val="00340DF1"/>
    <w:rsid w:val="0034140E"/>
    <w:rsid w:val="0034284C"/>
    <w:rsid w:val="00345130"/>
    <w:rsid w:val="0034624C"/>
    <w:rsid w:val="0034660D"/>
    <w:rsid w:val="0034753D"/>
    <w:rsid w:val="0034792D"/>
    <w:rsid w:val="00347CF8"/>
    <w:rsid w:val="003517F9"/>
    <w:rsid w:val="00351BA9"/>
    <w:rsid w:val="00351EBE"/>
    <w:rsid w:val="003524D9"/>
    <w:rsid w:val="00353DB9"/>
    <w:rsid w:val="00354F64"/>
    <w:rsid w:val="0035620E"/>
    <w:rsid w:val="00356961"/>
    <w:rsid w:val="003569A1"/>
    <w:rsid w:val="00360345"/>
    <w:rsid w:val="00360B48"/>
    <w:rsid w:val="00361A05"/>
    <w:rsid w:val="003624C4"/>
    <w:rsid w:val="00362516"/>
    <w:rsid w:val="00362A43"/>
    <w:rsid w:val="00363984"/>
    <w:rsid w:val="00363B00"/>
    <w:rsid w:val="00364AF7"/>
    <w:rsid w:val="003654AC"/>
    <w:rsid w:val="003673D4"/>
    <w:rsid w:val="00367D72"/>
    <w:rsid w:val="00367DAE"/>
    <w:rsid w:val="00367EB4"/>
    <w:rsid w:val="003710CF"/>
    <w:rsid w:val="00372E6A"/>
    <w:rsid w:val="0037358A"/>
    <w:rsid w:val="00373A31"/>
    <w:rsid w:val="0037456C"/>
    <w:rsid w:val="0037458F"/>
    <w:rsid w:val="00374D91"/>
    <w:rsid w:val="003750F6"/>
    <w:rsid w:val="003760FC"/>
    <w:rsid w:val="00376F01"/>
    <w:rsid w:val="00376F18"/>
    <w:rsid w:val="00377A69"/>
    <w:rsid w:val="00380D39"/>
    <w:rsid w:val="00383481"/>
    <w:rsid w:val="0038349A"/>
    <w:rsid w:val="0038365C"/>
    <w:rsid w:val="0038369B"/>
    <w:rsid w:val="003836F0"/>
    <w:rsid w:val="00383B78"/>
    <w:rsid w:val="00383F37"/>
    <w:rsid w:val="003848DD"/>
    <w:rsid w:val="00384F59"/>
    <w:rsid w:val="00385A9D"/>
    <w:rsid w:val="00386978"/>
    <w:rsid w:val="00387D02"/>
    <w:rsid w:val="003902B1"/>
    <w:rsid w:val="0039179C"/>
    <w:rsid w:val="0039253A"/>
    <w:rsid w:val="0039297D"/>
    <w:rsid w:val="00392B3A"/>
    <w:rsid w:val="0039446D"/>
    <w:rsid w:val="00394D79"/>
    <w:rsid w:val="00395012"/>
    <w:rsid w:val="003950A0"/>
    <w:rsid w:val="00396896"/>
    <w:rsid w:val="00396FD0"/>
    <w:rsid w:val="00397DE8"/>
    <w:rsid w:val="003A0E2F"/>
    <w:rsid w:val="003A1A7A"/>
    <w:rsid w:val="003A2392"/>
    <w:rsid w:val="003A27A6"/>
    <w:rsid w:val="003A2831"/>
    <w:rsid w:val="003A309C"/>
    <w:rsid w:val="003A3C0E"/>
    <w:rsid w:val="003A3CB6"/>
    <w:rsid w:val="003A3ED1"/>
    <w:rsid w:val="003A4440"/>
    <w:rsid w:val="003A44DB"/>
    <w:rsid w:val="003A48B4"/>
    <w:rsid w:val="003A4A40"/>
    <w:rsid w:val="003A57D3"/>
    <w:rsid w:val="003A631A"/>
    <w:rsid w:val="003A677E"/>
    <w:rsid w:val="003A7A15"/>
    <w:rsid w:val="003B10FE"/>
    <w:rsid w:val="003B1797"/>
    <w:rsid w:val="003B3380"/>
    <w:rsid w:val="003B3971"/>
    <w:rsid w:val="003B4393"/>
    <w:rsid w:val="003B4B7B"/>
    <w:rsid w:val="003B55D1"/>
    <w:rsid w:val="003B5B61"/>
    <w:rsid w:val="003B5EC5"/>
    <w:rsid w:val="003B6750"/>
    <w:rsid w:val="003B6EAF"/>
    <w:rsid w:val="003C0004"/>
    <w:rsid w:val="003C045D"/>
    <w:rsid w:val="003C0A73"/>
    <w:rsid w:val="003C1148"/>
    <w:rsid w:val="003C1654"/>
    <w:rsid w:val="003C18B1"/>
    <w:rsid w:val="003C18C7"/>
    <w:rsid w:val="003C3114"/>
    <w:rsid w:val="003C373E"/>
    <w:rsid w:val="003C3E0C"/>
    <w:rsid w:val="003C5542"/>
    <w:rsid w:val="003C69E3"/>
    <w:rsid w:val="003C750E"/>
    <w:rsid w:val="003C76B4"/>
    <w:rsid w:val="003C7A7C"/>
    <w:rsid w:val="003C7D19"/>
    <w:rsid w:val="003C7D2F"/>
    <w:rsid w:val="003C7F45"/>
    <w:rsid w:val="003D1828"/>
    <w:rsid w:val="003D1DE4"/>
    <w:rsid w:val="003D1E9A"/>
    <w:rsid w:val="003D2422"/>
    <w:rsid w:val="003D2CE7"/>
    <w:rsid w:val="003D363D"/>
    <w:rsid w:val="003D366A"/>
    <w:rsid w:val="003D39A1"/>
    <w:rsid w:val="003D3FBF"/>
    <w:rsid w:val="003D4A30"/>
    <w:rsid w:val="003D639F"/>
    <w:rsid w:val="003D677D"/>
    <w:rsid w:val="003D6F2D"/>
    <w:rsid w:val="003D7452"/>
    <w:rsid w:val="003D79BB"/>
    <w:rsid w:val="003D7C98"/>
    <w:rsid w:val="003D7D9D"/>
    <w:rsid w:val="003E019A"/>
    <w:rsid w:val="003E0543"/>
    <w:rsid w:val="003E0953"/>
    <w:rsid w:val="003E0F32"/>
    <w:rsid w:val="003E1680"/>
    <w:rsid w:val="003E1B6F"/>
    <w:rsid w:val="003E5B79"/>
    <w:rsid w:val="003E749E"/>
    <w:rsid w:val="003F1016"/>
    <w:rsid w:val="003F1B5D"/>
    <w:rsid w:val="003F3B5A"/>
    <w:rsid w:val="003F3EEF"/>
    <w:rsid w:val="003F4156"/>
    <w:rsid w:val="003F5992"/>
    <w:rsid w:val="003F5ADF"/>
    <w:rsid w:val="00400013"/>
    <w:rsid w:val="00400B29"/>
    <w:rsid w:val="00401447"/>
    <w:rsid w:val="00403EF9"/>
    <w:rsid w:val="00404222"/>
    <w:rsid w:val="0040504B"/>
    <w:rsid w:val="004056A1"/>
    <w:rsid w:val="004059F4"/>
    <w:rsid w:val="004062B7"/>
    <w:rsid w:val="0040638F"/>
    <w:rsid w:val="00406B20"/>
    <w:rsid w:val="00407D4C"/>
    <w:rsid w:val="00407FE5"/>
    <w:rsid w:val="004101B0"/>
    <w:rsid w:val="00410326"/>
    <w:rsid w:val="00410708"/>
    <w:rsid w:val="004109DD"/>
    <w:rsid w:val="00410A56"/>
    <w:rsid w:val="00410AB1"/>
    <w:rsid w:val="00410C5E"/>
    <w:rsid w:val="00410EC7"/>
    <w:rsid w:val="00411222"/>
    <w:rsid w:val="00411B39"/>
    <w:rsid w:val="00411B7E"/>
    <w:rsid w:val="004127A7"/>
    <w:rsid w:val="00412854"/>
    <w:rsid w:val="00413A1E"/>
    <w:rsid w:val="00413B59"/>
    <w:rsid w:val="00414325"/>
    <w:rsid w:val="00414476"/>
    <w:rsid w:val="00414514"/>
    <w:rsid w:val="00414558"/>
    <w:rsid w:val="004145D5"/>
    <w:rsid w:val="00414C2E"/>
    <w:rsid w:val="00414CE0"/>
    <w:rsid w:val="004151CF"/>
    <w:rsid w:val="00415A0B"/>
    <w:rsid w:val="00415E51"/>
    <w:rsid w:val="00416364"/>
    <w:rsid w:val="0042047F"/>
    <w:rsid w:val="0042089E"/>
    <w:rsid w:val="004209AC"/>
    <w:rsid w:val="00420AA6"/>
    <w:rsid w:val="00420B9F"/>
    <w:rsid w:val="00421841"/>
    <w:rsid w:val="0042192C"/>
    <w:rsid w:val="00421A90"/>
    <w:rsid w:val="00422260"/>
    <w:rsid w:val="004233D3"/>
    <w:rsid w:val="00423951"/>
    <w:rsid w:val="00423C7D"/>
    <w:rsid w:val="0042413F"/>
    <w:rsid w:val="004242BB"/>
    <w:rsid w:val="0042570A"/>
    <w:rsid w:val="00425E1E"/>
    <w:rsid w:val="004319F8"/>
    <w:rsid w:val="00431E55"/>
    <w:rsid w:val="004321F6"/>
    <w:rsid w:val="00433044"/>
    <w:rsid w:val="00434088"/>
    <w:rsid w:val="00434427"/>
    <w:rsid w:val="00435188"/>
    <w:rsid w:val="004355EB"/>
    <w:rsid w:val="00435E8F"/>
    <w:rsid w:val="004375B9"/>
    <w:rsid w:val="00440273"/>
    <w:rsid w:val="00440404"/>
    <w:rsid w:val="00440F89"/>
    <w:rsid w:val="004422F6"/>
    <w:rsid w:val="004428D0"/>
    <w:rsid w:val="00442A63"/>
    <w:rsid w:val="00444185"/>
    <w:rsid w:val="004443A7"/>
    <w:rsid w:val="0044442C"/>
    <w:rsid w:val="004450E0"/>
    <w:rsid w:val="00445542"/>
    <w:rsid w:val="00445941"/>
    <w:rsid w:val="00445F25"/>
    <w:rsid w:val="0044615F"/>
    <w:rsid w:val="004464EB"/>
    <w:rsid w:val="0044694B"/>
    <w:rsid w:val="00447D26"/>
    <w:rsid w:val="00447DFC"/>
    <w:rsid w:val="00447E2C"/>
    <w:rsid w:val="00447E8D"/>
    <w:rsid w:val="00451956"/>
    <w:rsid w:val="00451BC0"/>
    <w:rsid w:val="004528E1"/>
    <w:rsid w:val="00452D17"/>
    <w:rsid w:val="00452F41"/>
    <w:rsid w:val="0045302F"/>
    <w:rsid w:val="0045343A"/>
    <w:rsid w:val="0045446F"/>
    <w:rsid w:val="004546DF"/>
    <w:rsid w:val="00455013"/>
    <w:rsid w:val="004557ED"/>
    <w:rsid w:val="00455D45"/>
    <w:rsid w:val="00456613"/>
    <w:rsid w:val="00456F40"/>
    <w:rsid w:val="004579BB"/>
    <w:rsid w:val="00457AFC"/>
    <w:rsid w:val="0046056A"/>
    <w:rsid w:val="00462C80"/>
    <w:rsid w:val="004633E9"/>
    <w:rsid w:val="00464595"/>
    <w:rsid w:val="004652B1"/>
    <w:rsid w:val="004658B5"/>
    <w:rsid w:val="00467CE8"/>
    <w:rsid w:val="00470FC4"/>
    <w:rsid w:val="00471822"/>
    <w:rsid w:val="00471EA5"/>
    <w:rsid w:val="00472734"/>
    <w:rsid w:val="00472A79"/>
    <w:rsid w:val="00473F19"/>
    <w:rsid w:val="00474F11"/>
    <w:rsid w:val="00475335"/>
    <w:rsid w:val="004757D4"/>
    <w:rsid w:val="00475E22"/>
    <w:rsid w:val="004767A5"/>
    <w:rsid w:val="00477E02"/>
    <w:rsid w:val="00480723"/>
    <w:rsid w:val="0048088E"/>
    <w:rsid w:val="00480F2B"/>
    <w:rsid w:val="0048109D"/>
    <w:rsid w:val="004816FA"/>
    <w:rsid w:val="004818D4"/>
    <w:rsid w:val="004823D2"/>
    <w:rsid w:val="00482720"/>
    <w:rsid w:val="00482800"/>
    <w:rsid w:val="00482EAC"/>
    <w:rsid w:val="004835E7"/>
    <w:rsid w:val="0048445A"/>
    <w:rsid w:val="00484AF1"/>
    <w:rsid w:val="004867E2"/>
    <w:rsid w:val="0048696D"/>
    <w:rsid w:val="00487106"/>
    <w:rsid w:val="004907E9"/>
    <w:rsid w:val="00490B17"/>
    <w:rsid w:val="00490C7D"/>
    <w:rsid w:val="00491B3A"/>
    <w:rsid w:val="00492A38"/>
    <w:rsid w:val="00492B98"/>
    <w:rsid w:val="00492CFD"/>
    <w:rsid w:val="00493656"/>
    <w:rsid w:val="00493916"/>
    <w:rsid w:val="0049392B"/>
    <w:rsid w:val="00494207"/>
    <w:rsid w:val="00494DD5"/>
    <w:rsid w:val="004962D2"/>
    <w:rsid w:val="004A0013"/>
    <w:rsid w:val="004A0DA1"/>
    <w:rsid w:val="004A13D6"/>
    <w:rsid w:val="004A13DF"/>
    <w:rsid w:val="004A14D8"/>
    <w:rsid w:val="004A1800"/>
    <w:rsid w:val="004A2064"/>
    <w:rsid w:val="004A23FF"/>
    <w:rsid w:val="004A252F"/>
    <w:rsid w:val="004A2C6C"/>
    <w:rsid w:val="004A3289"/>
    <w:rsid w:val="004A3A57"/>
    <w:rsid w:val="004A52E9"/>
    <w:rsid w:val="004A6040"/>
    <w:rsid w:val="004A6597"/>
    <w:rsid w:val="004A7848"/>
    <w:rsid w:val="004B10F1"/>
    <w:rsid w:val="004B1AD6"/>
    <w:rsid w:val="004B1CB4"/>
    <w:rsid w:val="004B21B9"/>
    <w:rsid w:val="004B27BC"/>
    <w:rsid w:val="004B2F18"/>
    <w:rsid w:val="004B3DC2"/>
    <w:rsid w:val="004B3DDB"/>
    <w:rsid w:val="004B44FD"/>
    <w:rsid w:val="004B5393"/>
    <w:rsid w:val="004B5C75"/>
    <w:rsid w:val="004B5CFC"/>
    <w:rsid w:val="004B6CC2"/>
    <w:rsid w:val="004B6F79"/>
    <w:rsid w:val="004B774D"/>
    <w:rsid w:val="004C18C6"/>
    <w:rsid w:val="004C236B"/>
    <w:rsid w:val="004C3BD2"/>
    <w:rsid w:val="004C40B6"/>
    <w:rsid w:val="004C4AED"/>
    <w:rsid w:val="004C69AA"/>
    <w:rsid w:val="004D0393"/>
    <w:rsid w:val="004D0A4F"/>
    <w:rsid w:val="004D1627"/>
    <w:rsid w:val="004D20E8"/>
    <w:rsid w:val="004D2C2D"/>
    <w:rsid w:val="004D3253"/>
    <w:rsid w:val="004D33EC"/>
    <w:rsid w:val="004D4AEE"/>
    <w:rsid w:val="004D5A62"/>
    <w:rsid w:val="004D5CD1"/>
    <w:rsid w:val="004D69B5"/>
    <w:rsid w:val="004D6E77"/>
    <w:rsid w:val="004D7227"/>
    <w:rsid w:val="004D79C5"/>
    <w:rsid w:val="004E08D2"/>
    <w:rsid w:val="004E0A6A"/>
    <w:rsid w:val="004E0E7F"/>
    <w:rsid w:val="004E0EB8"/>
    <w:rsid w:val="004E149A"/>
    <w:rsid w:val="004E18E9"/>
    <w:rsid w:val="004E2397"/>
    <w:rsid w:val="004E27C3"/>
    <w:rsid w:val="004E2ADC"/>
    <w:rsid w:val="004E37B9"/>
    <w:rsid w:val="004E43B2"/>
    <w:rsid w:val="004E4687"/>
    <w:rsid w:val="004E4715"/>
    <w:rsid w:val="004E654A"/>
    <w:rsid w:val="004F0F4C"/>
    <w:rsid w:val="004F1D02"/>
    <w:rsid w:val="004F2679"/>
    <w:rsid w:val="004F2B17"/>
    <w:rsid w:val="004F2F21"/>
    <w:rsid w:val="004F3DE5"/>
    <w:rsid w:val="004F5BED"/>
    <w:rsid w:val="004F61AD"/>
    <w:rsid w:val="004F6281"/>
    <w:rsid w:val="004F6913"/>
    <w:rsid w:val="004F7865"/>
    <w:rsid w:val="004F7A9A"/>
    <w:rsid w:val="004F7C7B"/>
    <w:rsid w:val="0050174E"/>
    <w:rsid w:val="00501854"/>
    <w:rsid w:val="0050219B"/>
    <w:rsid w:val="00503F17"/>
    <w:rsid w:val="00504464"/>
    <w:rsid w:val="00504B21"/>
    <w:rsid w:val="00504F76"/>
    <w:rsid w:val="00505B72"/>
    <w:rsid w:val="005060EB"/>
    <w:rsid w:val="00506928"/>
    <w:rsid w:val="00506E16"/>
    <w:rsid w:val="005077EF"/>
    <w:rsid w:val="00511791"/>
    <w:rsid w:val="0051179B"/>
    <w:rsid w:val="00511AD5"/>
    <w:rsid w:val="00511C82"/>
    <w:rsid w:val="00511DC7"/>
    <w:rsid w:val="005128F3"/>
    <w:rsid w:val="00512AE5"/>
    <w:rsid w:val="0051393F"/>
    <w:rsid w:val="00514050"/>
    <w:rsid w:val="005141A9"/>
    <w:rsid w:val="005142C5"/>
    <w:rsid w:val="0051501B"/>
    <w:rsid w:val="005152B5"/>
    <w:rsid w:val="0051615D"/>
    <w:rsid w:val="00517463"/>
    <w:rsid w:val="0052123C"/>
    <w:rsid w:val="00521319"/>
    <w:rsid w:val="005224E5"/>
    <w:rsid w:val="00522BC8"/>
    <w:rsid w:val="00523C28"/>
    <w:rsid w:val="00526169"/>
    <w:rsid w:val="00526B6B"/>
    <w:rsid w:val="00526C7A"/>
    <w:rsid w:val="00530AFB"/>
    <w:rsid w:val="00530F5D"/>
    <w:rsid w:val="0053176B"/>
    <w:rsid w:val="005333F0"/>
    <w:rsid w:val="0053635B"/>
    <w:rsid w:val="00536F42"/>
    <w:rsid w:val="00537182"/>
    <w:rsid w:val="005374DE"/>
    <w:rsid w:val="00541EDD"/>
    <w:rsid w:val="00542743"/>
    <w:rsid w:val="00542C2D"/>
    <w:rsid w:val="005435A3"/>
    <w:rsid w:val="005436BB"/>
    <w:rsid w:val="00543998"/>
    <w:rsid w:val="00544010"/>
    <w:rsid w:val="005448C5"/>
    <w:rsid w:val="00545B3D"/>
    <w:rsid w:val="005468B4"/>
    <w:rsid w:val="00546E73"/>
    <w:rsid w:val="005478BD"/>
    <w:rsid w:val="005479E3"/>
    <w:rsid w:val="00547EAD"/>
    <w:rsid w:val="0055122B"/>
    <w:rsid w:val="00551985"/>
    <w:rsid w:val="005522DC"/>
    <w:rsid w:val="005526A1"/>
    <w:rsid w:val="005528ED"/>
    <w:rsid w:val="00552BD3"/>
    <w:rsid w:val="005532A0"/>
    <w:rsid w:val="00553306"/>
    <w:rsid w:val="00553F6C"/>
    <w:rsid w:val="00555109"/>
    <w:rsid w:val="005554BF"/>
    <w:rsid w:val="005554FD"/>
    <w:rsid w:val="0055596D"/>
    <w:rsid w:val="00555B6C"/>
    <w:rsid w:val="00556B35"/>
    <w:rsid w:val="0055741A"/>
    <w:rsid w:val="00557A54"/>
    <w:rsid w:val="00557C77"/>
    <w:rsid w:val="00560C8E"/>
    <w:rsid w:val="00560DA0"/>
    <w:rsid w:val="005611B7"/>
    <w:rsid w:val="005618D4"/>
    <w:rsid w:val="005620F2"/>
    <w:rsid w:val="00562171"/>
    <w:rsid w:val="00562F01"/>
    <w:rsid w:val="00563818"/>
    <w:rsid w:val="00563925"/>
    <w:rsid w:val="00563CD3"/>
    <w:rsid w:val="00563D2B"/>
    <w:rsid w:val="00564052"/>
    <w:rsid w:val="005650B3"/>
    <w:rsid w:val="0056543A"/>
    <w:rsid w:val="00565A45"/>
    <w:rsid w:val="00565DF0"/>
    <w:rsid w:val="00566595"/>
    <w:rsid w:val="0056696F"/>
    <w:rsid w:val="00570557"/>
    <w:rsid w:val="00570E42"/>
    <w:rsid w:val="005718C7"/>
    <w:rsid w:val="00572269"/>
    <w:rsid w:val="0057244A"/>
    <w:rsid w:val="005725A2"/>
    <w:rsid w:val="00572F26"/>
    <w:rsid w:val="005746F1"/>
    <w:rsid w:val="00574899"/>
    <w:rsid w:val="005750C5"/>
    <w:rsid w:val="005752DE"/>
    <w:rsid w:val="00575D8D"/>
    <w:rsid w:val="00576972"/>
    <w:rsid w:val="00577602"/>
    <w:rsid w:val="005802E0"/>
    <w:rsid w:val="00581BBD"/>
    <w:rsid w:val="00583699"/>
    <w:rsid w:val="00585872"/>
    <w:rsid w:val="00585CDD"/>
    <w:rsid w:val="00585D1A"/>
    <w:rsid w:val="00586BA2"/>
    <w:rsid w:val="00587058"/>
    <w:rsid w:val="005911EB"/>
    <w:rsid w:val="00591957"/>
    <w:rsid w:val="00592872"/>
    <w:rsid w:val="005944D7"/>
    <w:rsid w:val="005947F7"/>
    <w:rsid w:val="005960A0"/>
    <w:rsid w:val="005966DB"/>
    <w:rsid w:val="005967E2"/>
    <w:rsid w:val="00597BF9"/>
    <w:rsid w:val="005A0255"/>
    <w:rsid w:val="005A0A56"/>
    <w:rsid w:val="005A1735"/>
    <w:rsid w:val="005A2020"/>
    <w:rsid w:val="005A206C"/>
    <w:rsid w:val="005A24CF"/>
    <w:rsid w:val="005A27D6"/>
    <w:rsid w:val="005A309A"/>
    <w:rsid w:val="005A373D"/>
    <w:rsid w:val="005A4B16"/>
    <w:rsid w:val="005A4DD7"/>
    <w:rsid w:val="005A5B92"/>
    <w:rsid w:val="005A6701"/>
    <w:rsid w:val="005B06D0"/>
    <w:rsid w:val="005B0B58"/>
    <w:rsid w:val="005B1330"/>
    <w:rsid w:val="005B3F26"/>
    <w:rsid w:val="005B4810"/>
    <w:rsid w:val="005B4E53"/>
    <w:rsid w:val="005B52C8"/>
    <w:rsid w:val="005B5857"/>
    <w:rsid w:val="005B5BB6"/>
    <w:rsid w:val="005B6B8F"/>
    <w:rsid w:val="005B7214"/>
    <w:rsid w:val="005B7E2B"/>
    <w:rsid w:val="005C0A46"/>
    <w:rsid w:val="005C1B83"/>
    <w:rsid w:val="005C2430"/>
    <w:rsid w:val="005C25FF"/>
    <w:rsid w:val="005C2D55"/>
    <w:rsid w:val="005C3165"/>
    <w:rsid w:val="005C346B"/>
    <w:rsid w:val="005C3E5B"/>
    <w:rsid w:val="005C4835"/>
    <w:rsid w:val="005C4EBF"/>
    <w:rsid w:val="005C5741"/>
    <w:rsid w:val="005C684A"/>
    <w:rsid w:val="005C6E87"/>
    <w:rsid w:val="005C79BB"/>
    <w:rsid w:val="005D044D"/>
    <w:rsid w:val="005D0ABD"/>
    <w:rsid w:val="005D18AD"/>
    <w:rsid w:val="005D2050"/>
    <w:rsid w:val="005D26B4"/>
    <w:rsid w:val="005D3176"/>
    <w:rsid w:val="005D3DE3"/>
    <w:rsid w:val="005D530C"/>
    <w:rsid w:val="005D67DA"/>
    <w:rsid w:val="005E026B"/>
    <w:rsid w:val="005E13B4"/>
    <w:rsid w:val="005E4A8D"/>
    <w:rsid w:val="005E5700"/>
    <w:rsid w:val="005E6CBC"/>
    <w:rsid w:val="005E72FF"/>
    <w:rsid w:val="005E73C0"/>
    <w:rsid w:val="005E7AF5"/>
    <w:rsid w:val="005F1822"/>
    <w:rsid w:val="005F2706"/>
    <w:rsid w:val="005F331F"/>
    <w:rsid w:val="005F45F7"/>
    <w:rsid w:val="005F5073"/>
    <w:rsid w:val="005F5D7F"/>
    <w:rsid w:val="005F6A8F"/>
    <w:rsid w:val="005F6BB7"/>
    <w:rsid w:val="005F7588"/>
    <w:rsid w:val="005F7AF4"/>
    <w:rsid w:val="0060059D"/>
    <w:rsid w:val="00601985"/>
    <w:rsid w:val="00601A6A"/>
    <w:rsid w:val="00602195"/>
    <w:rsid w:val="00602B32"/>
    <w:rsid w:val="00602BC7"/>
    <w:rsid w:val="00602EFF"/>
    <w:rsid w:val="00603CCA"/>
    <w:rsid w:val="00603DB9"/>
    <w:rsid w:val="00604487"/>
    <w:rsid w:val="00604BB2"/>
    <w:rsid w:val="00606FBA"/>
    <w:rsid w:val="00607669"/>
    <w:rsid w:val="006076F4"/>
    <w:rsid w:val="00607AFD"/>
    <w:rsid w:val="00612F97"/>
    <w:rsid w:val="00613399"/>
    <w:rsid w:val="0061345D"/>
    <w:rsid w:val="0061549B"/>
    <w:rsid w:val="00616802"/>
    <w:rsid w:val="00616820"/>
    <w:rsid w:val="00616D91"/>
    <w:rsid w:val="006170CB"/>
    <w:rsid w:val="00617E12"/>
    <w:rsid w:val="00620C25"/>
    <w:rsid w:val="00620C9A"/>
    <w:rsid w:val="00621477"/>
    <w:rsid w:val="00621ADA"/>
    <w:rsid w:val="00622749"/>
    <w:rsid w:val="00622A47"/>
    <w:rsid w:val="006237F6"/>
    <w:rsid w:val="00623F7B"/>
    <w:rsid w:val="00627330"/>
    <w:rsid w:val="00627AF6"/>
    <w:rsid w:val="00630BCD"/>
    <w:rsid w:val="00631135"/>
    <w:rsid w:val="0063158F"/>
    <w:rsid w:val="00631D6B"/>
    <w:rsid w:val="00632183"/>
    <w:rsid w:val="00632C3E"/>
    <w:rsid w:val="00632E54"/>
    <w:rsid w:val="006330A1"/>
    <w:rsid w:val="0063479F"/>
    <w:rsid w:val="006353F0"/>
    <w:rsid w:val="00635672"/>
    <w:rsid w:val="006357B5"/>
    <w:rsid w:val="00635ACB"/>
    <w:rsid w:val="00635D1B"/>
    <w:rsid w:val="006364A1"/>
    <w:rsid w:val="006364EB"/>
    <w:rsid w:val="0063678E"/>
    <w:rsid w:val="00636E90"/>
    <w:rsid w:val="00636FE2"/>
    <w:rsid w:val="00637701"/>
    <w:rsid w:val="00637BFD"/>
    <w:rsid w:val="00641AA2"/>
    <w:rsid w:val="00641C4E"/>
    <w:rsid w:val="00641FB3"/>
    <w:rsid w:val="00642A36"/>
    <w:rsid w:val="0064434C"/>
    <w:rsid w:val="00645798"/>
    <w:rsid w:val="006465D9"/>
    <w:rsid w:val="006471CC"/>
    <w:rsid w:val="006472E2"/>
    <w:rsid w:val="00647A29"/>
    <w:rsid w:val="00647C3E"/>
    <w:rsid w:val="0065079F"/>
    <w:rsid w:val="00650CF9"/>
    <w:rsid w:val="006511C1"/>
    <w:rsid w:val="006520A9"/>
    <w:rsid w:val="00652A28"/>
    <w:rsid w:val="0065379F"/>
    <w:rsid w:val="006541E1"/>
    <w:rsid w:val="00656188"/>
    <w:rsid w:val="0065695C"/>
    <w:rsid w:val="0065715A"/>
    <w:rsid w:val="0065785B"/>
    <w:rsid w:val="00657E80"/>
    <w:rsid w:val="00660348"/>
    <w:rsid w:val="006610F1"/>
    <w:rsid w:val="00661C6B"/>
    <w:rsid w:val="00661FE4"/>
    <w:rsid w:val="00662076"/>
    <w:rsid w:val="00663762"/>
    <w:rsid w:val="0066447A"/>
    <w:rsid w:val="00664CB5"/>
    <w:rsid w:val="0066571E"/>
    <w:rsid w:val="0066619D"/>
    <w:rsid w:val="00666A0E"/>
    <w:rsid w:val="00666A5F"/>
    <w:rsid w:val="00666DD4"/>
    <w:rsid w:val="006678A9"/>
    <w:rsid w:val="0067049C"/>
    <w:rsid w:val="00670AB9"/>
    <w:rsid w:val="00670BC8"/>
    <w:rsid w:val="00671004"/>
    <w:rsid w:val="00671094"/>
    <w:rsid w:val="00672646"/>
    <w:rsid w:val="00672FEA"/>
    <w:rsid w:val="00674E42"/>
    <w:rsid w:val="0067535C"/>
    <w:rsid w:val="0067638A"/>
    <w:rsid w:val="0067649D"/>
    <w:rsid w:val="006773BF"/>
    <w:rsid w:val="00677B8A"/>
    <w:rsid w:val="00677F5F"/>
    <w:rsid w:val="006813F8"/>
    <w:rsid w:val="00681526"/>
    <w:rsid w:val="00681CAF"/>
    <w:rsid w:val="00682112"/>
    <w:rsid w:val="00682BA6"/>
    <w:rsid w:val="00683B47"/>
    <w:rsid w:val="00684735"/>
    <w:rsid w:val="00686957"/>
    <w:rsid w:val="006872BA"/>
    <w:rsid w:val="00690335"/>
    <w:rsid w:val="00690795"/>
    <w:rsid w:val="00691648"/>
    <w:rsid w:val="006917D7"/>
    <w:rsid w:val="006938CD"/>
    <w:rsid w:val="00693A45"/>
    <w:rsid w:val="0069434C"/>
    <w:rsid w:val="00694F44"/>
    <w:rsid w:val="0069692A"/>
    <w:rsid w:val="00696F51"/>
    <w:rsid w:val="006979A5"/>
    <w:rsid w:val="006A2FE7"/>
    <w:rsid w:val="006A4336"/>
    <w:rsid w:val="006A625F"/>
    <w:rsid w:val="006A6872"/>
    <w:rsid w:val="006A6B99"/>
    <w:rsid w:val="006A6BB0"/>
    <w:rsid w:val="006A6E44"/>
    <w:rsid w:val="006A6FD5"/>
    <w:rsid w:val="006A7E5F"/>
    <w:rsid w:val="006B261B"/>
    <w:rsid w:val="006B2839"/>
    <w:rsid w:val="006B2C90"/>
    <w:rsid w:val="006B35E6"/>
    <w:rsid w:val="006B465A"/>
    <w:rsid w:val="006B6DD0"/>
    <w:rsid w:val="006C01BF"/>
    <w:rsid w:val="006C0399"/>
    <w:rsid w:val="006C1100"/>
    <w:rsid w:val="006C170D"/>
    <w:rsid w:val="006C1952"/>
    <w:rsid w:val="006C2A8E"/>
    <w:rsid w:val="006C3255"/>
    <w:rsid w:val="006C3F26"/>
    <w:rsid w:val="006C7B15"/>
    <w:rsid w:val="006D028B"/>
    <w:rsid w:val="006D0D17"/>
    <w:rsid w:val="006D166A"/>
    <w:rsid w:val="006D237B"/>
    <w:rsid w:val="006D3C7D"/>
    <w:rsid w:val="006D4659"/>
    <w:rsid w:val="006D4772"/>
    <w:rsid w:val="006D5D5F"/>
    <w:rsid w:val="006D68FB"/>
    <w:rsid w:val="006D6DFE"/>
    <w:rsid w:val="006D79CF"/>
    <w:rsid w:val="006E2234"/>
    <w:rsid w:val="006E2868"/>
    <w:rsid w:val="006E29D7"/>
    <w:rsid w:val="006E2B9D"/>
    <w:rsid w:val="006E3FCC"/>
    <w:rsid w:val="006E4062"/>
    <w:rsid w:val="006E58E5"/>
    <w:rsid w:val="006E58F5"/>
    <w:rsid w:val="006E5C1C"/>
    <w:rsid w:val="006E5E61"/>
    <w:rsid w:val="006E7BA2"/>
    <w:rsid w:val="006F06A6"/>
    <w:rsid w:val="006F08FE"/>
    <w:rsid w:val="006F120D"/>
    <w:rsid w:val="006F15CF"/>
    <w:rsid w:val="006F1A53"/>
    <w:rsid w:val="006F1A62"/>
    <w:rsid w:val="006F215E"/>
    <w:rsid w:val="006F22EC"/>
    <w:rsid w:val="006F2F72"/>
    <w:rsid w:val="006F306C"/>
    <w:rsid w:val="006F3A16"/>
    <w:rsid w:val="006F3D10"/>
    <w:rsid w:val="006F4EB1"/>
    <w:rsid w:val="006F5C02"/>
    <w:rsid w:val="006F63A5"/>
    <w:rsid w:val="006F7431"/>
    <w:rsid w:val="0070142B"/>
    <w:rsid w:val="0070276E"/>
    <w:rsid w:val="00702F8F"/>
    <w:rsid w:val="00703425"/>
    <w:rsid w:val="0070479A"/>
    <w:rsid w:val="00704A43"/>
    <w:rsid w:val="00704DDC"/>
    <w:rsid w:val="007072C9"/>
    <w:rsid w:val="00707408"/>
    <w:rsid w:val="007079FC"/>
    <w:rsid w:val="007101B8"/>
    <w:rsid w:val="007101C4"/>
    <w:rsid w:val="00711A36"/>
    <w:rsid w:val="00711F5D"/>
    <w:rsid w:val="007148CE"/>
    <w:rsid w:val="00714A84"/>
    <w:rsid w:val="00714C26"/>
    <w:rsid w:val="0071529C"/>
    <w:rsid w:val="007152BB"/>
    <w:rsid w:val="00716007"/>
    <w:rsid w:val="007168BE"/>
    <w:rsid w:val="00716C1A"/>
    <w:rsid w:val="007170DA"/>
    <w:rsid w:val="007172AD"/>
    <w:rsid w:val="0071751B"/>
    <w:rsid w:val="007200F7"/>
    <w:rsid w:val="007206B9"/>
    <w:rsid w:val="00720801"/>
    <w:rsid w:val="00720879"/>
    <w:rsid w:val="00721959"/>
    <w:rsid w:val="007221E0"/>
    <w:rsid w:val="00722747"/>
    <w:rsid w:val="00722B1B"/>
    <w:rsid w:val="00723ACD"/>
    <w:rsid w:val="0072416F"/>
    <w:rsid w:val="007248DA"/>
    <w:rsid w:val="00725664"/>
    <w:rsid w:val="00727018"/>
    <w:rsid w:val="0072710E"/>
    <w:rsid w:val="00727C94"/>
    <w:rsid w:val="007311BF"/>
    <w:rsid w:val="00731A20"/>
    <w:rsid w:val="00731B0A"/>
    <w:rsid w:val="00731EAE"/>
    <w:rsid w:val="00732135"/>
    <w:rsid w:val="00733073"/>
    <w:rsid w:val="007348F8"/>
    <w:rsid w:val="00735033"/>
    <w:rsid w:val="00735328"/>
    <w:rsid w:val="0073685B"/>
    <w:rsid w:val="007368F7"/>
    <w:rsid w:val="007377BE"/>
    <w:rsid w:val="00737E06"/>
    <w:rsid w:val="007424D5"/>
    <w:rsid w:val="007449BF"/>
    <w:rsid w:val="00746875"/>
    <w:rsid w:val="00746BC0"/>
    <w:rsid w:val="007505D5"/>
    <w:rsid w:val="007510B4"/>
    <w:rsid w:val="007520AA"/>
    <w:rsid w:val="00752142"/>
    <w:rsid w:val="007523F9"/>
    <w:rsid w:val="0075274D"/>
    <w:rsid w:val="0075357E"/>
    <w:rsid w:val="007549CA"/>
    <w:rsid w:val="007573E8"/>
    <w:rsid w:val="007576F2"/>
    <w:rsid w:val="007579B5"/>
    <w:rsid w:val="007605CE"/>
    <w:rsid w:val="0076093B"/>
    <w:rsid w:val="00760C4E"/>
    <w:rsid w:val="00760F9E"/>
    <w:rsid w:val="007612ED"/>
    <w:rsid w:val="007627BE"/>
    <w:rsid w:val="00763903"/>
    <w:rsid w:val="00763AAA"/>
    <w:rsid w:val="007641E8"/>
    <w:rsid w:val="007645B2"/>
    <w:rsid w:val="00764AA1"/>
    <w:rsid w:val="00764F03"/>
    <w:rsid w:val="00765784"/>
    <w:rsid w:val="00765B1A"/>
    <w:rsid w:val="00765DBB"/>
    <w:rsid w:val="007663B2"/>
    <w:rsid w:val="00766A04"/>
    <w:rsid w:val="00771339"/>
    <w:rsid w:val="00771CBA"/>
    <w:rsid w:val="00771EA3"/>
    <w:rsid w:val="0077218A"/>
    <w:rsid w:val="00772CE1"/>
    <w:rsid w:val="00773241"/>
    <w:rsid w:val="007750CE"/>
    <w:rsid w:val="0077528B"/>
    <w:rsid w:val="007758C1"/>
    <w:rsid w:val="007760C9"/>
    <w:rsid w:val="00776326"/>
    <w:rsid w:val="00776CED"/>
    <w:rsid w:val="00777335"/>
    <w:rsid w:val="00777C58"/>
    <w:rsid w:val="007822FD"/>
    <w:rsid w:val="00782BA7"/>
    <w:rsid w:val="00782C2D"/>
    <w:rsid w:val="00782FA9"/>
    <w:rsid w:val="00783DF9"/>
    <w:rsid w:val="007843F2"/>
    <w:rsid w:val="00784DD6"/>
    <w:rsid w:val="00785A9F"/>
    <w:rsid w:val="00785CD1"/>
    <w:rsid w:val="00786C38"/>
    <w:rsid w:val="00786CEE"/>
    <w:rsid w:val="0078717E"/>
    <w:rsid w:val="007878B6"/>
    <w:rsid w:val="00790BFD"/>
    <w:rsid w:val="00790C9F"/>
    <w:rsid w:val="007925DF"/>
    <w:rsid w:val="00792D87"/>
    <w:rsid w:val="00796943"/>
    <w:rsid w:val="00797488"/>
    <w:rsid w:val="007A049F"/>
    <w:rsid w:val="007A08AA"/>
    <w:rsid w:val="007A0A12"/>
    <w:rsid w:val="007A0C3E"/>
    <w:rsid w:val="007A132D"/>
    <w:rsid w:val="007A1345"/>
    <w:rsid w:val="007A2DDB"/>
    <w:rsid w:val="007A33FB"/>
    <w:rsid w:val="007A387D"/>
    <w:rsid w:val="007A3F82"/>
    <w:rsid w:val="007A5708"/>
    <w:rsid w:val="007A70BA"/>
    <w:rsid w:val="007B0034"/>
    <w:rsid w:val="007B0814"/>
    <w:rsid w:val="007B0D68"/>
    <w:rsid w:val="007B0E24"/>
    <w:rsid w:val="007B251D"/>
    <w:rsid w:val="007B3914"/>
    <w:rsid w:val="007B4F58"/>
    <w:rsid w:val="007B528D"/>
    <w:rsid w:val="007B592E"/>
    <w:rsid w:val="007B5A5C"/>
    <w:rsid w:val="007B63CA"/>
    <w:rsid w:val="007B6BE0"/>
    <w:rsid w:val="007B77D1"/>
    <w:rsid w:val="007C07C7"/>
    <w:rsid w:val="007C0A39"/>
    <w:rsid w:val="007C1096"/>
    <w:rsid w:val="007C1CD9"/>
    <w:rsid w:val="007C32EF"/>
    <w:rsid w:val="007C361D"/>
    <w:rsid w:val="007C36B7"/>
    <w:rsid w:val="007C3717"/>
    <w:rsid w:val="007C4343"/>
    <w:rsid w:val="007C43AD"/>
    <w:rsid w:val="007C4647"/>
    <w:rsid w:val="007C4B84"/>
    <w:rsid w:val="007C5286"/>
    <w:rsid w:val="007C5599"/>
    <w:rsid w:val="007C56AF"/>
    <w:rsid w:val="007C5D14"/>
    <w:rsid w:val="007C70FF"/>
    <w:rsid w:val="007C7C25"/>
    <w:rsid w:val="007D004F"/>
    <w:rsid w:val="007D09B3"/>
    <w:rsid w:val="007D0B38"/>
    <w:rsid w:val="007D0FCA"/>
    <w:rsid w:val="007D1465"/>
    <w:rsid w:val="007D2A3B"/>
    <w:rsid w:val="007D2A50"/>
    <w:rsid w:val="007D4150"/>
    <w:rsid w:val="007D5440"/>
    <w:rsid w:val="007D5E48"/>
    <w:rsid w:val="007D698C"/>
    <w:rsid w:val="007D69EB"/>
    <w:rsid w:val="007D6FAC"/>
    <w:rsid w:val="007E00A8"/>
    <w:rsid w:val="007E128F"/>
    <w:rsid w:val="007E1359"/>
    <w:rsid w:val="007E1E3B"/>
    <w:rsid w:val="007E3317"/>
    <w:rsid w:val="007F0426"/>
    <w:rsid w:val="007F0785"/>
    <w:rsid w:val="007F0B0E"/>
    <w:rsid w:val="007F1017"/>
    <w:rsid w:val="007F133B"/>
    <w:rsid w:val="007F20CA"/>
    <w:rsid w:val="007F2E1D"/>
    <w:rsid w:val="007F38FB"/>
    <w:rsid w:val="007F4A3F"/>
    <w:rsid w:val="007F4A61"/>
    <w:rsid w:val="007F4BAA"/>
    <w:rsid w:val="007F4CD9"/>
    <w:rsid w:val="007F5255"/>
    <w:rsid w:val="007F56CC"/>
    <w:rsid w:val="007F61C2"/>
    <w:rsid w:val="007F68BB"/>
    <w:rsid w:val="007F7866"/>
    <w:rsid w:val="00801798"/>
    <w:rsid w:val="008017DF"/>
    <w:rsid w:val="008033B3"/>
    <w:rsid w:val="00804E9B"/>
    <w:rsid w:val="00805142"/>
    <w:rsid w:val="00805660"/>
    <w:rsid w:val="00805FCE"/>
    <w:rsid w:val="00806892"/>
    <w:rsid w:val="00806D98"/>
    <w:rsid w:val="00807A8B"/>
    <w:rsid w:val="0081015A"/>
    <w:rsid w:val="00811383"/>
    <w:rsid w:val="00812149"/>
    <w:rsid w:val="00812AC9"/>
    <w:rsid w:val="00812CAC"/>
    <w:rsid w:val="00812F2E"/>
    <w:rsid w:val="0081321B"/>
    <w:rsid w:val="00813621"/>
    <w:rsid w:val="008140FE"/>
    <w:rsid w:val="008141E1"/>
    <w:rsid w:val="008154B6"/>
    <w:rsid w:val="00816361"/>
    <w:rsid w:val="0081643D"/>
    <w:rsid w:val="008166EF"/>
    <w:rsid w:val="0081679F"/>
    <w:rsid w:val="00816FEF"/>
    <w:rsid w:val="008205FE"/>
    <w:rsid w:val="00820712"/>
    <w:rsid w:val="00820A8C"/>
    <w:rsid w:val="00820E22"/>
    <w:rsid w:val="008215AC"/>
    <w:rsid w:val="008215FB"/>
    <w:rsid w:val="008220E5"/>
    <w:rsid w:val="00822B6D"/>
    <w:rsid w:val="00823174"/>
    <w:rsid w:val="008236B4"/>
    <w:rsid w:val="00825751"/>
    <w:rsid w:val="008264EB"/>
    <w:rsid w:val="00826562"/>
    <w:rsid w:val="008277DB"/>
    <w:rsid w:val="00830598"/>
    <w:rsid w:val="00830A91"/>
    <w:rsid w:val="008322E2"/>
    <w:rsid w:val="008328FC"/>
    <w:rsid w:val="008331AB"/>
    <w:rsid w:val="008339D5"/>
    <w:rsid w:val="00833B05"/>
    <w:rsid w:val="00834241"/>
    <w:rsid w:val="00835291"/>
    <w:rsid w:val="00835D63"/>
    <w:rsid w:val="008362B4"/>
    <w:rsid w:val="008378DD"/>
    <w:rsid w:val="00840498"/>
    <w:rsid w:val="00840816"/>
    <w:rsid w:val="0084097D"/>
    <w:rsid w:val="00840CA2"/>
    <w:rsid w:val="0084262E"/>
    <w:rsid w:val="00842F33"/>
    <w:rsid w:val="0084374F"/>
    <w:rsid w:val="00844A22"/>
    <w:rsid w:val="00844F18"/>
    <w:rsid w:val="00845157"/>
    <w:rsid w:val="008458ED"/>
    <w:rsid w:val="00847703"/>
    <w:rsid w:val="00847970"/>
    <w:rsid w:val="00847DF5"/>
    <w:rsid w:val="00850A15"/>
    <w:rsid w:val="00851A4F"/>
    <w:rsid w:val="0085309D"/>
    <w:rsid w:val="008546BA"/>
    <w:rsid w:val="00855C89"/>
    <w:rsid w:val="00856897"/>
    <w:rsid w:val="00856E9A"/>
    <w:rsid w:val="008577A7"/>
    <w:rsid w:val="008579A1"/>
    <w:rsid w:val="00857A16"/>
    <w:rsid w:val="0086075D"/>
    <w:rsid w:val="008612A3"/>
    <w:rsid w:val="0086161B"/>
    <w:rsid w:val="00862502"/>
    <w:rsid w:val="00862CC1"/>
    <w:rsid w:val="00864DB9"/>
    <w:rsid w:val="0086503A"/>
    <w:rsid w:val="008660D4"/>
    <w:rsid w:val="00866B07"/>
    <w:rsid w:val="00867734"/>
    <w:rsid w:val="00867819"/>
    <w:rsid w:val="00867907"/>
    <w:rsid w:val="008705BC"/>
    <w:rsid w:val="008708AF"/>
    <w:rsid w:val="00871084"/>
    <w:rsid w:val="00871B54"/>
    <w:rsid w:val="00871FA9"/>
    <w:rsid w:val="008728E9"/>
    <w:rsid w:val="00873640"/>
    <w:rsid w:val="0087398A"/>
    <w:rsid w:val="008758FF"/>
    <w:rsid w:val="00875C34"/>
    <w:rsid w:val="00876052"/>
    <w:rsid w:val="008769B1"/>
    <w:rsid w:val="00876EB9"/>
    <w:rsid w:val="008773E4"/>
    <w:rsid w:val="00880C22"/>
    <w:rsid w:val="00880F90"/>
    <w:rsid w:val="00882874"/>
    <w:rsid w:val="00882E3C"/>
    <w:rsid w:val="00883787"/>
    <w:rsid w:val="00883B6F"/>
    <w:rsid w:val="008855E4"/>
    <w:rsid w:val="0088685D"/>
    <w:rsid w:val="00886CD2"/>
    <w:rsid w:val="008872E2"/>
    <w:rsid w:val="0088752C"/>
    <w:rsid w:val="00887875"/>
    <w:rsid w:val="00887C04"/>
    <w:rsid w:val="0089073B"/>
    <w:rsid w:val="00891E6F"/>
    <w:rsid w:val="0089275D"/>
    <w:rsid w:val="00892A36"/>
    <w:rsid w:val="00892D32"/>
    <w:rsid w:val="00893239"/>
    <w:rsid w:val="00894489"/>
    <w:rsid w:val="00894F91"/>
    <w:rsid w:val="008963A5"/>
    <w:rsid w:val="00896B49"/>
    <w:rsid w:val="00896D5D"/>
    <w:rsid w:val="008979C1"/>
    <w:rsid w:val="008A1A69"/>
    <w:rsid w:val="008A2A94"/>
    <w:rsid w:val="008A32A6"/>
    <w:rsid w:val="008A3363"/>
    <w:rsid w:val="008A3371"/>
    <w:rsid w:val="008A38AB"/>
    <w:rsid w:val="008A3C3E"/>
    <w:rsid w:val="008A4245"/>
    <w:rsid w:val="008A4A68"/>
    <w:rsid w:val="008A79DE"/>
    <w:rsid w:val="008B08C8"/>
    <w:rsid w:val="008B1588"/>
    <w:rsid w:val="008B1757"/>
    <w:rsid w:val="008B2016"/>
    <w:rsid w:val="008B2232"/>
    <w:rsid w:val="008B2CAC"/>
    <w:rsid w:val="008B33D2"/>
    <w:rsid w:val="008B42C4"/>
    <w:rsid w:val="008B4D59"/>
    <w:rsid w:val="008B6494"/>
    <w:rsid w:val="008B7992"/>
    <w:rsid w:val="008B7D7E"/>
    <w:rsid w:val="008C1A79"/>
    <w:rsid w:val="008C30C9"/>
    <w:rsid w:val="008C3C48"/>
    <w:rsid w:val="008C5610"/>
    <w:rsid w:val="008C5739"/>
    <w:rsid w:val="008C7BC6"/>
    <w:rsid w:val="008C7ECB"/>
    <w:rsid w:val="008D0E08"/>
    <w:rsid w:val="008D2014"/>
    <w:rsid w:val="008D3398"/>
    <w:rsid w:val="008D3B86"/>
    <w:rsid w:val="008D4755"/>
    <w:rsid w:val="008D48A6"/>
    <w:rsid w:val="008D4BF4"/>
    <w:rsid w:val="008D4C3D"/>
    <w:rsid w:val="008D500D"/>
    <w:rsid w:val="008D50DA"/>
    <w:rsid w:val="008D52B0"/>
    <w:rsid w:val="008D67B1"/>
    <w:rsid w:val="008D6BCE"/>
    <w:rsid w:val="008D743C"/>
    <w:rsid w:val="008E0D3C"/>
    <w:rsid w:val="008E0E9B"/>
    <w:rsid w:val="008E10A9"/>
    <w:rsid w:val="008E1B9E"/>
    <w:rsid w:val="008E1DD2"/>
    <w:rsid w:val="008E2824"/>
    <w:rsid w:val="008E2904"/>
    <w:rsid w:val="008E3622"/>
    <w:rsid w:val="008E36D0"/>
    <w:rsid w:val="008E3954"/>
    <w:rsid w:val="008E48FB"/>
    <w:rsid w:val="008E55AB"/>
    <w:rsid w:val="008E70B6"/>
    <w:rsid w:val="008E7BCE"/>
    <w:rsid w:val="008F03F0"/>
    <w:rsid w:val="008F0DAA"/>
    <w:rsid w:val="008F120A"/>
    <w:rsid w:val="008F1607"/>
    <w:rsid w:val="008F27E0"/>
    <w:rsid w:val="008F3BB7"/>
    <w:rsid w:val="008F3E80"/>
    <w:rsid w:val="008F48EB"/>
    <w:rsid w:val="008F4F0B"/>
    <w:rsid w:val="008F5836"/>
    <w:rsid w:val="008F7AB5"/>
    <w:rsid w:val="008F7E60"/>
    <w:rsid w:val="0090187B"/>
    <w:rsid w:val="009019D0"/>
    <w:rsid w:val="009046C4"/>
    <w:rsid w:val="00905183"/>
    <w:rsid w:val="009062A5"/>
    <w:rsid w:val="009067D8"/>
    <w:rsid w:val="00906A6A"/>
    <w:rsid w:val="0090768A"/>
    <w:rsid w:val="009107CF"/>
    <w:rsid w:val="00910F76"/>
    <w:rsid w:val="00910FA7"/>
    <w:rsid w:val="00911272"/>
    <w:rsid w:val="00911870"/>
    <w:rsid w:val="00912AF3"/>
    <w:rsid w:val="009135D6"/>
    <w:rsid w:val="00913B1A"/>
    <w:rsid w:val="0091414A"/>
    <w:rsid w:val="00914863"/>
    <w:rsid w:val="00914C77"/>
    <w:rsid w:val="0091724E"/>
    <w:rsid w:val="00917E6C"/>
    <w:rsid w:val="00920D94"/>
    <w:rsid w:val="00921589"/>
    <w:rsid w:val="00921ACB"/>
    <w:rsid w:val="0092369B"/>
    <w:rsid w:val="00923E31"/>
    <w:rsid w:val="00925B2B"/>
    <w:rsid w:val="00926C8F"/>
    <w:rsid w:val="009271AD"/>
    <w:rsid w:val="009271C6"/>
    <w:rsid w:val="0092771E"/>
    <w:rsid w:val="00931571"/>
    <w:rsid w:val="00932D84"/>
    <w:rsid w:val="009347F4"/>
    <w:rsid w:val="00934988"/>
    <w:rsid w:val="00936226"/>
    <w:rsid w:val="00936F96"/>
    <w:rsid w:val="00937089"/>
    <w:rsid w:val="00937F66"/>
    <w:rsid w:val="00940348"/>
    <w:rsid w:val="00940E70"/>
    <w:rsid w:val="009410D5"/>
    <w:rsid w:val="00942FCF"/>
    <w:rsid w:val="00943A70"/>
    <w:rsid w:val="00943C3D"/>
    <w:rsid w:val="00944F8A"/>
    <w:rsid w:val="00947805"/>
    <w:rsid w:val="0095004B"/>
    <w:rsid w:val="009510A2"/>
    <w:rsid w:val="00951E56"/>
    <w:rsid w:val="00953257"/>
    <w:rsid w:val="0095474C"/>
    <w:rsid w:val="009555E0"/>
    <w:rsid w:val="009556A8"/>
    <w:rsid w:val="00955D56"/>
    <w:rsid w:val="00955EDB"/>
    <w:rsid w:val="00960D56"/>
    <w:rsid w:val="00962160"/>
    <w:rsid w:val="00962CB9"/>
    <w:rsid w:val="00962DD8"/>
    <w:rsid w:val="00964312"/>
    <w:rsid w:val="00964BD7"/>
    <w:rsid w:val="009650F0"/>
    <w:rsid w:val="00965B8A"/>
    <w:rsid w:val="009671A9"/>
    <w:rsid w:val="00967971"/>
    <w:rsid w:val="00967EE3"/>
    <w:rsid w:val="0097071F"/>
    <w:rsid w:val="0097119E"/>
    <w:rsid w:val="009717AC"/>
    <w:rsid w:val="009719A1"/>
    <w:rsid w:val="00972544"/>
    <w:rsid w:val="009748F3"/>
    <w:rsid w:val="009751C1"/>
    <w:rsid w:val="009752AB"/>
    <w:rsid w:val="00975391"/>
    <w:rsid w:val="009765AD"/>
    <w:rsid w:val="009811F1"/>
    <w:rsid w:val="00981F02"/>
    <w:rsid w:val="00982355"/>
    <w:rsid w:val="00982405"/>
    <w:rsid w:val="009839EC"/>
    <w:rsid w:val="00983E57"/>
    <w:rsid w:val="009853E7"/>
    <w:rsid w:val="00985DE2"/>
    <w:rsid w:val="0098675D"/>
    <w:rsid w:val="00986F97"/>
    <w:rsid w:val="00987C34"/>
    <w:rsid w:val="009911DE"/>
    <w:rsid w:val="00991552"/>
    <w:rsid w:val="0099215B"/>
    <w:rsid w:val="009926E0"/>
    <w:rsid w:val="009926F1"/>
    <w:rsid w:val="00992845"/>
    <w:rsid w:val="009931AF"/>
    <w:rsid w:val="00993E0B"/>
    <w:rsid w:val="0099451E"/>
    <w:rsid w:val="00994587"/>
    <w:rsid w:val="00996B1A"/>
    <w:rsid w:val="009974FF"/>
    <w:rsid w:val="00997DB7"/>
    <w:rsid w:val="009A249A"/>
    <w:rsid w:val="009A2DCC"/>
    <w:rsid w:val="009A3917"/>
    <w:rsid w:val="009A4890"/>
    <w:rsid w:val="009A4D08"/>
    <w:rsid w:val="009A5ABC"/>
    <w:rsid w:val="009A7F10"/>
    <w:rsid w:val="009B3C14"/>
    <w:rsid w:val="009B3E26"/>
    <w:rsid w:val="009B40A8"/>
    <w:rsid w:val="009B502E"/>
    <w:rsid w:val="009B580B"/>
    <w:rsid w:val="009B7921"/>
    <w:rsid w:val="009C334A"/>
    <w:rsid w:val="009C3706"/>
    <w:rsid w:val="009C37A8"/>
    <w:rsid w:val="009C3A3A"/>
    <w:rsid w:val="009C513D"/>
    <w:rsid w:val="009C6CEA"/>
    <w:rsid w:val="009C7B85"/>
    <w:rsid w:val="009D0254"/>
    <w:rsid w:val="009D0293"/>
    <w:rsid w:val="009D130A"/>
    <w:rsid w:val="009D1A64"/>
    <w:rsid w:val="009D3C7E"/>
    <w:rsid w:val="009D5B91"/>
    <w:rsid w:val="009D5E7C"/>
    <w:rsid w:val="009D6B95"/>
    <w:rsid w:val="009D6BF2"/>
    <w:rsid w:val="009D6F6F"/>
    <w:rsid w:val="009D792E"/>
    <w:rsid w:val="009E0DFE"/>
    <w:rsid w:val="009E31F6"/>
    <w:rsid w:val="009E335B"/>
    <w:rsid w:val="009E4C07"/>
    <w:rsid w:val="009E61C7"/>
    <w:rsid w:val="009E66D3"/>
    <w:rsid w:val="009F0480"/>
    <w:rsid w:val="009F17B5"/>
    <w:rsid w:val="009F292E"/>
    <w:rsid w:val="009F2E02"/>
    <w:rsid w:val="009F38F4"/>
    <w:rsid w:val="009F4091"/>
    <w:rsid w:val="009F5782"/>
    <w:rsid w:val="009F7A81"/>
    <w:rsid w:val="00A01184"/>
    <w:rsid w:val="00A01C84"/>
    <w:rsid w:val="00A037C2"/>
    <w:rsid w:val="00A03B55"/>
    <w:rsid w:val="00A03D43"/>
    <w:rsid w:val="00A03EE0"/>
    <w:rsid w:val="00A04380"/>
    <w:rsid w:val="00A047DC"/>
    <w:rsid w:val="00A04884"/>
    <w:rsid w:val="00A048E9"/>
    <w:rsid w:val="00A05402"/>
    <w:rsid w:val="00A05472"/>
    <w:rsid w:val="00A05620"/>
    <w:rsid w:val="00A05C32"/>
    <w:rsid w:val="00A0653F"/>
    <w:rsid w:val="00A065CB"/>
    <w:rsid w:val="00A118D2"/>
    <w:rsid w:val="00A11CD0"/>
    <w:rsid w:val="00A12CE3"/>
    <w:rsid w:val="00A13948"/>
    <w:rsid w:val="00A14186"/>
    <w:rsid w:val="00A145D8"/>
    <w:rsid w:val="00A148EF"/>
    <w:rsid w:val="00A1555B"/>
    <w:rsid w:val="00A155C5"/>
    <w:rsid w:val="00A16AD8"/>
    <w:rsid w:val="00A16FB3"/>
    <w:rsid w:val="00A20E6C"/>
    <w:rsid w:val="00A210EB"/>
    <w:rsid w:val="00A213E2"/>
    <w:rsid w:val="00A217C8"/>
    <w:rsid w:val="00A21C95"/>
    <w:rsid w:val="00A21CF3"/>
    <w:rsid w:val="00A221CE"/>
    <w:rsid w:val="00A22655"/>
    <w:rsid w:val="00A23B9D"/>
    <w:rsid w:val="00A24680"/>
    <w:rsid w:val="00A24813"/>
    <w:rsid w:val="00A25B9C"/>
    <w:rsid w:val="00A26E7A"/>
    <w:rsid w:val="00A271CB"/>
    <w:rsid w:val="00A27AEC"/>
    <w:rsid w:val="00A27CEA"/>
    <w:rsid w:val="00A3006F"/>
    <w:rsid w:val="00A30141"/>
    <w:rsid w:val="00A31FD8"/>
    <w:rsid w:val="00A320DB"/>
    <w:rsid w:val="00A334AB"/>
    <w:rsid w:val="00A345EC"/>
    <w:rsid w:val="00A355E8"/>
    <w:rsid w:val="00A35D16"/>
    <w:rsid w:val="00A35F88"/>
    <w:rsid w:val="00A37BCD"/>
    <w:rsid w:val="00A41689"/>
    <w:rsid w:val="00A416B8"/>
    <w:rsid w:val="00A42592"/>
    <w:rsid w:val="00A42C36"/>
    <w:rsid w:val="00A42EC4"/>
    <w:rsid w:val="00A43C59"/>
    <w:rsid w:val="00A475B1"/>
    <w:rsid w:val="00A475C2"/>
    <w:rsid w:val="00A4792E"/>
    <w:rsid w:val="00A47C2D"/>
    <w:rsid w:val="00A50ECD"/>
    <w:rsid w:val="00A518F3"/>
    <w:rsid w:val="00A51EFD"/>
    <w:rsid w:val="00A52729"/>
    <w:rsid w:val="00A52F97"/>
    <w:rsid w:val="00A53675"/>
    <w:rsid w:val="00A55B96"/>
    <w:rsid w:val="00A55F2B"/>
    <w:rsid w:val="00A564D7"/>
    <w:rsid w:val="00A56B6A"/>
    <w:rsid w:val="00A578DC"/>
    <w:rsid w:val="00A61F83"/>
    <w:rsid w:val="00A640E2"/>
    <w:rsid w:val="00A6424F"/>
    <w:rsid w:val="00A643C7"/>
    <w:rsid w:val="00A649DF"/>
    <w:rsid w:val="00A64D65"/>
    <w:rsid w:val="00A6659F"/>
    <w:rsid w:val="00A6725B"/>
    <w:rsid w:val="00A67E1F"/>
    <w:rsid w:val="00A70605"/>
    <w:rsid w:val="00A72533"/>
    <w:rsid w:val="00A72B2F"/>
    <w:rsid w:val="00A73134"/>
    <w:rsid w:val="00A74E0B"/>
    <w:rsid w:val="00A75015"/>
    <w:rsid w:val="00A754ED"/>
    <w:rsid w:val="00A76001"/>
    <w:rsid w:val="00A766B4"/>
    <w:rsid w:val="00A76778"/>
    <w:rsid w:val="00A77170"/>
    <w:rsid w:val="00A777B2"/>
    <w:rsid w:val="00A77AA8"/>
    <w:rsid w:val="00A81EF2"/>
    <w:rsid w:val="00A8249C"/>
    <w:rsid w:val="00A825D4"/>
    <w:rsid w:val="00A828F6"/>
    <w:rsid w:val="00A82B73"/>
    <w:rsid w:val="00A83899"/>
    <w:rsid w:val="00A85D32"/>
    <w:rsid w:val="00A86E8B"/>
    <w:rsid w:val="00A87164"/>
    <w:rsid w:val="00A917D0"/>
    <w:rsid w:val="00A91E00"/>
    <w:rsid w:val="00A924FB"/>
    <w:rsid w:val="00A92BD7"/>
    <w:rsid w:val="00A93072"/>
    <w:rsid w:val="00A938BD"/>
    <w:rsid w:val="00A93953"/>
    <w:rsid w:val="00A95274"/>
    <w:rsid w:val="00A953FF"/>
    <w:rsid w:val="00A959D8"/>
    <w:rsid w:val="00A95E76"/>
    <w:rsid w:val="00AA07C4"/>
    <w:rsid w:val="00AA113D"/>
    <w:rsid w:val="00AA3662"/>
    <w:rsid w:val="00AA3F0C"/>
    <w:rsid w:val="00AA4323"/>
    <w:rsid w:val="00AA5058"/>
    <w:rsid w:val="00AA5175"/>
    <w:rsid w:val="00AA5E20"/>
    <w:rsid w:val="00AA6BD5"/>
    <w:rsid w:val="00AA6BD8"/>
    <w:rsid w:val="00AA6C7D"/>
    <w:rsid w:val="00AA6DA4"/>
    <w:rsid w:val="00AA71DC"/>
    <w:rsid w:val="00AA73BF"/>
    <w:rsid w:val="00AA7CF6"/>
    <w:rsid w:val="00AA7FD6"/>
    <w:rsid w:val="00AB042A"/>
    <w:rsid w:val="00AB19EF"/>
    <w:rsid w:val="00AB239B"/>
    <w:rsid w:val="00AB25CF"/>
    <w:rsid w:val="00AB2D34"/>
    <w:rsid w:val="00AB3430"/>
    <w:rsid w:val="00AB35D0"/>
    <w:rsid w:val="00AB37B9"/>
    <w:rsid w:val="00AB3DDB"/>
    <w:rsid w:val="00AB48DE"/>
    <w:rsid w:val="00AB4AD1"/>
    <w:rsid w:val="00AB5E07"/>
    <w:rsid w:val="00AB6A42"/>
    <w:rsid w:val="00AB6B6C"/>
    <w:rsid w:val="00AB6D8B"/>
    <w:rsid w:val="00AB798E"/>
    <w:rsid w:val="00AB7CFA"/>
    <w:rsid w:val="00AC2FBA"/>
    <w:rsid w:val="00AC37CC"/>
    <w:rsid w:val="00AC3A41"/>
    <w:rsid w:val="00AC5B48"/>
    <w:rsid w:val="00AC600A"/>
    <w:rsid w:val="00AC6E73"/>
    <w:rsid w:val="00AC7329"/>
    <w:rsid w:val="00AD04B0"/>
    <w:rsid w:val="00AD0C2B"/>
    <w:rsid w:val="00AD1450"/>
    <w:rsid w:val="00AD6502"/>
    <w:rsid w:val="00AD6CDD"/>
    <w:rsid w:val="00AD6D36"/>
    <w:rsid w:val="00AD6E89"/>
    <w:rsid w:val="00AE0695"/>
    <w:rsid w:val="00AE2295"/>
    <w:rsid w:val="00AE3884"/>
    <w:rsid w:val="00AE3AC3"/>
    <w:rsid w:val="00AE3E7E"/>
    <w:rsid w:val="00AE5818"/>
    <w:rsid w:val="00AE65FE"/>
    <w:rsid w:val="00AF0B90"/>
    <w:rsid w:val="00AF1315"/>
    <w:rsid w:val="00AF19BF"/>
    <w:rsid w:val="00AF1B77"/>
    <w:rsid w:val="00AF2DC3"/>
    <w:rsid w:val="00AF39C0"/>
    <w:rsid w:val="00AF5819"/>
    <w:rsid w:val="00AF5D71"/>
    <w:rsid w:val="00AF7A5C"/>
    <w:rsid w:val="00AF7BB8"/>
    <w:rsid w:val="00B00DC0"/>
    <w:rsid w:val="00B01520"/>
    <w:rsid w:val="00B0273A"/>
    <w:rsid w:val="00B033E5"/>
    <w:rsid w:val="00B0393D"/>
    <w:rsid w:val="00B03A63"/>
    <w:rsid w:val="00B0475B"/>
    <w:rsid w:val="00B061E5"/>
    <w:rsid w:val="00B10BA9"/>
    <w:rsid w:val="00B10D98"/>
    <w:rsid w:val="00B11ADC"/>
    <w:rsid w:val="00B12B77"/>
    <w:rsid w:val="00B12EB8"/>
    <w:rsid w:val="00B12F48"/>
    <w:rsid w:val="00B13F33"/>
    <w:rsid w:val="00B14BAF"/>
    <w:rsid w:val="00B16CD7"/>
    <w:rsid w:val="00B171C5"/>
    <w:rsid w:val="00B201A4"/>
    <w:rsid w:val="00B201D1"/>
    <w:rsid w:val="00B213A6"/>
    <w:rsid w:val="00B22504"/>
    <w:rsid w:val="00B22E1A"/>
    <w:rsid w:val="00B235B0"/>
    <w:rsid w:val="00B23CF0"/>
    <w:rsid w:val="00B24DF6"/>
    <w:rsid w:val="00B267DD"/>
    <w:rsid w:val="00B26B71"/>
    <w:rsid w:val="00B3014B"/>
    <w:rsid w:val="00B30872"/>
    <w:rsid w:val="00B31452"/>
    <w:rsid w:val="00B3157D"/>
    <w:rsid w:val="00B319E8"/>
    <w:rsid w:val="00B32800"/>
    <w:rsid w:val="00B34E43"/>
    <w:rsid w:val="00B34FE2"/>
    <w:rsid w:val="00B35166"/>
    <w:rsid w:val="00B357D8"/>
    <w:rsid w:val="00B360F4"/>
    <w:rsid w:val="00B36A00"/>
    <w:rsid w:val="00B36B4E"/>
    <w:rsid w:val="00B37BFC"/>
    <w:rsid w:val="00B40358"/>
    <w:rsid w:val="00B41614"/>
    <w:rsid w:val="00B42851"/>
    <w:rsid w:val="00B42F80"/>
    <w:rsid w:val="00B435B6"/>
    <w:rsid w:val="00B435CB"/>
    <w:rsid w:val="00B45FD2"/>
    <w:rsid w:val="00B47711"/>
    <w:rsid w:val="00B4774B"/>
    <w:rsid w:val="00B479A8"/>
    <w:rsid w:val="00B505C8"/>
    <w:rsid w:val="00B50DB8"/>
    <w:rsid w:val="00B53191"/>
    <w:rsid w:val="00B53654"/>
    <w:rsid w:val="00B53905"/>
    <w:rsid w:val="00B53DF3"/>
    <w:rsid w:val="00B54B5B"/>
    <w:rsid w:val="00B5562E"/>
    <w:rsid w:val="00B55D65"/>
    <w:rsid w:val="00B57000"/>
    <w:rsid w:val="00B604D6"/>
    <w:rsid w:val="00B60939"/>
    <w:rsid w:val="00B60AFD"/>
    <w:rsid w:val="00B60BE4"/>
    <w:rsid w:val="00B60D57"/>
    <w:rsid w:val="00B6119F"/>
    <w:rsid w:val="00B62607"/>
    <w:rsid w:val="00B62715"/>
    <w:rsid w:val="00B6302B"/>
    <w:rsid w:val="00B63837"/>
    <w:rsid w:val="00B647DA"/>
    <w:rsid w:val="00B6492A"/>
    <w:rsid w:val="00B65611"/>
    <w:rsid w:val="00B65B86"/>
    <w:rsid w:val="00B6703C"/>
    <w:rsid w:val="00B67504"/>
    <w:rsid w:val="00B7033F"/>
    <w:rsid w:val="00B707D6"/>
    <w:rsid w:val="00B70E8E"/>
    <w:rsid w:val="00B7107F"/>
    <w:rsid w:val="00B71A25"/>
    <w:rsid w:val="00B71C77"/>
    <w:rsid w:val="00B722C2"/>
    <w:rsid w:val="00B731B8"/>
    <w:rsid w:val="00B76939"/>
    <w:rsid w:val="00B76C92"/>
    <w:rsid w:val="00B800F8"/>
    <w:rsid w:val="00B80EAC"/>
    <w:rsid w:val="00B818A4"/>
    <w:rsid w:val="00B828F7"/>
    <w:rsid w:val="00B835AF"/>
    <w:rsid w:val="00B83C3E"/>
    <w:rsid w:val="00B83DF3"/>
    <w:rsid w:val="00B84117"/>
    <w:rsid w:val="00B858F0"/>
    <w:rsid w:val="00B85AA2"/>
    <w:rsid w:val="00B85D5B"/>
    <w:rsid w:val="00B8649C"/>
    <w:rsid w:val="00B86899"/>
    <w:rsid w:val="00B8695D"/>
    <w:rsid w:val="00B87F0A"/>
    <w:rsid w:val="00B90EF3"/>
    <w:rsid w:val="00B91807"/>
    <w:rsid w:val="00B92748"/>
    <w:rsid w:val="00B92D0B"/>
    <w:rsid w:val="00B94371"/>
    <w:rsid w:val="00B94945"/>
    <w:rsid w:val="00B94DD6"/>
    <w:rsid w:val="00B95061"/>
    <w:rsid w:val="00B960EA"/>
    <w:rsid w:val="00B9698F"/>
    <w:rsid w:val="00B96A76"/>
    <w:rsid w:val="00B97149"/>
    <w:rsid w:val="00B97E60"/>
    <w:rsid w:val="00BA06B2"/>
    <w:rsid w:val="00BA07D6"/>
    <w:rsid w:val="00BA2D0C"/>
    <w:rsid w:val="00BA2DD3"/>
    <w:rsid w:val="00BA322D"/>
    <w:rsid w:val="00BA50C9"/>
    <w:rsid w:val="00BA5752"/>
    <w:rsid w:val="00BA63FA"/>
    <w:rsid w:val="00BA6FEB"/>
    <w:rsid w:val="00BB00B3"/>
    <w:rsid w:val="00BB0BDD"/>
    <w:rsid w:val="00BB10C3"/>
    <w:rsid w:val="00BB10C4"/>
    <w:rsid w:val="00BB176C"/>
    <w:rsid w:val="00BB20D6"/>
    <w:rsid w:val="00BB29D0"/>
    <w:rsid w:val="00BB2A73"/>
    <w:rsid w:val="00BB3A45"/>
    <w:rsid w:val="00BB3D9B"/>
    <w:rsid w:val="00BB47CD"/>
    <w:rsid w:val="00BB4ACC"/>
    <w:rsid w:val="00BB523B"/>
    <w:rsid w:val="00BB5767"/>
    <w:rsid w:val="00BB703E"/>
    <w:rsid w:val="00BB732D"/>
    <w:rsid w:val="00BB7405"/>
    <w:rsid w:val="00BC106A"/>
    <w:rsid w:val="00BC1766"/>
    <w:rsid w:val="00BC3631"/>
    <w:rsid w:val="00BC45EF"/>
    <w:rsid w:val="00BC5710"/>
    <w:rsid w:val="00BC591F"/>
    <w:rsid w:val="00BC60E4"/>
    <w:rsid w:val="00BC7D6D"/>
    <w:rsid w:val="00BD1098"/>
    <w:rsid w:val="00BD15FB"/>
    <w:rsid w:val="00BD1BA8"/>
    <w:rsid w:val="00BD1BAF"/>
    <w:rsid w:val="00BD2108"/>
    <w:rsid w:val="00BD4118"/>
    <w:rsid w:val="00BD4545"/>
    <w:rsid w:val="00BD62C2"/>
    <w:rsid w:val="00BD6470"/>
    <w:rsid w:val="00BD68A3"/>
    <w:rsid w:val="00BD6938"/>
    <w:rsid w:val="00BD6ABA"/>
    <w:rsid w:val="00BD6CF3"/>
    <w:rsid w:val="00BD75EA"/>
    <w:rsid w:val="00BD78F5"/>
    <w:rsid w:val="00BD7ED9"/>
    <w:rsid w:val="00BE08C1"/>
    <w:rsid w:val="00BE0ECA"/>
    <w:rsid w:val="00BE0F1D"/>
    <w:rsid w:val="00BE1867"/>
    <w:rsid w:val="00BE1E46"/>
    <w:rsid w:val="00BE2180"/>
    <w:rsid w:val="00BE21F2"/>
    <w:rsid w:val="00BE2ABE"/>
    <w:rsid w:val="00BE4275"/>
    <w:rsid w:val="00BE4EC7"/>
    <w:rsid w:val="00BE5258"/>
    <w:rsid w:val="00BE67CB"/>
    <w:rsid w:val="00BE6F1E"/>
    <w:rsid w:val="00BE7EA5"/>
    <w:rsid w:val="00BF06AE"/>
    <w:rsid w:val="00BF0F95"/>
    <w:rsid w:val="00BF1E60"/>
    <w:rsid w:val="00BF2149"/>
    <w:rsid w:val="00BF2433"/>
    <w:rsid w:val="00BF2478"/>
    <w:rsid w:val="00BF3E33"/>
    <w:rsid w:val="00BF57BE"/>
    <w:rsid w:val="00BF61C9"/>
    <w:rsid w:val="00BF6C94"/>
    <w:rsid w:val="00BF7001"/>
    <w:rsid w:val="00BF724A"/>
    <w:rsid w:val="00C001BE"/>
    <w:rsid w:val="00C00424"/>
    <w:rsid w:val="00C015A6"/>
    <w:rsid w:val="00C03D13"/>
    <w:rsid w:val="00C04610"/>
    <w:rsid w:val="00C05C5B"/>
    <w:rsid w:val="00C0733B"/>
    <w:rsid w:val="00C1179F"/>
    <w:rsid w:val="00C118C9"/>
    <w:rsid w:val="00C12A32"/>
    <w:rsid w:val="00C12B79"/>
    <w:rsid w:val="00C12C14"/>
    <w:rsid w:val="00C149D2"/>
    <w:rsid w:val="00C15A6E"/>
    <w:rsid w:val="00C15F04"/>
    <w:rsid w:val="00C16115"/>
    <w:rsid w:val="00C16AC1"/>
    <w:rsid w:val="00C179B3"/>
    <w:rsid w:val="00C17AB5"/>
    <w:rsid w:val="00C17E3F"/>
    <w:rsid w:val="00C200AA"/>
    <w:rsid w:val="00C2108A"/>
    <w:rsid w:val="00C237ED"/>
    <w:rsid w:val="00C24632"/>
    <w:rsid w:val="00C247BD"/>
    <w:rsid w:val="00C25418"/>
    <w:rsid w:val="00C25D9C"/>
    <w:rsid w:val="00C267C9"/>
    <w:rsid w:val="00C2778B"/>
    <w:rsid w:val="00C27F72"/>
    <w:rsid w:val="00C3049B"/>
    <w:rsid w:val="00C31649"/>
    <w:rsid w:val="00C32720"/>
    <w:rsid w:val="00C32F81"/>
    <w:rsid w:val="00C3434C"/>
    <w:rsid w:val="00C3553C"/>
    <w:rsid w:val="00C355B5"/>
    <w:rsid w:val="00C375CA"/>
    <w:rsid w:val="00C40385"/>
    <w:rsid w:val="00C40A25"/>
    <w:rsid w:val="00C41312"/>
    <w:rsid w:val="00C41768"/>
    <w:rsid w:val="00C42D22"/>
    <w:rsid w:val="00C45E5B"/>
    <w:rsid w:val="00C465F5"/>
    <w:rsid w:val="00C475AA"/>
    <w:rsid w:val="00C47C0F"/>
    <w:rsid w:val="00C47C92"/>
    <w:rsid w:val="00C52651"/>
    <w:rsid w:val="00C52C4E"/>
    <w:rsid w:val="00C53382"/>
    <w:rsid w:val="00C53C98"/>
    <w:rsid w:val="00C53CEA"/>
    <w:rsid w:val="00C558CB"/>
    <w:rsid w:val="00C55A12"/>
    <w:rsid w:val="00C56BBE"/>
    <w:rsid w:val="00C56E05"/>
    <w:rsid w:val="00C56EDB"/>
    <w:rsid w:val="00C56FCF"/>
    <w:rsid w:val="00C57B6C"/>
    <w:rsid w:val="00C57EBE"/>
    <w:rsid w:val="00C604A9"/>
    <w:rsid w:val="00C62195"/>
    <w:rsid w:val="00C628A6"/>
    <w:rsid w:val="00C62AD5"/>
    <w:rsid w:val="00C64344"/>
    <w:rsid w:val="00C65108"/>
    <w:rsid w:val="00C6540B"/>
    <w:rsid w:val="00C65576"/>
    <w:rsid w:val="00C66165"/>
    <w:rsid w:val="00C663E1"/>
    <w:rsid w:val="00C67FC1"/>
    <w:rsid w:val="00C7060A"/>
    <w:rsid w:val="00C71185"/>
    <w:rsid w:val="00C7151A"/>
    <w:rsid w:val="00C71724"/>
    <w:rsid w:val="00C717E3"/>
    <w:rsid w:val="00C71F60"/>
    <w:rsid w:val="00C72241"/>
    <w:rsid w:val="00C723C8"/>
    <w:rsid w:val="00C73063"/>
    <w:rsid w:val="00C736F2"/>
    <w:rsid w:val="00C7479C"/>
    <w:rsid w:val="00C750C8"/>
    <w:rsid w:val="00C7560F"/>
    <w:rsid w:val="00C77077"/>
    <w:rsid w:val="00C7732D"/>
    <w:rsid w:val="00C77F58"/>
    <w:rsid w:val="00C80148"/>
    <w:rsid w:val="00C80489"/>
    <w:rsid w:val="00C80A0E"/>
    <w:rsid w:val="00C81D51"/>
    <w:rsid w:val="00C8213F"/>
    <w:rsid w:val="00C82521"/>
    <w:rsid w:val="00C82FF4"/>
    <w:rsid w:val="00C85154"/>
    <w:rsid w:val="00C865EB"/>
    <w:rsid w:val="00C87767"/>
    <w:rsid w:val="00C8797A"/>
    <w:rsid w:val="00C87B74"/>
    <w:rsid w:val="00C900B8"/>
    <w:rsid w:val="00C906D3"/>
    <w:rsid w:val="00C90C54"/>
    <w:rsid w:val="00C90C71"/>
    <w:rsid w:val="00C91C5C"/>
    <w:rsid w:val="00C91FD1"/>
    <w:rsid w:val="00C931CF"/>
    <w:rsid w:val="00C938CF"/>
    <w:rsid w:val="00C94053"/>
    <w:rsid w:val="00C9624D"/>
    <w:rsid w:val="00C969DA"/>
    <w:rsid w:val="00C976C5"/>
    <w:rsid w:val="00CA1639"/>
    <w:rsid w:val="00CA2C77"/>
    <w:rsid w:val="00CA2FAC"/>
    <w:rsid w:val="00CA444F"/>
    <w:rsid w:val="00CA5245"/>
    <w:rsid w:val="00CA5AF6"/>
    <w:rsid w:val="00CA6BDC"/>
    <w:rsid w:val="00CA71F4"/>
    <w:rsid w:val="00CA7B09"/>
    <w:rsid w:val="00CB0DD8"/>
    <w:rsid w:val="00CB12A5"/>
    <w:rsid w:val="00CB1CAC"/>
    <w:rsid w:val="00CB2E92"/>
    <w:rsid w:val="00CB2F2A"/>
    <w:rsid w:val="00CB2F9A"/>
    <w:rsid w:val="00CB3F6A"/>
    <w:rsid w:val="00CB4313"/>
    <w:rsid w:val="00CB5160"/>
    <w:rsid w:val="00CB5B1A"/>
    <w:rsid w:val="00CB6269"/>
    <w:rsid w:val="00CB6B22"/>
    <w:rsid w:val="00CB75EA"/>
    <w:rsid w:val="00CB7F5F"/>
    <w:rsid w:val="00CC0AD5"/>
    <w:rsid w:val="00CC1B39"/>
    <w:rsid w:val="00CC1B6F"/>
    <w:rsid w:val="00CC1E9B"/>
    <w:rsid w:val="00CC283B"/>
    <w:rsid w:val="00CC35EA"/>
    <w:rsid w:val="00CC3848"/>
    <w:rsid w:val="00CC429C"/>
    <w:rsid w:val="00CC4A0E"/>
    <w:rsid w:val="00CC5527"/>
    <w:rsid w:val="00CC5543"/>
    <w:rsid w:val="00CC74E9"/>
    <w:rsid w:val="00CD033E"/>
    <w:rsid w:val="00CD1E4D"/>
    <w:rsid w:val="00CD1ED2"/>
    <w:rsid w:val="00CD2197"/>
    <w:rsid w:val="00CD2CF1"/>
    <w:rsid w:val="00CD341B"/>
    <w:rsid w:val="00CD3F77"/>
    <w:rsid w:val="00CD6ADC"/>
    <w:rsid w:val="00CD7193"/>
    <w:rsid w:val="00CD748B"/>
    <w:rsid w:val="00CD77F8"/>
    <w:rsid w:val="00CE0CB4"/>
    <w:rsid w:val="00CE1000"/>
    <w:rsid w:val="00CE1C03"/>
    <w:rsid w:val="00CE2447"/>
    <w:rsid w:val="00CE38C8"/>
    <w:rsid w:val="00CE3EC2"/>
    <w:rsid w:val="00CE4961"/>
    <w:rsid w:val="00CE5D5D"/>
    <w:rsid w:val="00CE6274"/>
    <w:rsid w:val="00CE77B6"/>
    <w:rsid w:val="00CF099B"/>
    <w:rsid w:val="00CF2B8D"/>
    <w:rsid w:val="00CF38D6"/>
    <w:rsid w:val="00CF40F7"/>
    <w:rsid w:val="00CF456B"/>
    <w:rsid w:val="00CF4972"/>
    <w:rsid w:val="00CF5489"/>
    <w:rsid w:val="00CF55E3"/>
    <w:rsid w:val="00CF5A22"/>
    <w:rsid w:val="00CF5AF8"/>
    <w:rsid w:val="00CF71BA"/>
    <w:rsid w:val="00CF7F27"/>
    <w:rsid w:val="00D010FD"/>
    <w:rsid w:val="00D013D1"/>
    <w:rsid w:val="00D01CBE"/>
    <w:rsid w:val="00D0262E"/>
    <w:rsid w:val="00D03C76"/>
    <w:rsid w:val="00D05E3D"/>
    <w:rsid w:val="00D06139"/>
    <w:rsid w:val="00D0639C"/>
    <w:rsid w:val="00D06B02"/>
    <w:rsid w:val="00D06C5E"/>
    <w:rsid w:val="00D10E59"/>
    <w:rsid w:val="00D110BD"/>
    <w:rsid w:val="00D11EE9"/>
    <w:rsid w:val="00D1298F"/>
    <w:rsid w:val="00D12A54"/>
    <w:rsid w:val="00D1361A"/>
    <w:rsid w:val="00D13675"/>
    <w:rsid w:val="00D141E1"/>
    <w:rsid w:val="00D147B9"/>
    <w:rsid w:val="00D15314"/>
    <w:rsid w:val="00D16E0B"/>
    <w:rsid w:val="00D172FD"/>
    <w:rsid w:val="00D17506"/>
    <w:rsid w:val="00D17D6C"/>
    <w:rsid w:val="00D20829"/>
    <w:rsid w:val="00D21118"/>
    <w:rsid w:val="00D21522"/>
    <w:rsid w:val="00D2155B"/>
    <w:rsid w:val="00D21C16"/>
    <w:rsid w:val="00D23D11"/>
    <w:rsid w:val="00D244B6"/>
    <w:rsid w:val="00D25036"/>
    <w:rsid w:val="00D25ADB"/>
    <w:rsid w:val="00D25F3E"/>
    <w:rsid w:val="00D27087"/>
    <w:rsid w:val="00D271C1"/>
    <w:rsid w:val="00D27478"/>
    <w:rsid w:val="00D2754D"/>
    <w:rsid w:val="00D27B27"/>
    <w:rsid w:val="00D317D8"/>
    <w:rsid w:val="00D330BC"/>
    <w:rsid w:val="00D33427"/>
    <w:rsid w:val="00D335F2"/>
    <w:rsid w:val="00D3367C"/>
    <w:rsid w:val="00D33BE9"/>
    <w:rsid w:val="00D33F93"/>
    <w:rsid w:val="00D357FF"/>
    <w:rsid w:val="00D36340"/>
    <w:rsid w:val="00D36814"/>
    <w:rsid w:val="00D376B9"/>
    <w:rsid w:val="00D376DE"/>
    <w:rsid w:val="00D379EA"/>
    <w:rsid w:val="00D424C7"/>
    <w:rsid w:val="00D43132"/>
    <w:rsid w:val="00D43B2A"/>
    <w:rsid w:val="00D43C11"/>
    <w:rsid w:val="00D43D83"/>
    <w:rsid w:val="00D45E8D"/>
    <w:rsid w:val="00D47575"/>
    <w:rsid w:val="00D5201F"/>
    <w:rsid w:val="00D522A1"/>
    <w:rsid w:val="00D522D9"/>
    <w:rsid w:val="00D5243B"/>
    <w:rsid w:val="00D527D2"/>
    <w:rsid w:val="00D52B53"/>
    <w:rsid w:val="00D533EC"/>
    <w:rsid w:val="00D53908"/>
    <w:rsid w:val="00D562CB"/>
    <w:rsid w:val="00D56880"/>
    <w:rsid w:val="00D56A95"/>
    <w:rsid w:val="00D57AD5"/>
    <w:rsid w:val="00D6051E"/>
    <w:rsid w:val="00D60AF3"/>
    <w:rsid w:val="00D61192"/>
    <w:rsid w:val="00D61848"/>
    <w:rsid w:val="00D62053"/>
    <w:rsid w:val="00D63C77"/>
    <w:rsid w:val="00D643B2"/>
    <w:rsid w:val="00D6463B"/>
    <w:rsid w:val="00D6468F"/>
    <w:rsid w:val="00D64AC7"/>
    <w:rsid w:val="00D708D8"/>
    <w:rsid w:val="00D70B8D"/>
    <w:rsid w:val="00D70F16"/>
    <w:rsid w:val="00D72B89"/>
    <w:rsid w:val="00D72D30"/>
    <w:rsid w:val="00D72F57"/>
    <w:rsid w:val="00D73936"/>
    <w:rsid w:val="00D73980"/>
    <w:rsid w:val="00D7445F"/>
    <w:rsid w:val="00D7599D"/>
    <w:rsid w:val="00D7664A"/>
    <w:rsid w:val="00D76A44"/>
    <w:rsid w:val="00D80CEC"/>
    <w:rsid w:val="00D80FE3"/>
    <w:rsid w:val="00D815EF"/>
    <w:rsid w:val="00D81F26"/>
    <w:rsid w:val="00D83444"/>
    <w:rsid w:val="00D83612"/>
    <w:rsid w:val="00D83C04"/>
    <w:rsid w:val="00D8530D"/>
    <w:rsid w:val="00D86231"/>
    <w:rsid w:val="00D864A2"/>
    <w:rsid w:val="00D87EF7"/>
    <w:rsid w:val="00D90ACC"/>
    <w:rsid w:val="00D91923"/>
    <w:rsid w:val="00D929BE"/>
    <w:rsid w:val="00D9354E"/>
    <w:rsid w:val="00D93753"/>
    <w:rsid w:val="00D94000"/>
    <w:rsid w:val="00D9401A"/>
    <w:rsid w:val="00D95AEE"/>
    <w:rsid w:val="00D9613E"/>
    <w:rsid w:val="00D96E8E"/>
    <w:rsid w:val="00D97ADF"/>
    <w:rsid w:val="00DA228B"/>
    <w:rsid w:val="00DA3167"/>
    <w:rsid w:val="00DA3A97"/>
    <w:rsid w:val="00DA4DC3"/>
    <w:rsid w:val="00DA5465"/>
    <w:rsid w:val="00DA5FBE"/>
    <w:rsid w:val="00DA77A5"/>
    <w:rsid w:val="00DA7BC0"/>
    <w:rsid w:val="00DB0090"/>
    <w:rsid w:val="00DB068A"/>
    <w:rsid w:val="00DB0B52"/>
    <w:rsid w:val="00DB1CA8"/>
    <w:rsid w:val="00DB1CCA"/>
    <w:rsid w:val="00DB3DBF"/>
    <w:rsid w:val="00DB4761"/>
    <w:rsid w:val="00DB484F"/>
    <w:rsid w:val="00DB75C3"/>
    <w:rsid w:val="00DC04EA"/>
    <w:rsid w:val="00DC04F6"/>
    <w:rsid w:val="00DC0690"/>
    <w:rsid w:val="00DC0DF5"/>
    <w:rsid w:val="00DC172C"/>
    <w:rsid w:val="00DC18C3"/>
    <w:rsid w:val="00DC1C59"/>
    <w:rsid w:val="00DC1D65"/>
    <w:rsid w:val="00DC20C3"/>
    <w:rsid w:val="00DC3C57"/>
    <w:rsid w:val="00DC5501"/>
    <w:rsid w:val="00DC6AF4"/>
    <w:rsid w:val="00DC6F8D"/>
    <w:rsid w:val="00DC7154"/>
    <w:rsid w:val="00DC7E8A"/>
    <w:rsid w:val="00DD0B06"/>
    <w:rsid w:val="00DD0F78"/>
    <w:rsid w:val="00DD1297"/>
    <w:rsid w:val="00DD273C"/>
    <w:rsid w:val="00DD3F28"/>
    <w:rsid w:val="00DD4537"/>
    <w:rsid w:val="00DD4C2F"/>
    <w:rsid w:val="00DD4E15"/>
    <w:rsid w:val="00DD600F"/>
    <w:rsid w:val="00DD6565"/>
    <w:rsid w:val="00DE0278"/>
    <w:rsid w:val="00DE2304"/>
    <w:rsid w:val="00DE3138"/>
    <w:rsid w:val="00DE37F8"/>
    <w:rsid w:val="00DE3CA6"/>
    <w:rsid w:val="00DE48EB"/>
    <w:rsid w:val="00DE4FCB"/>
    <w:rsid w:val="00DE52CF"/>
    <w:rsid w:val="00DE5D07"/>
    <w:rsid w:val="00DE63FC"/>
    <w:rsid w:val="00DE72A7"/>
    <w:rsid w:val="00DE7832"/>
    <w:rsid w:val="00DF1826"/>
    <w:rsid w:val="00DF18FC"/>
    <w:rsid w:val="00DF22DF"/>
    <w:rsid w:val="00DF31B1"/>
    <w:rsid w:val="00DF47D7"/>
    <w:rsid w:val="00DF507E"/>
    <w:rsid w:val="00DF56AF"/>
    <w:rsid w:val="00DF5D2B"/>
    <w:rsid w:val="00DF6A13"/>
    <w:rsid w:val="00DF6DD0"/>
    <w:rsid w:val="00E005FD"/>
    <w:rsid w:val="00E00D85"/>
    <w:rsid w:val="00E00E8E"/>
    <w:rsid w:val="00E01BBD"/>
    <w:rsid w:val="00E01C86"/>
    <w:rsid w:val="00E02D12"/>
    <w:rsid w:val="00E04013"/>
    <w:rsid w:val="00E05630"/>
    <w:rsid w:val="00E05AB0"/>
    <w:rsid w:val="00E0602B"/>
    <w:rsid w:val="00E065AB"/>
    <w:rsid w:val="00E06DBB"/>
    <w:rsid w:val="00E079DF"/>
    <w:rsid w:val="00E10149"/>
    <w:rsid w:val="00E11340"/>
    <w:rsid w:val="00E122A1"/>
    <w:rsid w:val="00E159FA"/>
    <w:rsid w:val="00E16372"/>
    <w:rsid w:val="00E16483"/>
    <w:rsid w:val="00E1686A"/>
    <w:rsid w:val="00E20E4D"/>
    <w:rsid w:val="00E20ED6"/>
    <w:rsid w:val="00E2132E"/>
    <w:rsid w:val="00E21358"/>
    <w:rsid w:val="00E2200C"/>
    <w:rsid w:val="00E2249B"/>
    <w:rsid w:val="00E22A0D"/>
    <w:rsid w:val="00E23476"/>
    <w:rsid w:val="00E244F6"/>
    <w:rsid w:val="00E24AC7"/>
    <w:rsid w:val="00E24D38"/>
    <w:rsid w:val="00E252EA"/>
    <w:rsid w:val="00E26CF2"/>
    <w:rsid w:val="00E2771E"/>
    <w:rsid w:val="00E278F4"/>
    <w:rsid w:val="00E311EF"/>
    <w:rsid w:val="00E32180"/>
    <w:rsid w:val="00E323B5"/>
    <w:rsid w:val="00E3253F"/>
    <w:rsid w:val="00E34948"/>
    <w:rsid w:val="00E350A8"/>
    <w:rsid w:val="00E372E1"/>
    <w:rsid w:val="00E37342"/>
    <w:rsid w:val="00E37569"/>
    <w:rsid w:val="00E401B2"/>
    <w:rsid w:val="00E407A2"/>
    <w:rsid w:val="00E40869"/>
    <w:rsid w:val="00E418B9"/>
    <w:rsid w:val="00E418BE"/>
    <w:rsid w:val="00E41E30"/>
    <w:rsid w:val="00E42F73"/>
    <w:rsid w:val="00E43D70"/>
    <w:rsid w:val="00E466F3"/>
    <w:rsid w:val="00E4679A"/>
    <w:rsid w:val="00E47042"/>
    <w:rsid w:val="00E47B2C"/>
    <w:rsid w:val="00E503FE"/>
    <w:rsid w:val="00E51560"/>
    <w:rsid w:val="00E51895"/>
    <w:rsid w:val="00E52595"/>
    <w:rsid w:val="00E52663"/>
    <w:rsid w:val="00E53FC8"/>
    <w:rsid w:val="00E54248"/>
    <w:rsid w:val="00E54347"/>
    <w:rsid w:val="00E5480E"/>
    <w:rsid w:val="00E55424"/>
    <w:rsid w:val="00E55915"/>
    <w:rsid w:val="00E55BB5"/>
    <w:rsid w:val="00E5619A"/>
    <w:rsid w:val="00E56C2C"/>
    <w:rsid w:val="00E57FAD"/>
    <w:rsid w:val="00E6019C"/>
    <w:rsid w:val="00E61608"/>
    <w:rsid w:val="00E61E4A"/>
    <w:rsid w:val="00E64693"/>
    <w:rsid w:val="00E65DB1"/>
    <w:rsid w:val="00E65E79"/>
    <w:rsid w:val="00E66BA2"/>
    <w:rsid w:val="00E67416"/>
    <w:rsid w:val="00E67478"/>
    <w:rsid w:val="00E7104E"/>
    <w:rsid w:val="00E718B6"/>
    <w:rsid w:val="00E71C97"/>
    <w:rsid w:val="00E72040"/>
    <w:rsid w:val="00E723BA"/>
    <w:rsid w:val="00E73180"/>
    <w:rsid w:val="00E7341E"/>
    <w:rsid w:val="00E73581"/>
    <w:rsid w:val="00E766E3"/>
    <w:rsid w:val="00E7678C"/>
    <w:rsid w:val="00E76A2B"/>
    <w:rsid w:val="00E80DCD"/>
    <w:rsid w:val="00E81F41"/>
    <w:rsid w:val="00E833F7"/>
    <w:rsid w:val="00E8356A"/>
    <w:rsid w:val="00E838BD"/>
    <w:rsid w:val="00E83BDF"/>
    <w:rsid w:val="00E84EE8"/>
    <w:rsid w:val="00E84F32"/>
    <w:rsid w:val="00E87A1D"/>
    <w:rsid w:val="00E87A90"/>
    <w:rsid w:val="00E87F0C"/>
    <w:rsid w:val="00E9094A"/>
    <w:rsid w:val="00E91D35"/>
    <w:rsid w:val="00E926A5"/>
    <w:rsid w:val="00E940DB"/>
    <w:rsid w:val="00E941D0"/>
    <w:rsid w:val="00E94276"/>
    <w:rsid w:val="00EA05CB"/>
    <w:rsid w:val="00EA17C3"/>
    <w:rsid w:val="00EA1C2E"/>
    <w:rsid w:val="00EA2713"/>
    <w:rsid w:val="00EA2863"/>
    <w:rsid w:val="00EA2A1F"/>
    <w:rsid w:val="00EA2CAA"/>
    <w:rsid w:val="00EA2EDB"/>
    <w:rsid w:val="00EA30FC"/>
    <w:rsid w:val="00EA3711"/>
    <w:rsid w:val="00EA3864"/>
    <w:rsid w:val="00EA4005"/>
    <w:rsid w:val="00EA74ED"/>
    <w:rsid w:val="00EA7A27"/>
    <w:rsid w:val="00EA7A5C"/>
    <w:rsid w:val="00EA7F1C"/>
    <w:rsid w:val="00EB0599"/>
    <w:rsid w:val="00EB1480"/>
    <w:rsid w:val="00EB15B6"/>
    <w:rsid w:val="00EB1A9F"/>
    <w:rsid w:val="00EB2445"/>
    <w:rsid w:val="00EB3D06"/>
    <w:rsid w:val="00EB4129"/>
    <w:rsid w:val="00EB41CF"/>
    <w:rsid w:val="00EB4916"/>
    <w:rsid w:val="00EB4EB6"/>
    <w:rsid w:val="00EB60E9"/>
    <w:rsid w:val="00EB63CC"/>
    <w:rsid w:val="00EB67D9"/>
    <w:rsid w:val="00EB78D6"/>
    <w:rsid w:val="00EC00C9"/>
    <w:rsid w:val="00EC0DD9"/>
    <w:rsid w:val="00EC14D5"/>
    <w:rsid w:val="00EC1C05"/>
    <w:rsid w:val="00EC2649"/>
    <w:rsid w:val="00EC293F"/>
    <w:rsid w:val="00EC31ED"/>
    <w:rsid w:val="00EC479A"/>
    <w:rsid w:val="00EC4806"/>
    <w:rsid w:val="00EC5836"/>
    <w:rsid w:val="00EC688C"/>
    <w:rsid w:val="00EC6DF8"/>
    <w:rsid w:val="00EC7698"/>
    <w:rsid w:val="00ED17C2"/>
    <w:rsid w:val="00ED28B8"/>
    <w:rsid w:val="00ED3309"/>
    <w:rsid w:val="00ED57EA"/>
    <w:rsid w:val="00ED5BD4"/>
    <w:rsid w:val="00ED5CA7"/>
    <w:rsid w:val="00EE07D3"/>
    <w:rsid w:val="00EE0AE5"/>
    <w:rsid w:val="00EE0EE7"/>
    <w:rsid w:val="00EE1996"/>
    <w:rsid w:val="00EE1C01"/>
    <w:rsid w:val="00EE22AF"/>
    <w:rsid w:val="00EE320F"/>
    <w:rsid w:val="00EE3844"/>
    <w:rsid w:val="00EE4BC4"/>
    <w:rsid w:val="00EE50F4"/>
    <w:rsid w:val="00EE52A0"/>
    <w:rsid w:val="00EE708D"/>
    <w:rsid w:val="00EE7507"/>
    <w:rsid w:val="00EE7B17"/>
    <w:rsid w:val="00EF0171"/>
    <w:rsid w:val="00EF1B25"/>
    <w:rsid w:val="00EF1D55"/>
    <w:rsid w:val="00EF1DA0"/>
    <w:rsid w:val="00EF290F"/>
    <w:rsid w:val="00EF2CEE"/>
    <w:rsid w:val="00EF37D0"/>
    <w:rsid w:val="00EF3941"/>
    <w:rsid w:val="00EF40A6"/>
    <w:rsid w:val="00EF4747"/>
    <w:rsid w:val="00EF4BF8"/>
    <w:rsid w:val="00EF4E71"/>
    <w:rsid w:val="00EF7F72"/>
    <w:rsid w:val="00EF7F74"/>
    <w:rsid w:val="00F02100"/>
    <w:rsid w:val="00F02225"/>
    <w:rsid w:val="00F02253"/>
    <w:rsid w:val="00F02A11"/>
    <w:rsid w:val="00F02A15"/>
    <w:rsid w:val="00F03B0E"/>
    <w:rsid w:val="00F03C2E"/>
    <w:rsid w:val="00F04A66"/>
    <w:rsid w:val="00F04B4B"/>
    <w:rsid w:val="00F04FFA"/>
    <w:rsid w:val="00F0503C"/>
    <w:rsid w:val="00F0516C"/>
    <w:rsid w:val="00F067A2"/>
    <w:rsid w:val="00F07B9E"/>
    <w:rsid w:val="00F10E0E"/>
    <w:rsid w:val="00F1116F"/>
    <w:rsid w:val="00F125EA"/>
    <w:rsid w:val="00F1263A"/>
    <w:rsid w:val="00F13738"/>
    <w:rsid w:val="00F15B77"/>
    <w:rsid w:val="00F162A6"/>
    <w:rsid w:val="00F16796"/>
    <w:rsid w:val="00F20550"/>
    <w:rsid w:val="00F20924"/>
    <w:rsid w:val="00F20AA4"/>
    <w:rsid w:val="00F20C75"/>
    <w:rsid w:val="00F212B8"/>
    <w:rsid w:val="00F2156C"/>
    <w:rsid w:val="00F21B24"/>
    <w:rsid w:val="00F21BBA"/>
    <w:rsid w:val="00F2229A"/>
    <w:rsid w:val="00F2317C"/>
    <w:rsid w:val="00F239F7"/>
    <w:rsid w:val="00F24837"/>
    <w:rsid w:val="00F2524C"/>
    <w:rsid w:val="00F2575F"/>
    <w:rsid w:val="00F25FD9"/>
    <w:rsid w:val="00F2650E"/>
    <w:rsid w:val="00F27565"/>
    <w:rsid w:val="00F27D08"/>
    <w:rsid w:val="00F27E7F"/>
    <w:rsid w:val="00F310D4"/>
    <w:rsid w:val="00F31D5A"/>
    <w:rsid w:val="00F33975"/>
    <w:rsid w:val="00F33DE9"/>
    <w:rsid w:val="00F35E6D"/>
    <w:rsid w:val="00F3619A"/>
    <w:rsid w:val="00F3793B"/>
    <w:rsid w:val="00F40353"/>
    <w:rsid w:val="00F40A41"/>
    <w:rsid w:val="00F40AAA"/>
    <w:rsid w:val="00F40BA7"/>
    <w:rsid w:val="00F40F9D"/>
    <w:rsid w:val="00F4176D"/>
    <w:rsid w:val="00F41ACD"/>
    <w:rsid w:val="00F41E6E"/>
    <w:rsid w:val="00F42BE0"/>
    <w:rsid w:val="00F440ED"/>
    <w:rsid w:val="00F44360"/>
    <w:rsid w:val="00F4508C"/>
    <w:rsid w:val="00F452AE"/>
    <w:rsid w:val="00F4648A"/>
    <w:rsid w:val="00F46CB6"/>
    <w:rsid w:val="00F4756D"/>
    <w:rsid w:val="00F47DE8"/>
    <w:rsid w:val="00F52793"/>
    <w:rsid w:val="00F542C1"/>
    <w:rsid w:val="00F55E73"/>
    <w:rsid w:val="00F55EDA"/>
    <w:rsid w:val="00F56947"/>
    <w:rsid w:val="00F56C80"/>
    <w:rsid w:val="00F576A2"/>
    <w:rsid w:val="00F57E2D"/>
    <w:rsid w:val="00F60092"/>
    <w:rsid w:val="00F60B23"/>
    <w:rsid w:val="00F61C18"/>
    <w:rsid w:val="00F628A7"/>
    <w:rsid w:val="00F64360"/>
    <w:rsid w:val="00F651A1"/>
    <w:rsid w:val="00F6532A"/>
    <w:rsid w:val="00F65349"/>
    <w:rsid w:val="00F65E6C"/>
    <w:rsid w:val="00F65F4B"/>
    <w:rsid w:val="00F66BE3"/>
    <w:rsid w:val="00F66F55"/>
    <w:rsid w:val="00F67A69"/>
    <w:rsid w:val="00F67D4E"/>
    <w:rsid w:val="00F70383"/>
    <w:rsid w:val="00F70BFF"/>
    <w:rsid w:val="00F70C9D"/>
    <w:rsid w:val="00F70F65"/>
    <w:rsid w:val="00F71191"/>
    <w:rsid w:val="00F72C76"/>
    <w:rsid w:val="00F73E35"/>
    <w:rsid w:val="00F746E0"/>
    <w:rsid w:val="00F74CD9"/>
    <w:rsid w:val="00F762C0"/>
    <w:rsid w:val="00F76CEE"/>
    <w:rsid w:val="00F80A7B"/>
    <w:rsid w:val="00F80BDD"/>
    <w:rsid w:val="00F80E5D"/>
    <w:rsid w:val="00F811A2"/>
    <w:rsid w:val="00F81E78"/>
    <w:rsid w:val="00F851CE"/>
    <w:rsid w:val="00F86773"/>
    <w:rsid w:val="00F86915"/>
    <w:rsid w:val="00F86E60"/>
    <w:rsid w:val="00F86FD8"/>
    <w:rsid w:val="00F87086"/>
    <w:rsid w:val="00F91219"/>
    <w:rsid w:val="00F919A0"/>
    <w:rsid w:val="00F92444"/>
    <w:rsid w:val="00F92AB5"/>
    <w:rsid w:val="00F92E6F"/>
    <w:rsid w:val="00F92FC7"/>
    <w:rsid w:val="00F9393E"/>
    <w:rsid w:val="00F95D41"/>
    <w:rsid w:val="00F96B11"/>
    <w:rsid w:val="00F96FD0"/>
    <w:rsid w:val="00F9704B"/>
    <w:rsid w:val="00F97A78"/>
    <w:rsid w:val="00F97F3C"/>
    <w:rsid w:val="00FA0B20"/>
    <w:rsid w:val="00FA24E7"/>
    <w:rsid w:val="00FA46C5"/>
    <w:rsid w:val="00FA46FC"/>
    <w:rsid w:val="00FA4D5E"/>
    <w:rsid w:val="00FA501B"/>
    <w:rsid w:val="00FA5433"/>
    <w:rsid w:val="00FA556C"/>
    <w:rsid w:val="00FA5D76"/>
    <w:rsid w:val="00FA5EE6"/>
    <w:rsid w:val="00FA6671"/>
    <w:rsid w:val="00FA6BBA"/>
    <w:rsid w:val="00FA7956"/>
    <w:rsid w:val="00FB019E"/>
    <w:rsid w:val="00FB090A"/>
    <w:rsid w:val="00FB1C05"/>
    <w:rsid w:val="00FB1CE0"/>
    <w:rsid w:val="00FB2AC7"/>
    <w:rsid w:val="00FB2FCB"/>
    <w:rsid w:val="00FB2FD8"/>
    <w:rsid w:val="00FB320E"/>
    <w:rsid w:val="00FB385B"/>
    <w:rsid w:val="00FB4A90"/>
    <w:rsid w:val="00FB7C55"/>
    <w:rsid w:val="00FC0074"/>
    <w:rsid w:val="00FC0140"/>
    <w:rsid w:val="00FC080B"/>
    <w:rsid w:val="00FC0BF1"/>
    <w:rsid w:val="00FC0E80"/>
    <w:rsid w:val="00FC0E8F"/>
    <w:rsid w:val="00FC1074"/>
    <w:rsid w:val="00FC1884"/>
    <w:rsid w:val="00FC1F26"/>
    <w:rsid w:val="00FC217A"/>
    <w:rsid w:val="00FC371D"/>
    <w:rsid w:val="00FC49E4"/>
    <w:rsid w:val="00FC58A7"/>
    <w:rsid w:val="00FC5F0B"/>
    <w:rsid w:val="00FC6634"/>
    <w:rsid w:val="00FD1F26"/>
    <w:rsid w:val="00FD2100"/>
    <w:rsid w:val="00FD33B0"/>
    <w:rsid w:val="00FD436C"/>
    <w:rsid w:val="00FD446D"/>
    <w:rsid w:val="00FD44B7"/>
    <w:rsid w:val="00FD49EC"/>
    <w:rsid w:val="00FD4F2C"/>
    <w:rsid w:val="00FD572C"/>
    <w:rsid w:val="00FD6394"/>
    <w:rsid w:val="00FD6518"/>
    <w:rsid w:val="00FD6BA2"/>
    <w:rsid w:val="00FD787E"/>
    <w:rsid w:val="00FE0E0C"/>
    <w:rsid w:val="00FE0E6C"/>
    <w:rsid w:val="00FE1CDC"/>
    <w:rsid w:val="00FE1EB6"/>
    <w:rsid w:val="00FE2A1A"/>
    <w:rsid w:val="00FE53FD"/>
    <w:rsid w:val="00FE552B"/>
    <w:rsid w:val="00FE57EF"/>
    <w:rsid w:val="00FE6DF3"/>
    <w:rsid w:val="00FE70C3"/>
    <w:rsid w:val="00FE72BB"/>
    <w:rsid w:val="00FF2405"/>
    <w:rsid w:val="00FF2AD9"/>
    <w:rsid w:val="00FF3526"/>
    <w:rsid w:val="00FF359F"/>
    <w:rsid w:val="00FF3DCF"/>
    <w:rsid w:val="00FF492C"/>
    <w:rsid w:val="00FF4A21"/>
    <w:rsid w:val="00FF4D98"/>
    <w:rsid w:val="00FF53A8"/>
    <w:rsid w:val="00FF57B3"/>
    <w:rsid w:val="00FF5999"/>
    <w:rsid w:val="00FF5AA3"/>
    <w:rsid w:val="00FF5AD8"/>
    <w:rsid w:val="00FF6D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84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Header Table,NICE instructions,Source table_,HTAtableplain"/>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0">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qFormat/>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aliases w:val="Footnote Text Char1,Footnote Text Char Char,Footnote Text Char2,Footnote Text Char Char1"/>
    <w:basedOn w:val="Normal"/>
    <w:link w:val="FootnoteTextChar"/>
    <w:unhideWhenUsed/>
    <w:rsid w:val="00412854"/>
    <w:rPr>
      <w:rFonts w:cs="Times New Roman"/>
      <w:snapToGrid w:val="0"/>
      <w:sz w:val="20"/>
      <w:szCs w:val="20"/>
      <w:lang w:eastAsia="en-US"/>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412854"/>
    <w:rPr>
      <w:rFonts w:ascii="Calibri" w:hAnsi="Calibri"/>
      <w:snapToGrid w:val="0"/>
      <w:lang w:eastAsia="en-US"/>
    </w:rPr>
  </w:style>
  <w:style w:type="character" w:styleId="FootnoteReference">
    <w:name w:val="footnote reference"/>
    <w:basedOn w:val="DefaultParagraphFont"/>
    <w:unhideWhenUsed/>
    <w:rsid w:val="00412854"/>
    <w:rPr>
      <w:vertAlign w:val="superscript"/>
    </w:rPr>
  </w:style>
  <w:style w:type="character" w:customStyle="1" w:styleId="UnresolvedMention1">
    <w:name w:val="Unresolved Mention1"/>
    <w:basedOn w:val="DefaultParagraphFont"/>
    <w:uiPriority w:val="99"/>
    <w:semiHidden/>
    <w:unhideWhenUsed/>
    <w:rsid w:val="00A83899"/>
    <w:rPr>
      <w:color w:val="605E5C"/>
      <w:shd w:val="clear" w:color="auto" w:fill="E1DFDD"/>
    </w:rPr>
  </w:style>
  <w:style w:type="paragraph" w:customStyle="1" w:styleId="V50Instructions">
    <w:name w:val="V5.0 Instructions"/>
    <w:basedOn w:val="Normal"/>
    <w:link w:val="V50InstructionsChar"/>
    <w:rsid w:val="00570557"/>
    <w:pPr>
      <w:spacing w:before="120" w:after="160"/>
      <w:jc w:val="left"/>
    </w:pPr>
    <w:rPr>
      <w:rFonts w:asciiTheme="minorHAnsi" w:eastAsiaTheme="minorHAnsi" w:hAnsiTheme="minorHAnsi" w:cstheme="minorBidi"/>
      <w:snapToGrid w:val="0"/>
      <w:color w:val="4BACC6" w:themeColor="accent5"/>
      <w:lang w:eastAsia="en-US"/>
    </w:rPr>
  </w:style>
  <w:style w:type="character" w:customStyle="1" w:styleId="V50InstructionsChar">
    <w:name w:val="V5.0 Instructions Char"/>
    <w:basedOn w:val="DefaultParagraphFont"/>
    <w:link w:val="V50Instructions"/>
    <w:rsid w:val="00570557"/>
    <w:rPr>
      <w:rFonts w:asciiTheme="minorHAnsi" w:eastAsiaTheme="minorHAnsi" w:hAnsiTheme="minorHAnsi" w:cstheme="minorBidi"/>
      <w:snapToGrid w:val="0"/>
      <w:color w:val="4BACC6" w:themeColor="accent5"/>
      <w:sz w:val="24"/>
      <w:szCs w:val="24"/>
      <w:lang w:eastAsia="en-US"/>
    </w:rPr>
  </w:style>
  <w:style w:type="table" w:styleId="PlainTable5">
    <w:name w:val="Plain Table 5"/>
    <w:basedOn w:val="TableNormal"/>
    <w:uiPriority w:val="45"/>
    <w:rsid w:val="00B722C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722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51E56"/>
    <w:rPr>
      <w:color w:val="808080"/>
    </w:rPr>
  </w:style>
  <w:style w:type="paragraph" w:customStyle="1" w:styleId="BulletedList">
    <w:name w:val="Bulleted List"/>
    <w:basedOn w:val="Normal"/>
    <w:uiPriority w:val="3"/>
    <w:qFormat/>
    <w:rsid w:val="004C3BD2"/>
    <w:pPr>
      <w:numPr>
        <w:numId w:val="11"/>
      </w:numPr>
      <w:spacing w:after="240"/>
      <w:ind w:left="357" w:hanging="357"/>
      <w:contextualSpacing/>
    </w:pPr>
    <w:rPr>
      <w:rFonts w:ascii="Candara" w:eastAsiaTheme="majorEastAsia" w:hAnsi="Candara" w:cstheme="majorBidi"/>
      <w:szCs w:val="22"/>
      <w:lang w:eastAsia="en-US"/>
    </w:rPr>
  </w:style>
  <w:style w:type="paragraph" w:customStyle="1" w:styleId="PBACTableText">
    <w:name w:val="PBAC Table Text"/>
    <w:basedOn w:val="Normal"/>
    <w:link w:val="PBACTableTextChar"/>
    <w:rsid w:val="004C3BD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4C3BD2"/>
    <w:rPr>
      <w:rFonts w:ascii="Arial Narrow" w:hAnsi="Arial Narrow"/>
      <w:lang w:eastAsia="en-US"/>
    </w:rPr>
  </w:style>
  <w:style w:type="paragraph" w:customStyle="1" w:styleId="TableText1">
    <w:name w:val="TableText"/>
    <w:basedOn w:val="Normal"/>
    <w:link w:val="TableTextChar1"/>
    <w:uiPriority w:val="3"/>
    <w:qFormat/>
    <w:rsid w:val="004C3BD2"/>
    <w:pPr>
      <w:keepNext/>
      <w:spacing w:before="40" w:after="40"/>
      <w:jc w:val="left"/>
    </w:pPr>
    <w:rPr>
      <w:rFonts w:ascii="Arial" w:hAnsi="Arial" w:cs="Times New Roman"/>
      <w:snapToGrid w:val="0"/>
      <w:sz w:val="18"/>
      <w:szCs w:val="20"/>
      <w:lang w:eastAsia="en-US"/>
    </w:rPr>
  </w:style>
  <w:style w:type="character" w:customStyle="1" w:styleId="TableTextChar1">
    <w:name w:val="TableText Char"/>
    <w:link w:val="TableText1"/>
    <w:uiPriority w:val="3"/>
    <w:rsid w:val="004C3BD2"/>
    <w:rPr>
      <w:rFonts w:ascii="Arial" w:hAnsi="Arial"/>
      <w:snapToGrid w:val="0"/>
      <w:sz w:val="18"/>
      <w:lang w:eastAsia="en-US"/>
    </w:rPr>
  </w:style>
  <w:style w:type="paragraph" w:customStyle="1" w:styleId="TableHeadingRow">
    <w:name w:val="TableHeadingRow"/>
    <w:basedOn w:val="Normal"/>
    <w:uiPriority w:val="3"/>
    <w:qFormat/>
    <w:rsid w:val="004C3BD2"/>
    <w:pPr>
      <w:keepNext/>
      <w:spacing w:before="20" w:after="20"/>
      <w:jc w:val="left"/>
    </w:pPr>
    <w:rPr>
      <w:rFonts w:cstheme="minorHAnsi"/>
      <w:b/>
      <w:snapToGrid w:val="0"/>
      <w:sz w:val="20"/>
      <w:szCs w:val="20"/>
      <w:lang w:eastAsia="en-US"/>
    </w:rPr>
  </w:style>
  <w:style w:type="table" w:customStyle="1" w:styleId="Summarybox4">
    <w:name w:val="Summary box4"/>
    <w:basedOn w:val="TableNormal"/>
    <w:next w:val="TableGrid"/>
    <w:uiPriority w:val="59"/>
    <w:rsid w:val="004C3BD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4C3BD2"/>
    <w:pPr>
      <w:keepNext/>
      <w:numPr>
        <w:numId w:val="12"/>
      </w:numPr>
      <w:jc w:val="left"/>
    </w:pPr>
    <w:rPr>
      <w:rFonts w:ascii="Arial Bold" w:eastAsiaTheme="minorHAnsi" w:hAnsi="Arial Bold" w:cs="Times New Roman"/>
      <w:b/>
      <w:sz w:val="20"/>
      <w:lang w:eastAsia="en-US"/>
    </w:rPr>
  </w:style>
  <w:style w:type="character" w:customStyle="1" w:styleId="apple-converted-space">
    <w:name w:val="apple-converted-space"/>
    <w:basedOn w:val="DefaultParagraphFont"/>
    <w:rsid w:val="004C3BD2"/>
  </w:style>
  <w:style w:type="character" w:styleId="Emphasis">
    <w:name w:val="Emphasis"/>
    <w:basedOn w:val="DefaultParagraphFont"/>
    <w:uiPriority w:val="20"/>
    <w:qFormat/>
    <w:rsid w:val="004C3BD2"/>
    <w:rPr>
      <w:i/>
      <w:iCs/>
    </w:rPr>
  </w:style>
  <w:style w:type="character" w:customStyle="1" w:styleId="contribdegrees">
    <w:name w:val="contribdegrees"/>
    <w:basedOn w:val="DefaultParagraphFont"/>
    <w:rsid w:val="004C3BD2"/>
  </w:style>
  <w:style w:type="character" w:styleId="HTMLCite">
    <w:name w:val="HTML Cite"/>
    <w:basedOn w:val="DefaultParagraphFont"/>
    <w:uiPriority w:val="99"/>
    <w:semiHidden/>
    <w:unhideWhenUsed/>
    <w:rsid w:val="004C3BD2"/>
    <w:rPr>
      <w:i/>
      <w:iCs/>
    </w:rPr>
  </w:style>
  <w:style w:type="character" w:customStyle="1" w:styleId="BodyText1Char">
    <w:name w:val="Body Text1 Char"/>
    <w:link w:val="BodyText1"/>
    <w:locked/>
    <w:rsid w:val="004C3BD2"/>
    <w:rPr>
      <w:rFonts w:ascii="Arial" w:hAnsi="Arial"/>
      <w:sz w:val="22"/>
      <w:szCs w:val="22"/>
      <w:lang w:val="en-US" w:eastAsia="en-GB"/>
    </w:rPr>
  </w:style>
  <w:style w:type="paragraph" w:customStyle="1" w:styleId="BodyText1">
    <w:name w:val="Body Text1"/>
    <w:basedOn w:val="Normal"/>
    <w:link w:val="BodyText1Char"/>
    <w:rsid w:val="004C3BD2"/>
    <w:pPr>
      <w:widowControl w:val="0"/>
      <w:spacing w:before="120" w:after="120" w:line="276" w:lineRule="auto"/>
    </w:pPr>
    <w:rPr>
      <w:rFonts w:ascii="Arial" w:hAnsi="Arial" w:cs="Times New Roman"/>
      <w:sz w:val="22"/>
      <w:szCs w:val="22"/>
      <w:lang w:val="en-US" w:eastAsia="en-GB"/>
    </w:rPr>
  </w:style>
  <w:style w:type="paragraph" w:customStyle="1" w:styleId="Tablefootnote">
    <w:name w:val="Table footnote"/>
    <w:basedOn w:val="Normal"/>
    <w:link w:val="TablefootnoteChar"/>
    <w:qFormat/>
    <w:rsid w:val="004C3BD2"/>
    <w:pPr>
      <w:keepNext/>
      <w:keepLines/>
      <w:spacing w:before="120" w:after="120"/>
      <w:contextualSpacing/>
      <w:jc w:val="left"/>
    </w:pPr>
    <w:rPr>
      <w:rFonts w:ascii="Arial Narrow" w:hAnsi="Arial Narrow" w:cs="Times New Roman"/>
      <w:sz w:val="18"/>
      <w:szCs w:val="22"/>
      <w:lang w:eastAsia="en-US"/>
    </w:rPr>
  </w:style>
  <w:style w:type="character" w:customStyle="1" w:styleId="TablefootnoteChar">
    <w:name w:val="Table footnote Char"/>
    <w:basedOn w:val="DefaultParagraphFont"/>
    <w:link w:val="Tablefootnote"/>
    <w:rsid w:val="004C3BD2"/>
    <w:rPr>
      <w:rFonts w:ascii="Arial Narrow" w:hAnsi="Arial Narrow"/>
      <w:sz w:val="18"/>
      <w:szCs w:val="22"/>
      <w:lang w:eastAsia="en-US"/>
    </w:rPr>
  </w:style>
  <w:style w:type="paragraph" w:customStyle="1" w:styleId="TableHeading1">
    <w:name w:val="Table Heading"/>
    <w:basedOn w:val="Normal"/>
    <w:link w:val="TableHeadingChar"/>
    <w:qFormat/>
    <w:rsid w:val="004C3BD2"/>
    <w:pPr>
      <w:keepNext/>
      <w:spacing w:after="60"/>
      <w:jc w:val="left"/>
    </w:pPr>
    <w:rPr>
      <w:rFonts w:ascii="Arial Narrow" w:eastAsiaTheme="minorHAnsi" w:hAnsi="Arial Narrow" w:cstheme="minorBidi"/>
      <w:b/>
      <w:sz w:val="20"/>
      <w:szCs w:val="22"/>
      <w:lang w:eastAsia="en-US"/>
    </w:rPr>
  </w:style>
  <w:style w:type="paragraph" w:customStyle="1" w:styleId="Heading50">
    <w:name w:val="Heading5"/>
    <w:basedOn w:val="Normal"/>
    <w:next w:val="Normal"/>
    <w:autoRedefine/>
    <w:uiPriority w:val="99"/>
    <w:qFormat/>
    <w:rsid w:val="004C3BD2"/>
    <w:pPr>
      <w:keepNext/>
      <w:widowControl w:val="0"/>
      <w:spacing w:before="240" w:after="120"/>
      <w:jc w:val="left"/>
      <w:outlineLvl w:val="4"/>
    </w:pPr>
    <w:rPr>
      <w:rFonts w:ascii="Arial" w:hAnsi="Arial" w:cs="Times New Roman"/>
      <w:b/>
      <w:bCs/>
      <w:i/>
      <w:sz w:val="22"/>
      <w:lang w:eastAsia="en-GB"/>
    </w:rPr>
  </w:style>
  <w:style w:type="paragraph" w:customStyle="1" w:styleId="summarybox">
    <w:name w:val="summary box"/>
    <w:basedOn w:val="Normal"/>
    <w:link w:val="summaryboxChar"/>
    <w:autoRedefine/>
    <w:uiPriority w:val="99"/>
    <w:rsid w:val="004C3BD2"/>
    <w:pPr>
      <w:pBdr>
        <w:top w:val="single" w:sz="12" w:space="10" w:color="auto"/>
        <w:left w:val="single" w:sz="12" w:space="10" w:color="auto"/>
        <w:bottom w:val="single" w:sz="12" w:space="10" w:color="auto"/>
        <w:right w:val="single" w:sz="12" w:space="10" w:color="auto"/>
      </w:pBdr>
      <w:tabs>
        <w:tab w:val="left" w:pos="416"/>
        <w:tab w:val="left" w:pos="582"/>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s>
      <w:spacing w:before="360" w:after="120" w:line="360" w:lineRule="auto"/>
      <w:jc w:val="left"/>
    </w:pPr>
    <w:rPr>
      <w:rFonts w:ascii="Arial" w:hAnsi="Arial" w:cs="Times New Roman"/>
      <w:b/>
      <w:sz w:val="28"/>
      <w:szCs w:val="28"/>
      <w:lang w:eastAsia="en-GB"/>
    </w:rPr>
  </w:style>
  <w:style w:type="character" w:customStyle="1" w:styleId="summaryboxChar">
    <w:name w:val="summary box Char"/>
    <w:link w:val="summarybox"/>
    <w:uiPriority w:val="99"/>
    <w:locked/>
    <w:rsid w:val="004C3BD2"/>
    <w:rPr>
      <w:rFonts w:ascii="Arial" w:hAnsi="Arial"/>
      <w:b/>
      <w:sz w:val="28"/>
      <w:szCs w:val="28"/>
      <w:lang w:eastAsia="en-GB"/>
    </w:rPr>
  </w:style>
  <w:style w:type="paragraph" w:customStyle="1" w:styleId="Heading40">
    <w:name w:val="Heading4"/>
    <w:basedOn w:val="Normal"/>
    <w:next w:val="Normal"/>
    <w:link w:val="Heading4Char0"/>
    <w:autoRedefine/>
    <w:qFormat/>
    <w:rsid w:val="004C3BD2"/>
    <w:pPr>
      <w:keepNext/>
      <w:keepLines/>
      <w:spacing w:before="240" w:after="120" w:line="276" w:lineRule="auto"/>
      <w:contextualSpacing/>
      <w:jc w:val="left"/>
      <w:outlineLvl w:val="3"/>
    </w:pPr>
    <w:rPr>
      <w:rFonts w:ascii="Arial" w:hAnsi="Arial" w:cs="Times New Roman"/>
      <w:b/>
      <w:sz w:val="22"/>
      <w:lang w:eastAsia="en-GB"/>
    </w:rPr>
  </w:style>
  <w:style w:type="character" w:customStyle="1" w:styleId="Heading4Char0">
    <w:name w:val="Heading4 Char"/>
    <w:link w:val="Heading40"/>
    <w:locked/>
    <w:rsid w:val="004C3BD2"/>
    <w:rPr>
      <w:rFonts w:ascii="Arial" w:hAnsi="Arial"/>
      <w:b/>
      <w:sz w:val="22"/>
      <w:szCs w:val="24"/>
      <w:lang w:eastAsia="en-GB"/>
    </w:rPr>
  </w:style>
  <w:style w:type="character" w:customStyle="1" w:styleId="UnresolvedMention10">
    <w:name w:val="Unresolved Mention1"/>
    <w:basedOn w:val="DefaultParagraphFont"/>
    <w:uiPriority w:val="99"/>
    <w:semiHidden/>
    <w:unhideWhenUsed/>
    <w:rsid w:val="004C3BD2"/>
    <w:rPr>
      <w:color w:val="605E5C"/>
      <w:shd w:val="clear" w:color="auto" w:fill="E1DFDD"/>
    </w:rPr>
  </w:style>
  <w:style w:type="character" w:customStyle="1" w:styleId="cit">
    <w:name w:val="cit"/>
    <w:basedOn w:val="DefaultParagraphFont"/>
    <w:rsid w:val="004C3BD2"/>
  </w:style>
  <w:style w:type="character" w:customStyle="1" w:styleId="doi">
    <w:name w:val="doi"/>
    <w:basedOn w:val="DefaultParagraphFont"/>
    <w:rsid w:val="004C3BD2"/>
  </w:style>
  <w:style w:type="character" w:customStyle="1" w:styleId="fm-citation-ids-label">
    <w:name w:val="fm-citation-ids-label"/>
    <w:basedOn w:val="DefaultParagraphFont"/>
    <w:rsid w:val="004C3BD2"/>
  </w:style>
  <w:style w:type="table" w:customStyle="1" w:styleId="Summarybox2">
    <w:name w:val="Summary box2"/>
    <w:basedOn w:val="TableNormal"/>
    <w:uiPriority w:val="59"/>
    <w:rsid w:val="004C3B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Heading">
    <w:name w:val="Pbac Table Heading"/>
    <w:basedOn w:val="PBACTableText"/>
    <w:rsid w:val="004C3BD2"/>
    <w:pPr>
      <w:spacing w:before="0" w:after="80"/>
    </w:pPr>
    <w:rPr>
      <w:rFonts w:eastAsiaTheme="minorHAnsi" w:cs="Arial"/>
      <w:b/>
    </w:rPr>
  </w:style>
  <w:style w:type="character" w:customStyle="1" w:styleId="UnresolvedMention11">
    <w:name w:val="Unresolved Mention11"/>
    <w:basedOn w:val="DefaultParagraphFont"/>
    <w:uiPriority w:val="99"/>
    <w:semiHidden/>
    <w:unhideWhenUsed/>
    <w:rsid w:val="004C3BD2"/>
    <w:rPr>
      <w:color w:val="605E5C"/>
      <w:shd w:val="clear" w:color="auto" w:fill="E1DFDD"/>
    </w:rPr>
  </w:style>
  <w:style w:type="character" w:customStyle="1" w:styleId="Heading1Char">
    <w:name w:val="Heading 1 Char"/>
    <w:basedOn w:val="DefaultParagraphFont"/>
    <w:link w:val="Heading1"/>
    <w:rsid w:val="004C3BD2"/>
    <w:rPr>
      <w:rFonts w:ascii="Calibri" w:hAnsi="Calibri" w:cs="Arial"/>
      <w:b/>
      <w:caps/>
      <w:sz w:val="32"/>
      <w:szCs w:val="24"/>
    </w:rPr>
  </w:style>
  <w:style w:type="character" w:customStyle="1" w:styleId="Heading3Char">
    <w:name w:val="Heading 3 Char"/>
    <w:basedOn w:val="DefaultParagraphFont"/>
    <w:link w:val="Heading3"/>
    <w:rsid w:val="004C3BD2"/>
    <w:rPr>
      <w:rFonts w:ascii="Calibri" w:hAnsi="Calibri" w:cs="Arial"/>
      <w:sz w:val="24"/>
      <w:szCs w:val="24"/>
      <w:u w:val="single"/>
    </w:rPr>
  </w:style>
  <w:style w:type="character" w:customStyle="1" w:styleId="Heading4Char">
    <w:name w:val="Heading 4 Char"/>
    <w:basedOn w:val="DefaultParagraphFont"/>
    <w:link w:val="Heading4"/>
    <w:rsid w:val="004C3BD2"/>
    <w:rPr>
      <w:rFonts w:ascii="Calibri" w:hAnsi="Calibri" w:cs="Arial"/>
      <w:b/>
      <w:bCs/>
      <w:i/>
      <w:sz w:val="26"/>
      <w:szCs w:val="28"/>
    </w:rPr>
  </w:style>
  <w:style w:type="character" w:customStyle="1" w:styleId="Heading5Char">
    <w:name w:val="Heading 5 Char"/>
    <w:basedOn w:val="DefaultParagraphFont"/>
    <w:link w:val="Heading5"/>
    <w:rsid w:val="004C3BD2"/>
    <w:rPr>
      <w:rFonts w:ascii="Calibri" w:hAnsi="Calibri" w:cs="Arial"/>
      <w:b/>
      <w:bCs/>
      <w:iCs/>
      <w:sz w:val="26"/>
      <w:szCs w:val="26"/>
    </w:rPr>
  </w:style>
  <w:style w:type="character" w:customStyle="1" w:styleId="Heading6Char">
    <w:name w:val="Heading 6 Char"/>
    <w:basedOn w:val="DefaultParagraphFont"/>
    <w:link w:val="Heading6"/>
    <w:rsid w:val="004C3BD2"/>
    <w:rPr>
      <w:rFonts w:ascii="Calibri" w:hAnsi="Calibri" w:cs="Arial"/>
      <w:b/>
      <w:bCs/>
      <w:i/>
      <w:sz w:val="24"/>
      <w:szCs w:val="24"/>
    </w:rPr>
  </w:style>
  <w:style w:type="paragraph" w:styleId="ListNumber">
    <w:name w:val="List Number"/>
    <w:basedOn w:val="Normal"/>
    <w:uiPriority w:val="16"/>
    <w:qFormat/>
    <w:rsid w:val="004C3BD2"/>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styleId="ListNumber2">
    <w:name w:val="List Number 2"/>
    <w:basedOn w:val="Normal"/>
    <w:uiPriority w:val="16"/>
    <w:qFormat/>
    <w:rsid w:val="004C3BD2"/>
    <w:pPr>
      <w:tabs>
        <w:tab w:val="num" w:pos="720"/>
      </w:tabs>
      <w:spacing w:after="240" w:line="360" w:lineRule="auto"/>
      <w:ind w:left="720" w:hanging="363"/>
      <w:jc w:val="left"/>
    </w:pPr>
    <w:rPr>
      <w:rFonts w:ascii="Arial" w:eastAsiaTheme="minorHAnsi" w:hAnsi="Arial" w:cstheme="minorBidi"/>
      <w:sz w:val="20"/>
      <w:szCs w:val="20"/>
      <w:lang w:eastAsia="en-US"/>
    </w:rPr>
  </w:style>
  <w:style w:type="numbering" w:customStyle="1" w:styleId="Lists">
    <w:name w:val="Lists"/>
    <w:uiPriority w:val="99"/>
    <w:rsid w:val="004C3BD2"/>
    <w:pPr>
      <w:numPr>
        <w:numId w:val="13"/>
      </w:numPr>
    </w:pPr>
  </w:style>
  <w:style w:type="paragraph" w:styleId="ListNumber3">
    <w:name w:val="List Number 3"/>
    <w:basedOn w:val="Normal"/>
    <w:uiPriority w:val="16"/>
    <w:qFormat/>
    <w:rsid w:val="004C3BD2"/>
    <w:pPr>
      <w:tabs>
        <w:tab w:val="num" w:pos="1077"/>
      </w:tabs>
      <w:spacing w:after="240" w:line="360" w:lineRule="auto"/>
      <w:ind w:left="1077" w:hanging="357"/>
      <w:jc w:val="left"/>
    </w:pPr>
    <w:rPr>
      <w:rFonts w:ascii="Arial" w:eastAsiaTheme="minorHAnsi" w:hAnsi="Arial" w:cstheme="minorBidi"/>
      <w:sz w:val="20"/>
      <w:szCs w:val="20"/>
      <w:lang w:eastAsia="en-US"/>
    </w:rPr>
  </w:style>
  <w:style w:type="paragraph" w:styleId="ListNumber4">
    <w:name w:val="List Number 4"/>
    <w:basedOn w:val="Normal"/>
    <w:uiPriority w:val="16"/>
    <w:qFormat/>
    <w:rsid w:val="004C3BD2"/>
    <w:pPr>
      <w:tabs>
        <w:tab w:val="num" w:pos="1435"/>
      </w:tabs>
      <w:spacing w:after="240" w:line="360" w:lineRule="auto"/>
      <w:ind w:left="1435" w:hanging="358"/>
      <w:contextualSpacing/>
      <w:jc w:val="left"/>
    </w:pPr>
    <w:rPr>
      <w:rFonts w:ascii="Arial" w:eastAsiaTheme="minorHAnsi" w:hAnsi="Arial" w:cstheme="minorBidi"/>
      <w:sz w:val="20"/>
      <w:szCs w:val="20"/>
      <w:lang w:eastAsia="en-US"/>
    </w:rPr>
  </w:style>
  <w:style w:type="table" w:customStyle="1" w:styleId="TableGrid1">
    <w:name w:val="Table Grid1"/>
    <w:basedOn w:val="TableNormal"/>
    <w:next w:val="TableGrid"/>
    <w:uiPriority w:val="59"/>
    <w:rsid w:val="004C3BD2"/>
    <w:pPr>
      <w:spacing w:before="57" w:after="57" w:line="360" w:lineRule="auto"/>
      <w:ind w:left="108" w:right="108"/>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ableHeadingChar">
    <w:name w:val="Table Heading Char"/>
    <w:link w:val="TableHeading1"/>
    <w:rsid w:val="004C3BD2"/>
    <w:rPr>
      <w:rFonts w:ascii="Arial Narrow" w:eastAsiaTheme="minorHAnsi" w:hAnsi="Arial Narrow" w:cstheme="minorBidi"/>
      <w:b/>
      <w:szCs w:val="22"/>
      <w:lang w:eastAsia="en-US"/>
    </w:rPr>
  </w:style>
  <w:style w:type="numbering" w:customStyle="1" w:styleId="Lists1">
    <w:name w:val="Lists1"/>
    <w:uiPriority w:val="99"/>
    <w:rsid w:val="004C3BD2"/>
  </w:style>
  <w:style w:type="paragraph" w:customStyle="1" w:styleId="msonormal0">
    <w:name w:val="msonormal"/>
    <w:basedOn w:val="Normal"/>
    <w:uiPriority w:val="99"/>
    <w:rsid w:val="004C3BD2"/>
    <w:pPr>
      <w:spacing w:before="100" w:after="100"/>
      <w:jc w:val="left"/>
    </w:pPr>
    <w:rPr>
      <w:rFonts w:ascii="Times New Roman" w:hAnsi="Times New Roman" w:cs="Times New Roman"/>
      <w:szCs w:val="22"/>
      <w:lang w:val="en-GB" w:eastAsia="en-US"/>
    </w:rPr>
  </w:style>
  <w:style w:type="character" w:customStyle="1" w:styleId="FootnoteTextChar3">
    <w:name w:val="Footnote Text Char3"/>
    <w:aliases w:val="Footnote Text Char1 Char1,Footnote Text Char Char Char1,Footnote Text Char2 Char1,Footnote Text Char Char1 Char1"/>
    <w:basedOn w:val="DefaultParagraphFont"/>
    <w:semiHidden/>
    <w:rsid w:val="004C3BD2"/>
    <w:rPr>
      <w:rFonts w:ascii="Calibri" w:hAnsi="Calibri" w:cs="Arial"/>
      <w:lang w:eastAsia="en-US"/>
    </w:rPr>
  </w:style>
  <w:style w:type="character" w:customStyle="1" w:styleId="CommentTextChar1">
    <w:name w:val="Comment Text Char1"/>
    <w:aliases w:val="- H19 Char1"/>
    <w:basedOn w:val="DefaultParagraphFont"/>
    <w:uiPriority w:val="99"/>
    <w:semiHidden/>
    <w:rsid w:val="004C3BD2"/>
    <w:rPr>
      <w:rFonts w:ascii="Calibri" w:eastAsia="Times New Roman" w:hAnsi="Calibri" w:cs="Arial"/>
      <w:sz w:val="20"/>
      <w:szCs w:val="20"/>
    </w:rPr>
  </w:style>
  <w:style w:type="character" w:customStyle="1" w:styleId="HeaderChar1">
    <w:name w:val="Header Char1"/>
    <w:aliases w:val="Page Header Char1,Header title Char1,he=header Char1,cntr/bld Char1"/>
    <w:basedOn w:val="DefaultParagraphFont"/>
    <w:uiPriority w:val="99"/>
    <w:semiHidden/>
    <w:rsid w:val="004C3BD2"/>
    <w:rPr>
      <w:rFonts w:ascii="Calibri" w:eastAsia="Times New Roman" w:hAnsi="Calibri" w:cs="Arial"/>
      <w:szCs w:val="22"/>
    </w:rPr>
  </w:style>
  <w:style w:type="table" w:customStyle="1" w:styleId="Summarybox1">
    <w:name w:val="Summary box1"/>
    <w:basedOn w:val="TableNormal"/>
    <w:next w:val="TableGrid"/>
    <w:uiPriority w:val="39"/>
    <w:rsid w:val="004C3B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B12B77"/>
  </w:style>
  <w:style w:type="table" w:styleId="PlainTable4">
    <w:name w:val="Plain Table 4"/>
    <w:basedOn w:val="TableNormal"/>
    <w:uiPriority w:val="44"/>
    <w:rsid w:val="00B12B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397DE8"/>
    <w:rPr>
      <w:color w:val="605E5C"/>
      <w:shd w:val="clear" w:color="auto" w:fill="E1DFDD"/>
    </w:rPr>
  </w:style>
  <w:style w:type="paragraph" w:customStyle="1" w:styleId="3Bodytext">
    <w:name w:val="3. Body text"/>
    <w:basedOn w:val="ListParagraph"/>
    <w:link w:val="3BodytextChar"/>
    <w:qFormat/>
    <w:rsid w:val="00FF3526"/>
    <w:pPr>
      <w:numPr>
        <w:numId w:val="0"/>
      </w:numPr>
      <w:ind w:left="720" w:hanging="720"/>
      <w:jc w:val="left"/>
    </w:pPr>
    <w:rPr>
      <w:rFonts w:cstheme="minorBidi"/>
      <w:snapToGrid/>
      <w:sz w:val="22"/>
      <w:szCs w:val="22"/>
    </w:rPr>
  </w:style>
  <w:style w:type="character" w:customStyle="1" w:styleId="3BodytextChar">
    <w:name w:val="3. Body text Char"/>
    <w:basedOn w:val="ListParagraphChar"/>
    <w:link w:val="3Bodytext"/>
    <w:rsid w:val="00FF3526"/>
    <w:rPr>
      <w:rFonts w:asciiTheme="minorHAnsi" w:hAnsiTheme="minorHAnsi" w:cstheme="minorBidi"/>
      <w:snapToGrid/>
      <w:sz w:val="22"/>
      <w:szCs w:val="22"/>
    </w:rPr>
  </w:style>
  <w:style w:type="paragraph" w:customStyle="1" w:styleId="3-SubsectionHeading">
    <w:name w:val="3-Subsection Heading"/>
    <w:basedOn w:val="Heading2"/>
    <w:next w:val="Normal"/>
    <w:link w:val="3-SubsectionHeadingChar"/>
    <w:qFormat/>
    <w:rsid w:val="0033784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37846"/>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814">
      <w:bodyDiv w:val="1"/>
      <w:marLeft w:val="0"/>
      <w:marRight w:val="0"/>
      <w:marTop w:val="0"/>
      <w:marBottom w:val="0"/>
      <w:divBdr>
        <w:top w:val="none" w:sz="0" w:space="0" w:color="auto"/>
        <w:left w:val="none" w:sz="0" w:space="0" w:color="auto"/>
        <w:bottom w:val="none" w:sz="0" w:space="0" w:color="auto"/>
        <w:right w:val="none" w:sz="0" w:space="0" w:color="auto"/>
      </w:divBdr>
    </w:div>
    <w:div w:id="32923256">
      <w:bodyDiv w:val="1"/>
      <w:marLeft w:val="0"/>
      <w:marRight w:val="0"/>
      <w:marTop w:val="0"/>
      <w:marBottom w:val="0"/>
      <w:divBdr>
        <w:top w:val="none" w:sz="0" w:space="0" w:color="auto"/>
        <w:left w:val="none" w:sz="0" w:space="0" w:color="auto"/>
        <w:bottom w:val="none" w:sz="0" w:space="0" w:color="auto"/>
        <w:right w:val="none" w:sz="0" w:space="0" w:color="auto"/>
      </w:divBdr>
    </w:div>
    <w:div w:id="46536378">
      <w:bodyDiv w:val="1"/>
      <w:marLeft w:val="0"/>
      <w:marRight w:val="0"/>
      <w:marTop w:val="0"/>
      <w:marBottom w:val="0"/>
      <w:divBdr>
        <w:top w:val="none" w:sz="0" w:space="0" w:color="auto"/>
        <w:left w:val="none" w:sz="0" w:space="0" w:color="auto"/>
        <w:bottom w:val="none" w:sz="0" w:space="0" w:color="auto"/>
        <w:right w:val="none" w:sz="0" w:space="0" w:color="auto"/>
      </w:divBdr>
    </w:div>
    <w:div w:id="63724796">
      <w:bodyDiv w:val="1"/>
      <w:marLeft w:val="0"/>
      <w:marRight w:val="0"/>
      <w:marTop w:val="0"/>
      <w:marBottom w:val="0"/>
      <w:divBdr>
        <w:top w:val="none" w:sz="0" w:space="0" w:color="auto"/>
        <w:left w:val="none" w:sz="0" w:space="0" w:color="auto"/>
        <w:bottom w:val="none" w:sz="0" w:space="0" w:color="auto"/>
        <w:right w:val="none" w:sz="0" w:space="0" w:color="auto"/>
      </w:divBdr>
    </w:div>
    <w:div w:id="78795649">
      <w:bodyDiv w:val="1"/>
      <w:marLeft w:val="0"/>
      <w:marRight w:val="0"/>
      <w:marTop w:val="0"/>
      <w:marBottom w:val="0"/>
      <w:divBdr>
        <w:top w:val="none" w:sz="0" w:space="0" w:color="auto"/>
        <w:left w:val="none" w:sz="0" w:space="0" w:color="auto"/>
        <w:bottom w:val="none" w:sz="0" w:space="0" w:color="auto"/>
        <w:right w:val="none" w:sz="0" w:space="0" w:color="auto"/>
      </w:divBdr>
    </w:div>
    <w:div w:id="9706442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951465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9523246">
      <w:bodyDiv w:val="1"/>
      <w:marLeft w:val="0"/>
      <w:marRight w:val="0"/>
      <w:marTop w:val="0"/>
      <w:marBottom w:val="0"/>
      <w:divBdr>
        <w:top w:val="none" w:sz="0" w:space="0" w:color="auto"/>
        <w:left w:val="none" w:sz="0" w:space="0" w:color="auto"/>
        <w:bottom w:val="none" w:sz="0" w:space="0" w:color="auto"/>
        <w:right w:val="none" w:sz="0" w:space="0" w:color="auto"/>
      </w:divBdr>
    </w:div>
    <w:div w:id="178736964">
      <w:bodyDiv w:val="1"/>
      <w:marLeft w:val="0"/>
      <w:marRight w:val="0"/>
      <w:marTop w:val="0"/>
      <w:marBottom w:val="0"/>
      <w:divBdr>
        <w:top w:val="none" w:sz="0" w:space="0" w:color="auto"/>
        <w:left w:val="none" w:sz="0" w:space="0" w:color="auto"/>
        <w:bottom w:val="none" w:sz="0" w:space="0" w:color="auto"/>
        <w:right w:val="none" w:sz="0" w:space="0" w:color="auto"/>
      </w:divBdr>
    </w:div>
    <w:div w:id="187960732">
      <w:bodyDiv w:val="1"/>
      <w:marLeft w:val="0"/>
      <w:marRight w:val="0"/>
      <w:marTop w:val="0"/>
      <w:marBottom w:val="0"/>
      <w:divBdr>
        <w:top w:val="none" w:sz="0" w:space="0" w:color="auto"/>
        <w:left w:val="none" w:sz="0" w:space="0" w:color="auto"/>
        <w:bottom w:val="none" w:sz="0" w:space="0" w:color="auto"/>
        <w:right w:val="none" w:sz="0" w:space="0" w:color="auto"/>
      </w:divBdr>
    </w:div>
    <w:div w:id="215705956">
      <w:bodyDiv w:val="1"/>
      <w:marLeft w:val="0"/>
      <w:marRight w:val="0"/>
      <w:marTop w:val="0"/>
      <w:marBottom w:val="0"/>
      <w:divBdr>
        <w:top w:val="none" w:sz="0" w:space="0" w:color="auto"/>
        <w:left w:val="none" w:sz="0" w:space="0" w:color="auto"/>
        <w:bottom w:val="none" w:sz="0" w:space="0" w:color="auto"/>
        <w:right w:val="none" w:sz="0" w:space="0" w:color="auto"/>
      </w:divBdr>
    </w:div>
    <w:div w:id="291523073">
      <w:bodyDiv w:val="1"/>
      <w:marLeft w:val="0"/>
      <w:marRight w:val="0"/>
      <w:marTop w:val="0"/>
      <w:marBottom w:val="0"/>
      <w:divBdr>
        <w:top w:val="none" w:sz="0" w:space="0" w:color="auto"/>
        <w:left w:val="none" w:sz="0" w:space="0" w:color="auto"/>
        <w:bottom w:val="none" w:sz="0" w:space="0" w:color="auto"/>
        <w:right w:val="none" w:sz="0" w:space="0" w:color="auto"/>
      </w:divBdr>
    </w:div>
    <w:div w:id="3135271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8337166">
      <w:bodyDiv w:val="1"/>
      <w:marLeft w:val="0"/>
      <w:marRight w:val="0"/>
      <w:marTop w:val="0"/>
      <w:marBottom w:val="0"/>
      <w:divBdr>
        <w:top w:val="none" w:sz="0" w:space="0" w:color="auto"/>
        <w:left w:val="none" w:sz="0" w:space="0" w:color="auto"/>
        <w:bottom w:val="none" w:sz="0" w:space="0" w:color="auto"/>
        <w:right w:val="none" w:sz="0" w:space="0" w:color="auto"/>
      </w:divBdr>
    </w:div>
    <w:div w:id="342363308">
      <w:bodyDiv w:val="1"/>
      <w:marLeft w:val="0"/>
      <w:marRight w:val="0"/>
      <w:marTop w:val="0"/>
      <w:marBottom w:val="0"/>
      <w:divBdr>
        <w:top w:val="none" w:sz="0" w:space="0" w:color="auto"/>
        <w:left w:val="none" w:sz="0" w:space="0" w:color="auto"/>
        <w:bottom w:val="none" w:sz="0" w:space="0" w:color="auto"/>
        <w:right w:val="none" w:sz="0" w:space="0" w:color="auto"/>
      </w:divBdr>
    </w:div>
    <w:div w:id="349071151">
      <w:bodyDiv w:val="1"/>
      <w:marLeft w:val="0"/>
      <w:marRight w:val="0"/>
      <w:marTop w:val="0"/>
      <w:marBottom w:val="0"/>
      <w:divBdr>
        <w:top w:val="none" w:sz="0" w:space="0" w:color="auto"/>
        <w:left w:val="none" w:sz="0" w:space="0" w:color="auto"/>
        <w:bottom w:val="none" w:sz="0" w:space="0" w:color="auto"/>
        <w:right w:val="none" w:sz="0" w:space="0" w:color="auto"/>
      </w:divBdr>
    </w:div>
    <w:div w:id="381901439">
      <w:bodyDiv w:val="1"/>
      <w:marLeft w:val="0"/>
      <w:marRight w:val="0"/>
      <w:marTop w:val="0"/>
      <w:marBottom w:val="0"/>
      <w:divBdr>
        <w:top w:val="none" w:sz="0" w:space="0" w:color="auto"/>
        <w:left w:val="none" w:sz="0" w:space="0" w:color="auto"/>
        <w:bottom w:val="none" w:sz="0" w:space="0" w:color="auto"/>
        <w:right w:val="none" w:sz="0" w:space="0" w:color="auto"/>
      </w:divBdr>
    </w:div>
    <w:div w:id="412776639">
      <w:bodyDiv w:val="1"/>
      <w:marLeft w:val="0"/>
      <w:marRight w:val="0"/>
      <w:marTop w:val="0"/>
      <w:marBottom w:val="0"/>
      <w:divBdr>
        <w:top w:val="none" w:sz="0" w:space="0" w:color="auto"/>
        <w:left w:val="none" w:sz="0" w:space="0" w:color="auto"/>
        <w:bottom w:val="none" w:sz="0" w:space="0" w:color="auto"/>
        <w:right w:val="none" w:sz="0" w:space="0" w:color="auto"/>
      </w:divBdr>
    </w:div>
    <w:div w:id="417479490">
      <w:bodyDiv w:val="1"/>
      <w:marLeft w:val="0"/>
      <w:marRight w:val="0"/>
      <w:marTop w:val="0"/>
      <w:marBottom w:val="0"/>
      <w:divBdr>
        <w:top w:val="none" w:sz="0" w:space="0" w:color="auto"/>
        <w:left w:val="none" w:sz="0" w:space="0" w:color="auto"/>
        <w:bottom w:val="none" w:sz="0" w:space="0" w:color="auto"/>
        <w:right w:val="none" w:sz="0" w:space="0" w:color="auto"/>
      </w:divBdr>
    </w:div>
    <w:div w:id="499736931">
      <w:bodyDiv w:val="1"/>
      <w:marLeft w:val="0"/>
      <w:marRight w:val="0"/>
      <w:marTop w:val="0"/>
      <w:marBottom w:val="0"/>
      <w:divBdr>
        <w:top w:val="none" w:sz="0" w:space="0" w:color="auto"/>
        <w:left w:val="none" w:sz="0" w:space="0" w:color="auto"/>
        <w:bottom w:val="none" w:sz="0" w:space="0" w:color="auto"/>
        <w:right w:val="none" w:sz="0" w:space="0" w:color="auto"/>
      </w:divBdr>
    </w:div>
    <w:div w:id="507907277">
      <w:bodyDiv w:val="1"/>
      <w:marLeft w:val="0"/>
      <w:marRight w:val="0"/>
      <w:marTop w:val="0"/>
      <w:marBottom w:val="0"/>
      <w:divBdr>
        <w:top w:val="none" w:sz="0" w:space="0" w:color="auto"/>
        <w:left w:val="none" w:sz="0" w:space="0" w:color="auto"/>
        <w:bottom w:val="none" w:sz="0" w:space="0" w:color="auto"/>
        <w:right w:val="none" w:sz="0" w:space="0" w:color="auto"/>
      </w:divBdr>
    </w:div>
    <w:div w:id="531573365">
      <w:bodyDiv w:val="1"/>
      <w:marLeft w:val="0"/>
      <w:marRight w:val="0"/>
      <w:marTop w:val="0"/>
      <w:marBottom w:val="0"/>
      <w:divBdr>
        <w:top w:val="none" w:sz="0" w:space="0" w:color="auto"/>
        <w:left w:val="none" w:sz="0" w:space="0" w:color="auto"/>
        <w:bottom w:val="none" w:sz="0" w:space="0" w:color="auto"/>
        <w:right w:val="none" w:sz="0" w:space="0" w:color="auto"/>
      </w:divBdr>
    </w:div>
    <w:div w:id="537469375">
      <w:bodyDiv w:val="1"/>
      <w:marLeft w:val="0"/>
      <w:marRight w:val="0"/>
      <w:marTop w:val="0"/>
      <w:marBottom w:val="0"/>
      <w:divBdr>
        <w:top w:val="none" w:sz="0" w:space="0" w:color="auto"/>
        <w:left w:val="none" w:sz="0" w:space="0" w:color="auto"/>
        <w:bottom w:val="none" w:sz="0" w:space="0" w:color="auto"/>
        <w:right w:val="none" w:sz="0" w:space="0" w:color="auto"/>
      </w:divBdr>
    </w:div>
    <w:div w:id="566840279">
      <w:bodyDiv w:val="1"/>
      <w:marLeft w:val="0"/>
      <w:marRight w:val="0"/>
      <w:marTop w:val="0"/>
      <w:marBottom w:val="0"/>
      <w:divBdr>
        <w:top w:val="none" w:sz="0" w:space="0" w:color="auto"/>
        <w:left w:val="none" w:sz="0" w:space="0" w:color="auto"/>
        <w:bottom w:val="none" w:sz="0" w:space="0" w:color="auto"/>
        <w:right w:val="none" w:sz="0" w:space="0" w:color="auto"/>
      </w:divBdr>
    </w:div>
    <w:div w:id="576863459">
      <w:bodyDiv w:val="1"/>
      <w:marLeft w:val="0"/>
      <w:marRight w:val="0"/>
      <w:marTop w:val="0"/>
      <w:marBottom w:val="0"/>
      <w:divBdr>
        <w:top w:val="none" w:sz="0" w:space="0" w:color="auto"/>
        <w:left w:val="none" w:sz="0" w:space="0" w:color="auto"/>
        <w:bottom w:val="none" w:sz="0" w:space="0" w:color="auto"/>
        <w:right w:val="none" w:sz="0" w:space="0" w:color="auto"/>
      </w:divBdr>
    </w:div>
    <w:div w:id="635523299">
      <w:bodyDiv w:val="1"/>
      <w:marLeft w:val="0"/>
      <w:marRight w:val="0"/>
      <w:marTop w:val="0"/>
      <w:marBottom w:val="0"/>
      <w:divBdr>
        <w:top w:val="none" w:sz="0" w:space="0" w:color="auto"/>
        <w:left w:val="none" w:sz="0" w:space="0" w:color="auto"/>
        <w:bottom w:val="none" w:sz="0" w:space="0" w:color="auto"/>
        <w:right w:val="none" w:sz="0" w:space="0" w:color="auto"/>
      </w:divBdr>
    </w:div>
    <w:div w:id="649988745">
      <w:bodyDiv w:val="1"/>
      <w:marLeft w:val="0"/>
      <w:marRight w:val="0"/>
      <w:marTop w:val="0"/>
      <w:marBottom w:val="0"/>
      <w:divBdr>
        <w:top w:val="none" w:sz="0" w:space="0" w:color="auto"/>
        <w:left w:val="none" w:sz="0" w:space="0" w:color="auto"/>
        <w:bottom w:val="none" w:sz="0" w:space="0" w:color="auto"/>
        <w:right w:val="none" w:sz="0" w:space="0" w:color="auto"/>
      </w:divBdr>
    </w:div>
    <w:div w:id="653797022">
      <w:bodyDiv w:val="1"/>
      <w:marLeft w:val="0"/>
      <w:marRight w:val="0"/>
      <w:marTop w:val="0"/>
      <w:marBottom w:val="0"/>
      <w:divBdr>
        <w:top w:val="none" w:sz="0" w:space="0" w:color="auto"/>
        <w:left w:val="none" w:sz="0" w:space="0" w:color="auto"/>
        <w:bottom w:val="none" w:sz="0" w:space="0" w:color="auto"/>
        <w:right w:val="none" w:sz="0" w:space="0" w:color="auto"/>
      </w:divBdr>
    </w:div>
    <w:div w:id="655308364">
      <w:bodyDiv w:val="1"/>
      <w:marLeft w:val="0"/>
      <w:marRight w:val="0"/>
      <w:marTop w:val="0"/>
      <w:marBottom w:val="0"/>
      <w:divBdr>
        <w:top w:val="none" w:sz="0" w:space="0" w:color="auto"/>
        <w:left w:val="none" w:sz="0" w:space="0" w:color="auto"/>
        <w:bottom w:val="none" w:sz="0" w:space="0" w:color="auto"/>
        <w:right w:val="none" w:sz="0" w:space="0" w:color="auto"/>
      </w:divBdr>
    </w:div>
    <w:div w:id="656496896">
      <w:bodyDiv w:val="1"/>
      <w:marLeft w:val="0"/>
      <w:marRight w:val="0"/>
      <w:marTop w:val="0"/>
      <w:marBottom w:val="0"/>
      <w:divBdr>
        <w:top w:val="none" w:sz="0" w:space="0" w:color="auto"/>
        <w:left w:val="none" w:sz="0" w:space="0" w:color="auto"/>
        <w:bottom w:val="none" w:sz="0" w:space="0" w:color="auto"/>
        <w:right w:val="none" w:sz="0" w:space="0" w:color="auto"/>
      </w:divBdr>
    </w:div>
    <w:div w:id="665211332">
      <w:bodyDiv w:val="1"/>
      <w:marLeft w:val="0"/>
      <w:marRight w:val="0"/>
      <w:marTop w:val="0"/>
      <w:marBottom w:val="0"/>
      <w:divBdr>
        <w:top w:val="none" w:sz="0" w:space="0" w:color="auto"/>
        <w:left w:val="none" w:sz="0" w:space="0" w:color="auto"/>
        <w:bottom w:val="none" w:sz="0" w:space="0" w:color="auto"/>
        <w:right w:val="none" w:sz="0" w:space="0" w:color="auto"/>
      </w:divBdr>
    </w:div>
    <w:div w:id="681709905">
      <w:bodyDiv w:val="1"/>
      <w:marLeft w:val="0"/>
      <w:marRight w:val="0"/>
      <w:marTop w:val="0"/>
      <w:marBottom w:val="0"/>
      <w:divBdr>
        <w:top w:val="none" w:sz="0" w:space="0" w:color="auto"/>
        <w:left w:val="none" w:sz="0" w:space="0" w:color="auto"/>
        <w:bottom w:val="none" w:sz="0" w:space="0" w:color="auto"/>
        <w:right w:val="none" w:sz="0" w:space="0" w:color="auto"/>
      </w:divBdr>
    </w:div>
    <w:div w:id="710960926">
      <w:bodyDiv w:val="1"/>
      <w:marLeft w:val="0"/>
      <w:marRight w:val="0"/>
      <w:marTop w:val="0"/>
      <w:marBottom w:val="0"/>
      <w:divBdr>
        <w:top w:val="none" w:sz="0" w:space="0" w:color="auto"/>
        <w:left w:val="none" w:sz="0" w:space="0" w:color="auto"/>
        <w:bottom w:val="none" w:sz="0" w:space="0" w:color="auto"/>
        <w:right w:val="none" w:sz="0" w:space="0" w:color="auto"/>
      </w:divBdr>
    </w:div>
    <w:div w:id="714623855">
      <w:bodyDiv w:val="1"/>
      <w:marLeft w:val="0"/>
      <w:marRight w:val="0"/>
      <w:marTop w:val="0"/>
      <w:marBottom w:val="0"/>
      <w:divBdr>
        <w:top w:val="none" w:sz="0" w:space="0" w:color="auto"/>
        <w:left w:val="none" w:sz="0" w:space="0" w:color="auto"/>
        <w:bottom w:val="none" w:sz="0" w:space="0" w:color="auto"/>
        <w:right w:val="none" w:sz="0" w:space="0" w:color="auto"/>
      </w:divBdr>
    </w:div>
    <w:div w:id="716588921">
      <w:bodyDiv w:val="1"/>
      <w:marLeft w:val="0"/>
      <w:marRight w:val="0"/>
      <w:marTop w:val="0"/>
      <w:marBottom w:val="0"/>
      <w:divBdr>
        <w:top w:val="none" w:sz="0" w:space="0" w:color="auto"/>
        <w:left w:val="none" w:sz="0" w:space="0" w:color="auto"/>
        <w:bottom w:val="none" w:sz="0" w:space="0" w:color="auto"/>
        <w:right w:val="none" w:sz="0" w:space="0" w:color="auto"/>
      </w:divBdr>
    </w:div>
    <w:div w:id="750781885">
      <w:bodyDiv w:val="1"/>
      <w:marLeft w:val="0"/>
      <w:marRight w:val="0"/>
      <w:marTop w:val="0"/>
      <w:marBottom w:val="0"/>
      <w:divBdr>
        <w:top w:val="none" w:sz="0" w:space="0" w:color="auto"/>
        <w:left w:val="none" w:sz="0" w:space="0" w:color="auto"/>
        <w:bottom w:val="none" w:sz="0" w:space="0" w:color="auto"/>
        <w:right w:val="none" w:sz="0" w:space="0" w:color="auto"/>
      </w:divBdr>
    </w:div>
    <w:div w:id="758598832">
      <w:bodyDiv w:val="1"/>
      <w:marLeft w:val="0"/>
      <w:marRight w:val="0"/>
      <w:marTop w:val="0"/>
      <w:marBottom w:val="0"/>
      <w:divBdr>
        <w:top w:val="none" w:sz="0" w:space="0" w:color="auto"/>
        <w:left w:val="none" w:sz="0" w:space="0" w:color="auto"/>
        <w:bottom w:val="none" w:sz="0" w:space="0" w:color="auto"/>
        <w:right w:val="none" w:sz="0" w:space="0" w:color="auto"/>
      </w:divBdr>
    </w:div>
    <w:div w:id="766001146">
      <w:bodyDiv w:val="1"/>
      <w:marLeft w:val="0"/>
      <w:marRight w:val="0"/>
      <w:marTop w:val="0"/>
      <w:marBottom w:val="0"/>
      <w:divBdr>
        <w:top w:val="none" w:sz="0" w:space="0" w:color="auto"/>
        <w:left w:val="none" w:sz="0" w:space="0" w:color="auto"/>
        <w:bottom w:val="none" w:sz="0" w:space="0" w:color="auto"/>
        <w:right w:val="none" w:sz="0" w:space="0" w:color="auto"/>
      </w:divBdr>
    </w:div>
    <w:div w:id="796219503">
      <w:bodyDiv w:val="1"/>
      <w:marLeft w:val="0"/>
      <w:marRight w:val="0"/>
      <w:marTop w:val="0"/>
      <w:marBottom w:val="0"/>
      <w:divBdr>
        <w:top w:val="none" w:sz="0" w:space="0" w:color="auto"/>
        <w:left w:val="none" w:sz="0" w:space="0" w:color="auto"/>
        <w:bottom w:val="none" w:sz="0" w:space="0" w:color="auto"/>
        <w:right w:val="none" w:sz="0" w:space="0" w:color="auto"/>
      </w:divBdr>
    </w:div>
    <w:div w:id="814025746">
      <w:bodyDiv w:val="1"/>
      <w:marLeft w:val="0"/>
      <w:marRight w:val="0"/>
      <w:marTop w:val="0"/>
      <w:marBottom w:val="0"/>
      <w:divBdr>
        <w:top w:val="none" w:sz="0" w:space="0" w:color="auto"/>
        <w:left w:val="none" w:sz="0" w:space="0" w:color="auto"/>
        <w:bottom w:val="none" w:sz="0" w:space="0" w:color="auto"/>
        <w:right w:val="none" w:sz="0" w:space="0" w:color="auto"/>
      </w:divBdr>
    </w:div>
    <w:div w:id="830029165">
      <w:bodyDiv w:val="1"/>
      <w:marLeft w:val="0"/>
      <w:marRight w:val="0"/>
      <w:marTop w:val="0"/>
      <w:marBottom w:val="0"/>
      <w:divBdr>
        <w:top w:val="none" w:sz="0" w:space="0" w:color="auto"/>
        <w:left w:val="none" w:sz="0" w:space="0" w:color="auto"/>
        <w:bottom w:val="none" w:sz="0" w:space="0" w:color="auto"/>
        <w:right w:val="none" w:sz="0" w:space="0" w:color="auto"/>
      </w:divBdr>
    </w:div>
    <w:div w:id="830484659">
      <w:bodyDiv w:val="1"/>
      <w:marLeft w:val="0"/>
      <w:marRight w:val="0"/>
      <w:marTop w:val="0"/>
      <w:marBottom w:val="0"/>
      <w:divBdr>
        <w:top w:val="none" w:sz="0" w:space="0" w:color="auto"/>
        <w:left w:val="none" w:sz="0" w:space="0" w:color="auto"/>
        <w:bottom w:val="none" w:sz="0" w:space="0" w:color="auto"/>
        <w:right w:val="none" w:sz="0" w:space="0" w:color="auto"/>
      </w:divBdr>
    </w:div>
    <w:div w:id="890118466">
      <w:bodyDiv w:val="1"/>
      <w:marLeft w:val="0"/>
      <w:marRight w:val="0"/>
      <w:marTop w:val="0"/>
      <w:marBottom w:val="0"/>
      <w:divBdr>
        <w:top w:val="none" w:sz="0" w:space="0" w:color="auto"/>
        <w:left w:val="none" w:sz="0" w:space="0" w:color="auto"/>
        <w:bottom w:val="none" w:sz="0" w:space="0" w:color="auto"/>
        <w:right w:val="none" w:sz="0" w:space="0" w:color="auto"/>
      </w:divBdr>
    </w:div>
    <w:div w:id="901403077">
      <w:bodyDiv w:val="1"/>
      <w:marLeft w:val="0"/>
      <w:marRight w:val="0"/>
      <w:marTop w:val="0"/>
      <w:marBottom w:val="0"/>
      <w:divBdr>
        <w:top w:val="none" w:sz="0" w:space="0" w:color="auto"/>
        <w:left w:val="none" w:sz="0" w:space="0" w:color="auto"/>
        <w:bottom w:val="none" w:sz="0" w:space="0" w:color="auto"/>
        <w:right w:val="none" w:sz="0" w:space="0" w:color="auto"/>
      </w:divBdr>
    </w:div>
    <w:div w:id="943272970">
      <w:bodyDiv w:val="1"/>
      <w:marLeft w:val="0"/>
      <w:marRight w:val="0"/>
      <w:marTop w:val="0"/>
      <w:marBottom w:val="0"/>
      <w:divBdr>
        <w:top w:val="none" w:sz="0" w:space="0" w:color="auto"/>
        <w:left w:val="none" w:sz="0" w:space="0" w:color="auto"/>
        <w:bottom w:val="none" w:sz="0" w:space="0" w:color="auto"/>
        <w:right w:val="none" w:sz="0" w:space="0" w:color="auto"/>
      </w:divBdr>
    </w:div>
    <w:div w:id="946429124">
      <w:bodyDiv w:val="1"/>
      <w:marLeft w:val="0"/>
      <w:marRight w:val="0"/>
      <w:marTop w:val="0"/>
      <w:marBottom w:val="0"/>
      <w:divBdr>
        <w:top w:val="none" w:sz="0" w:space="0" w:color="auto"/>
        <w:left w:val="none" w:sz="0" w:space="0" w:color="auto"/>
        <w:bottom w:val="none" w:sz="0" w:space="0" w:color="auto"/>
        <w:right w:val="none" w:sz="0" w:space="0" w:color="auto"/>
      </w:divBdr>
    </w:div>
    <w:div w:id="959340585">
      <w:bodyDiv w:val="1"/>
      <w:marLeft w:val="0"/>
      <w:marRight w:val="0"/>
      <w:marTop w:val="0"/>
      <w:marBottom w:val="0"/>
      <w:divBdr>
        <w:top w:val="none" w:sz="0" w:space="0" w:color="auto"/>
        <w:left w:val="none" w:sz="0" w:space="0" w:color="auto"/>
        <w:bottom w:val="none" w:sz="0" w:space="0" w:color="auto"/>
        <w:right w:val="none" w:sz="0" w:space="0" w:color="auto"/>
      </w:divBdr>
    </w:div>
    <w:div w:id="991835464">
      <w:bodyDiv w:val="1"/>
      <w:marLeft w:val="0"/>
      <w:marRight w:val="0"/>
      <w:marTop w:val="0"/>
      <w:marBottom w:val="0"/>
      <w:divBdr>
        <w:top w:val="none" w:sz="0" w:space="0" w:color="auto"/>
        <w:left w:val="none" w:sz="0" w:space="0" w:color="auto"/>
        <w:bottom w:val="none" w:sz="0" w:space="0" w:color="auto"/>
        <w:right w:val="none" w:sz="0" w:space="0" w:color="auto"/>
      </w:divBdr>
    </w:div>
    <w:div w:id="1004481296">
      <w:bodyDiv w:val="1"/>
      <w:marLeft w:val="0"/>
      <w:marRight w:val="0"/>
      <w:marTop w:val="0"/>
      <w:marBottom w:val="0"/>
      <w:divBdr>
        <w:top w:val="none" w:sz="0" w:space="0" w:color="auto"/>
        <w:left w:val="none" w:sz="0" w:space="0" w:color="auto"/>
        <w:bottom w:val="none" w:sz="0" w:space="0" w:color="auto"/>
        <w:right w:val="none" w:sz="0" w:space="0" w:color="auto"/>
      </w:divBdr>
    </w:div>
    <w:div w:id="1025401912">
      <w:bodyDiv w:val="1"/>
      <w:marLeft w:val="0"/>
      <w:marRight w:val="0"/>
      <w:marTop w:val="0"/>
      <w:marBottom w:val="0"/>
      <w:divBdr>
        <w:top w:val="none" w:sz="0" w:space="0" w:color="auto"/>
        <w:left w:val="none" w:sz="0" w:space="0" w:color="auto"/>
        <w:bottom w:val="none" w:sz="0" w:space="0" w:color="auto"/>
        <w:right w:val="none" w:sz="0" w:space="0" w:color="auto"/>
      </w:divBdr>
    </w:div>
    <w:div w:id="1032076513">
      <w:bodyDiv w:val="1"/>
      <w:marLeft w:val="0"/>
      <w:marRight w:val="0"/>
      <w:marTop w:val="0"/>
      <w:marBottom w:val="0"/>
      <w:divBdr>
        <w:top w:val="none" w:sz="0" w:space="0" w:color="auto"/>
        <w:left w:val="none" w:sz="0" w:space="0" w:color="auto"/>
        <w:bottom w:val="none" w:sz="0" w:space="0" w:color="auto"/>
        <w:right w:val="none" w:sz="0" w:space="0" w:color="auto"/>
      </w:divBdr>
    </w:div>
    <w:div w:id="1074278565">
      <w:bodyDiv w:val="1"/>
      <w:marLeft w:val="0"/>
      <w:marRight w:val="0"/>
      <w:marTop w:val="0"/>
      <w:marBottom w:val="0"/>
      <w:divBdr>
        <w:top w:val="none" w:sz="0" w:space="0" w:color="auto"/>
        <w:left w:val="none" w:sz="0" w:space="0" w:color="auto"/>
        <w:bottom w:val="none" w:sz="0" w:space="0" w:color="auto"/>
        <w:right w:val="none" w:sz="0" w:space="0" w:color="auto"/>
      </w:divBdr>
    </w:div>
    <w:div w:id="1102916968">
      <w:bodyDiv w:val="1"/>
      <w:marLeft w:val="0"/>
      <w:marRight w:val="0"/>
      <w:marTop w:val="0"/>
      <w:marBottom w:val="0"/>
      <w:divBdr>
        <w:top w:val="none" w:sz="0" w:space="0" w:color="auto"/>
        <w:left w:val="none" w:sz="0" w:space="0" w:color="auto"/>
        <w:bottom w:val="none" w:sz="0" w:space="0" w:color="auto"/>
        <w:right w:val="none" w:sz="0" w:space="0" w:color="auto"/>
      </w:divBdr>
    </w:div>
    <w:div w:id="1132288557">
      <w:bodyDiv w:val="1"/>
      <w:marLeft w:val="0"/>
      <w:marRight w:val="0"/>
      <w:marTop w:val="0"/>
      <w:marBottom w:val="0"/>
      <w:divBdr>
        <w:top w:val="none" w:sz="0" w:space="0" w:color="auto"/>
        <w:left w:val="none" w:sz="0" w:space="0" w:color="auto"/>
        <w:bottom w:val="none" w:sz="0" w:space="0" w:color="auto"/>
        <w:right w:val="none" w:sz="0" w:space="0" w:color="auto"/>
      </w:divBdr>
    </w:div>
    <w:div w:id="1134836223">
      <w:bodyDiv w:val="1"/>
      <w:marLeft w:val="0"/>
      <w:marRight w:val="0"/>
      <w:marTop w:val="0"/>
      <w:marBottom w:val="0"/>
      <w:divBdr>
        <w:top w:val="none" w:sz="0" w:space="0" w:color="auto"/>
        <w:left w:val="none" w:sz="0" w:space="0" w:color="auto"/>
        <w:bottom w:val="none" w:sz="0" w:space="0" w:color="auto"/>
        <w:right w:val="none" w:sz="0" w:space="0" w:color="auto"/>
      </w:divBdr>
    </w:div>
    <w:div w:id="116905298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5422">
      <w:bodyDiv w:val="1"/>
      <w:marLeft w:val="0"/>
      <w:marRight w:val="0"/>
      <w:marTop w:val="0"/>
      <w:marBottom w:val="0"/>
      <w:divBdr>
        <w:top w:val="none" w:sz="0" w:space="0" w:color="auto"/>
        <w:left w:val="none" w:sz="0" w:space="0" w:color="auto"/>
        <w:bottom w:val="none" w:sz="0" w:space="0" w:color="auto"/>
        <w:right w:val="none" w:sz="0" w:space="0" w:color="auto"/>
      </w:divBdr>
    </w:div>
    <w:div w:id="1279216719">
      <w:bodyDiv w:val="1"/>
      <w:marLeft w:val="0"/>
      <w:marRight w:val="0"/>
      <w:marTop w:val="0"/>
      <w:marBottom w:val="0"/>
      <w:divBdr>
        <w:top w:val="none" w:sz="0" w:space="0" w:color="auto"/>
        <w:left w:val="none" w:sz="0" w:space="0" w:color="auto"/>
        <w:bottom w:val="none" w:sz="0" w:space="0" w:color="auto"/>
        <w:right w:val="none" w:sz="0" w:space="0" w:color="auto"/>
      </w:divBdr>
    </w:div>
    <w:div w:id="1293559734">
      <w:bodyDiv w:val="1"/>
      <w:marLeft w:val="0"/>
      <w:marRight w:val="0"/>
      <w:marTop w:val="0"/>
      <w:marBottom w:val="0"/>
      <w:divBdr>
        <w:top w:val="none" w:sz="0" w:space="0" w:color="auto"/>
        <w:left w:val="none" w:sz="0" w:space="0" w:color="auto"/>
        <w:bottom w:val="none" w:sz="0" w:space="0" w:color="auto"/>
        <w:right w:val="none" w:sz="0" w:space="0" w:color="auto"/>
      </w:divBdr>
    </w:div>
    <w:div w:id="1309628272">
      <w:bodyDiv w:val="1"/>
      <w:marLeft w:val="0"/>
      <w:marRight w:val="0"/>
      <w:marTop w:val="0"/>
      <w:marBottom w:val="0"/>
      <w:divBdr>
        <w:top w:val="none" w:sz="0" w:space="0" w:color="auto"/>
        <w:left w:val="none" w:sz="0" w:space="0" w:color="auto"/>
        <w:bottom w:val="none" w:sz="0" w:space="0" w:color="auto"/>
        <w:right w:val="none" w:sz="0" w:space="0" w:color="auto"/>
      </w:divBdr>
    </w:div>
    <w:div w:id="1325164433">
      <w:bodyDiv w:val="1"/>
      <w:marLeft w:val="0"/>
      <w:marRight w:val="0"/>
      <w:marTop w:val="0"/>
      <w:marBottom w:val="0"/>
      <w:divBdr>
        <w:top w:val="none" w:sz="0" w:space="0" w:color="auto"/>
        <w:left w:val="none" w:sz="0" w:space="0" w:color="auto"/>
        <w:bottom w:val="none" w:sz="0" w:space="0" w:color="auto"/>
        <w:right w:val="none" w:sz="0" w:space="0" w:color="auto"/>
      </w:divBdr>
    </w:div>
    <w:div w:id="1403060396">
      <w:bodyDiv w:val="1"/>
      <w:marLeft w:val="0"/>
      <w:marRight w:val="0"/>
      <w:marTop w:val="0"/>
      <w:marBottom w:val="0"/>
      <w:divBdr>
        <w:top w:val="none" w:sz="0" w:space="0" w:color="auto"/>
        <w:left w:val="none" w:sz="0" w:space="0" w:color="auto"/>
        <w:bottom w:val="none" w:sz="0" w:space="0" w:color="auto"/>
        <w:right w:val="none" w:sz="0" w:space="0" w:color="auto"/>
      </w:divBdr>
    </w:div>
    <w:div w:id="1432824534">
      <w:bodyDiv w:val="1"/>
      <w:marLeft w:val="0"/>
      <w:marRight w:val="0"/>
      <w:marTop w:val="0"/>
      <w:marBottom w:val="0"/>
      <w:divBdr>
        <w:top w:val="none" w:sz="0" w:space="0" w:color="auto"/>
        <w:left w:val="none" w:sz="0" w:space="0" w:color="auto"/>
        <w:bottom w:val="none" w:sz="0" w:space="0" w:color="auto"/>
        <w:right w:val="none" w:sz="0" w:space="0" w:color="auto"/>
      </w:divBdr>
    </w:div>
    <w:div w:id="1491141404">
      <w:bodyDiv w:val="1"/>
      <w:marLeft w:val="0"/>
      <w:marRight w:val="0"/>
      <w:marTop w:val="0"/>
      <w:marBottom w:val="0"/>
      <w:divBdr>
        <w:top w:val="none" w:sz="0" w:space="0" w:color="auto"/>
        <w:left w:val="none" w:sz="0" w:space="0" w:color="auto"/>
        <w:bottom w:val="none" w:sz="0" w:space="0" w:color="auto"/>
        <w:right w:val="none" w:sz="0" w:space="0" w:color="auto"/>
      </w:divBdr>
    </w:div>
    <w:div w:id="1491866469">
      <w:bodyDiv w:val="1"/>
      <w:marLeft w:val="0"/>
      <w:marRight w:val="0"/>
      <w:marTop w:val="0"/>
      <w:marBottom w:val="0"/>
      <w:divBdr>
        <w:top w:val="none" w:sz="0" w:space="0" w:color="auto"/>
        <w:left w:val="none" w:sz="0" w:space="0" w:color="auto"/>
        <w:bottom w:val="none" w:sz="0" w:space="0" w:color="auto"/>
        <w:right w:val="none" w:sz="0" w:space="0" w:color="auto"/>
      </w:divBdr>
    </w:div>
    <w:div w:id="1502426861">
      <w:bodyDiv w:val="1"/>
      <w:marLeft w:val="0"/>
      <w:marRight w:val="0"/>
      <w:marTop w:val="0"/>
      <w:marBottom w:val="0"/>
      <w:divBdr>
        <w:top w:val="none" w:sz="0" w:space="0" w:color="auto"/>
        <w:left w:val="none" w:sz="0" w:space="0" w:color="auto"/>
        <w:bottom w:val="none" w:sz="0" w:space="0" w:color="auto"/>
        <w:right w:val="none" w:sz="0" w:space="0" w:color="auto"/>
      </w:divBdr>
    </w:div>
    <w:div w:id="1593778096">
      <w:bodyDiv w:val="1"/>
      <w:marLeft w:val="0"/>
      <w:marRight w:val="0"/>
      <w:marTop w:val="0"/>
      <w:marBottom w:val="0"/>
      <w:divBdr>
        <w:top w:val="none" w:sz="0" w:space="0" w:color="auto"/>
        <w:left w:val="none" w:sz="0" w:space="0" w:color="auto"/>
        <w:bottom w:val="none" w:sz="0" w:space="0" w:color="auto"/>
        <w:right w:val="none" w:sz="0" w:space="0" w:color="auto"/>
      </w:divBdr>
    </w:div>
    <w:div w:id="1623069761">
      <w:bodyDiv w:val="1"/>
      <w:marLeft w:val="0"/>
      <w:marRight w:val="0"/>
      <w:marTop w:val="0"/>
      <w:marBottom w:val="0"/>
      <w:divBdr>
        <w:top w:val="none" w:sz="0" w:space="0" w:color="auto"/>
        <w:left w:val="none" w:sz="0" w:space="0" w:color="auto"/>
        <w:bottom w:val="none" w:sz="0" w:space="0" w:color="auto"/>
        <w:right w:val="none" w:sz="0" w:space="0" w:color="auto"/>
      </w:divBdr>
    </w:div>
    <w:div w:id="1641106849">
      <w:bodyDiv w:val="1"/>
      <w:marLeft w:val="0"/>
      <w:marRight w:val="0"/>
      <w:marTop w:val="0"/>
      <w:marBottom w:val="0"/>
      <w:divBdr>
        <w:top w:val="none" w:sz="0" w:space="0" w:color="auto"/>
        <w:left w:val="none" w:sz="0" w:space="0" w:color="auto"/>
        <w:bottom w:val="none" w:sz="0" w:space="0" w:color="auto"/>
        <w:right w:val="none" w:sz="0" w:space="0" w:color="auto"/>
      </w:divBdr>
    </w:div>
    <w:div w:id="1693217696">
      <w:bodyDiv w:val="1"/>
      <w:marLeft w:val="0"/>
      <w:marRight w:val="0"/>
      <w:marTop w:val="0"/>
      <w:marBottom w:val="0"/>
      <w:divBdr>
        <w:top w:val="none" w:sz="0" w:space="0" w:color="auto"/>
        <w:left w:val="none" w:sz="0" w:space="0" w:color="auto"/>
        <w:bottom w:val="none" w:sz="0" w:space="0" w:color="auto"/>
        <w:right w:val="none" w:sz="0" w:space="0" w:color="auto"/>
      </w:divBdr>
    </w:div>
    <w:div w:id="1733307037">
      <w:bodyDiv w:val="1"/>
      <w:marLeft w:val="0"/>
      <w:marRight w:val="0"/>
      <w:marTop w:val="0"/>
      <w:marBottom w:val="0"/>
      <w:divBdr>
        <w:top w:val="none" w:sz="0" w:space="0" w:color="auto"/>
        <w:left w:val="none" w:sz="0" w:space="0" w:color="auto"/>
        <w:bottom w:val="none" w:sz="0" w:space="0" w:color="auto"/>
        <w:right w:val="none" w:sz="0" w:space="0" w:color="auto"/>
      </w:divBdr>
    </w:div>
    <w:div w:id="1752576994">
      <w:bodyDiv w:val="1"/>
      <w:marLeft w:val="0"/>
      <w:marRight w:val="0"/>
      <w:marTop w:val="0"/>
      <w:marBottom w:val="0"/>
      <w:divBdr>
        <w:top w:val="none" w:sz="0" w:space="0" w:color="auto"/>
        <w:left w:val="none" w:sz="0" w:space="0" w:color="auto"/>
        <w:bottom w:val="none" w:sz="0" w:space="0" w:color="auto"/>
        <w:right w:val="none" w:sz="0" w:space="0" w:color="auto"/>
      </w:divBdr>
    </w:div>
    <w:div w:id="1791508014">
      <w:bodyDiv w:val="1"/>
      <w:marLeft w:val="0"/>
      <w:marRight w:val="0"/>
      <w:marTop w:val="0"/>
      <w:marBottom w:val="0"/>
      <w:divBdr>
        <w:top w:val="none" w:sz="0" w:space="0" w:color="auto"/>
        <w:left w:val="none" w:sz="0" w:space="0" w:color="auto"/>
        <w:bottom w:val="none" w:sz="0" w:space="0" w:color="auto"/>
        <w:right w:val="none" w:sz="0" w:space="0" w:color="auto"/>
      </w:divBdr>
    </w:div>
    <w:div w:id="1795059331">
      <w:bodyDiv w:val="1"/>
      <w:marLeft w:val="0"/>
      <w:marRight w:val="0"/>
      <w:marTop w:val="0"/>
      <w:marBottom w:val="0"/>
      <w:divBdr>
        <w:top w:val="none" w:sz="0" w:space="0" w:color="auto"/>
        <w:left w:val="none" w:sz="0" w:space="0" w:color="auto"/>
        <w:bottom w:val="none" w:sz="0" w:space="0" w:color="auto"/>
        <w:right w:val="none" w:sz="0" w:space="0" w:color="auto"/>
      </w:divBdr>
    </w:div>
    <w:div w:id="1795515470">
      <w:bodyDiv w:val="1"/>
      <w:marLeft w:val="0"/>
      <w:marRight w:val="0"/>
      <w:marTop w:val="0"/>
      <w:marBottom w:val="0"/>
      <w:divBdr>
        <w:top w:val="none" w:sz="0" w:space="0" w:color="auto"/>
        <w:left w:val="none" w:sz="0" w:space="0" w:color="auto"/>
        <w:bottom w:val="none" w:sz="0" w:space="0" w:color="auto"/>
        <w:right w:val="none" w:sz="0" w:space="0" w:color="auto"/>
      </w:divBdr>
    </w:div>
    <w:div w:id="1822768964">
      <w:bodyDiv w:val="1"/>
      <w:marLeft w:val="0"/>
      <w:marRight w:val="0"/>
      <w:marTop w:val="0"/>
      <w:marBottom w:val="0"/>
      <w:divBdr>
        <w:top w:val="none" w:sz="0" w:space="0" w:color="auto"/>
        <w:left w:val="none" w:sz="0" w:space="0" w:color="auto"/>
        <w:bottom w:val="none" w:sz="0" w:space="0" w:color="auto"/>
        <w:right w:val="none" w:sz="0" w:space="0" w:color="auto"/>
      </w:divBdr>
    </w:div>
    <w:div w:id="1824814816">
      <w:bodyDiv w:val="1"/>
      <w:marLeft w:val="0"/>
      <w:marRight w:val="0"/>
      <w:marTop w:val="0"/>
      <w:marBottom w:val="0"/>
      <w:divBdr>
        <w:top w:val="none" w:sz="0" w:space="0" w:color="auto"/>
        <w:left w:val="none" w:sz="0" w:space="0" w:color="auto"/>
        <w:bottom w:val="none" w:sz="0" w:space="0" w:color="auto"/>
        <w:right w:val="none" w:sz="0" w:space="0" w:color="auto"/>
      </w:divBdr>
    </w:div>
    <w:div w:id="1844319287">
      <w:bodyDiv w:val="1"/>
      <w:marLeft w:val="0"/>
      <w:marRight w:val="0"/>
      <w:marTop w:val="0"/>
      <w:marBottom w:val="0"/>
      <w:divBdr>
        <w:top w:val="none" w:sz="0" w:space="0" w:color="auto"/>
        <w:left w:val="none" w:sz="0" w:space="0" w:color="auto"/>
        <w:bottom w:val="none" w:sz="0" w:space="0" w:color="auto"/>
        <w:right w:val="none" w:sz="0" w:space="0" w:color="auto"/>
      </w:divBdr>
    </w:div>
    <w:div w:id="1858227478">
      <w:bodyDiv w:val="1"/>
      <w:marLeft w:val="0"/>
      <w:marRight w:val="0"/>
      <w:marTop w:val="0"/>
      <w:marBottom w:val="0"/>
      <w:divBdr>
        <w:top w:val="none" w:sz="0" w:space="0" w:color="auto"/>
        <w:left w:val="none" w:sz="0" w:space="0" w:color="auto"/>
        <w:bottom w:val="none" w:sz="0" w:space="0" w:color="auto"/>
        <w:right w:val="none" w:sz="0" w:space="0" w:color="auto"/>
      </w:divBdr>
    </w:div>
    <w:div w:id="1886017591">
      <w:bodyDiv w:val="1"/>
      <w:marLeft w:val="0"/>
      <w:marRight w:val="0"/>
      <w:marTop w:val="0"/>
      <w:marBottom w:val="0"/>
      <w:divBdr>
        <w:top w:val="none" w:sz="0" w:space="0" w:color="auto"/>
        <w:left w:val="none" w:sz="0" w:space="0" w:color="auto"/>
        <w:bottom w:val="none" w:sz="0" w:space="0" w:color="auto"/>
        <w:right w:val="none" w:sz="0" w:space="0" w:color="auto"/>
      </w:divBdr>
    </w:div>
    <w:div w:id="1903367183">
      <w:bodyDiv w:val="1"/>
      <w:marLeft w:val="0"/>
      <w:marRight w:val="0"/>
      <w:marTop w:val="0"/>
      <w:marBottom w:val="0"/>
      <w:divBdr>
        <w:top w:val="none" w:sz="0" w:space="0" w:color="auto"/>
        <w:left w:val="none" w:sz="0" w:space="0" w:color="auto"/>
        <w:bottom w:val="none" w:sz="0" w:space="0" w:color="auto"/>
        <w:right w:val="none" w:sz="0" w:space="0" w:color="auto"/>
      </w:divBdr>
    </w:div>
    <w:div w:id="1932812579">
      <w:bodyDiv w:val="1"/>
      <w:marLeft w:val="0"/>
      <w:marRight w:val="0"/>
      <w:marTop w:val="0"/>
      <w:marBottom w:val="0"/>
      <w:divBdr>
        <w:top w:val="none" w:sz="0" w:space="0" w:color="auto"/>
        <w:left w:val="none" w:sz="0" w:space="0" w:color="auto"/>
        <w:bottom w:val="none" w:sz="0" w:space="0" w:color="auto"/>
        <w:right w:val="none" w:sz="0" w:space="0" w:color="auto"/>
      </w:divBdr>
    </w:div>
    <w:div w:id="194329990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5329394">
      <w:bodyDiv w:val="1"/>
      <w:marLeft w:val="0"/>
      <w:marRight w:val="0"/>
      <w:marTop w:val="0"/>
      <w:marBottom w:val="0"/>
      <w:divBdr>
        <w:top w:val="none" w:sz="0" w:space="0" w:color="auto"/>
        <w:left w:val="none" w:sz="0" w:space="0" w:color="auto"/>
        <w:bottom w:val="none" w:sz="0" w:space="0" w:color="auto"/>
        <w:right w:val="none" w:sz="0" w:space="0" w:color="auto"/>
      </w:divBdr>
    </w:div>
    <w:div w:id="1982923688">
      <w:bodyDiv w:val="1"/>
      <w:marLeft w:val="0"/>
      <w:marRight w:val="0"/>
      <w:marTop w:val="0"/>
      <w:marBottom w:val="0"/>
      <w:divBdr>
        <w:top w:val="none" w:sz="0" w:space="0" w:color="auto"/>
        <w:left w:val="none" w:sz="0" w:space="0" w:color="auto"/>
        <w:bottom w:val="none" w:sz="0" w:space="0" w:color="auto"/>
        <w:right w:val="none" w:sz="0" w:space="0" w:color="auto"/>
      </w:divBdr>
    </w:div>
    <w:div w:id="2015914815">
      <w:bodyDiv w:val="1"/>
      <w:marLeft w:val="0"/>
      <w:marRight w:val="0"/>
      <w:marTop w:val="0"/>
      <w:marBottom w:val="0"/>
      <w:divBdr>
        <w:top w:val="none" w:sz="0" w:space="0" w:color="auto"/>
        <w:left w:val="none" w:sz="0" w:space="0" w:color="auto"/>
        <w:bottom w:val="none" w:sz="0" w:space="0" w:color="auto"/>
        <w:right w:val="none" w:sz="0" w:space="0" w:color="auto"/>
      </w:divBdr>
    </w:div>
    <w:div w:id="2035836822">
      <w:bodyDiv w:val="1"/>
      <w:marLeft w:val="0"/>
      <w:marRight w:val="0"/>
      <w:marTop w:val="0"/>
      <w:marBottom w:val="0"/>
      <w:divBdr>
        <w:top w:val="none" w:sz="0" w:space="0" w:color="auto"/>
        <w:left w:val="none" w:sz="0" w:space="0" w:color="auto"/>
        <w:bottom w:val="none" w:sz="0" w:space="0" w:color="auto"/>
        <w:right w:val="none" w:sz="0" w:space="0" w:color="auto"/>
      </w:divBdr>
    </w:div>
    <w:div w:id="2040936531">
      <w:bodyDiv w:val="1"/>
      <w:marLeft w:val="0"/>
      <w:marRight w:val="0"/>
      <w:marTop w:val="0"/>
      <w:marBottom w:val="0"/>
      <w:divBdr>
        <w:top w:val="none" w:sz="0" w:space="0" w:color="auto"/>
        <w:left w:val="none" w:sz="0" w:space="0" w:color="auto"/>
        <w:bottom w:val="none" w:sz="0" w:space="0" w:color="auto"/>
        <w:right w:val="none" w:sz="0" w:space="0" w:color="auto"/>
      </w:divBdr>
    </w:div>
    <w:div w:id="2062098226">
      <w:bodyDiv w:val="1"/>
      <w:marLeft w:val="0"/>
      <w:marRight w:val="0"/>
      <w:marTop w:val="0"/>
      <w:marBottom w:val="0"/>
      <w:divBdr>
        <w:top w:val="none" w:sz="0" w:space="0" w:color="auto"/>
        <w:left w:val="none" w:sz="0" w:space="0" w:color="auto"/>
        <w:bottom w:val="none" w:sz="0" w:space="0" w:color="auto"/>
        <w:right w:val="none" w:sz="0" w:space="0" w:color="auto"/>
      </w:divBdr>
    </w:div>
    <w:div w:id="2096398217">
      <w:bodyDiv w:val="1"/>
      <w:marLeft w:val="0"/>
      <w:marRight w:val="0"/>
      <w:marTop w:val="0"/>
      <w:marBottom w:val="0"/>
      <w:divBdr>
        <w:top w:val="none" w:sz="0" w:space="0" w:color="auto"/>
        <w:left w:val="none" w:sz="0" w:space="0" w:color="auto"/>
        <w:bottom w:val="none" w:sz="0" w:space="0" w:color="auto"/>
        <w:right w:val="none" w:sz="0" w:space="0" w:color="auto"/>
      </w:divBdr>
    </w:div>
    <w:div w:id="2104839170">
      <w:bodyDiv w:val="1"/>
      <w:marLeft w:val="0"/>
      <w:marRight w:val="0"/>
      <w:marTop w:val="0"/>
      <w:marBottom w:val="0"/>
      <w:divBdr>
        <w:top w:val="none" w:sz="0" w:space="0" w:color="auto"/>
        <w:left w:val="none" w:sz="0" w:space="0" w:color="auto"/>
        <w:bottom w:val="none" w:sz="0" w:space="0" w:color="auto"/>
        <w:right w:val="none" w:sz="0" w:space="0" w:color="auto"/>
      </w:divBdr>
    </w:div>
    <w:div w:id="2126537794">
      <w:bodyDiv w:val="1"/>
      <w:marLeft w:val="0"/>
      <w:marRight w:val="0"/>
      <w:marTop w:val="0"/>
      <w:marBottom w:val="0"/>
      <w:divBdr>
        <w:top w:val="none" w:sz="0" w:space="0" w:color="auto"/>
        <w:left w:val="none" w:sz="0" w:space="0" w:color="auto"/>
        <w:bottom w:val="none" w:sz="0" w:space="0" w:color="auto"/>
        <w:right w:val="none" w:sz="0" w:space="0" w:color="auto"/>
      </w:divBdr>
    </w:div>
    <w:div w:id="21361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1B4B-ECD5-44F7-8F9E-B476E96F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7280</Words>
  <Characters>42044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2022-03-02T01:51:00Z</dcterms:created>
  <dcterms:modified xsi:type="dcterms:W3CDTF">2022-03-02T01:51:00Z</dcterms:modified>
</cp:coreProperties>
</file>