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12FC1" w14:textId="77777777" w:rsidR="00CA2545" w:rsidRPr="00540422" w:rsidRDefault="00CA2545" w:rsidP="00CA2545">
      <w:pPr>
        <w:pStyle w:val="PBACHeading1"/>
        <w:rPr>
          <w:rFonts w:eastAsiaTheme="majorEastAsia"/>
        </w:rPr>
      </w:pPr>
      <w:r w:rsidRPr="00540422">
        <w:rPr>
          <w:rStyle w:val="1-MainHeadingChar"/>
          <w:b/>
          <w:bCs/>
        </w:rPr>
        <w:t>5.05</w:t>
      </w:r>
      <w:r w:rsidRPr="00540422">
        <w:rPr>
          <w:rStyle w:val="1-MainHeadingChar"/>
          <w:b/>
          <w:bCs/>
        </w:rPr>
        <w:tab/>
        <w:t>BUPRENORPHINE</w:t>
      </w:r>
      <w:r w:rsidRPr="00540422">
        <w:rPr>
          <w:rFonts w:eastAsiaTheme="majorEastAsia"/>
        </w:rPr>
        <w:br/>
      </w:r>
      <w:r w:rsidRPr="00540422">
        <w:rPr>
          <w:rFonts w:asciiTheme="minorHAnsi" w:eastAsiaTheme="majorEastAsia" w:hAnsiTheme="minorHAnsi" w:cstheme="majorBidi"/>
          <w:snapToGrid/>
          <w:spacing w:val="5"/>
          <w:kern w:val="28"/>
          <w:sz w:val="36"/>
          <w:szCs w:val="36"/>
          <w:lang w:eastAsia="en-AU"/>
        </w:rPr>
        <w:t>Injection (modified release) 8 mg in 0.16 mL pre</w:t>
      </w:r>
      <w:r w:rsidRPr="00540422">
        <w:rPr>
          <w:rFonts w:asciiTheme="minorHAnsi" w:eastAsiaTheme="majorEastAsia" w:hAnsiTheme="minorHAnsi" w:cstheme="majorBidi"/>
          <w:snapToGrid/>
          <w:spacing w:val="5"/>
          <w:kern w:val="28"/>
          <w:sz w:val="36"/>
          <w:szCs w:val="36"/>
          <w:lang w:eastAsia="en-AU"/>
        </w:rPr>
        <w:noBreakHyphen/>
        <w:t xml:space="preserve">filled syringe, </w:t>
      </w:r>
      <w:r w:rsidRPr="00540422">
        <w:rPr>
          <w:rFonts w:asciiTheme="minorHAnsi" w:eastAsiaTheme="majorEastAsia" w:hAnsiTheme="minorHAnsi" w:cstheme="majorBidi"/>
          <w:snapToGrid/>
          <w:spacing w:val="5"/>
          <w:kern w:val="28"/>
          <w:sz w:val="36"/>
          <w:szCs w:val="36"/>
          <w:lang w:eastAsia="en-AU"/>
        </w:rPr>
        <w:br/>
        <w:t>Injection (modified release) 16 mg in 0.32 mL pre</w:t>
      </w:r>
      <w:r w:rsidRPr="00540422">
        <w:rPr>
          <w:rFonts w:asciiTheme="minorHAnsi" w:eastAsiaTheme="majorEastAsia" w:hAnsiTheme="minorHAnsi" w:cstheme="majorBidi"/>
          <w:snapToGrid/>
          <w:spacing w:val="5"/>
          <w:kern w:val="28"/>
          <w:sz w:val="36"/>
          <w:szCs w:val="36"/>
          <w:lang w:eastAsia="en-AU"/>
        </w:rPr>
        <w:noBreakHyphen/>
        <w:t xml:space="preserve">filled syringe, </w:t>
      </w:r>
      <w:r w:rsidRPr="00540422">
        <w:rPr>
          <w:rFonts w:asciiTheme="minorHAnsi" w:eastAsiaTheme="majorEastAsia" w:hAnsiTheme="minorHAnsi" w:cstheme="majorBidi"/>
          <w:snapToGrid/>
          <w:spacing w:val="5"/>
          <w:kern w:val="28"/>
          <w:sz w:val="36"/>
          <w:szCs w:val="36"/>
          <w:lang w:eastAsia="en-AU"/>
        </w:rPr>
        <w:br/>
        <w:t>Injection (modified release) 24 mg in 0.48 mL pre</w:t>
      </w:r>
      <w:r w:rsidRPr="00540422">
        <w:rPr>
          <w:rFonts w:asciiTheme="minorHAnsi" w:eastAsiaTheme="majorEastAsia" w:hAnsiTheme="minorHAnsi" w:cstheme="majorBidi"/>
          <w:snapToGrid/>
          <w:spacing w:val="5"/>
          <w:kern w:val="28"/>
          <w:sz w:val="36"/>
          <w:szCs w:val="36"/>
          <w:lang w:eastAsia="en-AU"/>
        </w:rPr>
        <w:noBreakHyphen/>
        <w:t xml:space="preserve">filled syringe, </w:t>
      </w:r>
      <w:r w:rsidRPr="00540422">
        <w:rPr>
          <w:rFonts w:asciiTheme="minorHAnsi" w:eastAsiaTheme="majorEastAsia" w:hAnsiTheme="minorHAnsi" w:cstheme="majorBidi"/>
          <w:snapToGrid/>
          <w:spacing w:val="5"/>
          <w:kern w:val="28"/>
          <w:sz w:val="36"/>
          <w:szCs w:val="36"/>
          <w:lang w:eastAsia="en-AU"/>
        </w:rPr>
        <w:br/>
        <w:t>Injection (modified release) 32 mg in 0.64 mL pre</w:t>
      </w:r>
      <w:r w:rsidRPr="00540422">
        <w:rPr>
          <w:rFonts w:asciiTheme="minorHAnsi" w:eastAsiaTheme="majorEastAsia" w:hAnsiTheme="minorHAnsi" w:cstheme="majorBidi"/>
          <w:snapToGrid/>
          <w:spacing w:val="5"/>
          <w:kern w:val="28"/>
          <w:sz w:val="36"/>
          <w:szCs w:val="36"/>
          <w:lang w:eastAsia="en-AU"/>
        </w:rPr>
        <w:noBreakHyphen/>
        <w:t>filled syringe,</w:t>
      </w:r>
      <w:r w:rsidRPr="00540422">
        <w:rPr>
          <w:rFonts w:eastAsiaTheme="majorEastAsia"/>
        </w:rPr>
        <w:t xml:space="preserve"> </w:t>
      </w:r>
    </w:p>
    <w:p w14:paraId="04120337" w14:textId="77777777" w:rsidR="00CA2545" w:rsidRPr="00540422" w:rsidRDefault="00CA2545" w:rsidP="00CA2545">
      <w:pPr>
        <w:ind w:left="720"/>
        <w:jc w:val="left"/>
        <w:rPr>
          <w:rFonts w:asciiTheme="minorHAnsi" w:eastAsiaTheme="majorEastAsia" w:hAnsiTheme="minorHAnsi" w:cstheme="majorBidi"/>
          <w:b/>
          <w:spacing w:val="5"/>
          <w:kern w:val="28"/>
          <w:sz w:val="36"/>
          <w:szCs w:val="36"/>
        </w:rPr>
      </w:pPr>
      <w:r w:rsidRPr="00540422">
        <w:rPr>
          <w:rFonts w:asciiTheme="minorHAnsi" w:eastAsiaTheme="majorEastAsia" w:hAnsiTheme="minorHAnsi" w:cstheme="majorBidi"/>
          <w:b/>
          <w:spacing w:val="5"/>
          <w:kern w:val="28"/>
          <w:sz w:val="36"/>
          <w:szCs w:val="36"/>
        </w:rPr>
        <w:t>Buvidal® Weekly,</w:t>
      </w:r>
      <w:r w:rsidRPr="00540422">
        <w:rPr>
          <w:rFonts w:asciiTheme="minorHAnsi" w:eastAsiaTheme="majorEastAsia" w:hAnsiTheme="minorHAnsi" w:cstheme="majorBidi"/>
          <w:b/>
          <w:spacing w:val="5"/>
          <w:kern w:val="28"/>
          <w:sz w:val="36"/>
          <w:szCs w:val="36"/>
        </w:rPr>
        <w:br/>
        <w:t>Injection (modified release) 64 mg in 0.18 mL pre</w:t>
      </w:r>
      <w:r w:rsidRPr="00540422">
        <w:rPr>
          <w:rFonts w:asciiTheme="minorHAnsi" w:eastAsiaTheme="majorEastAsia" w:hAnsiTheme="minorHAnsi" w:cstheme="majorBidi"/>
          <w:b/>
          <w:spacing w:val="5"/>
          <w:kern w:val="28"/>
          <w:sz w:val="36"/>
          <w:szCs w:val="36"/>
        </w:rPr>
        <w:noBreakHyphen/>
        <w:t xml:space="preserve">filled syringe, </w:t>
      </w:r>
      <w:r w:rsidRPr="00540422">
        <w:rPr>
          <w:rFonts w:asciiTheme="minorHAnsi" w:eastAsiaTheme="majorEastAsia" w:hAnsiTheme="minorHAnsi" w:cstheme="majorBidi"/>
          <w:b/>
          <w:spacing w:val="5"/>
          <w:kern w:val="28"/>
          <w:sz w:val="36"/>
          <w:szCs w:val="36"/>
        </w:rPr>
        <w:br/>
        <w:t>Injection (modified release) 96 mg in 0.27 mL pre</w:t>
      </w:r>
      <w:r w:rsidRPr="00540422">
        <w:rPr>
          <w:rFonts w:asciiTheme="minorHAnsi" w:eastAsiaTheme="majorEastAsia" w:hAnsiTheme="minorHAnsi" w:cstheme="majorBidi"/>
          <w:b/>
          <w:spacing w:val="5"/>
          <w:kern w:val="28"/>
          <w:sz w:val="36"/>
          <w:szCs w:val="36"/>
        </w:rPr>
        <w:noBreakHyphen/>
        <w:t xml:space="preserve">filled syringe, </w:t>
      </w:r>
    </w:p>
    <w:p w14:paraId="42121173" w14:textId="77777777" w:rsidR="00CA2545" w:rsidRPr="00540422" w:rsidRDefault="00CA2545" w:rsidP="00CA2545">
      <w:pPr>
        <w:ind w:left="720"/>
        <w:jc w:val="left"/>
        <w:rPr>
          <w:rFonts w:asciiTheme="minorHAnsi" w:eastAsiaTheme="majorEastAsia" w:hAnsiTheme="minorHAnsi" w:cstheme="majorBidi"/>
          <w:b/>
          <w:spacing w:val="5"/>
          <w:kern w:val="28"/>
          <w:sz w:val="36"/>
          <w:szCs w:val="36"/>
        </w:rPr>
      </w:pPr>
      <w:r w:rsidRPr="00540422">
        <w:rPr>
          <w:rFonts w:asciiTheme="minorHAnsi" w:eastAsiaTheme="majorEastAsia" w:hAnsiTheme="minorHAnsi" w:cstheme="majorBidi"/>
          <w:b/>
          <w:spacing w:val="5"/>
          <w:kern w:val="28"/>
          <w:sz w:val="36"/>
          <w:szCs w:val="36"/>
        </w:rPr>
        <w:t>Injection (modified release) 128 mg in 0.36 mL pre</w:t>
      </w:r>
      <w:r w:rsidRPr="00540422">
        <w:rPr>
          <w:rFonts w:asciiTheme="minorHAnsi" w:eastAsiaTheme="majorEastAsia" w:hAnsiTheme="minorHAnsi" w:cstheme="majorBidi"/>
          <w:b/>
          <w:spacing w:val="5"/>
          <w:kern w:val="28"/>
          <w:sz w:val="36"/>
          <w:szCs w:val="36"/>
        </w:rPr>
        <w:noBreakHyphen/>
        <w:t>filled syringe,</w:t>
      </w:r>
    </w:p>
    <w:p w14:paraId="4A3432A8" w14:textId="77777777" w:rsidR="00CA2545" w:rsidRPr="00540422" w:rsidRDefault="00CA2545" w:rsidP="00CA2545">
      <w:pPr>
        <w:ind w:left="720"/>
        <w:jc w:val="left"/>
        <w:rPr>
          <w:rFonts w:asciiTheme="minorHAnsi" w:eastAsiaTheme="majorEastAsia" w:hAnsiTheme="minorHAnsi" w:cstheme="majorBidi"/>
          <w:b/>
          <w:spacing w:val="5"/>
          <w:kern w:val="28"/>
          <w:sz w:val="36"/>
          <w:szCs w:val="36"/>
        </w:rPr>
      </w:pPr>
      <w:r w:rsidRPr="00540422">
        <w:rPr>
          <w:rFonts w:asciiTheme="minorHAnsi" w:eastAsiaTheme="majorEastAsia" w:hAnsiTheme="minorHAnsi" w:cstheme="majorBidi"/>
          <w:b/>
          <w:spacing w:val="5"/>
          <w:kern w:val="28"/>
          <w:sz w:val="36"/>
          <w:szCs w:val="36"/>
        </w:rPr>
        <w:t>Injection (modified release) 160 mg in 0.45 mL pre</w:t>
      </w:r>
      <w:r w:rsidRPr="00540422">
        <w:rPr>
          <w:rFonts w:asciiTheme="minorHAnsi" w:eastAsiaTheme="majorEastAsia" w:hAnsiTheme="minorHAnsi" w:cstheme="majorBidi"/>
          <w:b/>
          <w:spacing w:val="5"/>
          <w:kern w:val="28"/>
          <w:sz w:val="36"/>
          <w:szCs w:val="36"/>
        </w:rPr>
        <w:noBreakHyphen/>
        <w:t>filled syringe,</w:t>
      </w:r>
      <w:r w:rsidRPr="00540422">
        <w:rPr>
          <w:rFonts w:asciiTheme="minorHAnsi" w:eastAsiaTheme="majorEastAsia" w:hAnsiTheme="minorHAnsi" w:cstheme="majorBidi"/>
          <w:b/>
          <w:spacing w:val="5"/>
          <w:kern w:val="28"/>
          <w:sz w:val="36"/>
          <w:szCs w:val="36"/>
        </w:rPr>
        <w:br/>
        <w:t xml:space="preserve">Buvidal® Monthly, </w:t>
      </w:r>
    </w:p>
    <w:p w14:paraId="4F88349E" w14:textId="77777777" w:rsidR="00CA2545" w:rsidRPr="00540422" w:rsidRDefault="00CA2545" w:rsidP="00CA2545">
      <w:pPr>
        <w:ind w:firstLine="720"/>
        <w:jc w:val="left"/>
      </w:pPr>
      <w:r w:rsidRPr="00540422">
        <w:rPr>
          <w:rFonts w:asciiTheme="minorHAnsi" w:eastAsiaTheme="majorEastAsia" w:hAnsiTheme="minorHAnsi" w:cstheme="majorBidi"/>
          <w:b/>
          <w:spacing w:val="5"/>
          <w:kern w:val="28"/>
          <w:sz w:val="36"/>
          <w:szCs w:val="36"/>
        </w:rPr>
        <w:t>Camurus Pty Ltd</w:t>
      </w:r>
    </w:p>
    <w:p w14:paraId="37576638" w14:textId="77777777" w:rsidR="00CA2545" w:rsidRPr="00497554" w:rsidRDefault="00CA2545" w:rsidP="00A736A5">
      <w:pPr>
        <w:rPr>
          <w:rFonts w:cs="Calibri"/>
        </w:rPr>
      </w:pPr>
    </w:p>
    <w:p w14:paraId="2EF93D80" w14:textId="77777777" w:rsidR="00B50DB8" w:rsidRPr="00540422" w:rsidRDefault="00B50DB8" w:rsidP="004A6040">
      <w:pPr>
        <w:pStyle w:val="2-SectionHeading"/>
      </w:pPr>
      <w:bookmarkStart w:id="0" w:name="_Toc82522433"/>
      <w:r w:rsidRPr="00540422">
        <w:t xml:space="preserve">Purpose of </w:t>
      </w:r>
      <w:r w:rsidR="00CD7193" w:rsidRPr="00540422">
        <w:t>s</w:t>
      </w:r>
      <w:r w:rsidR="00BB3A45" w:rsidRPr="00540422">
        <w:t>ubmission</w:t>
      </w:r>
      <w:bookmarkEnd w:id="0"/>
    </w:p>
    <w:p w14:paraId="2AB91218" w14:textId="77777777" w:rsidR="00E1575B" w:rsidRPr="00540422" w:rsidRDefault="006F1FFA" w:rsidP="00976156">
      <w:pPr>
        <w:pStyle w:val="ExecSumBodyText"/>
      </w:pPr>
      <w:r w:rsidRPr="00540422">
        <w:t xml:space="preserve">Prolonged release buprenorphine </w:t>
      </w:r>
      <w:r w:rsidR="00071600" w:rsidRPr="00540422">
        <w:t xml:space="preserve">has a Section 100 </w:t>
      </w:r>
      <w:r w:rsidR="00C03126" w:rsidRPr="00540422">
        <w:t xml:space="preserve">Opiate Dependence Treatment Program </w:t>
      </w:r>
      <w:r w:rsidR="00071600" w:rsidRPr="00540422">
        <w:t>(OD</w:t>
      </w:r>
      <w:r w:rsidR="00C03126" w:rsidRPr="00540422">
        <w:t>TP</w:t>
      </w:r>
      <w:r w:rsidR="00071600" w:rsidRPr="00540422">
        <w:t xml:space="preserve">) listing </w:t>
      </w:r>
      <w:r w:rsidR="006D2187" w:rsidRPr="00540422">
        <w:t>on the PBS for opiate dependence in patients who are stabilised on sublingual buprenorphine or buprenorphine/naloxone</w:t>
      </w:r>
      <w:r w:rsidR="0076441B" w:rsidRPr="00540422">
        <w:t>.</w:t>
      </w:r>
      <w:r w:rsidRPr="00540422">
        <w:t xml:space="preserve"> </w:t>
      </w:r>
    </w:p>
    <w:p w14:paraId="18F7FE35" w14:textId="77777777" w:rsidR="00E1575B" w:rsidRPr="00540422" w:rsidRDefault="00E1575B" w:rsidP="00E1575B">
      <w:pPr>
        <w:pStyle w:val="ExecSumBodyText"/>
      </w:pPr>
      <w:r w:rsidRPr="00540422">
        <w:t xml:space="preserve">The </w:t>
      </w:r>
      <w:r w:rsidR="00AE0796" w:rsidRPr="00540422">
        <w:t>purpose of</w:t>
      </w:r>
      <w:r w:rsidRPr="00540422">
        <w:t xml:space="preserve"> the submission </w:t>
      </w:r>
      <w:r w:rsidR="007D2AE8">
        <w:t>was</w:t>
      </w:r>
      <w:r w:rsidR="007D2AE8" w:rsidRPr="00540422">
        <w:t xml:space="preserve"> </w:t>
      </w:r>
      <w:r w:rsidRPr="00540422">
        <w:t>to:</w:t>
      </w:r>
    </w:p>
    <w:p w14:paraId="7CE008C6" w14:textId="77777777" w:rsidR="00E1575B" w:rsidRPr="00540422" w:rsidRDefault="00E1575B" w:rsidP="00485DE9">
      <w:pPr>
        <w:pStyle w:val="ExecSumBodyText"/>
        <w:numPr>
          <w:ilvl w:val="1"/>
          <w:numId w:val="6"/>
        </w:numPr>
        <w:ind w:left="1100" w:hanging="380"/>
        <w:contextualSpacing/>
      </w:pPr>
      <w:r w:rsidRPr="00540422">
        <w:t>Request a Section 85 (Restricted Benefit) listing in addition to the current Section 100 (OD</w:t>
      </w:r>
      <w:r w:rsidR="00E10565" w:rsidRPr="00540422">
        <w:t>TP</w:t>
      </w:r>
      <w:r w:rsidRPr="00540422">
        <w:t>).</w:t>
      </w:r>
    </w:p>
    <w:p w14:paraId="39BD85BF" w14:textId="77777777" w:rsidR="00E1575B" w:rsidRPr="00540422" w:rsidRDefault="00E1575B" w:rsidP="00485DE9">
      <w:pPr>
        <w:pStyle w:val="ExecSumBodyText"/>
        <w:numPr>
          <w:ilvl w:val="1"/>
          <w:numId w:val="6"/>
        </w:numPr>
        <w:ind w:left="1100" w:hanging="380"/>
        <w:contextualSpacing/>
      </w:pPr>
      <w:r w:rsidRPr="00540422">
        <w:t>Request a change to the PBS restriction to remove the requirement that a patient must be stabilised on sublingual buprenorphine or sublingual buprenorphine/</w:t>
      </w:r>
      <w:r w:rsidR="004A0DB2" w:rsidRPr="00540422">
        <w:t xml:space="preserve"> </w:t>
      </w:r>
      <w:r w:rsidRPr="00540422">
        <w:t xml:space="preserve">naloxone prior to commencing treatment with prolonged release buprenorphine, </w:t>
      </w:r>
      <w:r w:rsidRPr="00540422">
        <w:lastRenderedPageBreak/>
        <w:t>consistent with the recent amendment to the TGA indication (for weekly prolonged release buprenorphine).</w:t>
      </w:r>
    </w:p>
    <w:p w14:paraId="36C0C6EE" w14:textId="77777777" w:rsidR="00E1575B" w:rsidRPr="00540422" w:rsidRDefault="00E1575B" w:rsidP="00485DE9">
      <w:pPr>
        <w:pStyle w:val="ExecSumBodyText"/>
        <w:numPr>
          <w:ilvl w:val="1"/>
          <w:numId w:val="6"/>
        </w:numPr>
        <w:ind w:left="1100" w:hanging="380"/>
        <w:contextualSpacing/>
      </w:pPr>
      <w:r w:rsidRPr="00540422">
        <w:t>Request the inclusion of an additional dose of monthly prolonged release buprenorphine (160 mg in 0.45 mL), consistent with recent TGA approval of this dose.</w:t>
      </w:r>
    </w:p>
    <w:p w14:paraId="1C9C6A6F" w14:textId="77777777" w:rsidR="00E1575B" w:rsidRPr="00540422" w:rsidRDefault="00E1575B" w:rsidP="00485DE9">
      <w:pPr>
        <w:pStyle w:val="ExecSumBodyText"/>
        <w:numPr>
          <w:ilvl w:val="1"/>
          <w:numId w:val="6"/>
        </w:numPr>
        <w:ind w:left="1100" w:hanging="380"/>
        <w:contextualSpacing/>
      </w:pPr>
      <w:r w:rsidRPr="00540422">
        <w:t xml:space="preserve">Request a price increase consistent with the requested price in the March 2019 minor resubmission, </w:t>
      </w:r>
      <w:r w:rsidR="0010408F" w:rsidRPr="00540422">
        <w:t>based on a cost-minimisation analysis versus sublingual buprenorphine/naloxone</w:t>
      </w:r>
      <w:r w:rsidR="00C95571" w:rsidRPr="00540422">
        <w:t>, incorporating practice model cost savings associated with the PBS listing of prolonged release buprenorphine.</w:t>
      </w:r>
    </w:p>
    <w:p w14:paraId="37ABF339" w14:textId="77777777" w:rsidR="00E1575B" w:rsidRPr="00540422" w:rsidRDefault="00E1575B" w:rsidP="00485DE9">
      <w:pPr>
        <w:pStyle w:val="ExecSumBodyText"/>
        <w:numPr>
          <w:ilvl w:val="1"/>
          <w:numId w:val="6"/>
        </w:numPr>
        <w:ind w:left="1100" w:hanging="380"/>
        <w:contextualSpacing/>
      </w:pPr>
      <w:r w:rsidRPr="00540422">
        <w:t>Update the financial implications to account for a dual Section 85/Section 100 listing and an increased price for prolonged release buprenorphine.</w:t>
      </w:r>
    </w:p>
    <w:p w14:paraId="5A9EB5CF" w14:textId="77777777" w:rsidR="005C25FF" w:rsidRPr="00540422" w:rsidRDefault="005C25FF" w:rsidP="004A6040">
      <w:pPr>
        <w:pStyle w:val="2-SectionHeading"/>
      </w:pPr>
      <w:bookmarkStart w:id="1" w:name="_Toc82522434"/>
      <w:r w:rsidRPr="00540422">
        <w:t>Background</w:t>
      </w:r>
      <w:bookmarkEnd w:id="1"/>
    </w:p>
    <w:p w14:paraId="15B1B9D1" w14:textId="77777777" w:rsidR="005C25FF" w:rsidRPr="00540422" w:rsidRDefault="005C25FF" w:rsidP="004A6040">
      <w:pPr>
        <w:pStyle w:val="3-SubsectionHeading"/>
      </w:pPr>
      <w:bookmarkStart w:id="2" w:name="_Toc22897638"/>
      <w:bookmarkStart w:id="3" w:name="_Toc82522435"/>
      <w:r w:rsidRPr="00540422">
        <w:t>Registration status</w:t>
      </w:r>
      <w:bookmarkEnd w:id="2"/>
      <w:bookmarkEnd w:id="3"/>
    </w:p>
    <w:p w14:paraId="5E3244D1" w14:textId="77777777" w:rsidR="009367D1" w:rsidRPr="00540422" w:rsidRDefault="009367D1" w:rsidP="00A345E3">
      <w:pPr>
        <w:pStyle w:val="ExecSumBodyText"/>
      </w:pPr>
      <w:r w:rsidRPr="00540422">
        <w:t>Prolonged release buprenorphine was first registered by the TGA on 28</w:t>
      </w:r>
      <w:r w:rsidR="007D2AE8">
        <w:t> </w:t>
      </w:r>
      <w:r w:rsidRPr="00540422">
        <w:t>November</w:t>
      </w:r>
      <w:r w:rsidR="007D2AE8">
        <w:t> </w:t>
      </w:r>
      <w:r w:rsidRPr="00540422">
        <w:t xml:space="preserve">2018 for maintenance treatment of </w:t>
      </w:r>
      <w:r w:rsidR="004E61D7" w:rsidRPr="00540422">
        <w:t xml:space="preserve">opioid use disorder </w:t>
      </w:r>
      <w:r w:rsidRPr="00540422">
        <w:t xml:space="preserve">within a framework of medical, social, and psychological treatment. The product information </w:t>
      </w:r>
      <w:r w:rsidR="00006030">
        <w:t xml:space="preserve">at that time </w:t>
      </w:r>
      <w:r w:rsidRPr="00540422">
        <w:t xml:space="preserve">noted that both weekly and monthly prolonged release buprenorphine are to be initiated following stabilisation on sublingual buprenorphine or buprenorphine/naloxone for at least 7 days. </w:t>
      </w:r>
    </w:p>
    <w:p w14:paraId="4986E11D" w14:textId="77777777" w:rsidR="009367D1" w:rsidRPr="00540422" w:rsidRDefault="009367D1" w:rsidP="00A345E3">
      <w:pPr>
        <w:pStyle w:val="ExecSumBodyText"/>
      </w:pPr>
      <w:r w:rsidRPr="00540422">
        <w:t>The following revised indications for weekly and monthly prolonged release buprenorphine were approved on 29 April 2021:</w:t>
      </w:r>
    </w:p>
    <w:p w14:paraId="5676F18C" w14:textId="77777777" w:rsidR="009367D1" w:rsidRPr="00540422" w:rsidRDefault="009367D1" w:rsidP="00485DE9">
      <w:pPr>
        <w:pStyle w:val="ExecSumBodyText"/>
        <w:numPr>
          <w:ilvl w:val="1"/>
          <w:numId w:val="5"/>
        </w:numPr>
        <w:ind w:left="1100" w:hanging="380"/>
        <w:contextualSpacing/>
      </w:pPr>
      <w:r w:rsidRPr="00540422">
        <w:t>Weekly prolonged release buprenorphine is indicated for initiation and maintenance treatment of opioid dependence, with or without prior stabilisation on sublingual buprenorphine or buprenorphine/naloxone, within a framework of medical, social and psychological support.</w:t>
      </w:r>
    </w:p>
    <w:p w14:paraId="2C1D63CC" w14:textId="77777777" w:rsidR="009367D1" w:rsidRPr="00540422" w:rsidRDefault="009367D1" w:rsidP="00485DE9">
      <w:pPr>
        <w:pStyle w:val="ExecSumBodyText"/>
        <w:numPr>
          <w:ilvl w:val="1"/>
          <w:numId w:val="5"/>
        </w:numPr>
        <w:ind w:left="1100" w:hanging="380"/>
      </w:pPr>
      <w:r w:rsidRPr="00540422">
        <w:t xml:space="preserve">Monthly prolonged release buprenorphine is indicated for maintenance treatment of </w:t>
      </w:r>
      <w:r w:rsidR="004E61D7" w:rsidRPr="00540422">
        <w:t xml:space="preserve">opioid use disorder </w:t>
      </w:r>
      <w:r w:rsidRPr="00540422">
        <w:t>with prior stabilisation on weekly prolonged release buprenorphine or sublingual buprenorphine or buprenorphine/naloxone within a framework of medical, social and psychological support.</w:t>
      </w:r>
    </w:p>
    <w:p w14:paraId="7E8A5E13" w14:textId="77777777" w:rsidR="009367D1" w:rsidRPr="00540422" w:rsidRDefault="0070104A" w:rsidP="00A345E3">
      <w:pPr>
        <w:pStyle w:val="ExecSumBodyText"/>
      </w:pPr>
      <w:r w:rsidRPr="00540422">
        <w:t>A</w:t>
      </w:r>
      <w:r w:rsidR="009367D1" w:rsidRPr="00540422">
        <w:t xml:space="preserve">mendments to the prolonged release buprenorphine indication and product information include the </w:t>
      </w:r>
      <w:r w:rsidR="00741A83" w:rsidRPr="00540422">
        <w:t>addition</w:t>
      </w:r>
      <w:r w:rsidR="009367D1" w:rsidRPr="00540422">
        <w:t xml:space="preserve"> of a 160 mg monthly dosage, revised separate indications for </w:t>
      </w:r>
      <w:r w:rsidR="00614830" w:rsidRPr="00540422">
        <w:t xml:space="preserve">weekly and monthly </w:t>
      </w:r>
      <w:r w:rsidR="009367D1" w:rsidRPr="00540422">
        <w:t>prolonged release buprenorphine, and removal of the requirement for stabilisation on sublingual buprenorphine prior to commencing weekly prolonged release buprenorphine.</w:t>
      </w:r>
    </w:p>
    <w:p w14:paraId="1D47FE5C" w14:textId="77777777" w:rsidR="005C25FF" w:rsidRPr="00540422" w:rsidRDefault="005C25FF" w:rsidP="004E18E9">
      <w:pPr>
        <w:pStyle w:val="3-SubsectionHeading"/>
      </w:pPr>
      <w:bookmarkStart w:id="4" w:name="_Toc22897639"/>
      <w:bookmarkStart w:id="5" w:name="_Toc82522436"/>
      <w:r w:rsidRPr="00540422">
        <w:t>Previous PBAC consideration</w:t>
      </w:r>
      <w:bookmarkEnd w:id="4"/>
      <w:bookmarkEnd w:id="5"/>
    </w:p>
    <w:p w14:paraId="6DF5C1D9" w14:textId="77777777" w:rsidR="00BE75AF" w:rsidRDefault="00F21DCB" w:rsidP="00A345E3">
      <w:pPr>
        <w:pStyle w:val="ExecSumBodyText"/>
      </w:pPr>
      <w:r w:rsidRPr="00540422">
        <w:t xml:space="preserve">Prolonged release </w:t>
      </w:r>
      <w:r w:rsidR="00580786" w:rsidRPr="00540422">
        <w:t>buprenorphine was listed on the PBS under the Section 100 Opiate Dependence Treatment Program</w:t>
      </w:r>
      <w:r w:rsidR="007D2AE8">
        <w:t xml:space="preserve"> (ODTP)</w:t>
      </w:r>
      <w:r w:rsidR="00580786" w:rsidRPr="00540422">
        <w:t xml:space="preserve"> for the treatment of opioid use disorder in September 2019</w:t>
      </w:r>
      <w:r w:rsidRPr="00540422">
        <w:t xml:space="preserve"> f</w:t>
      </w:r>
      <w:r w:rsidR="005C5366" w:rsidRPr="00540422">
        <w:t>ollowing a submission in November 2018 and a minor resubmission in March 2019</w:t>
      </w:r>
      <w:r w:rsidR="00BE75AF" w:rsidRPr="00540422">
        <w:t>.</w:t>
      </w:r>
      <w:r w:rsidR="00A6179E" w:rsidRPr="00540422">
        <w:t xml:space="preserve"> </w:t>
      </w:r>
    </w:p>
    <w:p w14:paraId="081A850A" w14:textId="77777777" w:rsidR="00B60939" w:rsidRPr="00540422" w:rsidRDefault="00B50DB8" w:rsidP="004E18E9">
      <w:pPr>
        <w:pStyle w:val="2-SectionHeading"/>
      </w:pPr>
      <w:bookmarkStart w:id="6" w:name="_Toc82522437"/>
      <w:r w:rsidRPr="00540422">
        <w:lastRenderedPageBreak/>
        <w:t>Requested listing</w:t>
      </w:r>
      <w:bookmarkEnd w:id="6"/>
    </w:p>
    <w:p w14:paraId="7C6E96FD" w14:textId="77777777" w:rsidR="007675E2" w:rsidRPr="00540422" w:rsidRDefault="007675E2" w:rsidP="007675E2">
      <w:pPr>
        <w:pStyle w:val="ExecSumBodyText"/>
      </w:pPr>
      <w:r w:rsidRPr="00540422">
        <w:t xml:space="preserve">The following changes to the PBS listing </w:t>
      </w:r>
      <w:r w:rsidR="00B34999">
        <w:t>were</w:t>
      </w:r>
      <w:r w:rsidRPr="00540422">
        <w:t xml:space="preserve"> proposed in the submission:</w:t>
      </w:r>
    </w:p>
    <w:p w14:paraId="39A35741" w14:textId="77777777" w:rsidR="007675E2" w:rsidRPr="00540422" w:rsidRDefault="007675E2" w:rsidP="00485DE9">
      <w:pPr>
        <w:pStyle w:val="ExecSumBodyText"/>
        <w:numPr>
          <w:ilvl w:val="1"/>
          <w:numId w:val="5"/>
        </w:numPr>
        <w:ind w:left="1100" w:hanging="380"/>
        <w:contextualSpacing/>
      </w:pPr>
      <w:r w:rsidRPr="00540422">
        <w:t>A Section 85 (Restricted Benefit) listing in addition to the current Section 100 (</w:t>
      </w:r>
      <w:r w:rsidR="000B1F96" w:rsidRPr="00540422">
        <w:t>ODTP</w:t>
      </w:r>
      <w:r w:rsidRPr="00540422">
        <w:t>) listing.</w:t>
      </w:r>
    </w:p>
    <w:p w14:paraId="4A572F74" w14:textId="77777777" w:rsidR="007675E2" w:rsidRPr="00540422" w:rsidRDefault="007675E2" w:rsidP="00485DE9">
      <w:pPr>
        <w:pStyle w:val="ExecSumBodyText"/>
        <w:numPr>
          <w:ilvl w:val="1"/>
          <w:numId w:val="5"/>
        </w:numPr>
        <w:ind w:left="1100" w:hanging="380"/>
        <w:contextualSpacing/>
      </w:pPr>
      <w:r w:rsidRPr="00540422">
        <w:t>Removal of the requirement for stabilisation on sublingual buprenorphine prior to initiation with prolonged release buprenorphine.</w:t>
      </w:r>
    </w:p>
    <w:p w14:paraId="0DC462FD" w14:textId="77777777" w:rsidR="007675E2" w:rsidRPr="00540422" w:rsidRDefault="007675E2" w:rsidP="00485DE9">
      <w:pPr>
        <w:pStyle w:val="ExecSumBodyText"/>
        <w:numPr>
          <w:ilvl w:val="1"/>
          <w:numId w:val="5"/>
        </w:numPr>
        <w:ind w:left="1100" w:hanging="380"/>
        <w:contextualSpacing/>
      </w:pPr>
      <w:r w:rsidRPr="00540422">
        <w:t>The addition of a 160 mg in 0.45 mL dose of the monthly prolonged release formulation.</w:t>
      </w:r>
    </w:p>
    <w:p w14:paraId="42164253" w14:textId="77777777" w:rsidR="00901473" w:rsidRPr="00540422" w:rsidRDefault="007675E2" w:rsidP="00485DE9">
      <w:pPr>
        <w:pStyle w:val="ExecSumBodyText"/>
        <w:numPr>
          <w:ilvl w:val="1"/>
          <w:numId w:val="5"/>
        </w:numPr>
        <w:spacing w:after="240"/>
        <w:ind w:left="1100" w:hanging="380"/>
        <w:contextualSpacing/>
      </w:pPr>
      <w:r w:rsidRPr="00540422">
        <w:t>A higher ex-manufacturer price for both the weekly and monthly prolonged release formulations compared to the current PBS prices ($92.40 and $369.60, respectively), based on a cost minimisation analysis incorporating practice model cost savings associated with the PBS listing of prolonged release buprenorphine.</w:t>
      </w:r>
    </w:p>
    <w:tbl>
      <w:tblPr>
        <w:tblW w:w="4977" w:type="pct"/>
        <w:tblInd w:w="28" w:type="dxa"/>
        <w:tblCellMar>
          <w:left w:w="28" w:type="dxa"/>
          <w:right w:w="28" w:type="dxa"/>
        </w:tblCellMar>
        <w:tblLook w:val="0000" w:firstRow="0" w:lastRow="0" w:firstColumn="0" w:lastColumn="0" w:noHBand="0" w:noVBand="0"/>
      </w:tblPr>
      <w:tblGrid>
        <w:gridCol w:w="1809"/>
        <w:gridCol w:w="1844"/>
        <w:gridCol w:w="817"/>
        <w:gridCol w:w="846"/>
        <w:gridCol w:w="1517"/>
        <w:gridCol w:w="2143"/>
      </w:tblGrid>
      <w:tr w:rsidR="003517F9" w:rsidRPr="00540422" w14:paraId="08CA8596" w14:textId="77777777" w:rsidTr="0098760A">
        <w:trPr>
          <w:cantSplit/>
          <w:trHeight w:val="463"/>
        </w:trPr>
        <w:tc>
          <w:tcPr>
            <w:tcW w:w="2035" w:type="pct"/>
            <w:gridSpan w:val="2"/>
            <w:tcBorders>
              <w:top w:val="single" w:sz="4" w:space="0" w:color="auto"/>
              <w:left w:val="single" w:sz="4" w:space="0" w:color="auto"/>
              <w:bottom w:val="single" w:sz="4" w:space="0" w:color="auto"/>
              <w:right w:val="single" w:sz="4" w:space="0" w:color="auto"/>
            </w:tcBorders>
            <w:vAlign w:val="center"/>
          </w:tcPr>
          <w:p w14:paraId="6AFB4FC1" w14:textId="77777777" w:rsidR="00617E12" w:rsidRPr="00540422" w:rsidRDefault="00617E12" w:rsidP="00617E12">
            <w:pPr>
              <w:keepNext/>
              <w:jc w:val="left"/>
              <w:rPr>
                <w:rFonts w:ascii="Arial Narrow" w:hAnsi="Arial Narrow"/>
                <w:b/>
                <w:sz w:val="20"/>
              </w:rPr>
            </w:pPr>
            <w:r w:rsidRPr="00540422">
              <w:rPr>
                <w:rFonts w:ascii="Arial Narrow" w:hAnsi="Arial Narrow"/>
                <w:b/>
                <w:sz w:val="20"/>
              </w:rPr>
              <w:t>Name, Restriction,</w:t>
            </w:r>
          </w:p>
          <w:p w14:paraId="462F84A4" w14:textId="77777777" w:rsidR="00617E12" w:rsidRPr="00540422" w:rsidRDefault="00617E12" w:rsidP="00617E12">
            <w:pPr>
              <w:keepNext/>
              <w:jc w:val="left"/>
              <w:rPr>
                <w:rFonts w:ascii="Arial Narrow" w:hAnsi="Arial Narrow"/>
                <w:b/>
                <w:sz w:val="20"/>
              </w:rPr>
            </w:pPr>
            <w:r w:rsidRPr="00540422">
              <w:rPr>
                <w:rFonts w:ascii="Arial Narrow" w:hAnsi="Arial Narrow"/>
                <w:b/>
                <w:sz w:val="20"/>
              </w:rPr>
              <w:t>Manner of administration and form</w:t>
            </w:r>
          </w:p>
        </w:tc>
        <w:tc>
          <w:tcPr>
            <w:tcW w:w="455" w:type="pct"/>
            <w:tcBorders>
              <w:top w:val="single" w:sz="4" w:space="0" w:color="auto"/>
              <w:left w:val="single" w:sz="4" w:space="0" w:color="auto"/>
              <w:bottom w:val="single" w:sz="4" w:space="0" w:color="auto"/>
              <w:right w:val="single" w:sz="4" w:space="0" w:color="auto"/>
            </w:tcBorders>
            <w:vAlign w:val="center"/>
          </w:tcPr>
          <w:p w14:paraId="28006637" w14:textId="77777777" w:rsidR="00617E12" w:rsidRPr="00540422" w:rsidRDefault="00617E12" w:rsidP="00617E12">
            <w:pPr>
              <w:keepNext/>
              <w:jc w:val="center"/>
              <w:rPr>
                <w:rFonts w:ascii="Arial Narrow" w:hAnsi="Arial Narrow"/>
                <w:b/>
                <w:sz w:val="20"/>
              </w:rPr>
            </w:pPr>
            <w:r w:rsidRPr="00540422">
              <w:rPr>
                <w:rFonts w:ascii="Arial Narrow" w:hAnsi="Arial Narrow"/>
                <w:b/>
                <w:sz w:val="20"/>
              </w:rPr>
              <w:t>Max.</w:t>
            </w:r>
          </w:p>
          <w:p w14:paraId="325E0F44" w14:textId="77777777" w:rsidR="00617E12" w:rsidRPr="00540422" w:rsidRDefault="00617E12" w:rsidP="00617E12">
            <w:pPr>
              <w:keepNext/>
              <w:jc w:val="center"/>
              <w:rPr>
                <w:rFonts w:ascii="Arial Narrow" w:hAnsi="Arial Narrow"/>
                <w:b/>
                <w:sz w:val="20"/>
              </w:rPr>
            </w:pPr>
            <w:r w:rsidRPr="00540422">
              <w:rPr>
                <w:rFonts w:ascii="Arial Narrow" w:hAnsi="Arial Narrow"/>
                <w:b/>
                <w:sz w:val="20"/>
              </w:rPr>
              <w:t>Qty</w:t>
            </w:r>
            <w:r w:rsidR="00806794" w:rsidRPr="00540422">
              <w:rPr>
                <w:rFonts w:ascii="Arial Narrow" w:hAnsi="Arial Narrow"/>
                <w:b/>
                <w:sz w:val="20"/>
              </w:rPr>
              <w:t xml:space="preserve"> (units)</w:t>
            </w:r>
          </w:p>
        </w:tc>
        <w:tc>
          <w:tcPr>
            <w:tcW w:w="471" w:type="pct"/>
            <w:tcBorders>
              <w:top w:val="single" w:sz="4" w:space="0" w:color="auto"/>
              <w:left w:val="single" w:sz="4" w:space="0" w:color="auto"/>
              <w:bottom w:val="single" w:sz="4" w:space="0" w:color="auto"/>
              <w:right w:val="single" w:sz="4" w:space="0" w:color="auto"/>
            </w:tcBorders>
            <w:vAlign w:val="center"/>
          </w:tcPr>
          <w:p w14:paraId="5D7C81E3" w14:textId="77777777" w:rsidR="00617E12" w:rsidRPr="00540422" w:rsidRDefault="00617E12" w:rsidP="00617E12">
            <w:pPr>
              <w:keepNext/>
              <w:jc w:val="center"/>
              <w:rPr>
                <w:rFonts w:ascii="Arial Narrow" w:hAnsi="Arial Narrow"/>
                <w:b/>
                <w:sz w:val="20"/>
              </w:rPr>
            </w:pPr>
            <w:r w:rsidRPr="00540422">
              <w:rPr>
                <w:rFonts w:ascii="Arial Narrow" w:hAnsi="Arial Narrow" w:cs="Times New Roman"/>
                <w:b/>
                <w:sz w:val="20"/>
              </w:rPr>
              <w:t>№</w:t>
            </w:r>
            <w:r w:rsidRPr="00540422">
              <w:rPr>
                <w:rFonts w:ascii="Arial Narrow" w:hAnsi="Arial Narrow"/>
                <w:b/>
                <w:sz w:val="20"/>
              </w:rPr>
              <w:t>.of</w:t>
            </w:r>
          </w:p>
          <w:p w14:paraId="0C8FC7AC" w14:textId="77777777" w:rsidR="00617E12" w:rsidRPr="00540422" w:rsidRDefault="00617E12" w:rsidP="00617E12">
            <w:pPr>
              <w:keepNext/>
              <w:jc w:val="center"/>
              <w:rPr>
                <w:rFonts w:ascii="Arial Narrow" w:hAnsi="Arial Narrow"/>
                <w:b/>
                <w:sz w:val="20"/>
              </w:rPr>
            </w:pPr>
            <w:r w:rsidRPr="00540422">
              <w:rPr>
                <w:rFonts w:ascii="Arial Narrow" w:hAnsi="Arial Narrow"/>
                <w:b/>
                <w:sz w:val="20"/>
              </w:rPr>
              <w:t>Rpts</w:t>
            </w:r>
          </w:p>
        </w:tc>
        <w:tc>
          <w:tcPr>
            <w:tcW w:w="845" w:type="pct"/>
            <w:tcBorders>
              <w:top w:val="single" w:sz="4" w:space="0" w:color="auto"/>
              <w:left w:val="single" w:sz="4" w:space="0" w:color="auto"/>
              <w:bottom w:val="single" w:sz="4" w:space="0" w:color="auto"/>
              <w:right w:val="single" w:sz="4" w:space="0" w:color="auto"/>
            </w:tcBorders>
            <w:vAlign w:val="center"/>
          </w:tcPr>
          <w:p w14:paraId="02EBBBAC" w14:textId="77777777" w:rsidR="00617E12" w:rsidRPr="00540422" w:rsidRDefault="00C6485B" w:rsidP="00617E12">
            <w:pPr>
              <w:keepNext/>
              <w:jc w:val="center"/>
              <w:rPr>
                <w:rFonts w:ascii="Arial Narrow" w:hAnsi="Arial Narrow"/>
                <w:b/>
                <w:sz w:val="20"/>
              </w:rPr>
            </w:pPr>
            <w:r w:rsidRPr="00540422">
              <w:rPr>
                <w:rFonts w:ascii="Arial Narrow" w:hAnsi="Arial Narrow"/>
                <w:b/>
                <w:sz w:val="20"/>
              </w:rPr>
              <w:t>Price ex-manufacturer</w:t>
            </w:r>
            <w:r w:rsidR="002206EB">
              <w:rPr>
                <w:rFonts w:ascii="Arial Narrow" w:hAnsi="Arial Narrow"/>
                <w:b/>
                <w:sz w:val="20"/>
              </w:rPr>
              <w:t xml:space="preserve"> ($)</w:t>
            </w:r>
          </w:p>
        </w:tc>
        <w:tc>
          <w:tcPr>
            <w:tcW w:w="1194" w:type="pct"/>
            <w:tcBorders>
              <w:top w:val="single" w:sz="4" w:space="0" w:color="auto"/>
              <w:left w:val="single" w:sz="4" w:space="0" w:color="auto"/>
              <w:bottom w:val="single" w:sz="4" w:space="0" w:color="auto"/>
              <w:right w:val="single" w:sz="4" w:space="0" w:color="auto"/>
            </w:tcBorders>
            <w:vAlign w:val="center"/>
          </w:tcPr>
          <w:p w14:paraId="288B7314" w14:textId="77777777" w:rsidR="00617E12" w:rsidRPr="00540422" w:rsidRDefault="00617E12" w:rsidP="00617E12">
            <w:pPr>
              <w:keepNext/>
              <w:jc w:val="center"/>
              <w:rPr>
                <w:rFonts w:ascii="Arial Narrow" w:hAnsi="Arial Narrow"/>
                <w:b/>
                <w:sz w:val="20"/>
              </w:rPr>
            </w:pPr>
            <w:r w:rsidRPr="00540422">
              <w:rPr>
                <w:rFonts w:ascii="Arial Narrow" w:hAnsi="Arial Narrow"/>
                <w:b/>
                <w:sz w:val="20"/>
              </w:rPr>
              <w:t>Proprietary Name and Manufacturer</w:t>
            </w:r>
          </w:p>
        </w:tc>
      </w:tr>
      <w:tr w:rsidR="006E2B3E" w:rsidRPr="00540422" w14:paraId="2E49D871" w14:textId="77777777" w:rsidTr="0098760A">
        <w:trPr>
          <w:cantSplit/>
          <w:trHeight w:val="567"/>
        </w:trPr>
        <w:tc>
          <w:tcPr>
            <w:tcW w:w="2035" w:type="pct"/>
            <w:gridSpan w:val="2"/>
            <w:tcBorders>
              <w:top w:val="single" w:sz="4" w:space="0" w:color="auto"/>
              <w:left w:val="single" w:sz="4" w:space="0" w:color="auto"/>
              <w:bottom w:val="single" w:sz="4" w:space="0" w:color="auto"/>
              <w:right w:val="single" w:sz="4" w:space="0" w:color="auto"/>
            </w:tcBorders>
            <w:vAlign w:val="center"/>
          </w:tcPr>
          <w:p w14:paraId="5C738243" w14:textId="77777777" w:rsidR="006E2B3E" w:rsidRPr="00540422" w:rsidRDefault="006E2B3E" w:rsidP="00DA719F">
            <w:pPr>
              <w:keepNext/>
              <w:jc w:val="left"/>
              <w:rPr>
                <w:rFonts w:ascii="Arial Narrow" w:hAnsi="Arial Narrow"/>
                <w:sz w:val="20"/>
                <w:szCs w:val="20"/>
              </w:rPr>
            </w:pPr>
            <w:r w:rsidRPr="00540422">
              <w:rPr>
                <w:rFonts w:ascii="Arial Narrow" w:hAnsi="Arial Narrow"/>
                <w:sz w:val="20"/>
                <w:szCs w:val="20"/>
              </w:rPr>
              <w:t>BUPRENORPHINE 50 mg/mL weekly subcutaneous depot injection, pre-filled syringe</w:t>
            </w:r>
          </w:p>
        </w:tc>
        <w:tc>
          <w:tcPr>
            <w:tcW w:w="455" w:type="pct"/>
            <w:tcBorders>
              <w:top w:val="single" w:sz="4" w:space="0" w:color="auto"/>
              <w:left w:val="single" w:sz="4" w:space="0" w:color="auto"/>
              <w:bottom w:val="single" w:sz="4" w:space="0" w:color="auto"/>
              <w:right w:val="single" w:sz="4" w:space="0" w:color="auto"/>
            </w:tcBorders>
            <w:vAlign w:val="center"/>
          </w:tcPr>
          <w:p w14:paraId="56593C13" w14:textId="77777777" w:rsidR="006E2B3E" w:rsidRPr="00540422" w:rsidRDefault="006E2B3E" w:rsidP="00DA719F">
            <w:pPr>
              <w:pStyle w:val="TableText"/>
              <w:keepNext w:val="0"/>
              <w:jc w:val="center"/>
              <w:rPr>
                <w:bCs w:val="0"/>
                <w:szCs w:val="20"/>
              </w:rPr>
            </w:pPr>
          </w:p>
          <w:p w14:paraId="386288C8" w14:textId="77777777" w:rsidR="006E2B3E" w:rsidRPr="00540422" w:rsidRDefault="006E2B3E" w:rsidP="00DA719F">
            <w:pPr>
              <w:keepNext/>
              <w:jc w:val="center"/>
              <w:rPr>
                <w:rFonts w:ascii="Arial Narrow" w:hAnsi="Arial Narrow"/>
                <w:sz w:val="20"/>
                <w:szCs w:val="20"/>
              </w:rPr>
            </w:pPr>
          </w:p>
        </w:tc>
        <w:tc>
          <w:tcPr>
            <w:tcW w:w="471" w:type="pct"/>
            <w:tcBorders>
              <w:top w:val="single" w:sz="4" w:space="0" w:color="auto"/>
              <w:left w:val="single" w:sz="4" w:space="0" w:color="auto"/>
              <w:bottom w:val="single" w:sz="4" w:space="0" w:color="auto"/>
              <w:right w:val="single" w:sz="4" w:space="0" w:color="auto"/>
            </w:tcBorders>
            <w:vAlign w:val="center"/>
          </w:tcPr>
          <w:p w14:paraId="37263F5E" w14:textId="77777777" w:rsidR="006E2B3E" w:rsidRPr="00540422" w:rsidRDefault="006E2B3E" w:rsidP="00DA719F">
            <w:pPr>
              <w:keepNext/>
              <w:jc w:val="center"/>
              <w:rPr>
                <w:rFonts w:ascii="Arial Narrow" w:hAnsi="Arial Narrow"/>
                <w:sz w:val="20"/>
                <w:szCs w:val="20"/>
              </w:rPr>
            </w:pPr>
          </w:p>
        </w:tc>
        <w:tc>
          <w:tcPr>
            <w:tcW w:w="845" w:type="pct"/>
            <w:tcBorders>
              <w:top w:val="single" w:sz="4" w:space="0" w:color="auto"/>
              <w:left w:val="single" w:sz="4" w:space="0" w:color="auto"/>
              <w:bottom w:val="single" w:sz="4" w:space="0" w:color="auto"/>
              <w:right w:val="single" w:sz="4" w:space="0" w:color="auto"/>
            </w:tcBorders>
            <w:vAlign w:val="center"/>
          </w:tcPr>
          <w:p w14:paraId="5159C367" w14:textId="77777777" w:rsidR="006E2B3E" w:rsidRPr="00540422" w:rsidRDefault="006E2B3E" w:rsidP="00DA719F">
            <w:pPr>
              <w:keepNext/>
              <w:jc w:val="center"/>
              <w:rPr>
                <w:rFonts w:ascii="Arial Narrow" w:hAnsi="Arial Narrow"/>
                <w:sz w:val="20"/>
                <w:szCs w:val="20"/>
              </w:rPr>
            </w:pPr>
          </w:p>
        </w:tc>
        <w:tc>
          <w:tcPr>
            <w:tcW w:w="1194" w:type="pct"/>
            <w:tcBorders>
              <w:top w:val="single" w:sz="4" w:space="0" w:color="auto"/>
              <w:left w:val="single" w:sz="4" w:space="0" w:color="auto"/>
              <w:bottom w:val="single" w:sz="4" w:space="0" w:color="auto"/>
              <w:right w:val="single" w:sz="4" w:space="0" w:color="auto"/>
            </w:tcBorders>
            <w:vAlign w:val="center"/>
          </w:tcPr>
          <w:p w14:paraId="7BAA207A" w14:textId="77777777" w:rsidR="006E2B3E" w:rsidRPr="00540422" w:rsidRDefault="006E2B3E" w:rsidP="00DA719F">
            <w:pPr>
              <w:pStyle w:val="TableText"/>
              <w:keepNext w:val="0"/>
              <w:jc w:val="center"/>
              <w:rPr>
                <w:szCs w:val="20"/>
              </w:rPr>
            </w:pPr>
            <w:r w:rsidRPr="00540422">
              <w:rPr>
                <w:szCs w:val="20"/>
              </w:rPr>
              <w:t>BUVIDAL</w:t>
            </w:r>
          </w:p>
          <w:p w14:paraId="48ACF543" w14:textId="77777777" w:rsidR="006E2B3E" w:rsidRPr="00540422" w:rsidRDefault="006E2B3E" w:rsidP="00DA719F">
            <w:pPr>
              <w:keepNext/>
              <w:jc w:val="center"/>
              <w:rPr>
                <w:rFonts w:ascii="Arial Narrow" w:hAnsi="Arial Narrow"/>
                <w:sz w:val="20"/>
                <w:szCs w:val="20"/>
              </w:rPr>
            </w:pPr>
            <w:r w:rsidRPr="00540422">
              <w:rPr>
                <w:rFonts w:ascii="Arial Narrow" w:hAnsi="Arial Narrow"/>
                <w:sz w:val="20"/>
                <w:szCs w:val="20"/>
              </w:rPr>
              <w:t xml:space="preserve">Camurus </w:t>
            </w:r>
            <w:r w:rsidR="00067366" w:rsidRPr="00540422">
              <w:rPr>
                <w:rFonts w:ascii="Arial Narrow" w:hAnsi="Arial Narrow"/>
                <w:sz w:val="20"/>
                <w:szCs w:val="20"/>
              </w:rPr>
              <w:t>Pty Ltd</w:t>
            </w:r>
          </w:p>
        </w:tc>
      </w:tr>
      <w:tr w:rsidR="006E2B3E" w:rsidRPr="00540422" w14:paraId="1793FEBB" w14:textId="77777777" w:rsidTr="0098760A">
        <w:trPr>
          <w:cantSplit/>
          <w:trHeight w:val="567"/>
        </w:trPr>
        <w:tc>
          <w:tcPr>
            <w:tcW w:w="2035" w:type="pct"/>
            <w:gridSpan w:val="2"/>
            <w:tcBorders>
              <w:top w:val="single" w:sz="4" w:space="0" w:color="auto"/>
              <w:left w:val="single" w:sz="4" w:space="0" w:color="auto"/>
              <w:bottom w:val="single" w:sz="4" w:space="0" w:color="auto"/>
              <w:right w:val="single" w:sz="4" w:space="0" w:color="auto"/>
            </w:tcBorders>
            <w:vAlign w:val="center"/>
          </w:tcPr>
          <w:p w14:paraId="62013D5E" w14:textId="77777777" w:rsidR="006E2B3E" w:rsidRPr="00540422" w:rsidRDefault="006E2B3E" w:rsidP="00DA719F">
            <w:pPr>
              <w:pStyle w:val="TableText"/>
              <w:keepNext w:val="0"/>
              <w:rPr>
                <w:bCs w:val="0"/>
                <w:szCs w:val="20"/>
              </w:rPr>
            </w:pPr>
            <w:r w:rsidRPr="00540422">
              <w:rPr>
                <w:bCs w:val="0"/>
                <w:szCs w:val="20"/>
              </w:rPr>
              <w:t>8 mg in 0.16 mL</w:t>
            </w:r>
          </w:p>
          <w:p w14:paraId="649C2294" w14:textId="77777777" w:rsidR="006E2B3E" w:rsidRPr="00540422" w:rsidRDefault="006E2B3E" w:rsidP="00DA719F">
            <w:pPr>
              <w:pStyle w:val="TableText"/>
              <w:keepNext w:val="0"/>
              <w:rPr>
                <w:bCs w:val="0"/>
                <w:szCs w:val="20"/>
              </w:rPr>
            </w:pPr>
            <w:r w:rsidRPr="00540422">
              <w:rPr>
                <w:bCs w:val="0"/>
                <w:szCs w:val="20"/>
              </w:rPr>
              <w:t>16 mg in 0.32 mL</w:t>
            </w:r>
          </w:p>
          <w:p w14:paraId="54E76307" w14:textId="77777777" w:rsidR="006E2B3E" w:rsidRPr="00540422" w:rsidRDefault="006E2B3E" w:rsidP="00DA719F">
            <w:pPr>
              <w:pStyle w:val="TableText"/>
              <w:keepNext w:val="0"/>
              <w:rPr>
                <w:bCs w:val="0"/>
                <w:szCs w:val="20"/>
              </w:rPr>
            </w:pPr>
            <w:r w:rsidRPr="00540422">
              <w:rPr>
                <w:bCs w:val="0"/>
                <w:szCs w:val="20"/>
              </w:rPr>
              <w:t>24 mg in 0.48 mL</w:t>
            </w:r>
          </w:p>
          <w:p w14:paraId="4BCEE686" w14:textId="77777777" w:rsidR="006E2B3E" w:rsidRPr="00540422" w:rsidRDefault="006E2B3E" w:rsidP="00DA719F">
            <w:pPr>
              <w:keepNext/>
              <w:jc w:val="left"/>
              <w:rPr>
                <w:rFonts w:ascii="Arial Narrow" w:hAnsi="Arial Narrow"/>
                <w:sz w:val="20"/>
                <w:szCs w:val="20"/>
              </w:rPr>
            </w:pPr>
            <w:r w:rsidRPr="00540422">
              <w:rPr>
                <w:rFonts w:ascii="Arial Narrow" w:hAnsi="Arial Narrow"/>
                <w:bCs/>
                <w:sz w:val="20"/>
                <w:szCs w:val="20"/>
              </w:rPr>
              <w:t>32 mg in 0.64 mL</w:t>
            </w:r>
          </w:p>
        </w:tc>
        <w:tc>
          <w:tcPr>
            <w:tcW w:w="455" w:type="pct"/>
            <w:tcBorders>
              <w:top w:val="single" w:sz="4" w:space="0" w:color="auto"/>
              <w:left w:val="single" w:sz="4" w:space="0" w:color="auto"/>
              <w:bottom w:val="single" w:sz="4" w:space="0" w:color="auto"/>
              <w:right w:val="single" w:sz="4" w:space="0" w:color="auto"/>
            </w:tcBorders>
            <w:vAlign w:val="center"/>
          </w:tcPr>
          <w:p w14:paraId="5B6E7A7F" w14:textId="77777777" w:rsidR="006E2B3E" w:rsidRPr="00540422" w:rsidRDefault="006E2B3E" w:rsidP="00DA719F">
            <w:pPr>
              <w:pStyle w:val="TableText"/>
              <w:keepNext w:val="0"/>
              <w:jc w:val="center"/>
              <w:rPr>
                <w:bCs w:val="0"/>
                <w:szCs w:val="20"/>
              </w:rPr>
            </w:pPr>
            <w:r w:rsidRPr="00540422">
              <w:rPr>
                <w:bCs w:val="0"/>
                <w:szCs w:val="20"/>
              </w:rPr>
              <w:t>1</w:t>
            </w:r>
          </w:p>
          <w:p w14:paraId="385E2F7B" w14:textId="77777777" w:rsidR="006E2B3E" w:rsidRPr="00540422" w:rsidRDefault="006E2B3E" w:rsidP="00DA719F">
            <w:pPr>
              <w:pStyle w:val="TableText"/>
              <w:keepNext w:val="0"/>
              <w:jc w:val="center"/>
              <w:rPr>
                <w:bCs w:val="0"/>
                <w:szCs w:val="20"/>
              </w:rPr>
            </w:pPr>
            <w:r w:rsidRPr="00540422">
              <w:rPr>
                <w:bCs w:val="0"/>
                <w:szCs w:val="20"/>
              </w:rPr>
              <w:t>1</w:t>
            </w:r>
          </w:p>
          <w:p w14:paraId="10505741" w14:textId="77777777" w:rsidR="006E2B3E" w:rsidRPr="00540422" w:rsidRDefault="006E2B3E" w:rsidP="00DA719F">
            <w:pPr>
              <w:pStyle w:val="TableText"/>
              <w:keepNext w:val="0"/>
              <w:jc w:val="center"/>
              <w:rPr>
                <w:bCs w:val="0"/>
                <w:szCs w:val="20"/>
              </w:rPr>
            </w:pPr>
            <w:r w:rsidRPr="00540422">
              <w:rPr>
                <w:bCs w:val="0"/>
                <w:szCs w:val="20"/>
              </w:rPr>
              <w:t>1</w:t>
            </w:r>
          </w:p>
          <w:p w14:paraId="75301CB8" w14:textId="77777777" w:rsidR="006E2B3E" w:rsidRPr="00540422" w:rsidRDefault="006E2B3E" w:rsidP="00DA719F">
            <w:pPr>
              <w:pStyle w:val="TableText"/>
              <w:keepNext w:val="0"/>
              <w:jc w:val="center"/>
              <w:rPr>
                <w:bCs w:val="0"/>
                <w:szCs w:val="20"/>
              </w:rPr>
            </w:pPr>
            <w:r w:rsidRPr="00540422">
              <w:rPr>
                <w:bCs w:val="0"/>
                <w:szCs w:val="20"/>
              </w:rPr>
              <w:t>1</w:t>
            </w:r>
          </w:p>
        </w:tc>
        <w:tc>
          <w:tcPr>
            <w:tcW w:w="471" w:type="pct"/>
            <w:tcBorders>
              <w:top w:val="single" w:sz="4" w:space="0" w:color="auto"/>
              <w:left w:val="single" w:sz="4" w:space="0" w:color="auto"/>
              <w:bottom w:val="single" w:sz="4" w:space="0" w:color="auto"/>
              <w:right w:val="single" w:sz="4" w:space="0" w:color="auto"/>
            </w:tcBorders>
            <w:vAlign w:val="center"/>
          </w:tcPr>
          <w:p w14:paraId="51CAC351" w14:textId="77777777" w:rsidR="006E2B3E" w:rsidRPr="00540422" w:rsidRDefault="006E2B3E" w:rsidP="00DA719F">
            <w:pPr>
              <w:pStyle w:val="TableText"/>
              <w:keepNext w:val="0"/>
              <w:jc w:val="center"/>
              <w:rPr>
                <w:bCs w:val="0"/>
                <w:szCs w:val="20"/>
              </w:rPr>
            </w:pPr>
            <w:r w:rsidRPr="00540422">
              <w:rPr>
                <w:bCs w:val="0"/>
                <w:szCs w:val="20"/>
              </w:rPr>
              <w:t>NA</w:t>
            </w:r>
          </w:p>
          <w:p w14:paraId="6AB3D9A8" w14:textId="77777777" w:rsidR="006E2B3E" w:rsidRPr="00540422" w:rsidRDefault="006E2B3E" w:rsidP="00DA719F">
            <w:pPr>
              <w:pStyle w:val="TableText"/>
              <w:keepNext w:val="0"/>
              <w:jc w:val="center"/>
              <w:rPr>
                <w:bCs w:val="0"/>
                <w:szCs w:val="20"/>
              </w:rPr>
            </w:pPr>
            <w:r w:rsidRPr="00540422">
              <w:rPr>
                <w:bCs w:val="0"/>
                <w:szCs w:val="20"/>
              </w:rPr>
              <w:t>NA</w:t>
            </w:r>
          </w:p>
          <w:p w14:paraId="10B1FD11" w14:textId="77777777" w:rsidR="006E2B3E" w:rsidRPr="00540422" w:rsidRDefault="006E2B3E" w:rsidP="00DA719F">
            <w:pPr>
              <w:pStyle w:val="TableText"/>
              <w:keepNext w:val="0"/>
              <w:jc w:val="center"/>
              <w:rPr>
                <w:bCs w:val="0"/>
                <w:szCs w:val="20"/>
              </w:rPr>
            </w:pPr>
            <w:r w:rsidRPr="00540422">
              <w:rPr>
                <w:bCs w:val="0"/>
                <w:szCs w:val="20"/>
              </w:rPr>
              <w:t>NA</w:t>
            </w:r>
          </w:p>
          <w:p w14:paraId="17463265" w14:textId="77777777" w:rsidR="006E2B3E" w:rsidRPr="00540422" w:rsidRDefault="006E2B3E" w:rsidP="00DA719F">
            <w:pPr>
              <w:keepNext/>
              <w:jc w:val="center"/>
              <w:rPr>
                <w:rFonts w:ascii="Arial Narrow" w:hAnsi="Arial Narrow"/>
                <w:sz w:val="20"/>
                <w:szCs w:val="20"/>
              </w:rPr>
            </w:pPr>
            <w:r w:rsidRPr="00540422">
              <w:rPr>
                <w:rFonts w:ascii="Arial Narrow" w:hAnsi="Arial Narrow"/>
                <w:bCs/>
                <w:sz w:val="20"/>
                <w:szCs w:val="20"/>
              </w:rPr>
              <w:t>NA</w:t>
            </w:r>
          </w:p>
        </w:tc>
        <w:tc>
          <w:tcPr>
            <w:tcW w:w="845" w:type="pct"/>
            <w:tcBorders>
              <w:top w:val="single" w:sz="4" w:space="0" w:color="auto"/>
              <w:left w:val="single" w:sz="4" w:space="0" w:color="auto"/>
              <w:bottom w:val="single" w:sz="4" w:space="0" w:color="auto"/>
              <w:right w:val="single" w:sz="4" w:space="0" w:color="auto"/>
            </w:tcBorders>
            <w:vAlign w:val="center"/>
          </w:tcPr>
          <w:p w14:paraId="7B080F86" w14:textId="77777777" w:rsidR="006E2B3E" w:rsidRPr="009E2AA7" w:rsidRDefault="009E2AA7" w:rsidP="00DA719F">
            <w:pPr>
              <w:pStyle w:val="TableText"/>
              <w:keepNext w:val="0"/>
              <w:jc w:val="center"/>
              <w:rPr>
                <w:b/>
                <w:bCs w:val="0"/>
                <w:szCs w:val="20"/>
                <w:highlight w:val="black"/>
              </w:rPr>
            </w:pPr>
            <w:r>
              <w:rPr>
                <w:b/>
                <w:bCs w:val="0"/>
                <w:noProof/>
                <w:color w:val="000000"/>
                <w:szCs w:val="20"/>
                <w:highlight w:val="black"/>
              </w:rPr>
              <w:t>'''''''''''''</w:t>
            </w:r>
          </w:p>
          <w:p w14:paraId="7F4888C7" w14:textId="77777777" w:rsidR="006E2B3E" w:rsidRPr="009E2AA7" w:rsidRDefault="009E2AA7" w:rsidP="00DA719F">
            <w:pPr>
              <w:pStyle w:val="TableText"/>
              <w:keepNext w:val="0"/>
              <w:jc w:val="center"/>
              <w:rPr>
                <w:b/>
                <w:bCs w:val="0"/>
                <w:szCs w:val="20"/>
                <w:highlight w:val="black"/>
              </w:rPr>
            </w:pPr>
            <w:r>
              <w:rPr>
                <w:b/>
                <w:bCs w:val="0"/>
                <w:noProof/>
                <w:color w:val="000000"/>
                <w:szCs w:val="20"/>
                <w:highlight w:val="black"/>
              </w:rPr>
              <w:t>'''''''''''''''</w:t>
            </w:r>
          </w:p>
          <w:p w14:paraId="1CB4394D" w14:textId="77777777" w:rsidR="006E2B3E" w:rsidRPr="009E2AA7" w:rsidRDefault="009E2AA7" w:rsidP="00DA719F">
            <w:pPr>
              <w:pStyle w:val="TableText"/>
              <w:keepNext w:val="0"/>
              <w:jc w:val="center"/>
              <w:rPr>
                <w:b/>
                <w:bCs w:val="0"/>
                <w:szCs w:val="20"/>
                <w:highlight w:val="black"/>
              </w:rPr>
            </w:pPr>
            <w:r>
              <w:rPr>
                <w:b/>
                <w:bCs w:val="0"/>
                <w:noProof/>
                <w:color w:val="000000"/>
                <w:szCs w:val="20"/>
                <w:highlight w:val="black"/>
              </w:rPr>
              <w:t>'''''''''''''</w:t>
            </w:r>
          </w:p>
          <w:p w14:paraId="4906EDF4" w14:textId="77777777" w:rsidR="006E2B3E" w:rsidRPr="009E2AA7" w:rsidRDefault="009E2AA7" w:rsidP="00DA719F">
            <w:pPr>
              <w:keepNext/>
              <w:jc w:val="center"/>
              <w:rPr>
                <w:rFonts w:ascii="Arial Narrow" w:hAnsi="Arial Narrow"/>
                <w:sz w:val="20"/>
                <w:szCs w:val="20"/>
                <w:highlight w:val="black"/>
              </w:rPr>
            </w:pPr>
            <w:r>
              <w:rPr>
                <w:rFonts w:ascii="Arial Narrow" w:hAnsi="Arial Narrow"/>
                <w:b/>
                <w:noProof/>
                <w:color w:val="000000"/>
                <w:sz w:val="20"/>
                <w:szCs w:val="20"/>
                <w:highlight w:val="black"/>
              </w:rPr>
              <w:t>'''''''''''''</w:t>
            </w:r>
          </w:p>
        </w:tc>
        <w:tc>
          <w:tcPr>
            <w:tcW w:w="1194" w:type="pct"/>
            <w:tcBorders>
              <w:top w:val="single" w:sz="4" w:space="0" w:color="auto"/>
              <w:left w:val="single" w:sz="4" w:space="0" w:color="auto"/>
              <w:bottom w:val="single" w:sz="4" w:space="0" w:color="auto"/>
              <w:right w:val="single" w:sz="4" w:space="0" w:color="auto"/>
            </w:tcBorders>
            <w:vAlign w:val="center"/>
          </w:tcPr>
          <w:p w14:paraId="29E37F36" w14:textId="77777777" w:rsidR="006E2B3E" w:rsidRPr="00540422" w:rsidRDefault="006E2B3E" w:rsidP="00DA719F">
            <w:pPr>
              <w:pStyle w:val="TableText"/>
              <w:keepNext w:val="0"/>
              <w:jc w:val="center"/>
              <w:rPr>
                <w:szCs w:val="20"/>
              </w:rPr>
            </w:pPr>
          </w:p>
        </w:tc>
      </w:tr>
      <w:tr w:rsidR="006E2B3E" w:rsidRPr="00540422" w14:paraId="6B24124D" w14:textId="77777777" w:rsidTr="0098760A">
        <w:trPr>
          <w:cantSplit/>
          <w:trHeight w:val="567"/>
        </w:trPr>
        <w:tc>
          <w:tcPr>
            <w:tcW w:w="2035" w:type="pct"/>
            <w:gridSpan w:val="2"/>
            <w:tcBorders>
              <w:top w:val="single" w:sz="4" w:space="0" w:color="auto"/>
              <w:left w:val="single" w:sz="4" w:space="0" w:color="auto"/>
              <w:bottom w:val="single" w:sz="4" w:space="0" w:color="auto"/>
              <w:right w:val="single" w:sz="4" w:space="0" w:color="auto"/>
            </w:tcBorders>
            <w:vAlign w:val="center"/>
          </w:tcPr>
          <w:p w14:paraId="23A003AF" w14:textId="77777777" w:rsidR="006E2B3E" w:rsidRPr="00540422" w:rsidRDefault="006E2B3E" w:rsidP="00DA719F">
            <w:pPr>
              <w:pStyle w:val="TableText"/>
              <w:keepNext w:val="0"/>
              <w:rPr>
                <w:bCs w:val="0"/>
                <w:szCs w:val="20"/>
              </w:rPr>
            </w:pPr>
            <w:r w:rsidRPr="00540422">
              <w:rPr>
                <w:szCs w:val="20"/>
              </w:rPr>
              <w:t>BUPRENORPHINE 356 mg/mL monthly subcutaneous depot injection, pre-filled syringe</w:t>
            </w:r>
          </w:p>
        </w:tc>
        <w:tc>
          <w:tcPr>
            <w:tcW w:w="455" w:type="pct"/>
            <w:tcBorders>
              <w:top w:val="single" w:sz="4" w:space="0" w:color="auto"/>
              <w:left w:val="single" w:sz="4" w:space="0" w:color="auto"/>
              <w:bottom w:val="single" w:sz="4" w:space="0" w:color="auto"/>
              <w:right w:val="single" w:sz="4" w:space="0" w:color="auto"/>
            </w:tcBorders>
            <w:vAlign w:val="center"/>
          </w:tcPr>
          <w:p w14:paraId="4CBA0972" w14:textId="77777777" w:rsidR="006E2B3E" w:rsidRPr="00540422" w:rsidRDefault="006E2B3E" w:rsidP="00DA719F">
            <w:pPr>
              <w:pStyle w:val="TableText"/>
              <w:keepNext w:val="0"/>
              <w:jc w:val="center"/>
              <w:rPr>
                <w:bCs w:val="0"/>
                <w:szCs w:val="20"/>
              </w:rPr>
            </w:pPr>
          </w:p>
        </w:tc>
        <w:tc>
          <w:tcPr>
            <w:tcW w:w="471" w:type="pct"/>
            <w:tcBorders>
              <w:top w:val="single" w:sz="4" w:space="0" w:color="auto"/>
              <w:left w:val="single" w:sz="4" w:space="0" w:color="auto"/>
              <w:bottom w:val="single" w:sz="4" w:space="0" w:color="auto"/>
              <w:right w:val="single" w:sz="4" w:space="0" w:color="auto"/>
            </w:tcBorders>
            <w:vAlign w:val="center"/>
          </w:tcPr>
          <w:p w14:paraId="18092F16" w14:textId="77777777" w:rsidR="006E2B3E" w:rsidRPr="00540422" w:rsidRDefault="006E2B3E" w:rsidP="00DA719F">
            <w:pPr>
              <w:pStyle w:val="TableText"/>
              <w:keepNext w:val="0"/>
              <w:jc w:val="center"/>
              <w:rPr>
                <w:bCs w:val="0"/>
                <w:szCs w:val="20"/>
              </w:rPr>
            </w:pPr>
          </w:p>
        </w:tc>
        <w:tc>
          <w:tcPr>
            <w:tcW w:w="845" w:type="pct"/>
            <w:tcBorders>
              <w:top w:val="single" w:sz="4" w:space="0" w:color="auto"/>
              <w:left w:val="single" w:sz="4" w:space="0" w:color="auto"/>
              <w:bottom w:val="single" w:sz="4" w:space="0" w:color="auto"/>
              <w:right w:val="single" w:sz="4" w:space="0" w:color="auto"/>
            </w:tcBorders>
            <w:vAlign w:val="center"/>
          </w:tcPr>
          <w:p w14:paraId="33601C36" w14:textId="77777777" w:rsidR="006E2B3E" w:rsidRPr="009E2AA7" w:rsidRDefault="006E2B3E" w:rsidP="00DA719F">
            <w:pPr>
              <w:pStyle w:val="TableText"/>
              <w:keepNext w:val="0"/>
              <w:jc w:val="center"/>
              <w:rPr>
                <w:szCs w:val="20"/>
                <w:highlight w:val="darkGray"/>
              </w:rPr>
            </w:pPr>
          </w:p>
        </w:tc>
        <w:tc>
          <w:tcPr>
            <w:tcW w:w="1194" w:type="pct"/>
            <w:tcBorders>
              <w:top w:val="single" w:sz="4" w:space="0" w:color="auto"/>
              <w:left w:val="single" w:sz="4" w:space="0" w:color="auto"/>
              <w:bottom w:val="single" w:sz="4" w:space="0" w:color="auto"/>
              <w:right w:val="single" w:sz="4" w:space="0" w:color="auto"/>
            </w:tcBorders>
            <w:vAlign w:val="center"/>
          </w:tcPr>
          <w:p w14:paraId="09270675" w14:textId="77777777" w:rsidR="006E2B3E" w:rsidRPr="00540422" w:rsidRDefault="006E2B3E" w:rsidP="00DA719F">
            <w:pPr>
              <w:pStyle w:val="TableText"/>
              <w:keepNext w:val="0"/>
              <w:jc w:val="center"/>
              <w:rPr>
                <w:szCs w:val="20"/>
              </w:rPr>
            </w:pPr>
            <w:r w:rsidRPr="00540422">
              <w:rPr>
                <w:szCs w:val="20"/>
              </w:rPr>
              <w:t>BUVIDAL</w:t>
            </w:r>
          </w:p>
          <w:p w14:paraId="392F6AE1" w14:textId="77777777" w:rsidR="006E2B3E" w:rsidRPr="00540422" w:rsidRDefault="006E2B3E" w:rsidP="00DA719F">
            <w:pPr>
              <w:pStyle w:val="TableText"/>
              <w:keepNext w:val="0"/>
              <w:jc w:val="center"/>
              <w:rPr>
                <w:szCs w:val="20"/>
              </w:rPr>
            </w:pPr>
            <w:r w:rsidRPr="00540422">
              <w:rPr>
                <w:szCs w:val="20"/>
              </w:rPr>
              <w:t xml:space="preserve">Camurus </w:t>
            </w:r>
            <w:r w:rsidR="00067366" w:rsidRPr="00540422">
              <w:rPr>
                <w:szCs w:val="20"/>
              </w:rPr>
              <w:t>Pty Ltd</w:t>
            </w:r>
          </w:p>
        </w:tc>
      </w:tr>
      <w:tr w:rsidR="006E2B3E" w:rsidRPr="00540422" w14:paraId="55E10AE9" w14:textId="77777777" w:rsidTr="0098760A">
        <w:trPr>
          <w:cantSplit/>
          <w:trHeight w:val="567"/>
        </w:trPr>
        <w:tc>
          <w:tcPr>
            <w:tcW w:w="2035" w:type="pct"/>
            <w:gridSpan w:val="2"/>
            <w:tcBorders>
              <w:top w:val="single" w:sz="4" w:space="0" w:color="auto"/>
              <w:left w:val="single" w:sz="4" w:space="0" w:color="auto"/>
              <w:bottom w:val="single" w:sz="4" w:space="0" w:color="auto"/>
              <w:right w:val="single" w:sz="4" w:space="0" w:color="auto"/>
            </w:tcBorders>
            <w:vAlign w:val="center"/>
          </w:tcPr>
          <w:p w14:paraId="61DF08A2" w14:textId="77777777" w:rsidR="006E2B3E" w:rsidRPr="00540422" w:rsidRDefault="006E2B3E" w:rsidP="00DA719F">
            <w:pPr>
              <w:pStyle w:val="TableText"/>
              <w:keepNext w:val="0"/>
              <w:rPr>
                <w:bCs w:val="0"/>
                <w:szCs w:val="20"/>
              </w:rPr>
            </w:pPr>
            <w:r w:rsidRPr="00540422">
              <w:rPr>
                <w:bCs w:val="0"/>
                <w:szCs w:val="20"/>
              </w:rPr>
              <w:t>64 mg in 0.18 mL</w:t>
            </w:r>
          </w:p>
          <w:p w14:paraId="445B2803" w14:textId="77777777" w:rsidR="006E2B3E" w:rsidRPr="00540422" w:rsidRDefault="006E2B3E" w:rsidP="00DA719F">
            <w:pPr>
              <w:pStyle w:val="TableText"/>
              <w:keepNext w:val="0"/>
              <w:rPr>
                <w:bCs w:val="0"/>
                <w:szCs w:val="20"/>
              </w:rPr>
            </w:pPr>
            <w:r w:rsidRPr="00540422">
              <w:rPr>
                <w:bCs w:val="0"/>
                <w:szCs w:val="20"/>
              </w:rPr>
              <w:t>96 mg in 0.27 mL</w:t>
            </w:r>
          </w:p>
          <w:p w14:paraId="781AC9E9" w14:textId="77777777" w:rsidR="006E2B3E" w:rsidRPr="00540422" w:rsidRDefault="006E2B3E" w:rsidP="00DA719F">
            <w:pPr>
              <w:pStyle w:val="TableText"/>
              <w:keepNext w:val="0"/>
              <w:rPr>
                <w:bCs w:val="0"/>
                <w:szCs w:val="20"/>
              </w:rPr>
            </w:pPr>
            <w:r w:rsidRPr="00540422">
              <w:rPr>
                <w:bCs w:val="0"/>
                <w:szCs w:val="20"/>
              </w:rPr>
              <w:t>128 mg in 0.36 mL</w:t>
            </w:r>
          </w:p>
          <w:p w14:paraId="36C0F325" w14:textId="77777777" w:rsidR="006E2B3E" w:rsidRPr="00540422" w:rsidRDefault="006E2B3E" w:rsidP="00DA719F">
            <w:pPr>
              <w:pStyle w:val="TableText"/>
              <w:keepNext w:val="0"/>
              <w:rPr>
                <w:b/>
                <w:szCs w:val="20"/>
              </w:rPr>
            </w:pPr>
            <w:r w:rsidRPr="00540422">
              <w:rPr>
                <w:b/>
                <w:szCs w:val="20"/>
              </w:rPr>
              <w:t>160 mg in 0.45 mL</w:t>
            </w:r>
          </w:p>
        </w:tc>
        <w:tc>
          <w:tcPr>
            <w:tcW w:w="455" w:type="pct"/>
            <w:tcBorders>
              <w:top w:val="single" w:sz="4" w:space="0" w:color="auto"/>
              <w:left w:val="single" w:sz="4" w:space="0" w:color="auto"/>
              <w:bottom w:val="single" w:sz="4" w:space="0" w:color="auto"/>
              <w:right w:val="single" w:sz="4" w:space="0" w:color="auto"/>
            </w:tcBorders>
            <w:vAlign w:val="center"/>
          </w:tcPr>
          <w:p w14:paraId="233CA3E4" w14:textId="77777777" w:rsidR="006E2B3E" w:rsidRPr="00540422" w:rsidRDefault="006E2B3E" w:rsidP="00DA719F">
            <w:pPr>
              <w:pStyle w:val="TableText"/>
              <w:keepNext w:val="0"/>
              <w:jc w:val="center"/>
              <w:rPr>
                <w:bCs w:val="0"/>
                <w:szCs w:val="20"/>
              </w:rPr>
            </w:pPr>
            <w:r w:rsidRPr="00540422">
              <w:rPr>
                <w:bCs w:val="0"/>
                <w:szCs w:val="20"/>
              </w:rPr>
              <w:t>1</w:t>
            </w:r>
          </w:p>
          <w:p w14:paraId="6868264F" w14:textId="77777777" w:rsidR="006E2B3E" w:rsidRPr="00540422" w:rsidRDefault="006E2B3E" w:rsidP="00DA719F">
            <w:pPr>
              <w:pStyle w:val="TableText"/>
              <w:keepNext w:val="0"/>
              <w:jc w:val="center"/>
              <w:rPr>
                <w:bCs w:val="0"/>
                <w:szCs w:val="20"/>
              </w:rPr>
            </w:pPr>
            <w:r w:rsidRPr="00540422">
              <w:rPr>
                <w:bCs w:val="0"/>
                <w:szCs w:val="20"/>
              </w:rPr>
              <w:t>1</w:t>
            </w:r>
          </w:p>
          <w:p w14:paraId="7E92A5A6" w14:textId="77777777" w:rsidR="006E2B3E" w:rsidRPr="00540422" w:rsidRDefault="006E2B3E" w:rsidP="00DA719F">
            <w:pPr>
              <w:pStyle w:val="TableText"/>
              <w:keepNext w:val="0"/>
              <w:jc w:val="center"/>
              <w:rPr>
                <w:bCs w:val="0"/>
                <w:szCs w:val="20"/>
              </w:rPr>
            </w:pPr>
            <w:r w:rsidRPr="00540422">
              <w:rPr>
                <w:bCs w:val="0"/>
                <w:szCs w:val="20"/>
              </w:rPr>
              <w:t>1</w:t>
            </w:r>
          </w:p>
          <w:p w14:paraId="5AE9C24C" w14:textId="77777777" w:rsidR="006E2B3E" w:rsidRPr="00540422" w:rsidRDefault="006E2B3E" w:rsidP="00DA719F">
            <w:pPr>
              <w:pStyle w:val="TableText"/>
              <w:keepNext w:val="0"/>
              <w:jc w:val="center"/>
              <w:rPr>
                <w:b/>
                <w:szCs w:val="20"/>
              </w:rPr>
            </w:pPr>
            <w:r w:rsidRPr="00540422">
              <w:rPr>
                <w:b/>
                <w:szCs w:val="20"/>
              </w:rPr>
              <w:t>1</w:t>
            </w:r>
          </w:p>
        </w:tc>
        <w:tc>
          <w:tcPr>
            <w:tcW w:w="471" w:type="pct"/>
            <w:tcBorders>
              <w:top w:val="single" w:sz="4" w:space="0" w:color="auto"/>
              <w:left w:val="single" w:sz="4" w:space="0" w:color="auto"/>
              <w:bottom w:val="single" w:sz="4" w:space="0" w:color="auto"/>
              <w:right w:val="single" w:sz="4" w:space="0" w:color="auto"/>
            </w:tcBorders>
            <w:vAlign w:val="center"/>
          </w:tcPr>
          <w:p w14:paraId="54CFB427" w14:textId="77777777" w:rsidR="006E2B3E" w:rsidRPr="00540422" w:rsidRDefault="006E2B3E" w:rsidP="00DA719F">
            <w:pPr>
              <w:pStyle w:val="TableText"/>
              <w:keepNext w:val="0"/>
              <w:jc w:val="center"/>
              <w:rPr>
                <w:bCs w:val="0"/>
                <w:szCs w:val="20"/>
              </w:rPr>
            </w:pPr>
            <w:r w:rsidRPr="00540422">
              <w:rPr>
                <w:bCs w:val="0"/>
                <w:szCs w:val="20"/>
              </w:rPr>
              <w:t>NA</w:t>
            </w:r>
          </w:p>
          <w:p w14:paraId="3F3F0E24" w14:textId="77777777" w:rsidR="006E2B3E" w:rsidRPr="00540422" w:rsidRDefault="006E2B3E" w:rsidP="00DA719F">
            <w:pPr>
              <w:pStyle w:val="TableText"/>
              <w:keepNext w:val="0"/>
              <w:jc w:val="center"/>
              <w:rPr>
                <w:bCs w:val="0"/>
                <w:szCs w:val="20"/>
              </w:rPr>
            </w:pPr>
            <w:r w:rsidRPr="00540422">
              <w:rPr>
                <w:bCs w:val="0"/>
                <w:szCs w:val="20"/>
              </w:rPr>
              <w:t>NA</w:t>
            </w:r>
          </w:p>
          <w:p w14:paraId="710E49FA" w14:textId="77777777" w:rsidR="006E2B3E" w:rsidRPr="00540422" w:rsidRDefault="006E2B3E" w:rsidP="00DA719F">
            <w:pPr>
              <w:pStyle w:val="TableText"/>
              <w:keepNext w:val="0"/>
              <w:jc w:val="center"/>
              <w:rPr>
                <w:bCs w:val="0"/>
                <w:szCs w:val="20"/>
              </w:rPr>
            </w:pPr>
            <w:r w:rsidRPr="00540422">
              <w:rPr>
                <w:bCs w:val="0"/>
                <w:szCs w:val="20"/>
              </w:rPr>
              <w:t>NA</w:t>
            </w:r>
          </w:p>
          <w:p w14:paraId="4C38DFED" w14:textId="77777777" w:rsidR="006E2B3E" w:rsidRPr="00540422" w:rsidRDefault="006E2B3E" w:rsidP="00DA719F">
            <w:pPr>
              <w:pStyle w:val="TableText"/>
              <w:keepNext w:val="0"/>
              <w:jc w:val="center"/>
              <w:rPr>
                <w:b/>
                <w:szCs w:val="20"/>
              </w:rPr>
            </w:pPr>
            <w:r w:rsidRPr="00540422">
              <w:rPr>
                <w:b/>
                <w:szCs w:val="20"/>
              </w:rPr>
              <w:t>NA</w:t>
            </w:r>
          </w:p>
        </w:tc>
        <w:tc>
          <w:tcPr>
            <w:tcW w:w="845" w:type="pct"/>
            <w:tcBorders>
              <w:top w:val="single" w:sz="4" w:space="0" w:color="auto"/>
              <w:left w:val="single" w:sz="4" w:space="0" w:color="auto"/>
              <w:bottom w:val="single" w:sz="4" w:space="0" w:color="auto"/>
              <w:right w:val="single" w:sz="4" w:space="0" w:color="auto"/>
            </w:tcBorders>
            <w:vAlign w:val="center"/>
          </w:tcPr>
          <w:p w14:paraId="3CF35459" w14:textId="77777777" w:rsidR="006E2B3E" w:rsidRPr="009E2AA7" w:rsidRDefault="009E2AA7" w:rsidP="00DA719F">
            <w:pPr>
              <w:pStyle w:val="TableText"/>
              <w:keepNext w:val="0"/>
              <w:jc w:val="center"/>
              <w:rPr>
                <w:b/>
                <w:bCs w:val="0"/>
                <w:szCs w:val="20"/>
                <w:highlight w:val="black"/>
              </w:rPr>
            </w:pPr>
            <w:r>
              <w:rPr>
                <w:b/>
                <w:bCs w:val="0"/>
                <w:noProof/>
                <w:color w:val="000000"/>
                <w:szCs w:val="20"/>
                <w:highlight w:val="black"/>
              </w:rPr>
              <w:t>'''''''''''''''''</w:t>
            </w:r>
          </w:p>
          <w:p w14:paraId="5DF7BE96" w14:textId="77777777" w:rsidR="006E2B3E" w:rsidRPr="009E2AA7" w:rsidRDefault="009E2AA7" w:rsidP="00DA719F">
            <w:pPr>
              <w:pStyle w:val="TableText"/>
              <w:keepNext w:val="0"/>
              <w:jc w:val="center"/>
              <w:rPr>
                <w:b/>
                <w:bCs w:val="0"/>
                <w:szCs w:val="20"/>
                <w:highlight w:val="black"/>
              </w:rPr>
            </w:pPr>
            <w:r>
              <w:rPr>
                <w:b/>
                <w:bCs w:val="0"/>
                <w:noProof/>
                <w:color w:val="000000"/>
                <w:szCs w:val="20"/>
                <w:highlight w:val="black"/>
              </w:rPr>
              <w:t>'''''''''''''''''</w:t>
            </w:r>
          </w:p>
          <w:p w14:paraId="04575BAF" w14:textId="77777777" w:rsidR="006E2B3E" w:rsidRPr="009E2AA7" w:rsidRDefault="009E2AA7" w:rsidP="00DA719F">
            <w:pPr>
              <w:pStyle w:val="TableText"/>
              <w:keepNext w:val="0"/>
              <w:jc w:val="center"/>
              <w:rPr>
                <w:b/>
                <w:bCs w:val="0"/>
                <w:szCs w:val="20"/>
                <w:highlight w:val="black"/>
              </w:rPr>
            </w:pPr>
            <w:r>
              <w:rPr>
                <w:b/>
                <w:bCs w:val="0"/>
                <w:noProof/>
                <w:color w:val="000000"/>
                <w:szCs w:val="20"/>
                <w:highlight w:val="black"/>
              </w:rPr>
              <w:t>'''''''''''''''''</w:t>
            </w:r>
          </w:p>
          <w:p w14:paraId="2664FE3A" w14:textId="77777777" w:rsidR="006E2B3E" w:rsidRPr="009E2AA7" w:rsidRDefault="009E2AA7" w:rsidP="00DA719F">
            <w:pPr>
              <w:pStyle w:val="TableText"/>
              <w:keepNext w:val="0"/>
              <w:jc w:val="center"/>
              <w:rPr>
                <w:szCs w:val="20"/>
                <w:highlight w:val="black"/>
              </w:rPr>
            </w:pPr>
            <w:r>
              <w:rPr>
                <w:b/>
                <w:bCs w:val="0"/>
                <w:noProof/>
                <w:color w:val="000000"/>
                <w:szCs w:val="20"/>
                <w:highlight w:val="black"/>
              </w:rPr>
              <w:t>''''''''''''''''</w:t>
            </w:r>
          </w:p>
        </w:tc>
        <w:tc>
          <w:tcPr>
            <w:tcW w:w="1194" w:type="pct"/>
            <w:tcBorders>
              <w:top w:val="single" w:sz="4" w:space="0" w:color="auto"/>
              <w:left w:val="single" w:sz="4" w:space="0" w:color="auto"/>
              <w:bottom w:val="single" w:sz="4" w:space="0" w:color="auto"/>
              <w:right w:val="single" w:sz="4" w:space="0" w:color="auto"/>
            </w:tcBorders>
            <w:vAlign w:val="center"/>
          </w:tcPr>
          <w:p w14:paraId="0B79ACA6" w14:textId="77777777" w:rsidR="006E2B3E" w:rsidRPr="00540422" w:rsidRDefault="006E2B3E" w:rsidP="00DA719F">
            <w:pPr>
              <w:pStyle w:val="TableText"/>
              <w:keepNext w:val="0"/>
              <w:jc w:val="center"/>
              <w:rPr>
                <w:szCs w:val="20"/>
              </w:rPr>
            </w:pPr>
          </w:p>
        </w:tc>
      </w:tr>
      <w:tr w:rsidR="00F57219" w:rsidRPr="00540422" w14:paraId="3894F9FF" w14:textId="77777777" w:rsidTr="0098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08" w:type="pct"/>
            <w:tcBorders>
              <w:top w:val="single" w:sz="4" w:space="0" w:color="auto"/>
              <w:left w:val="single" w:sz="4" w:space="0" w:color="auto"/>
              <w:bottom w:val="single" w:sz="4" w:space="0" w:color="auto"/>
              <w:right w:val="single" w:sz="4" w:space="0" w:color="auto"/>
            </w:tcBorders>
            <w:hideMark/>
          </w:tcPr>
          <w:p w14:paraId="356C65BC" w14:textId="77777777" w:rsidR="00F57219" w:rsidRPr="00540422" w:rsidRDefault="00F57219" w:rsidP="00F57219">
            <w:pPr>
              <w:pStyle w:val="TableText"/>
            </w:pPr>
            <w:r w:rsidRPr="00540422">
              <w:t>Category/Program:</w:t>
            </w:r>
          </w:p>
        </w:tc>
        <w:tc>
          <w:tcPr>
            <w:tcW w:w="3992" w:type="pct"/>
            <w:gridSpan w:val="5"/>
            <w:tcBorders>
              <w:top w:val="single" w:sz="4" w:space="0" w:color="auto"/>
              <w:left w:val="single" w:sz="4" w:space="0" w:color="auto"/>
              <w:bottom w:val="single" w:sz="4" w:space="0" w:color="auto"/>
              <w:right w:val="single" w:sz="4" w:space="0" w:color="auto"/>
            </w:tcBorders>
          </w:tcPr>
          <w:p w14:paraId="1A87B604" w14:textId="77777777" w:rsidR="00F57219" w:rsidRPr="00540422" w:rsidRDefault="00F57219" w:rsidP="00F57219">
            <w:pPr>
              <w:pStyle w:val="TableText"/>
              <w:keepNext w:val="0"/>
              <w:rPr>
                <w:b/>
                <w:bCs w:val="0"/>
              </w:rPr>
            </w:pPr>
            <w:r w:rsidRPr="00540422">
              <w:rPr>
                <w:b/>
                <w:bCs w:val="0"/>
              </w:rPr>
              <w:t xml:space="preserve">GENERAL – General Schedule (Code GE) </w:t>
            </w:r>
          </w:p>
          <w:p w14:paraId="635E6D53" w14:textId="77777777" w:rsidR="00F57219" w:rsidRPr="00540422" w:rsidRDefault="00F57219" w:rsidP="00F57219">
            <w:pPr>
              <w:pStyle w:val="TableText"/>
            </w:pPr>
            <w:r w:rsidRPr="00540422">
              <w:t>Section 100 – Opiate Dependence</w:t>
            </w:r>
          </w:p>
        </w:tc>
      </w:tr>
      <w:tr w:rsidR="00F57219" w:rsidRPr="00540422" w14:paraId="364A48D0" w14:textId="77777777" w:rsidTr="0098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08" w:type="pct"/>
            <w:tcBorders>
              <w:top w:val="single" w:sz="4" w:space="0" w:color="auto"/>
              <w:left w:val="single" w:sz="4" w:space="0" w:color="auto"/>
              <w:bottom w:val="single" w:sz="4" w:space="0" w:color="auto"/>
              <w:right w:val="single" w:sz="4" w:space="0" w:color="auto"/>
            </w:tcBorders>
            <w:hideMark/>
          </w:tcPr>
          <w:p w14:paraId="4647743E" w14:textId="77777777" w:rsidR="00F57219" w:rsidRPr="00540422" w:rsidRDefault="00F57219" w:rsidP="00F57219">
            <w:pPr>
              <w:pStyle w:val="TableText"/>
            </w:pPr>
            <w:r w:rsidRPr="00540422">
              <w:t>PBS indication:</w:t>
            </w:r>
          </w:p>
        </w:tc>
        <w:tc>
          <w:tcPr>
            <w:tcW w:w="3992" w:type="pct"/>
            <w:gridSpan w:val="5"/>
            <w:tcBorders>
              <w:top w:val="single" w:sz="4" w:space="0" w:color="auto"/>
              <w:left w:val="single" w:sz="4" w:space="0" w:color="auto"/>
              <w:bottom w:val="single" w:sz="4" w:space="0" w:color="auto"/>
              <w:right w:val="single" w:sz="4" w:space="0" w:color="auto"/>
            </w:tcBorders>
          </w:tcPr>
          <w:p w14:paraId="3E4348BD" w14:textId="77777777" w:rsidR="00F57219" w:rsidRPr="00540422" w:rsidRDefault="00F57219" w:rsidP="00F57219">
            <w:pPr>
              <w:pStyle w:val="TableText"/>
              <w:keepNext w:val="0"/>
            </w:pPr>
            <w:r w:rsidRPr="00540422">
              <w:fldChar w:fldCharType="begin">
                <w:ffData>
                  <w:name w:val="Check1"/>
                  <w:enabled/>
                  <w:calcOnExit w:val="0"/>
                  <w:checkBox>
                    <w:sizeAuto/>
                    <w:default w:val="1"/>
                  </w:checkBox>
                </w:ffData>
              </w:fldChar>
            </w:r>
            <w:r w:rsidRPr="00540422">
              <w:instrText xml:space="preserve"> FORMCHECKBOX </w:instrText>
            </w:r>
            <w:r w:rsidR="001412AD">
              <w:fldChar w:fldCharType="separate"/>
            </w:r>
            <w:r w:rsidRPr="00540422">
              <w:fldChar w:fldCharType="end"/>
            </w:r>
            <w:r w:rsidRPr="00540422">
              <w:t xml:space="preserve">Medical Practitioners  </w:t>
            </w:r>
            <w:r w:rsidRPr="00540422">
              <w:fldChar w:fldCharType="begin">
                <w:ffData>
                  <w:name w:val=""/>
                  <w:enabled/>
                  <w:calcOnExit w:val="0"/>
                  <w:checkBox>
                    <w:sizeAuto/>
                    <w:default w:val="1"/>
                  </w:checkBox>
                </w:ffData>
              </w:fldChar>
            </w:r>
            <w:r w:rsidRPr="00540422">
              <w:instrText xml:space="preserve"> FORMCHECKBOX </w:instrText>
            </w:r>
            <w:r w:rsidR="001412AD">
              <w:fldChar w:fldCharType="separate"/>
            </w:r>
            <w:r w:rsidRPr="00540422">
              <w:fldChar w:fldCharType="end"/>
            </w:r>
            <w:r w:rsidRPr="00540422">
              <w:t xml:space="preserve">Nurse practitioners </w:t>
            </w:r>
          </w:p>
        </w:tc>
      </w:tr>
      <w:tr w:rsidR="00CB2222" w:rsidRPr="00540422" w14:paraId="1AA40279" w14:textId="77777777" w:rsidTr="0098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08" w:type="pct"/>
            <w:tcBorders>
              <w:top w:val="single" w:sz="4" w:space="0" w:color="auto"/>
              <w:left w:val="single" w:sz="4" w:space="0" w:color="auto"/>
              <w:bottom w:val="single" w:sz="4" w:space="0" w:color="auto"/>
              <w:right w:val="single" w:sz="4" w:space="0" w:color="auto"/>
            </w:tcBorders>
            <w:hideMark/>
          </w:tcPr>
          <w:p w14:paraId="5AD81858" w14:textId="77777777" w:rsidR="00CB2222" w:rsidRPr="00540422" w:rsidRDefault="00CB2222" w:rsidP="00CB2222">
            <w:pPr>
              <w:pStyle w:val="TableText"/>
            </w:pPr>
            <w:r w:rsidRPr="00540422">
              <w:t>Condition:</w:t>
            </w:r>
          </w:p>
        </w:tc>
        <w:tc>
          <w:tcPr>
            <w:tcW w:w="3992" w:type="pct"/>
            <w:gridSpan w:val="5"/>
            <w:tcBorders>
              <w:top w:val="single" w:sz="4" w:space="0" w:color="auto"/>
              <w:left w:val="single" w:sz="4" w:space="0" w:color="auto"/>
              <w:bottom w:val="single" w:sz="4" w:space="0" w:color="auto"/>
              <w:right w:val="single" w:sz="4" w:space="0" w:color="auto"/>
            </w:tcBorders>
          </w:tcPr>
          <w:p w14:paraId="2F2ADE6F" w14:textId="77777777" w:rsidR="00CB2222" w:rsidRPr="00540422" w:rsidRDefault="00CB2222" w:rsidP="00CB2222">
            <w:pPr>
              <w:pStyle w:val="TableText"/>
            </w:pPr>
            <w:r w:rsidRPr="00540422">
              <w:t>Opiate dependence</w:t>
            </w:r>
          </w:p>
        </w:tc>
      </w:tr>
      <w:tr w:rsidR="00CB2222" w:rsidRPr="00540422" w14:paraId="439830A6" w14:textId="77777777" w:rsidTr="0098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08" w:type="pct"/>
            <w:tcBorders>
              <w:top w:val="single" w:sz="4" w:space="0" w:color="auto"/>
              <w:left w:val="single" w:sz="4" w:space="0" w:color="auto"/>
              <w:bottom w:val="single" w:sz="4" w:space="0" w:color="auto"/>
              <w:right w:val="single" w:sz="4" w:space="0" w:color="auto"/>
            </w:tcBorders>
          </w:tcPr>
          <w:p w14:paraId="20FF8DA3" w14:textId="77777777" w:rsidR="00CB2222" w:rsidRPr="00540422" w:rsidRDefault="00CB2222" w:rsidP="00CB2222">
            <w:pPr>
              <w:pStyle w:val="TableText"/>
            </w:pPr>
            <w:r w:rsidRPr="00540422">
              <w:t>PBS Indication:</w:t>
            </w:r>
          </w:p>
        </w:tc>
        <w:tc>
          <w:tcPr>
            <w:tcW w:w="3992" w:type="pct"/>
            <w:gridSpan w:val="5"/>
            <w:tcBorders>
              <w:top w:val="single" w:sz="4" w:space="0" w:color="auto"/>
              <w:left w:val="single" w:sz="4" w:space="0" w:color="auto"/>
              <w:bottom w:val="single" w:sz="4" w:space="0" w:color="auto"/>
              <w:right w:val="single" w:sz="4" w:space="0" w:color="auto"/>
            </w:tcBorders>
          </w:tcPr>
          <w:p w14:paraId="06E96A1B" w14:textId="77777777" w:rsidR="00CB2222" w:rsidRPr="00540422" w:rsidRDefault="00CB2222" w:rsidP="00CB2222">
            <w:pPr>
              <w:pStyle w:val="TableText"/>
            </w:pPr>
            <w:r w:rsidRPr="00540422">
              <w:t>Opiate dependence</w:t>
            </w:r>
          </w:p>
        </w:tc>
      </w:tr>
      <w:tr w:rsidR="00F57219" w:rsidRPr="00540422" w14:paraId="7A24FD02" w14:textId="77777777" w:rsidTr="0098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08" w:type="pct"/>
            <w:tcBorders>
              <w:top w:val="single" w:sz="4" w:space="0" w:color="auto"/>
              <w:left w:val="single" w:sz="4" w:space="0" w:color="auto"/>
              <w:bottom w:val="single" w:sz="4" w:space="0" w:color="auto"/>
              <w:right w:val="single" w:sz="4" w:space="0" w:color="auto"/>
            </w:tcBorders>
            <w:hideMark/>
          </w:tcPr>
          <w:p w14:paraId="408F3BE7" w14:textId="77777777" w:rsidR="00F57219" w:rsidRPr="00540422" w:rsidRDefault="00F57219" w:rsidP="00F57219">
            <w:pPr>
              <w:pStyle w:val="TableText"/>
            </w:pPr>
            <w:r w:rsidRPr="00540422">
              <w:t>Restriction:</w:t>
            </w:r>
          </w:p>
        </w:tc>
        <w:tc>
          <w:tcPr>
            <w:tcW w:w="3992" w:type="pct"/>
            <w:gridSpan w:val="5"/>
            <w:tcBorders>
              <w:top w:val="single" w:sz="4" w:space="0" w:color="auto"/>
              <w:left w:val="single" w:sz="4" w:space="0" w:color="auto"/>
              <w:bottom w:val="single" w:sz="4" w:space="0" w:color="auto"/>
              <w:right w:val="single" w:sz="4" w:space="0" w:color="auto"/>
            </w:tcBorders>
          </w:tcPr>
          <w:p w14:paraId="51F9E076" w14:textId="77777777" w:rsidR="00F57219" w:rsidRPr="00540422" w:rsidRDefault="00CB2222" w:rsidP="00CB2222">
            <w:pPr>
              <w:pStyle w:val="TableText"/>
              <w:keepNext w:val="0"/>
            </w:pPr>
            <w:r w:rsidRPr="00540422">
              <w:t>Restricted benefit</w:t>
            </w:r>
          </w:p>
        </w:tc>
      </w:tr>
      <w:tr w:rsidR="00CB2222" w:rsidRPr="00540422" w14:paraId="55ADF608" w14:textId="77777777" w:rsidTr="0098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08" w:type="pct"/>
            <w:tcBorders>
              <w:top w:val="single" w:sz="4" w:space="0" w:color="auto"/>
              <w:left w:val="single" w:sz="4" w:space="0" w:color="auto"/>
              <w:bottom w:val="single" w:sz="4" w:space="0" w:color="auto"/>
              <w:right w:val="single" w:sz="4" w:space="0" w:color="auto"/>
            </w:tcBorders>
            <w:hideMark/>
          </w:tcPr>
          <w:p w14:paraId="780B3660" w14:textId="77777777" w:rsidR="00CB2222" w:rsidRPr="00540422" w:rsidRDefault="00CB2222" w:rsidP="00CB2222">
            <w:pPr>
              <w:pStyle w:val="TableText"/>
            </w:pPr>
            <w:r w:rsidRPr="00540422">
              <w:t>Treatment criteria:</w:t>
            </w:r>
          </w:p>
        </w:tc>
        <w:tc>
          <w:tcPr>
            <w:tcW w:w="3992" w:type="pct"/>
            <w:gridSpan w:val="5"/>
            <w:tcBorders>
              <w:top w:val="single" w:sz="4" w:space="0" w:color="auto"/>
              <w:left w:val="single" w:sz="4" w:space="0" w:color="auto"/>
              <w:bottom w:val="single" w:sz="4" w:space="0" w:color="auto"/>
              <w:right w:val="single" w:sz="4" w:space="0" w:color="auto"/>
            </w:tcBorders>
          </w:tcPr>
          <w:p w14:paraId="6131FC6E" w14:textId="77777777" w:rsidR="00CB2222" w:rsidRPr="00540422" w:rsidRDefault="00CB2222" w:rsidP="00CB2222">
            <w:pPr>
              <w:pStyle w:val="TableText"/>
            </w:pPr>
            <w:r w:rsidRPr="00540422">
              <w:t>Must be treated by a health care professional</w:t>
            </w:r>
          </w:p>
        </w:tc>
      </w:tr>
      <w:tr w:rsidR="00CB2222" w:rsidRPr="00540422" w14:paraId="5EE647B0" w14:textId="77777777" w:rsidTr="0098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08" w:type="pct"/>
            <w:tcBorders>
              <w:top w:val="single" w:sz="4" w:space="0" w:color="auto"/>
              <w:left w:val="single" w:sz="4" w:space="0" w:color="auto"/>
              <w:bottom w:val="single" w:sz="4" w:space="0" w:color="auto"/>
              <w:right w:val="single" w:sz="4" w:space="0" w:color="auto"/>
            </w:tcBorders>
            <w:hideMark/>
          </w:tcPr>
          <w:p w14:paraId="0DC4643B" w14:textId="77777777" w:rsidR="00CB2222" w:rsidRPr="00540422" w:rsidRDefault="00CB2222" w:rsidP="00CB2222">
            <w:pPr>
              <w:pStyle w:val="TableText"/>
            </w:pPr>
            <w:r w:rsidRPr="00540422">
              <w:t>Clinical criteria:</w:t>
            </w:r>
          </w:p>
        </w:tc>
        <w:tc>
          <w:tcPr>
            <w:tcW w:w="3992" w:type="pct"/>
            <w:gridSpan w:val="5"/>
            <w:tcBorders>
              <w:top w:val="single" w:sz="4" w:space="0" w:color="auto"/>
              <w:left w:val="single" w:sz="4" w:space="0" w:color="auto"/>
              <w:bottom w:val="single" w:sz="4" w:space="0" w:color="auto"/>
              <w:right w:val="single" w:sz="4" w:space="0" w:color="auto"/>
            </w:tcBorders>
          </w:tcPr>
          <w:p w14:paraId="4245DE4F" w14:textId="77777777" w:rsidR="00CB2222" w:rsidRPr="00540422" w:rsidRDefault="00CB2222" w:rsidP="00CB2222">
            <w:pPr>
              <w:pStyle w:val="TableText"/>
              <w:keepNext w:val="0"/>
              <w:rPr>
                <w:rFonts w:cs="Arial"/>
              </w:rPr>
            </w:pPr>
            <w:r w:rsidRPr="00540422">
              <w:rPr>
                <w:rFonts w:cs="Arial"/>
              </w:rPr>
              <w:t>The treatment must be within a framework of medical, social and psychological treatment.</w:t>
            </w:r>
          </w:p>
          <w:p w14:paraId="0D6E635B" w14:textId="77777777" w:rsidR="00CB2222" w:rsidRPr="00540422" w:rsidRDefault="00CB2222" w:rsidP="00CB2222">
            <w:pPr>
              <w:pStyle w:val="TableText"/>
            </w:pPr>
            <w:r w:rsidRPr="00540422">
              <w:rPr>
                <w:rFonts w:cs="Arial"/>
                <w:strike/>
                <w:szCs w:val="20"/>
              </w:rPr>
              <w:t>Patient must be stabilised on sublingual buprenorphine or buprenorphine/naloxone prior to commencing treatment with this drug for this condition.</w:t>
            </w:r>
          </w:p>
        </w:tc>
      </w:tr>
      <w:tr w:rsidR="00CB2222" w:rsidRPr="00540422" w14:paraId="032D3E74" w14:textId="77777777" w:rsidTr="00987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08" w:type="pct"/>
            <w:tcBorders>
              <w:top w:val="single" w:sz="4" w:space="0" w:color="auto"/>
              <w:left w:val="single" w:sz="4" w:space="0" w:color="auto"/>
              <w:bottom w:val="single" w:sz="4" w:space="0" w:color="auto"/>
              <w:right w:val="single" w:sz="4" w:space="0" w:color="auto"/>
            </w:tcBorders>
          </w:tcPr>
          <w:p w14:paraId="43591C87" w14:textId="77777777" w:rsidR="00CB2222" w:rsidRPr="00540422" w:rsidRDefault="00CB2222" w:rsidP="00CB2222">
            <w:pPr>
              <w:pStyle w:val="TableText"/>
            </w:pPr>
            <w:r w:rsidRPr="00540422">
              <w:t>Administrative advice:</w:t>
            </w:r>
          </w:p>
        </w:tc>
        <w:tc>
          <w:tcPr>
            <w:tcW w:w="3992" w:type="pct"/>
            <w:gridSpan w:val="5"/>
            <w:tcBorders>
              <w:top w:val="single" w:sz="4" w:space="0" w:color="auto"/>
              <w:left w:val="single" w:sz="4" w:space="0" w:color="auto"/>
              <w:bottom w:val="single" w:sz="4" w:space="0" w:color="auto"/>
              <w:right w:val="single" w:sz="4" w:space="0" w:color="auto"/>
            </w:tcBorders>
          </w:tcPr>
          <w:p w14:paraId="4CA84EF8" w14:textId="77777777" w:rsidR="00CB2222" w:rsidRPr="00540422" w:rsidRDefault="00CB2222" w:rsidP="00CB2222">
            <w:pPr>
              <w:pStyle w:val="TableText"/>
              <w:keepNext w:val="0"/>
            </w:pPr>
            <w:r w:rsidRPr="00540422">
              <w:t>Care must be taken to comply with the provisions of State/Territory law when prescribing and administering this drug.</w:t>
            </w:r>
          </w:p>
          <w:p w14:paraId="6FEA5775" w14:textId="77777777" w:rsidR="00CB2222" w:rsidRPr="00540422" w:rsidRDefault="00CB2222" w:rsidP="00CB2222">
            <w:pPr>
              <w:pStyle w:val="TableText"/>
              <w:keepNext w:val="0"/>
            </w:pPr>
          </w:p>
          <w:p w14:paraId="0C2A1BC4" w14:textId="77777777" w:rsidR="00CB2222" w:rsidRPr="00540422" w:rsidRDefault="00CB2222" w:rsidP="00CB2222">
            <w:pPr>
              <w:pStyle w:val="TableText"/>
              <w:keepNext w:val="0"/>
            </w:pPr>
            <w:r w:rsidRPr="00540422">
              <w:t>Shared Care Model:</w:t>
            </w:r>
          </w:p>
          <w:p w14:paraId="4677F636" w14:textId="77777777" w:rsidR="00CB2222" w:rsidRPr="00540422" w:rsidRDefault="00CB2222" w:rsidP="00CB2222">
            <w:pPr>
              <w:pStyle w:val="TableText"/>
              <w:rPr>
                <w:color w:val="000000"/>
              </w:rPr>
            </w:pPr>
            <w:r w:rsidRPr="00540422">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14:paraId="79C18A88" w14:textId="77777777" w:rsidR="00FD3EAA" w:rsidRPr="00540422" w:rsidRDefault="00FD3EAA" w:rsidP="00FD3EAA">
      <w:pPr>
        <w:pStyle w:val="TableFigureFooter"/>
      </w:pPr>
      <w:r w:rsidRPr="00540422">
        <w:t xml:space="preserve">Note: Changes/additions to the current PBS listing are </w:t>
      </w:r>
      <w:r w:rsidR="00055C47" w:rsidRPr="00540422">
        <w:t>bolded</w:t>
      </w:r>
      <w:r w:rsidRPr="00540422">
        <w:t>, and deletions in strikethrough.</w:t>
      </w:r>
    </w:p>
    <w:p w14:paraId="10EC6B90" w14:textId="77777777" w:rsidR="00591957" w:rsidRPr="00540422" w:rsidRDefault="00131B76" w:rsidP="004E18E9">
      <w:pPr>
        <w:pStyle w:val="ExecSumBodyText"/>
        <w:rPr>
          <w:iCs/>
        </w:rPr>
      </w:pPr>
      <w:r w:rsidRPr="00540422">
        <w:rPr>
          <w:iCs/>
        </w:rPr>
        <w:t xml:space="preserve">Based on the proposed ex-manufacturer prices, </w:t>
      </w:r>
      <w:r w:rsidR="000B1F96" w:rsidRPr="00540422">
        <w:rPr>
          <w:iCs/>
        </w:rPr>
        <w:t xml:space="preserve">the dispensed prices </w:t>
      </w:r>
      <w:r w:rsidRPr="00540422">
        <w:rPr>
          <w:iCs/>
        </w:rPr>
        <w:t xml:space="preserve">under the proposed Section 85 listing </w:t>
      </w:r>
      <w:r w:rsidR="000B1F96" w:rsidRPr="00540422">
        <w:rPr>
          <w:iCs/>
        </w:rPr>
        <w:t xml:space="preserve">for weekly and monthly prolonged release buprenorphine </w:t>
      </w:r>
      <w:r w:rsidRPr="00540422">
        <w:rPr>
          <w:iCs/>
        </w:rPr>
        <w:t xml:space="preserve">would be </w:t>
      </w:r>
      <w:r w:rsidR="000B1F96" w:rsidRPr="00540422">
        <w:rPr>
          <w:iCs/>
        </w:rPr>
        <w:t>$</w:t>
      </w:r>
      <w:r w:rsidR="009E2AA7">
        <w:rPr>
          <w:iCs/>
          <w:noProof/>
          <w:color w:val="000000"/>
          <w:highlight w:val="black"/>
        </w:rPr>
        <w:t xml:space="preserve">''''''''''''' </w:t>
      </w:r>
      <w:r w:rsidR="000B1F96" w:rsidRPr="00540422">
        <w:rPr>
          <w:iCs/>
        </w:rPr>
        <w:t>and $</w:t>
      </w:r>
      <w:r w:rsidR="009E2AA7">
        <w:rPr>
          <w:iCs/>
          <w:noProof/>
          <w:color w:val="000000"/>
          <w:highlight w:val="black"/>
        </w:rPr>
        <w:t>'''''''''''''</w:t>
      </w:r>
      <w:r w:rsidR="000B1F96" w:rsidRPr="00540422">
        <w:rPr>
          <w:iCs/>
        </w:rPr>
        <w:t>, respectively</w:t>
      </w:r>
      <w:r w:rsidR="00913D21" w:rsidRPr="00540422">
        <w:rPr>
          <w:iCs/>
        </w:rPr>
        <w:t>.</w:t>
      </w:r>
    </w:p>
    <w:p w14:paraId="58E729EF" w14:textId="77777777" w:rsidR="00913D21" w:rsidRDefault="00A167F0" w:rsidP="004E18E9">
      <w:pPr>
        <w:pStyle w:val="ExecSumBodyText"/>
        <w:rPr>
          <w:iCs/>
        </w:rPr>
      </w:pPr>
      <w:r w:rsidRPr="00540422">
        <w:rPr>
          <w:iCs/>
        </w:rPr>
        <w:t>The proposed restriction is based on the current PBS restriction for buprenorphine modified release injections, excluding the requirement for prior stabilisation on sublingual buprenorphine or buprenorphine/naloxone, and is consistent with the TGA approved indication for weekly prolonged release buprenorphine. However, the proposed</w:t>
      </w:r>
      <w:r w:rsidR="00F33796">
        <w:rPr>
          <w:iCs/>
        </w:rPr>
        <w:t xml:space="preserve"> </w:t>
      </w:r>
      <w:r w:rsidRPr="00540422">
        <w:rPr>
          <w:iCs/>
        </w:rPr>
        <w:t xml:space="preserve">restriction </w:t>
      </w:r>
      <w:r w:rsidRPr="0098148A">
        <w:rPr>
          <w:iCs/>
        </w:rPr>
        <w:t xml:space="preserve">is inconsistent with the TGA approved indication for monthly prolonged release buprenorphine, which requires prior stabilisation on weekly prolonged release buprenorphine, sublingual buprenorphine, or buprenorphine/ naloxone. </w:t>
      </w:r>
      <w:r w:rsidR="00276B73" w:rsidRPr="0098148A">
        <w:t xml:space="preserve">The evaluation considered that </w:t>
      </w:r>
      <w:r w:rsidR="00276B73" w:rsidRPr="0098148A">
        <w:rPr>
          <w:iCs/>
        </w:rPr>
        <w:t>s</w:t>
      </w:r>
      <w:r w:rsidRPr="0098148A">
        <w:rPr>
          <w:iCs/>
        </w:rPr>
        <w:t>eparate restrictions for initiation (for weekly prolonged release buprenorphine) and maintenance treatment (for weekly and monthly prolonged release buprenorphine) may be required.</w:t>
      </w:r>
    </w:p>
    <w:p w14:paraId="37409FA0" w14:textId="77777777" w:rsidR="006027F4" w:rsidRPr="006027F4" w:rsidRDefault="006027F4" w:rsidP="006027F4">
      <w:pPr>
        <w:pStyle w:val="ExecSumBodyText"/>
        <w:rPr>
          <w:iCs/>
        </w:rPr>
      </w:pPr>
      <w:r w:rsidRPr="006027F4">
        <w:rPr>
          <w:iCs/>
        </w:rPr>
        <w:t xml:space="preserve">Suggestions and additions proposed by the Secretariat are added in italics and suggested deletions are crossed out with strikethrough. </w:t>
      </w:r>
      <w:r w:rsidRPr="006027F4">
        <w:rPr>
          <w:rFonts w:cstheme="minorHAnsi"/>
        </w:rPr>
        <w:t xml:space="preserve">Red text indicates the sponsor’s proposed changes to the existing restriction. </w:t>
      </w:r>
    </w:p>
    <w:p w14:paraId="453882E2" w14:textId="77777777" w:rsidR="006027F4" w:rsidRPr="0013388C" w:rsidRDefault="006027F4" w:rsidP="006027F4">
      <w:pPr>
        <w:spacing w:after="120"/>
        <w:rPr>
          <w:rFonts w:ascii="Arial Narrow" w:hAnsi="Arial Narrow" w:cstheme="minorHAnsi"/>
          <w:color w:val="FF0000"/>
          <w:sz w:val="18"/>
          <w:szCs w:val="1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560"/>
        <w:gridCol w:w="2983"/>
        <w:gridCol w:w="993"/>
        <w:gridCol w:w="850"/>
        <w:gridCol w:w="709"/>
        <w:gridCol w:w="709"/>
        <w:gridCol w:w="1842"/>
      </w:tblGrid>
      <w:tr w:rsidR="006027F4" w:rsidRPr="0013388C" w14:paraId="4912CB71" w14:textId="77777777" w:rsidTr="00E71F81">
        <w:trPr>
          <w:cantSplit/>
          <w:trHeight w:val="471"/>
          <w:jc w:val="center"/>
        </w:trPr>
        <w:tc>
          <w:tcPr>
            <w:tcW w:w="3964" w:type="dxa"/>
            <w:gridSpan w:val="3"/>
          </w:tcPr>
          <w:p w14:paraId="2401F610" w14:textId="77777777" w:rsidR="006027F4" w:rsidRPr="0013388C" w:rsidRDefault="006027F4" w:rsidP="00E71F81">
            <w:pPr>
              <w:keepNext/>
              <w:ind w:left="-57"/>
              <w:rPr>
                <w:rFonts w:ascii="Arial Narrow" w:hAnsi="Arial Narrow"/>
                <w:b/>
                <w:bCs/>
                <w:sz w:val="20"/>
                <w:szCs w:val="20"/>
              </w:rPr>
            </w:pPr>
            <w:r w:rsidRPr="0013388C">
              <w:rPr>
                <w:rFonts w:ascii="Arial Narrow" w:hAnsi="Arial Narrow"/>
                <w:b/>
                <w:bCs/>
                <w:sz w:val="20"/>
                <w:szCs w:val="20"/>
              </w:rPr>
              <w:t>MEDICINAL PRODUCT</w:t>
            </w:r>
          </w:p>
          <w:p w14:paraId="7A49951B" w14:textId="77777777" w:rsidR="006027F4" w:rsidRPr="0013388C" w:rsidRDefault="006027F4" w:rsidP="00E71F81">
            <w:pPr>
              <w:keepNext/>
              <w:ind w:left="-57"/>
              <w:rPr>
                <w:rFonts w:ascii="Arial Narrow" w:hAnsi="Arial Narrow"/>
                <w:b/>
                <w:sz w:val="20"/>
                <w:szCs w:val="20"/>
              </w:rPr>
            </w:pPr>
            <w:r w:rsidRPr="0013388C">
              <w:rPr>
                <w:rFonts w:ascii="Arial Narrow" w:hAnsi="Arial Narrow"/>
                <w:b/>
                <w:bCs/>
                <w:sz w:val="20"/>
                <w:szCs w:val="20"/>
              </w:rPr>
              <w:t>medicinal product pack</w:t>
            </w:r>
          </w:p>
        </w:tc>
        <w:tc>
          <w:tcPr>
            <w:tcW w:w="993" w:type="dxa"/>
          </w:tcPr>
          <w:p w14:paraId="73EA3015" w14:textId="77777777" w:rsidR="006027F4" w:rsidRPr="0013388C" w:rsidRDefault="006027F4" w:rsidP="00E71F81">
            <w:pPr>
              <w:keepNext/>
              <w:ind w:left="-108"/>
              <w:jc w:val="center"/>
              <w:rPr>
                <w:rFonts w:ascii="Arial Narrow" w:hAnsi="Arial Narrow"/>
                <w:b/>
                <w:sz w:val="20"/>
                <w:szCs w:val="20"/>
              </w:rPr>
            </w:pPr>
            <w:r w:rsidRPr="0013388C">
              <w:rPr>
                <w:rFonts w:ascii="Arial Narrow" w:hAnsi="Arial Narrow"/>
                <w:b/>
                <w:sz w:val="20"/>
                <w:szCs w:val="20"/>
              </w:rPr>
              <w:t>PBS item code</w:t>
            </w:r>
          </w:p>
        </w:tc>
        <w:tc>
          <w:tcPr>
            <w:tcW w:w="850" w:type="dxa"/>
          </w:tcPr>
          <w:p w14:paraId="7A437875" w14:textId="77777777" w:rsidR="006027F4" w:rsidRPr="0013388C" w:rsidRDefault="006027F4" w:rsidP="00E71F81">
            <w:pPr>
              <w:keepNext/>
              <w:ind w:left="-108"/>
              <w:jc w:val="center"/>
              <w:rPr>
                <w:rFonts w:ascii="Arial Narrow" w:hAnsi="Arial Narrow"/>
                <w:b/>
                <w:sz w:val="20"/>
                <w:szCs w:val="20"/>
              </w:rPr>
            </w:pPr>
            <w:r w:rsidRPr="0013388C">
              <w:rPr>
                <w:rFonts w:ascii="Arial Narrow" w:hAnsi="Arial Narrow"/>
                <w:b/>
                <w:sz w:val="20"/>
                <w:szCs w:val="20"/>
              </w:rPr>
              <w:t>Max. qty packs</w:t>
            </w:r>
          </w:p>
        </w:tc>
        <w:tc>
          <w:tcPr>
            <w:tcW w:w="709" w:type="dxa"/>
          </w:tcPr>
          <w:p w14:paraId="097110D3" w14:textId="77777777" w:rsidR="006027F4" w:rsidRPr="0013388C" w:rsidRDefault="006027F4" w:rsidP="00E71F81">
            <w:pPr>
              <w:keepNext/>
              <w:ind w:left="-108"/>
              <w:jc w:val="center"/>
              <w:rPr>
                <w:rFonts w:ascii="Arial Narrow" w:hAnsi="Arial Narrow"/>
                <w:b/>
                <w:sz w:val="20"/>
                <w:szCs w:val="20"/>
              </w:rPr>
            </w:pPr>
            <w:r w:rsidRPr="0013388C">
              <w:rPr>
                <w:rFonts w:ascii="Arial Narrow" w:hAnsi="Arial Narrow"/>
                <w:b/>
                <w:sz w:val="20"/>
                <w:szCs w:val="20"/>
              </w:rPr>
              <w:t>Max. qty units</w:t>
            </w:r>
          </w:p>
        </w:tc>
        <w:tc>
          <w:tcPr>
            <w:tcW w:w="709" w:type="dxa"/>
          </w:tcPr>
          <w:p w14:paraId="519F2CEB" w14:textId="77777777" w:rsidR="006027F4" w:rsidRPr="0013388C" w:rsidRDefault="006027F4" w:rsidP="00E71F81">
            <w:pPr>
              <w:keepNext/>
              <w:ind w:left="-108"/>
              <w:jc w:val="center"/>
              <w:rPr>
                <w:rFonts w:ascii="Arial Narrow" w:hAnsi="Arial Narrow"/>
                <w:b/>
                <w:sz w:val="20"/>
                <w:szCs w:val="20"/>
              </w:rPr>
            </w:pPr>
            <w:r w:rsidRPr="0013388C">
              <w:rPr>
                <w:rFonts w:ascii="Arial Narrow" w:hAnsi="Arial Narrow"/>
                <w:b/>
                <w:sz w:val="20"/>
                <w:szCs w:val="20"/>
              </w:rPr>
              <w:t>№.of</w:t>
            </w:r>
          </w:p>
          <w:p w14:paraId="628B0B09" w14:textId="77777777" w:rsidR="006027F4" w:rsidRPr="0013388C" w:rsidRDefault="006027F4" w:rsidP="00E71F81">
            <w:pPr>
              <w:keepNext/>
              <w:ind w:left="-108"/>
              <w:jc w:val="center"/>
              <w:rPr>
                <w:rFonts w:ascii="Arial Narrow" w:hAnsi="Arial Narrow"/>
                <w:b/>
                <w:sz w:val="20"/>
                <w:szCs w:val="20"/>
              </w:rPr>
            </w:pPr>
            <w:r w:rsidRPr="0013388C">
              <w:rPr>
                <w:rFonts w:ascii="Arial Narrow" w:hAnsi="Arial Narrow"/>
                <w:b/>
                <w:sz w:val="20"/>
                <w:szCs w:val="20"/>
              </w:rPr>
              <w:t>Rpts</w:t>
            </w:r>
          </w:p>
        </w:tc>
        <w:tc>
          <w:tcPr>
            <w:tcW w:w="1842" w:type="dxa"/>
          </w:tcPr>
          <w:p w14:paraId="0B33460B" w14:textId="77777777" w:rsidR="006027F4" w:rsidRPr="0013388C" w:rsidRDefault="006027F4" w:rsidP="00E71F81">
            <w:pPr>
              <w:keepNext/>
              <w:rPr>
                <w:rFonts w:ascii="Arial Narrow" w:hAnsi="Arial Narrow"/>
                <w:b/>
                <w:sz w:val="20"/>
                <w:szCs w:val="20"/>
              </w:rPr>
            </w:pPr>
            <w:r w:rsidRPr="0013388C">
              <w:rPr>
                <w:rFonts w:ascii="Arial Narrow" w:hAnsi="Arial Narrow"/>
                <w:b/>
                <w:sz w:val="20"/>
                <w:szCs w:val="20"/>
              </w:rPr>
              <w:t>Available brands</w:t>
            </w:r>
          </w:p>
        </w:tc>
      </w:tr>
      <w:tr w:rsidR="006027F4" w:rsidRPr="0013388C" w14:paraId="17B26C16" w14:textId="77777777" w:rsidTr="00E71F81">
        <w:trPr>
          <w:cantSplit/>
          <w:trHeight w:val="224"/>
          <w:jc w:val="center"/>
        </w:trPr>
        <w:tc>
          <w:tcPr>
            <w:tcW w:w="9067" w:type="dxa"/>
            <w:gridSpan w:val="8"/>
          </w:tcPr>
          <w:p w14:paraId="711397C6" w14:textId="77777777" w:rsidR="006027F4" w:rsidRPr="0013388C" w:rsidRDefault="006027F4" w:rsidP="00E71F81">
            <w:pPr>
              <w:keepNext/>
              <w:ind w:left="-57"/>
              <w:rPr>
                <w:rFonts w:ascii="Arial Narrow" w:hAnsi="Arial Narrow"/>
                <w:b/>
                <w:bCs/>
                <w:sz w:val="20"/>
                <w:szCs w:val="20"/>
              </w:rPr>
            </w:pPr>
            <w:r w:rsidRPr="0013388C">
              <w:rPr>
                <w:rFonts w:ascii="Arial Narrow" w:hAnsi="Arial Narrow"/>
                <w:b/>
                <w:bCs/>
                <w:sz w:val="20"/>
                <w:szCs w:val="20"/>
              </w:rPr>
              <w:t>BUPRENORPHINE 50 mg/mL weekly</w:t>
            </w:r>
          </w:p>
        </w:tc>
      </w:tr>
      <w:tr w:rsidR="006027F4" w:rsidRPr="0013388C" w14:paraId="03576844" w14:textId="77777777" w:rsidTr="00E71F81">
        <w:trPr>
          <w:cantSplit/>
          <w:trHeight w:val="503"/>
          <w:jc w:val="center"/>
        </w:trPr>
        <w:tc>
          <w:tcPr>
            <w:tcW w:w="3964" w:type="dxa"/>
            <w:gridSpan w:val="3"/>
          </w:tcPr>
          <w:p w14:paraId="32E943DC" w14:textId="77777777" w:rsidR="006027F4" w:rsidRPr="0013388C" w:rsidRDefault="006027F4" w:rsidP="00E71F81">
            <w:pPr>
              <w:keepNext/>
              <w:ind w:left="-57"/>
              <w:rPr>
                <w:rFonts w:ascii="Arial Narrow" w:hAnsi="Arial Narrow"/>
                <w:sz w:val="20"/>
                <w:szCs w:val="20"/>
              </w:rPr>
            </w:pPr>
            <w:r w:rsidRPr="0013388C">
              <w:rPr>
                <w:rFonts w:ascii="Arial Narrow" w:hAnsi="Arial Narrow"/>
                <w:sz w:val="20"/>
                <w:szCs w:val="20"/>
              </w:rPr>
              <w:t>Buprenorphine 8 mg/0.16 mL modified release injection, 0.16 mL syringe</w:t>
            </w:r>
          </w:p>
        </w:tc>
        <w:tc>
          <w:tcPr>
            <w:tcW w:w="993" w:type="dxa"/>
          </w:tcPr>
          <w:p w14:paraId="39DD2DC8" w14:textId="77777777" w:rsidR="006027F4" w:rsidRPr="0013388C" w:rsidRDefault="006027F4" w:rsidP="00E71F81">
            <w:pPr>
              <w:keepNext/>
              <w:jc w:val="center"/>
              <w:rPr>
                <w:rFonts w:ascii="Arial Narrow" w:hAnsi="Arial Narrow"/>
                <w:sz w:val="20"/>
                <w:szCs w:val="20"/>
              </w:rPr>
            </w:pPr>
            <w:r w:rsidRPr="0013388C">
              <w:rPr>
                <w:rFonts w:ascii="Arial Narrow" w:hAnsi="Arial Narrow"/>
                <w:sz w:val="20"/>
                <w:szCs w:val="20"/>
              </w:rPr>
              <w:t>11759X</w:t>
            </w:r>
          </w:p>
        </w:tc>
        <w:tc>
          <w:tcPr>
            <w:tcW w:w="850" w:type="dxa"/>
            <w:vMerge w:val="restart"/>
          </w:tcPr>
          <w:p w14:paraId="753229D8" w14:textId="77777777" w:rsidR="006027F4" w:rsidRPr="0013388C" w:rsidRDefault="006027F4" w:rsidP="00E71F81">
            <w:pPr>
              <w:keepNext/>
              <w:jc w:val="center"/>
              <w:rPr>
                <w:rFonts w:ascii="Arial Narrow" w:hAnsi="Arial Narrow"/>
                <w:sz w:val="20"/>
                <w:szCs w:val="20"/>
              </w:rPr>
            </w:pPr>
            <w:r w:rsidRPr="0013388C">
              <w:rPr>
                <w:rFonts w:ascii="Arial Narrow" w:hAnsi="Arial Narrow"/>
                <w:sz w:val="20"/>
                <w:szCs w:val="20"/>
              </w:rPr>
              <w:t>1</w:t>
            </w:r>
          </w:p>
        </w:tc>
        <w:tc>
          <w:tcPr>
            <w:tcW w:w="709" w:type="dxa"/>
            <w:vMerge w:val="restart"/>
          </w:tcPr>
          <w:p w14:paraId="207C3BA8" w14:textId="77777777" w:rsidR="006027F4" w:rsidRPr="0013388C" w:rsidRDefault="006027F4" w:rsidP="00E71F81">
            <w:pPr>
              <w:keepNext/>
              <w:jc w:val="center"/>
              <w:rPr>
                <w:rFonts w:ascii="Arial Narrow" w:hAnsi="Arial Narrow"/>
                <w:sz w:val="20"/>
                <w:szCs w:val="20"/>
              </w:rPr>
            </w:pPr>
            <w:r w:rsidRPr="0013388C">
              <w:rPr>
                <w:rFonts w:ascii="Arial Narrow" w:hAnsi="Arial Narrow"/>
                <w:sz w:val="20"/>
                <w:szCs w:val="20"/>
              </w:rPr>
              <w:t>1</w:t>
            </w:r>
          </w:p>
        </w:tc>
        <w:tc>
          <w:tcPr>
            <w:tcW w:w="709" w:type="dxa"/>
            <w:vMerge w:val="restart"/>
          </w:tcPr>
          <w:p w14:paraId="59095CFE" w14:textId="77777777" w:rsidR="006027F4" w:rsidRPr="0013388C" w:rsidRDefault="006027F4" w:rsidP="00E71F81">
            <w:pPr>
              <w:keepNext/>
              <w:jc w:val="center"/>
              <w:rPr>
                <w:rFonts w:ascii="Arial Narrow" w:hAnsi="Arial Narrow"/>
                <w:sz w:val="20"/>
                <w:szCs w:val="20"/>
              </w:rPr>
            </w:pPr>
            <w:r w:rsidRPr="0013388C">
              <w:rPr>
                <w:rFonts w:ascii="Arial Narrow" w:hAnsi="Arial Narrow"/>
                <w:sz w:val="20"/>
                <w:szCs w:val="20"/>
              </w:rPr>
              <w:t>NA</w:t>
            </w:r>
          </w:p>
        </w:tc>
        <w:tc>
          <w:tcPr>
            <w:tcW w:w="1842" w:type="dxa"/>
            <w:vMerge w:val="restart"/>
          </w:tcPr>
          <w:p w14:paraId="5741689E" w14:textId="77777777" w:rsidR="006027F4" w:rsidRPr="0013388C" w:rsidRDefault="006027F4" w:rsidP="00E71F81">
            <w:pPr>
              <w:keepNext/>
              <w:rPr>
                <w:rFonts w:ascii="Arial Narrow" w:hAnsi="Arial Narrow"/>
                <w:sz w:val="20"/>
                <w:szCs w:val="20"/>
              </w:rPr>
            </w:pPr>
            <w:r w:rsidRPr="0013388C">
              <w:rPr>
                <w:rFonts w:ascii="Arial Narrow" w:hAnsi="Arial Narrow"/>
                <w:sz w:val="20"/>
                <w:szCs w:val="20"/>
              </w:rPr>
              <w:t>Buvidal weekly</w:t>
            </w:r>
          </w:p>
        </w:tc>
      </w:tr>
      <w:tr w:rsidR="006027F4" w:rsidRPr="0013388C" w14:paraId="63811CB9" w14:textId="77777777" w:rsidTr="00E71F81">
        <w:trPr>
          <w:cantSplit/>
          <w:trHeight w:val="501"/>
          <w:jc w:val="center"/>
        </w:trPr>
        <w:tc>
          <w:tcPr>
            <w:tcW w:w="3964" w:type="dxa"/>
            <w:gridSpan w:val="3"/>
          </w:tcPr>
          <w:p w14:paraId="4B47BDA3" w14:textId="77777777" w:rsidR="006027F4" w:rsidRPr="0013388C" w:rsidRDefault="006027F4" w:rsidP="00E71F81">
            <w:pPr>
              <w:keepNext/>
              <w:ind w:left="-57"/>
              <w:rPr>
                <w:rFonts w:ascii="Arial Narrow" w:hAnsi="Arial Narrow"/>
                <w:sz w:val="20"/>
                <w:szCs w:val="20"/>
              </w:rPr>
            </w:pPr>
            <w:r w:rsidRPr="0013388C">
              <w:rPr>
                <w:rFonts w:ascii="Arial Narrow" w:hAnsi="Arial Narrow"/>
                <w:sz w:val="20"/>
                <w:szCs w:val="20"/>
              </w:rPr>
              <w:t>Buprenorphine 16 mg/0.32 mL modified release injection, 0.32 mL syringe</w:t>
            </w:r>
          </w:p>
        </w:tc>
        <w:tc>
          <w:tcPr>
            <w:tcW w:w="993" w:type="dxa"/>
          </w:tcPr>
          <w:p w14:paraId="1A42F441" w14:textId="77777777" w:rsidR="006027F4" w:rsidRPr="0013388C" w:rsidRDefault="006027F4" w:rsidP="00E71F81">
            <w:pPr>
              <w:keepNext/>
              <w:jc w:val="center"/>
              <w:rPr>
                <w:rFonts w:ascii="Arial Narrow" w:hAnsi="Arial Narrow"/>
                <w:sz w:val="20"/>
                <w:szCs w:val="20"/>
              </w:rPr>
            </w:pPr>
            <w:r w:rsidRPr="0013388C">
              <w:rPr>
                <w:rFonts w:ascii="Arial Narrow" w:hAnsi="Arial Narrow"/>
                <w:sz w:val="20"/>
                <w:szCs w:val="20"/>
              </w:rPr>
              <w:t>11774Q</w:t>
            </w:r>
          </w:p>
        </w:tc>
        <w:tc>
          <w:tcPr>
            <w:tcW w:w="850" w:type="dxa"/>
            <w:vMerge/>
          </w:tcPr>
          <w:p w14:paraId="15A11385" w14:textId="77777777" w:rsidR="006027F4" w:rsidRPr="0013388C" w:rsidRDefault="006027F4" w:rsidP="00E71F81">
            <w:pPr>
              <w:keepNext/>
              <w:jc w:val="center"/>
              <w:rPr>
                <w:rFonts w:ascii="Arial Narrow" w:hAnsi="Arial Narrow"/>
                <w:sz w:val="20"/>
                <w:szCs w:val="20"/>
              </w:rPr>
            </w:pPr>
          </w:p>
        </w:tc>
        <w:tc>
          <w:tcPr>
            <w:tcW w:w="709" w:type="dxa"/>
            <w:vMerge/>
          </w:tcPr>
          <w:p w14:paraId="5F7687BE" w14:textId="77777777" w:rsidR="006027F4" w:rsidRPr="0013388C" w:rsidRDefault="006027F4" w:rsidP="00E71F81">
            <w:pPr>
              <w:keepNext/>
              <w:jc w:val="center"/>
              <w:rPr>
                <w:rFonts w:ascii="Arial Narrow" w:hAnsi="Arial Narrow"/>
                <w:sz w:val="20"/>
                <w:szCs w:val="20"/>
              </w:rPr>
            </w:pPr>
          </w:p>
        </w:tc>
        <w:tc>
          <w:tcPr>
            <w:tcW w:w="709" w:type="dxa"/>
            <w:vMerge/>
          </w:tcPr>
          <w:p w14:paraId="6142673A" w14:textId="77777777" w:rsidR="006027F4" w:rsidRPr="0013388C" w:rsidRDefault="006027F4" w:rsidP="00E71F81">
            <w:pPr>
              <w:keepNext/>
              <w:jc w:val="center"/>
              <w:rPr>
                <w:rFonts w:ascii="Arial Narrow" w:hAnsi="Arial Narrow"/>
                <w:sz w:val="20"/>
                <w:szCs w:val="20"/>
              </w:rPr>
            </w:pPr>
          </w:p>
        </w:tc>
        <w:tc>
          <w:tcPr>
            <w:tcW w:w="1842" w:type="dxa"/>
            <w:vMerge/>
          </w:tcPr>
          <w:p w14:paraId="4B7F08CA" w14:textId="77777777" w:rsidR="006027F4" w:rsidRPr="0013388C" w:rsidRDefault="006027F4" w:rsidP="00E71F81">
            <w:pPr>
              <w:keepNext/>
              <w:rPr>
                <w:rFonts w:ascii="Arial Narrow" w:hAnsi="Arial Narrow"/>
                <w:sz w:val="20"/>
                <w:szCs w:val="20"/>
              </w:rPr>
            </w:pPr>
          </w:p>
        </w:tc>
      </w:tr>
      <w:tr w:rsidR="006027F4" w:rsidRPr="0013388C" w14:paraId="38D33903" w14:textId="77777777" w:rsidTr="00E71F81">
        <w:trPr>
          <w:cantSplit/>
          <w:trHeight w:val="501"/>
          <w:jc w:val="center"/>
        </w:trPr>
        <w:tc>
          <w:tcPr>
            <w:tcW w:w="3964" w:type="dxa"/>
            <w:gridSpan w:val="3"/>
          </w:tcPr>
          <w:p w14:paraId="6B37E243" w14:textId="77777777" w:rsidR="006027F4" w:rsidRPr="0013388C" w:rsidRDefault="006027F4" w:rsidP="00E71F81">
            <w:pPr>
              <w:keepNext/>
              <w:ind w:left="-57"/>
              <w:rPr>
                <w:rFonts w:ascii="Arial Narrow" w:hAnsi="Arial Narrow"/>
                <w:sz w:val="20"/>
                <w:szCs w:val="20"/>
              </w:rPr>
            </w:pPr>
            <w:r w:rsidRPr="0013388C">
              <w:rPr>
                <w:rFonts w:ascii="Arial Narrow" w:hAnsi="Arial Narrow"/>
                <w:sz w:val="20"/>
                <w:szCs w:val="20"/>
              </w:rPr>
              <w:t>Buprenorphine 24 mg/0.48 mL modified release injection, 0.48 mL syringe</w:t>
            </w:r>
          </w:p>
        </w:tc>
        <w:tc>
          <w:tcPr>
            <w:tcW w:w="993" w:type="dxa"/>
          </w:tcPr>
          <w:p w14:paraId="59F0043F" w14:textId="77777777" w:rsidR="006027F4" w:rsidRPr="0013388C" w:rsidRDefault="006027F4" w:rsidP="00E71F81">
            <w:pPr>
              <w:keepNext/>
              <w:jc w:val="center"/>
              <w:rPr>
                <w:rFonts w:ascii="Arial Narrow" w:hAnsi="Arial Narrow"/>
                <w:sz w:val="20"/>
                <w:szCs w:val="20"/>
              </w:rPr>
            </w:pPr>
            <w:r w:rsidRPr="0013388C">
              <w:rPr>
                <w:rFonts w:ascii="Arial Narrow" w:hAnsi="Arial Narrow"/>
                <w:sz w:val="20"/>
                <w:szCs w:val="20"/>
              </w:rPr>
              <w:t>11773P</w:t>
            </w:r>
          </w:p>
        </w:tc>
        <w:tc>
          <w:tcPr>
            <w:tcW w:w="850" w:type="dxa"/>
            <w:vMerge/>
          </w:tcPr>
          <w:p w14:paraId="67DFD1E8" w14:textId="77777777" w:rsidR="006027F4" w:rsidRPr="0013388C" w:rsidRDefault="006027F4" w:rsidP="00E71F81">
            <w:pPr>
              <w:keepNext/>
              <w:jc w:val="center"/>
              <w:rPr>
                <w:rFonts w:ascii="Arial Narrow" w:hAnsi="Arial Narrow"/>
                <w:sz w:val="20"/>
                <w:szCs w:val="20"/>
              </w:rPr>
            </w:pPr>
          </w:p>
        </w:tc>
        <w:tc>
          <w:tcPr>
            <w:tcW w:w="709" w:type="dxa"/>
            <w:vMerge/>
          </w:tcPr>
          <w:p w14:paraId="10849623" w14:textId="77777777" w:rsidR="006027F4" w:rsidRPr="0013388C" w:rsidRDefault="006027F4" w:rsidP="00E71F81">
            <w:pPr>
              <w:keepNext/>
              <w:jc w:val="center"/>
              <w:rPr>
                <w:rFonts w:ascii="Arial Narrow" w:hAnsi="Arial Narrow"/>
                <w:sz w:val="20"/>
                <w:szCs w:val="20"/>
              </w:rPr>
            </w:pPr>
          </w:p>
        </w:tc>
        <w:tc>
          <w:tcPr>
            <w:tcW w:w="709" w:type="dxa"/>
            <w:vMerge/>
          </w:tcPr>
          <w:p w14:paraId="498082EC" w14:textId="77777777" w:rsidR="006027F4" w:rsidRPr="0013388C" w:rsidRDefault="006027F4" w:rsidP="00E71F81">
            <w:pPr>
              <w:keepNext/>
              <w:jc w:val="center"/>
              <w:rPr>
                <w:rFonts w:ascii="Arial Narrow" w:hAnsi="Arial Narrow"/>
                <w:sz w:val="20"/>
                <w:szCs w:val="20"/>
              </w:rPr>
            </w:pPr>
          </w:p>
        </w:tc>
        <w:tc>
          <w:tcPr>
            <w:tcW w:w="1842" w:type="dxa"/>
            <w:vMerge/>
          </w:tcPr>
          <w:p w14:paraId="622B7924" w14:textId="77777777" w:rsidR="006027F4" w:rsidRPr="0013388C" w:rsidRDefault="006027F4" w:rsidP="00E71F81">
            <w:pPr>
              <w:keepNext/>
              <w:rPr>
                <w:rFonts w:ascii="Arial Narrow" w:hAnsi="Arial Narrow"/>
                <w:sz w:val="20"/>
                <w:szCs w:val="20"/>
              </w:rPr>
            </w:pPr>
          </w:p>
        </w:tc>
      </w:tr>
      <w:tr w:rsidR="006027F4" w:rsidRPr="0013388C" w14:paraId="38F2E374" w14:textId="77777777" w:rsidTr="00E71F81">
        <w:trPr>
          <w:cantSplit/>
          <w:trHeight w:val="501"/>
          <w:jc w:val="center"/>
        </w:trPr>
        <w:tc>
          <w:tcPr>
            <w:tcW w:w="3964" w:type="dxa"/>
            <w:gridSpan w:val="3"/>
          </w:tcPr>
          <w:p w14:paraId="1A3F0740" w14:textId="77777777" w:rsidR="006027F4" w:rsidRPr="0013388C" w:rsidRDefault="006027F4" w:rsidP="00E71F81">
            <w:pPr>
              <w:keepNext/>
              <w:ind w:left="-57"/>
              <w:rPr>
                <w:rFonts w:ascii="Arial Narrow" w:hAnsi="Arial Narrow"/>
                <w:sz w:val="20"/>
                <w:szCs w:val="20"/>
              </w:rPr>
            </w:pPr>
            <w:r w:rsidRPr="0013388C">
              <w:rPr>
                <w:rFonts w:ascii="Arial Narrow" w:hAnsi="Arial Narrow"/>
                <w:sz w:val="20"/>
                <w:szCs w:val="20"/>
              </w:rPr>
              <w:t>Buprenorphine 32 mg/0.64 mL modified release injection, 0.64 mL syringe</w:t>
            </w:r>
          </w:p>
        </w:tc>
        <w:tc>
          <w:tcPr>
            <w:tcW w:w="993" w:type="dxa"/>
          </w:tcPr>
          <w:p w14:paraId="7F05EFF2" w14:textId="77777777" w:rsidR="006027F4" w:rsidRPr="0013388C" w:rsidRDefault="006027F4" w:rsidP="00E71F81">
            <w:pPr>
              <w:keepNext/>
              <w:jc w:val="center"/>
              <w:rPr>
                <w:rFonts w:ascii="Arial Narrow" w:hAnsi="Arial Narrow"/>
                <w:sz w:val="20"/>
                <w:szCs w:val="20"/>
              </w:rPr>
            </w:pPr>
            <w:r w:rsidRPr="0013388C">
              <w:rPr>
                <w:rFonts w:ascii="Arial Narrow" w:hAnsi="Arial Narrow"/>
                <w:sz w:val="20"/>
                <w:szCs w:val="20"/>
              </w:rPr>
              <w:t>11766G</w:t>
            </w:r>
          </w:p>
        </w:tc>
        <w:tc>
          <w:tcPr>
            <w:tcW w:w="850" w:type="dxa"/>
            <w:vMerge/>
          </w:tcPr>
          <w:p w14:paraId="21D324FB" w14:textId="77777777" w:rsidR="006027F4" w:rsidRPr="0013388C" w:rsidRDefault="006027F4" w:rsidP="00E71F81">
            <w:pPr>
              <w:keepNext/>
              <w:jc w:val="center"/>
              <w:rPr>
                <w:rFonts w:ascii="Arial Narrow" w:hAnsi="Arial Narrow"/>
                <w:sz w:val="20"/>
                <w:szCs w:val="20"/>
              </w:rPr>
            </w:pPr>
          </w:p>
        </w:tc>
        <w:tc>
          <w:tcPr>
            <w:tcW w:w="709" w:type="dxa"/>
            <w:vMerge/>
          </w:tcPr>
          <w:p w14:paraId="3C3E73A5" w14:textId="77777777" w:rsidR="006027F4" w:rsidRPr="0013388C" w:rsidRDefault="006027F4" w:rsidP="00E71F81">
            <w:pPr>
              <w:keepNext/>
              <w:jc w:val="center"/>
              <w:rPr>
                <w:rFonts w:ascii="Arial Narrow" w:hAnsi="Arial Narrow"/>
                <w:sz w:val="20"/>
                <w:szCs w:val="20"/>
              </w:rPr>
            </w:pPr>
          </w:p>
        </w:tc>
        <w:tc>
          <w:tcPr>
            <w:tcW w:w="709" w:type="dxa"/>
            <w:vMerge/>
          </w:tcPr>
          <w:p w14:paraId="42E75F34" w14:textId="77777777" w:rsidR="006027F4" w:rsidRPr="0013388C" w:rsidRDefault="006027F4" w:rsidP="00E71F81">
            <w:pPr>
              <w:keepNext/>
              <w:jc w:val="center"/>
              <w:rPr>
                <w:rFonts w:ascii="Arial Narrow" w:hAnsi="Arial Narrow"/>
                <w:sz w:val="20"/>
                <w:szCs w:val="20"/>
              </w:rPr>
            </w:pPr>
          </w:p>
        </w:tc>
        <w:tc>
          <w:tcPr>
            <w:tcW w:w="1842" w:type="dxa"/>
            <w:vMerge/>
          </w:tcPr>
          <w:p w14:paraId="413C14B3" w14:textId="77777777" w:rsidR="006027F4" w:rsidRPr="0013388C" w:rsidRDefault="006027F4" w:rsidP="00E71F81">
            <w:pPr>
              <w:keepNext/>
              <w:rPr>
                <w:rFonts w:ascii="Arial Narrow" w:hAnsi="Arial Narrow"/>
                <w:sz w:val="20"/>
                <w:szCs w:val="20"/>
              </w:rPr>
            </w:pPr>
          </w:p>
        </w:tc>
      </w:tr>
      <w:tr w:rsidR="006027F4" w:rsidRPr="0013388C" w14:paraId="58CD86C0" w14:textId="77777777" w:rsidTr="00E71F81">
        <w:tblPrEx>
          <w:tblCellMar>
            <w:top w:w="15" w:type="dxa"/>
            <w:left w:w="15" w:type="dxa"/>
            <w:bottom w:w="15" w:type="dxa"/>
            <w:right w:w="15" w:type="dxa"/>
          </w:tblCellMar>
          <w:tblLook w:val="04A0" w:firstRow="1" w:lastRow="0" w:firstColumn="1" w:lastColumn="0" w:noHBand="0" w:noVBand="1"/>
        </w:tblPrEx>
        <w:trPr>
          <w:jc w:val="center"/>
        </w:trPr>
        <w:tc>
          <w:tcPr>
            <w:tcW w:w="9067" w:type="dxa"/>
            <w:gridSpan w:val="8"/>
            <w:tcBorders>
              <w:top w:val="single" w:sz="4" w:space="0" w:color="auto"/>
              <w:left w:val="single" w:sz="4" w:space="0" w:color="auto"/>
              <w:right w:val="single" w:sz="4" w:space="0" w:color="auto"/>
            </w:tcBorders>
          </w:tcPr>
          <w:p w14:paraId="590CBD78" w14:textId="77777777" w:rsidR="006027F4" w:rsidRPr="0013388C" w:rsidRDefault="006027F4" w:rsidP="00E71F81">
            <w:pPr>
              <w:rPr>
                <w:rFonts w:ascii="Arial Narrow" w:hAnsi="Arial Narrow"/>
                <w:sz w:val="20"/>
                <w:szCs w:val="20"/>
              </w:rPr>
            </w:pPr>
          </w:p>
        </w:tc>
      </w:tr>
      <w:tr w:rsidR="006027F4" w:rsidRPr="0013388C" w14:paraId="15DDAEE5" w14:textId="77777777" w:rsidTr="00E71F81">
        <w:tblPrEx>
          <w:tblCellMar>
            <w:top w:w="15" w:type="dxa"/>
            <w:left w:w="15" w:type="dxa"/>
            <w:bottom w:w="15" w:type="dxa"/>
            <w:right w:w="15" w:type="dxa"/>
          </w:tblCellMar>
          <w:tblLook w:val="04A0" w:firstRow="1" w:lastRow="0" w:firstColumn="1" w:lastColumn="0" w:noHBand="0" w:noVBand="1"/>
        </w:tblPrEx>
        <w:trPr>
          <w:jc w:val="center"/>
        </w:trPr>
        <w:tc>
          <w:tcPr>
            <w:tcW w:w="9067" w:type="dxa"/>
            <w:gridSpan w:val="8"/>
            <w:tcBorders>
              <w:top w:val="single" w:sz="4" w:space="0" w:color="auto"/>
              <w:left w:val="single" w:sz="4" w:space="0" w:color="auto"/>
              <w:right w:val="single" w:sz="4" w:space="0" w:color="auto"/>
            </w:tcBorders>
          </w:tcPr>
          <w:p w14:paraId="5FB74BA4" w14:textId="77777777" w:rsidR="006027F4" w:rsidRPr="0013388C" w:rsidRDefault="006027F4" w:rsidP="00E71F81">
            <w:pPr>
              <w:rPr>
                <w:rFonts w:ascii="Arial Narrow" w:hAnsi="Arial Narrow"/>
                <w:b/>
                <w:sz w:val="20"/>
                <w:szCs w:val="20"/>
              </w:rPr>
            </w:pPr>
            <w:r w:rsidRPr="0013388C">
              <w:rPr>
                <w:rFonts w:ascii="Arial Narrow" w:hAnsi="Arial Narrow"/>
                <w:b/>
                <w:sz w:val="20"/>
                <w:szCs w:val="20"/>
              </w:rPr>
              <w:t>Restriction Summary 9213 / Treatment of Concept: 9212</w:t>
            </w:r>
          </w:p>
        </w:tc>
      </w:tr>
      <w:tr w:rsidR="006027F4" w:rsidRPr="0013388C" w14:paraId="7F3C8887" w14:textId="77777777" w:rsidTr="00E71F81">
        <w:tblPrEx>
          <w:tblCellMar>
            <w:top w:w="15" w:type="dxa"/>
            <w:left w:w="15" w:type="dxa"/>
            <w:bottom w:w="15" w:type="dxa"/>
            <w:right w:w="15" w:type="dxa"/>
          </w:tblCellMar>
          <w:tblLook w:val="04A0" w:firstRow="1" w:lastRow="0" w:firstColumn="1" w:lastColumn="0" w:noHBand="0" w:noVBand="1"/>
        </w:tblPrEx>
        <w:trPr>
          <w:jc w:val="center"/>
        </w:trPr>
        <w:tc>
          <w:tcPr>
            <w:tcW w:w="981" w:type="dxa"/>
            <w:gridSpan w:val="2"/>
            <w:vMerge w:val="restart"/>
            <w:tcBorders>
              <w:top w:val="single" w:sz="4" w:space="0" w:color="auto"/>
              <w:left w:val="single" w:sz="4" w:space="0" w:color="auto"/>
              <w:right w:val="single" w:sz="4" w:space="0" w:color="auto"/>
            </w:tcBorders>
          </w:tcPr>
          <w:p w14:paraId="748B3246" w14:textId="77777777" w:rsidR="006027F4" w:rsidRPr="0013388C" w:rsidRDefault="006027F4" w:rsidP="00E71F81">
            <w:pPr>
              <w:jc w:val="cente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1B149248" w14:textId="77777777" w:rsidR="006027F4" w:rsidRPr="0013388C" w:rsidRDefault="006027F4" w:rsidP="00E71F81">
            <w:pPr>
              <w:rPr>
                <w:rFonts w:ascii="Arial Narrow" w:hAnsi="Arial Narrow"/>
                <w:sz w:val="20"/>
                <w:szCs w:val="20"/>
              </w:rPr>
            </w:pPr>
            <w:r w:rsidRPr="0013388C">
              <w:rPr>
                <w:rFonts w:ascii="Arial Narrow" w:hAnsi="Arial Narrow"/>
                <w:sz w:val="20"/>
                <w:szCs w:val="20"/>
              </w:rPr>
              <w:t>Section 100 – Opiate Dependence</w:t>
            </w:r>
          </w:p>
        </w:tc>
      </w:tr>
      <w:tr w:rsidR="006027F4" w:rsidRPr="0013388C" w14:paraId="2671F3F1" w14:textId="77777777" w:rsidTr="00E71F81">
        <w:tblPrEx>
          <w:tblCellMar>
            <w:top w:w="15" w:type="dxa"/>
            <w:left w:w="15" w:type="dxa"/>
            <w:bottom w:w="15" w:type="dxa"/>
            <w:right w:w="15" w:type="dxa"/>
          </w:tblCellMar>
          <w:tblLook w:val="04A0" w:firstRow="1" w:lastRow="0" w:firstColumn="1" w:lastColumn="0" w:noHBand="0" w:noVBand="1"/>
        </w:tblPrEx>
        <w:trPr>
          <w:trHeight w:val="240"/>
          <w:jc w:val="center"/>
        </w:trPr>
        <w:tc>
          <w:tcPr>
            <w:tcW w:w="981" w:type="dxa"/>
            <w:gridSpan w:val="2"/>
            <w:vMerge/>
            <w:tcBorders>
              <w:left w:val="single" w:sz="4" w:space="0" w:color="auto"/>
              <w:right w:val="single" w:sz="4" w:space="0" w:color="auto"/>
            </w:tcBorders>
          </w:tcPr>
          <w:p w14:paraId="504EA1F9" w14:textId="77777777" w:rsidR="006027F4" w:rsidRPr="0013388C" w:rsidRDefault="006027F4" w:rsidP="00E71F81">
            <w:pP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73A89BE7" w14:textId="77777777" w:rsidR="006027F4" w:rsidRPr="0013388C" w:rsidRDefault="006027F4" w:rsidP="00E71F81">
            <w:pPr>
              <w:rPr>
                <w:rFonts w:ascii="Arial Narrow" w:hAnsi="Arial Narrow"/>
                <w:b/>
                <w:sz w:val="20"/>
                <w:szCs w:val="20"/>
              </w:rPr>
            </w:pPr>
            <w:r w:rsidRPr="0013388C">
              <w:rPr>
                <w:rFonts w:ascii="Arial Narrow" w:hAnsi="Arial Narrow"/>
                <w:b/>
                <w:sz w:val="20"/>
                <w:szCs w:val="20"/>
              </w:rPr>
              <w:t xml:space="preserve">Prescriber type: </w:t>
            </w:r>
            <w:r w:rsidRPr="0013388C">
              <w:rPr>
                <w:rFonts w:ascii="Arial Narrow" w:hAnsi="Arial Narrow"/>
                <w:sz w:val="20"/>
                <w:szCs w:val="20"/>
              </w:rPr>
              <w:fldChar w:fldCharType="begin">
                <w:ffData>
                  <w:name w:val="Check1"/>
                  <w:enabled/>
                  <w:calcOnExit w:val="0"/>
                  <w:checkBox>
                    <w:sizeAuto/>
                    <w:default w:val="0"/>
                  </w:checkBox>
                </w:ffData>
              </w:fldChar>
            </w:r>
            <w:r w:rsidRPr="0013388C">
              <w:rPr>
                <w:rFonts w:ascii="Arial Narrow" w:hAnsi="Arial Narrow"/>
                <w:sz w:val="20"/>
                <w:szCs w:val="20"/>
              </w:rPr>
              <w:instrText xml:space="preserve"> FORMCHECKBOX </w:instrText>
            </w:r>
            <w:r w:rsidR="001412AD">
              <w:rPr>
                <w:rFonts w:ascii="Arial Narrow" w:hAnsi="Arial Narrow"/>
                <w:sz w:val="20"/>
                <w:szCs w:val="20"/>
              </w:rPr>
            </w:r>
            <w:r w:rsidR="001412AD">
              <w:rPr>
                <w:rFonts w:ascii="Arial Narrow" w:hAnsi="Arial Narrow"/>
                <w:sz w:val="20"/>
                <w:szCs w:val="20"/>
              </w:rPr>
              <w:fldChar w:fldCharType="separate"/>
            </w:r>
            <w:r w:rsidRPr="0013388C">
              <w:rPr>
                <w:rFonts w:ascii="Arial Narrow" w:hAnsi="Arial Narrow"/>
                <w:sz w:val="20"/>
                <w:szCs w:val="20"/>
              </w:rPr>
              <w:fldChar w:fldCharType="end"/>
            </w:r>
            <w:r w:rsidRPr="0013388C">
              <w:rPr>
                <w:rFonts w:ascii="Arial Narrow" w:hAnsi="Arial Narrow"/>
                <w:sz w:val="20"/>
                <w:szCs w:val="20"/>
              </w:rPr>
              <w:t xml:space="preserve">Dental    </w:t>
            </w:r>
            <w:r w:rsidRPr="0013388C">
              <w:rPr>
                <w:rFonts w:ascii="Arial Narrow" w:hAnsi="Arial Narrow"/>
                <w:sz w:val="20"/>
                <w:szCs w:val="20"/>
              </w:rPr>
              <w:fldChar w:fldCharType="begin">
                <w:ffData>
                  <w:name w:val=""/>
                  <w:enabled/>
                  <w:calcOnExit w:val="0"/>
                  <w:checkBox>
                    <w:sizeAuto/>
                    <w:default w:val="1"/>
                  </w:checkBox>
                </w:ffData>
              </w:fldChar>
            </w:r>
            <w:r w:rsidRPr="0013388C">
              <w:rPr>
                <w:rFonts w:ascii="Arial Narrow" w:hAnsi="Arial Narrow"/>
                <w:sz w:val="20"/>
                <w:szCs w:val="20"/>
              </w:rPr>
              <w:instrText xml:space="preserve"> FORMCHECKBOX </w:instrText>
            </w:r>
            <w:r w:rsidR="001412AD">
              <w:rPr>
                <w:rFonts w:ascii="Arial Narrow" w:hAnsi="Arial Narrow"/>
                <w:sz w:val="20"/>
                <w:szCs w:val="20"/>
              </w:rPr>
            </w:r>
            <w:r w:rsidR="001412AD">
              <w:rPr>
                <w:rFonts w:ascii="Arial Narrow" w:hAnsi="Arial Narrow"/>
                <w:sz w:val="20"/>
                <w:szCs w:val="20"/>
              </w:rPr>
              <w:fldChar w:fldCharType="separate"/>
            </w:r>
            <w:r w:rsidRPr="0013388C">
              <w:rPr>
                <w:rFonts w:ascii="Arial Narrow" w:hAnsi="Arial Narrow"/>
                <w:sz w:val="20"/>
                <w:szCs w:val="20"/>
              </w:rPr>
              <w:fldChar w:fldCharType="end"/>
            </w:r>
            <w:r w:rsidRPr="0013388C">
              <w:rPr>
                <w:rFonts w:ascii="Arial Narrow" w:hAnsi="Arial Narrow"/>
                <w:sz w:val="20"/>
                <w:szCs w:val="20"/>
              </w:rPr>
              <w:t xml:space="preserve">Medical Practitioners    </w:t>
            </w:r>
            <w:r w:rsidRPr="0013388C">
              <w:rPr>
                <w:rFonts w:ascii="Arial Narrow" w:hAnsi="Arial Narrow"/>
                <w:sz w:val="20"/>
                <w:szCs w:val="20"/>
              </w:rPr>
              <w:fldChar w:fldCharType="begin">
                <w:ffData>
                  <w:name w:val="Check3"/>
                  <w:enabled/>
                  <w:calcOnExit w:val="0"/>
                  <w:checkBox>
                    <w:sizeAuto/>
                    <w:default w:val="1"/>
                  </w:checkBox>
                </w:ffData>
              </w:fldChar>
            </w:r>
            <w:r w:rsidRPr="0013388C">
              <w:rPr>
                <w:rFonts w:ascii="Arial Narrow" w:hAnsi="Arial Narrow"/>
                <w:sz w:val="20"/>
                <w:szCs w:val="20"/>
              </w:rPr>
              <w:instrText xml:space="preserve"> FORMCHECKBOX </w:instrText>
            </w:r>
            <w:r w:rsidR="001412AD">
              <w:rPr>
                <w:rFonts w:ascii="Arial Narrow" w:hAnsi="Arial Narrow"/>
                <w:sz w:val="20"/>
                <w:szCs w:val="20"/>
              </w:rPr>
            </w:r>
            <w:r w:rsidR="001412AD">
              <w:rPr>
                <w:rFonts w:ascii="Arial Narrow" w:hAnsi="Arial Narrow"/>
                <w:sz w:val="20"/>
                <w:szCs w:val="20"/>
              </w:rPr>
              <w:fldChar w:fldCharType="separate"/>
            </w:r>
            <w:r w:rsidRPr="0013388C">
              <w:rPr>
                <w:rFonts w:ascii="Arial Narrow" w:hAnsi="Arial Narrow"/>
                <w:sz w:val="20"/>
                <w:szCs w:val="20"/>
              </w:rPr>
              <w:fldChar w:fldCharType="end"/>
            </w:r>
            <w:r w:rsidRPr="0013388C">
              <w:rPr>
                <w:rFonts w:ascii="Arial Narrow" w:hAnsi="Arial Narrow"/>
                <w:sz w:val="20"/>
                <w:szCs w:val="20"/>
              </w:rPr>
              <w:t xml:space="preserve">Nurse practitioners     </w:t>
            </w:r>
            <w:r w:rsidRPr="0013388C">
              <w:rPr>
                <w:rFonts w:ascii="Arial Narrow" w:hAnsi="Arial Narrow"/>
                <w:sz w:val="20"/>
                <w:szCs w:val="20"/>
              </w:rPr>
              <w:fldChar w:fldCharType="begin">
                <w:ffData>
                  <w:name w:val=""/>
                  <w:enabled/>
                  <w:calcOnExit w:val="0"/>
                  <w:checkBox>
                    <w:sizeAuto/>
                    <w:default w:val="0"/>
                  </w:checkBox>
                </w:ffData>
              </w:fldChar>
            </w:r>
            <w:r w:rsidRPr="0013388C">
              <w:rPr>
                <w:rFonts w:ascii="Arial Narrow" w:hAnsi="Arial Narrow"/>
                <w:sz w:val="20"/>
                <w:szCs w:val="20"/>
              </w:rPr>
              <w:instrText xml:space="preserve"> FORMCHECKBOX </w:instrText>
            </w:r>
            <w:r w:rsidR="001412AD">
              <w:rPr>
                <w:rFonts w:ascii="Arial Narrow" w:hAnsi="Arial Narrow"/>
                <w:sz w:val="20"/>
                <w:szCs w:val="20"/>
              </w:rPr>
            </w:r>
            <w:r w:rsidR="001412AD">
              <w:rPr>
                <w:rFonts w:ascii="Arial Narrow" w:hAnsi="Arial Narrow"/>
                <w:sz w:val="20"/>
                <w:szCs w:val="20"/>
              </w:rPr>
              <w:fldChar w:fldCharType="separate"/>
            </w:r>
            <w:r w:rsidRPr="0013388C">
              <w:rPr>
                <w:rFonts w:ascii="Arial Narrow" w:hAnsi="Arial Narrow"/>
                <w:sz w:val="20"/>
                <w:szCs w:val="20"/>
              </w:rPr>
              <w:fldChar w:fldCharType="end"/>
            </w:r>
            <w:r w:rsidRPr="0013388C">
              <w:rPr>
                <w:rFonts w:ascii="Arial Narrow" w:hAnsi="Arial Narrow"/>
                <w:sz w:val="20"/>
                <w:szCs w:val="20"/>
              </w:rPr>
              <w:t xml:space="preserve">Optometrists    </w:t>
            </w:r>
            <w:r w:rsidRPr="0013388C">
              <w:rPr>
                <w:rFonts w:ascii="Arial Narrow" w:hAnsi="Arial Narrow"/>
                <w:sz w:val="20"/>
                <w:szCs w:val="20"/>
              </w:rPr>
              <w:fldChar w:fldCharType="begin">
                <w:ffData>
                  <w:name w:val="Check5"/>
                  <w:enabled/>
                  <w:calcOnExit w:val="0"/>
                  <w:checkBox>
                    <w:sizeAuto/>
                    <w:default w:val="0"/>
                  </w:checkBox>
                </w:ffData>
              </w:fldChar>
            </w:r>
            <w:r w:rsidRPr="0013388C">
              <w:rPr>
                <w:rFonts w:ascii="Arial Narrow" w:hAnsi="Arial Narrow"/>
                <w:sz w:val="20"/>
                <w:szCs w:val="20"/>
              </w:rPr>
              <w:instrText xml:space="preserve"> FORMCHECKBOX </w:instrText>
            </w:r>
            <w:r w:rsidR="001412AD">
              <w:rPr>
                <w:rFonts w:ascii="Arial Narrow" w:hAnsi="Arial Narrow"/>
                <w:sz w:val="20"/>
                <w:szCs w:val="20"/>
              </w:rPr>
            </w:r>
            <w:r w:rsidR="001412AD">
              <w:rPr>
                <w:rFonts w:ascii="Arial Narrow" w:hAnsi="Arial Narrow"/>
                <w:sz w:val="20"/>
                <w:szCs w:val="20"/>
              </w:rPr>
              <w:fldChar w:fldCharType="separate"/>
            </w:r>
            <w:r w:rsidRPr="0013388C">
              <w:rPr>
                <w:rFonts w:ascii="Arial Narrow" w:hAnsi="Arial Narrow"/>
                <w:sz w:val="20"/>
                <w:szCs w:val="20"/>
              </w:rPr>
              <w:fldChar w:fldCharType="end"/>
            </w:r>
            <w:r w:rsidRPr="0013388C">
              <w:rPr>
                <w:rFonts w:ascii="Arial Narrow" w:hAnsi="Arial Narrow"/>
                <w:sz w:val="20"/>
                <w:szCs w:val="20"/>
              </w:rPr>
              <w:t>Midwives</w:t>
            </w:r>
            <w:r w:rsidRPr="0013388C">
              <w:rPr>
                <w:rFonts w:ascii="Arial Narrow" w:hAnsi="Arial Narrow"/>
                <w:color w:val="FF0000"/>
                <w:sz w:val="20"/>
                <w:szCs w:val="20"/>
              </w:rPr>
              <w:t xml:space="preserve"> </w:t>
            </w:r>
          </w:p>
        </w:tc>
      </w:tr>
      <w:tr w:rsidR="006027F4" w:rsidRPr="0013388C" w14:paraId="04E16B98" w14:textId="77777777" w:rsidTr="00E71F81">
        <w:tblPrEx>
          <w:tblCellMar>
            <w:top w:w="15" w:type="dxa"/>
            <w:left w:w="15" w:type="dxa"/>
            <w:bottom w:w="15" w:type="dxa"/>
            <w:right w:w="15" w:type="dxa"/>
          </w:tblCellMar>
          <w:tblLook w:val="04A0" w:firstRow="1" w:lastRow="0" w:firstColumn="1" w:lastColumn="0" w:noHBand="0" w:noVBand="1"/>
        </w:tblPrEx>
        <w:trPr>
          <w:trHeight w:val="238"/>
          <w:jc w:val="center"/>
        </w:trPr>
        <w:tc>
          <w:tcPr>
            <w:tcW w:w="981" w:type="dxa"/>
            <w:gridSpan w:val="2"/>
            <w:vMerge/>
            <w:tcBorders>
              <w:left w:val="single" w:sz="4" w:space="0" w:color="auto"/>
              <w:bottom w:val="single" w:sz="4" w:space="0" w:color="auto"/>
              <w:right w:val="single" w:sz="4" w:space="0" w:color="auto"/>
            </w:tcBorders>
          </w:tcPr>
          <w:p w14:paraId="7CA82450" w14:textId="77777777" w:rsidR="006027F4" w:rsidRPr="0013388C" w:rsidRDefault="006027F4" w:rsidP="00E71F81">
            <w:pP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59860101" w14:textId="77777777" w:rsidR="006027F4" w:rsidRPr="0013388C" w:rsidRDefault="006027F4" w:rsidP="00E71F81">
            <w:pPr>
              <w:rPr>
                <w:rFonts w:ascii="Arial Narrow" w:hAnsi="Arial Narrow"/>
                <w:b/>
                <w:sz w:val="20"/>
                <w:szCs w:val="20"/>
              </w:rPr>
            </w:pPr>
            <w:r w:rsidRPr="0013388C">
              <w:rPr>
                <w:rFonts w:ascii="Arial Narrow" w:hAnsi="Arial Narrow"/>
                <w:b/>
                <w:sz w:val="20"/>
                <w:szCs w:val="20"/>
              </w:rPr>
              <w:t xml:space="preserve">Restriction type: </w:t>
            </w:r>
            <w:r w:rsidRPr="0013388C">
              <w:rPr>
                <w:rFonts w:ascii="Arial Narrow" w:eastAsia="Calibri" w:hAnsi="Arial Narrow"/>
                <w:sz w:val="20"/>
                <w:szCs w:val="20"/>
              </w:rPr>
              <w:fldChar w:fldCharType="begin">
                <w:ffData>
                  <w:name w:val="Check1"/>
                  <w:enabled/>
                  <w:calcOnExit w:val="0"/>
                  <w:checkBox>
                    <w:sizeAuto/>
                    <w:default w:val="1"/>
                  </w:checkBox>
                </w:ffData>
              </w:fldChar>
            </w:r>
            <w:r w:rsidRPr="0013388C">
              <w:rPr>
                <w:rFonts w:ascii="Arial Narrow" w:eastAsia="Calibri" w:hAnsi="Arial Narrow"/>
                <w:sz w:val="20"/>
                <w:szCs w:val="20"/>
              </w:rPr>
              <w:instrText xml:space="preserve"> FORMCHECKBOX </w:instrText>
            </w:r>
            <w:r w:rsidR="001412AD">
              <w:rPr>
                <w:rFonts w:ascii="Arial Narrow" w:eastAsia="Calibri" w:hAnsi="Arial Narrow"/>
                <w:sz w:val="20"/>
                <w:szCs w:val="20"/>
              </w:rPr>
            </w:r>
            <w:r w:rsidR="001412AD">
              <w:rPr>
                <w:rFonts w:ascii="Arial Narrow" w:eastAsia="Calibri" w:hAnsi="Arial Narrow"/>
                <w:sz w:val="20"/>
                <w:szCs w:val="20"/>
              </w:rPr>
              <w:fldChar w:fldCharType="separate"/>
            </w:r>
            <w:r w:rsidRPr="0013388C">
              <w:rPr>
                <w:rFonts w:ascii="Arial Narrow" w:eastAsia="Calibri" w:hAnsi="Arial Narrow"/>
                <w:sz w:val="20"/>
                <w:szCs w:val="20"/>
              </w:rPr>
              <w:fldChar w:fldCharType="end"/>
            </w:r>
            <w:r w:rsidRPr="0013388C">
              <w:rPr>
                <w:rFonts w:ascii="Arial Narrow" w:eastAsia="Calibri" w:hAnsi="Arial Narrow"/>
                <w:sz w:val="20"/>
                <w:szCs w:val="20"/>
              </w:rPr>
              <w:t>Restricted benefit</w:t>
            </w:r>
          </w:p>
        </w:tc>
      </w:tr>
      <w:tr w:rsidR="006027F4" w:rsidRPr="0013388C" w14:paraId="3C7B9C2F" w14:textId="77777777" w:rsidTr="00E71F81">
        <w:tblPrEx>
          <w:tblCellMar>
            <w:top w:w="15" w:type="dxa"/>
            <w:left w:w="15" w:type="dxa"/>
            <w:bottom w:w="15" w:type="dxa"/>
            <w:right w:w="15" w:type="dxa"/>
          </w:tblCellMar>
          <w:tblLook w:val="04A0" w:firstRow="1" w:lastRow="0" w:firstColumn="1" w:lastColumn="0" w:noHBand="0" w:noVBand="1"/>
        </w:tblPrEx>
        <w:trPr>
          <w:jc w:val="center"/>
        </w:trPr>
        <w:tc>
          <w:tcPr>
            <w:tcW w:w="421" w:type="dxa"/>
            <w:vMerge w:val="restart"/>
            <w:tcBorders>
              <w:left w:val="single" w:sz="4" w:space="0" w:color="auto"/>
              <w:right w:val="single" w:sz="4" w:space="0" w:color="auto"/>
            </w:tcBorders>
            <w:textDirection w:val="btLr"/>
            <w:vAlign w:val="center"/>
          </w:tcPr>
          <w:p w14:paraId="56E94CBB" w14:textId="77777777" w:rsidR="006027F4" w:rsidRPr="0013388C" w:rsidRDefault="006027F4" w:rsidP="00E71F81">
            <w:pPr>
              <w:ind w:left="113" w:right="113"/>
              <w:rPr>
                <w:rFonts w:ascii="Arial Narrow" w:hAnsi="Arial Narrow"/>
                <w:sz w:val="20"/>
                <w:szCs w:val="20"/>
              </w:rPr>
            </w:pPr>
          </w:p>
        </w:tc>
        <w:tc>
          <w:tcPr>
            <w:tcW w:w="560" w:type="dxa"/>
            <w:vAlign w:val="center"/>
          </w:tcPr>
          <w:p w14:paraId="4F3189B5" w14:textId="77777777" w:rsidR="006027F4" w:rsidRPr="0013388C" w:rsidRDefault="006027F4" w:rsidP="00E71F81">
            <w:pPr>
              <w:jc w:val="center"/>
              <w:rPr>
                <w:rFonts w:ascii="Arial Narrow" w:hAnsi="Arial Narrow"/>
                <w:color w:val="333333"/>
                <w:sz w:val="20"/>
                <w:szCs w:val="20"/>
              </w:rPr>
            </w:pPr>
          </w:p>
        </w:tc>
        <w:tc>
          <w:tcPr>
            <w:tcW w:w="8086" w:type="dxa"/>
            <w:gridSpan w:val="6"/>
            <w:vAlign w:val="center"/>
          </w:tcPr>
          <w:p w14:paraId="3A7CD48C" w14:textId="77777777" w:rsidR="006027F4" w:rsidRPr="0013388C" w:rsidRDefault="006027F4" w:rsidP="00E71F81">
            <w:pPr>
              <w:rPr>
                <w:rFonts w:ascii="Arial Narrow" w:hAnsi="Arial Narrow"/>
                <w:b/>
                <w:bCs/>
                <w:color w:val="333333"/>
                <w:sz w:val="20"/>
                <w:szCs w:val="20"/>
              </w:rPr>
            </w:pPr>
            <w:r w:rsidRPr="0013388C">
              <w:rPr>
                <w:rFonts w:ascii="Arial Narrow" w:hAnsi="Arial Narrow"/>
                <w:b/>
                <w:bCs/>
                <w:color w:val="333333"/>
                <w:sz w:val="20"/>
                <w:szCs w:val="20"/>
              </w:rPr>
              <w:t>Administrative Advice:</w:t>
            </w:r>
          </w:p>
          <w:p w14:paraId="61F2D8FF" w14:textId="77777777" w:rsidR="006027F4" w:rsidRPr="0013388C" w:rsidRDefault="006027F4" w:rsidP="00E71F81">
            <w:pPr>
              <w:rPr>
                <w:rFonts w:ascii="Arial Narrow" w:hAnsi="Arial Narrow"/>
                <w:color w:val="333333"/>
                <w:sz w:val="20"/>
                <w:szCs w:val="20"/>
              </w:rPr>
            </w:pPr>
            <w:r w:rsidRPr="0013388C">
              <w:rPr>
                <w:rFonts w:ascii="Arial Narrow" w:hAnsi="Arial Narrow"/>
                <w:bCs/>
                <w:color w:val="333333"/>
                <w:sz w:val="20"/>
                <w:szCs w:val="20"/>
              </w:rPr>
              <w:t>Care must be taken to comply with the provisions of State/Territory law when prescribing this drug.</w:t>
            </w:r>
          </w:p>
        </w:tc>
      </w:tr>
      <w:tr w:rsidR="006027F4" w:rsidRPr="0013388C" w14:paraId="0479E4C9" w14:textId="77777777" w:rsidTr="00E71F81">
        <w:tblPrEx>
          <w:tblCellMar>
            <w:top w:w="15" w:type="dxa"/>
            <w:left w:w="15" w:type="dxa"/>
            <w:bottom w:w="15" w:type="dxa"/>
            <w:right w:w="15" w:type="dxa"/>
          </w:tblCellMar>
          <w:tblLook w:val="04A0" w:firstRow="1" w:lastRow="0" w:firstColumn="1" w:lastColumn="0" w:noHBand="0" w:noVBand="1"/>
        </w:tblPrEx>
        <w:trPr>
          <w:trHeight w:val="1212"/>
          <w:jc w:val="center"/>
        </w:trPr>
        <w:tc>
          <w:tcPr>
            <w:tcW w:w="421" w:type="dxa"/>
            <w:vMerge/>
            <w:tcBorders>
              <w:left w:val="single" w:sz="4" w:space="0" w:color="auto"/>
              <w:right w:val="single" w:sz="4" w:space="0" w:color="auto"/>
            </w:tcBorders>
          </w:tcPr>
          <w:p w14:paraId="6D237FFA" w14:textId="77777777" w:rsidR="006027F4" w:rsidRPr="0013388C" w:rsidRDefault="006027F4" w:rsidP="00E71F81">
            <w:pPr>
              <w:rPr>
                <w:rFonts w:ascii="Arial Narrow" w:hAnsi="Arial Narrow"/>
                <w:sz w:val="20"/>
                <w:szCs w:val="20"/>
              </w:rPr>
            </w:pPr>
          </w:p>
        </w:tc>
        <w:tc>
          <w:tcPr>
            <w:tcW w:w="560" w:type="dxa"/>
            <w:vAlign w:val="center"/>
          </w:tcPr>
          <w:p w14:paraId="05F18FE9" w14:textId="77777777" w:rsidR="006027F4" w:rsidRPr="0013388C" w:rsidRDefault="006027F4" w:rsidP="00E71F81">
            <w:pPr>
              <w:jc w:val="center"/>
              <w:rPr>
                <w:rFonts w:ascii="Arial Narrow" w:hAnsi="Arial Narrow"/>
                <w:color w:val="333333"/>
                <w:sz w:val="20"/>
                <w:szCs w:val="20"/>
              </w:rPr>
            </w:pPr>
          </w:p>
        </w:tc>
        <w:tc>
          <w:tcPr>
            <w:tcW w:w="8086" w:type="dxa"/>
            <w:gridSpan w:val="6"/>
            <w:vAlign w:val="center"/>
          </w:tcPr>
          <w:p w14:paraId="1F2A9B50" w14:textId="77777777" w:rsidR="006027F4" w:rsidRPr="0013388C" w:rsidRDefault="006027F4" w:rsidP="00E71F81">
            <w:pPr>
              <w:rPr>
                <w:rFonts w:ascii="Arial Narrow" w:hAnsi="Arial Narrow"/>
                <w:b/>
                <w:bCs/>
                <w:color w:val="333333"/>
                <w:sz w:val="20"/>
                <w:szCs w:val="20"/>
              </w:rPr>
            </w:pPr>
            <w:r w:rsidRPr="0013388C">
              <w:rPr>
                <w:rFonts w:ascii="Arial Narrow" w:hAnsi="Arial Narrow"/>
                <w:b/>
                <w:bCs/>
                <w:color w:val="333333"/>
                <w:sz w:val="20"/>
                <w:szCs w:val="20"/>
              </w:rPr>
              <w:t>Administrative Advice:</w:t>
            </w:r>
          </w:p>
          <w:p w14:paraId="40951258" w14:textId="77777777" w:rsidR="006027F4" w:rsidRPr="0013388C" w:rsidRDefault="006027F4" w:rsidP="00E71F81">
            <w:pPr>
              <w:rPr>
                <w:rFonts w:ascii="Arial Narrow" w:hAnsi="Arial Narrow"/>
                <w:b/>
                <w:bCs/>
                <w:color w:val="333333"/>
                <w:sz w:val="20"/>
                <w:szCs w:val="20"/>
              </w:rPr>
            </w:pPr>
            <w:r w:rsidRPr="0013388C">
              <w:rPr>
                <w:rFonts w:ascii="Arial Narrow" w:hAnsi="Arial Narrow"/>
                <w:b/>
                <w:bCs/>
                <w:color w:val="333333"/>
                <w:sz w:val="20"/>
                <w:szCs w:val="20"/>
              </w:rPr>
              <w:t>Shared Care Model:</w:t>
            </w:r>
          </w:p>
          <w:p w14:paraId="31EDA258" w14:textId="77777777" w:rsidR="006027F4" w:rsidRPr="0013388C" w:rsidRDefault="006027F4" w:rsidP="00E71F81">
            <w:pPr>
              <w:rPr>
                <w:rFonts w:ascii="Arial Narrow" w:hAnsi="Arial Narrow"/>
                <w:bCs/>
                <w:color w:val="333333"/>
                <w:sz w:val="20"/>
                <w:szCs w:val="20"/>
              </w:rPr>
            </w:pPr>
            <w:r w:rsidRPr="0013388C">
              <w:rPr>
                <w:rFonts w:ascii="Arial Narrow" w:hAnsi="Arial Narrow"/>
                <w:bCs/>
                <w:color w:val="333333"/>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6027F4" w:rsidRPr="0013388C" w14:paraId="49057947" w14:textId="77777777" w:rsidTr="00E71F81">
        <w:tblPrEx>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534AAC30" w14:textId="77777777" w:rsidR="006027F4" w:rsidRPr="0013388C" w:rsidRDefault="006027F4" w:rsidP="00E71F81">
            <w:pPr>
              <w:jc w:val="center"/>
              <w:rPr>
                <w:rFonts w:ascii="Arial Narrow" w:hAnsi="Arial Narrow"/>
                <w:bCs/>
                <w:color w:val="333333"/>
                <w:sz w:val="20"/>
                <w:szCs w:val="20"/>
              </w:rPr>
            </w:pPr>
          </w:p>
        </w:tc>
        <w:tc>
          <w:tcPr>
            <w:tcW w:w="8086" w:type="dxa"/>
            <w:gridSpan w:val="6"/>
          </w:tcPr>
          <w:p w14:paraId="72BC9DFA" w14:textId="77777777" w:rsidR="006027F4" w:rsidRPr="0013388C" w:rsidRDefault="006027F4" w:rsidP="00E71F81">
            <w:pPr>
              <w:textAlignment w:val="baseline"/>
              <w:rPr>
                <w:rFonts w:ascii="Arial Narrow" w:hAnsi="Arial Narrow"/>
                <w:bCs/>
                <w:color w:val="333333"/>
                <w:sz w:val="20"/>
                <w:szCs w:val="20"/>
              </w:rPr>
            </w:pPr>
            <w:r w:rsidRPr="0013388C">
              <w:rPr>
                <w:rFonts w:ascii="Arial Narrow" w:hAnsi="Arial Narrow"/>
                <w:b/>
                <w:bCs/>
                <w:color w:val="333333"/>
                <w:sz w:val="20"/>
                <w:szCs w:val="20"/>
              </w:rPr>
              <w:t>Indication:</w:t>
            </w:r>
            <w:r w:rsidRPr="0013388C">
              <w:rPr>
                <w:rFonts w:ascii="Arial Narrow" w:hAnsi="Arial Narrow"/>
                <w:bCs/>
                <w:color w:val="333333"/>
                <w:sz w:val="20"/>
                <w:szCs w:val="20"/>
              </w:rPr>
              <w:t xml:space="preserve"> Opiate dependence</w:t>
            </w:r>
          </w:p>
        </w:tc>
      </w:tr>
      <w:tr w:rsidR="006027F4" w:rsidRPr="0013388C" w14:paraId="21B1A35C" w14:textId="77777777" w:rsidTr="00E71F81">
        <w:tblPrEx>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720A8390" w14:textId="77777777" w:rsidR="006027F4" w:rsidRPr="0013388C" w:rsidRDefault="006027F4" w:rsidP="00E71F81">
            <w:pPr>
              <w:jc w:val="center"/>
              <w:rPr>
                <w:rFonts w:ascii="Arial Narrow" w:hAnsi="Arial Narrow"/>
                <w:bCs/>
                <w:color w:val="333333"/>
                <w:sz w:val="20"/>
                <w:szCs w:val="20"/>
              </w:rPr>
            </w:pPr>
          </w:p>
        </w:tc>
        <w:tc>
          <w:tcPr>
            <w:tcW w:w="8086" w:type="dxa"/>
            <w:gridSpan w:val="6"/>
          </w:tcPr>
          <w:p w14:paraId="1866254C" w14:textId="77777777" w:rsidR="006027F4" w:rsidRPr="0013388C" w:rsidRDefault="006027F4" w:rsidP="00E71F81">
            <w:pPr>
              <w:rPr>
                <w:rFonts w:ascii="Arial Narrow" w:hAnsi="Arial Narrow"/>
                <w:b/>
                <w:bCs/>
                <w:color w:val="333333"/>
                <w:sz w:val="20"/>
                <w:szCs w:val="20"/>
              </w:rPr>
            </w:pPr>
            <w:r w:rsidRPr="0013388C">
              <w:rPr>
                <w:rFonts w:ascii="Arial Narrow" w:hAnsi="Arial Narrow"/>
                <w:b/>
                <w:bCs/>
                <w:color w:val="333333"/>
                <w:sz w:val="20"/>
                <w:szCs w:val="20"/>
              </w:rPr>
              <w:t>Treatment criteria:</w:t>
            </w:r>
          </w:p>
        </w:tc>
      </w:tr>
      <w:tr w:rsidR="006027F4" w:rsidRPr="0013388C" w14:paraId="139A1DD7" w14:textId="77777777" w:rsidTr="00E71F81">
        <w:tblPrEx>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36D4D697" w14:textId="77777777" w:rsidR="006027F4" w:rsidRPr="0013388C" w:rsidRDefault="006027F4" w:rsidP="00E71F81">
            <w:pPr>
              <w:jc w:val="center"/>
              <w:rPr>
                <w:rFonts w:ascii="Arial Narrow" w:hAnsi="Arial Narrow"/>
                <w:bCs/>
                <w:color w:val="333333"/>
                <w:sz w:val="20"/>
                <w:szCs w:val="20"/>
              </w:rPr>
            </w:pPr>
          </w:p>
        </w:tc>
        <w:tc>
          <w:tcPr>
            <w:tcW w:w="8086" w:type="dxa"/>
            <w:gridSpan w:val="6"/>
          </w:tcPr>
          <w:p w14:paraId="1E39345A" w14:textId="77777777" w:rsidR="006027F4" w:rsidRPr="0013388C" w:rsidRDefault="006027F4" w:rsidP="00E71F81">
            <w:pPr>
              <w:rPr>
                <w:rFonts w:ascii="Arial Narrow" w:hAnsi="Arial Narrow"/>
                <w:bCs/>
                <w:color w:val="333333"/>
                <w:sz w:val="20"/>
                <w:szCs w:val="20"/>
              </w:rPr>
            </w:pPr>
            <w:r w:rsidRPr="0013388C">
              <w:rPr>
                <w:rFonts w:ascii="Arial Narrow" w:hAnsi="Arial Narrow"/>
                <w:bCs/>
                <w:color w:val="333333"/>
                <w:sz w:val="20"/>
                <w:szCs w:val="20"/>
              </w:rPr>
              <w:t>Must be treated by a health care professional</w:t>
            </w:r>
          </w:p>
        </w:tc>
      </w:tr>
      <w:tr w:rsidR="006027F4" w:rsidRPr="0013388C" w14:paraId="71AA6A9D" w14:textId="77777777" w:rsidTr="00E71F81">
        <w:tblPrEx>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1A777CFA" w14:textId="77777777" w:rsidR="006027F4" w:rsidRPr="0013388C" w:rsidRDefault="006027F4" w:rsidP="00E71F81">
            <w:pPr>
              <w:jc w:val="center"/>
              <w:rPr>
                <w:rFonts w:ascii="Arial Narrow" w:hAnsi="Arial Narrow"/>
                <w:bCs/>
                <w:color w:val="333333"/>
                <w:sz w:val="20"/>
                <w:szCs w:val="20"/>
              </w:rPr>
            </w:pPr>
          </w:p>
        </w:tc>
        <w:tc>
          <w:tcPr>
            <w:tcW w:w="8086" w:type="dxa"/>
            <w:gridSpan w:val="6"/>
          </w:tcPr>
          <w:p w14:paraId="75023B50" w14:textId="77777777" w:rsidR="006027F4" w:rsidRPr="0013388C" w:rsidRDefault="006027F4" w:rsidP="00E71F81">
            <w:pPr>
              <w:rPr>
                <w:rFonts w:ascii="Arial Narrow" w:hAnsi="Arial Narrow"/>
                <w:b/>
                <w:bCs/>
                <w:color w:val="333333"/>
                <w:sz w:val="20"/>
                <w:szCs w:val="20"/>
              </w:rPr>
            </w:pPr>
            <w:r w:rsidRPr="0013388C">
              <w:rPr>
                <w:rFonts w:ascii="Arial Narrow" w:hAnsi="Arial Narrow"/>
                <w:b/>
                <w:bCs/>
                <w:color w:val="333333"/>
                <w:sz w:val="20"/>
                <w:szCs w:val="20"/>
              </w:rPr>
              <w:t>AND</w:t>
            </w:r>
          </w:p>
        </w:tc>
      </w:tr>
      <w:tr w:rsidR="006027F4" w:rsidRPr="0013388C" w14:paraId="44DCDE3B" w14:textId="77777777" w:rsidTr="00E71F81">
        <w:tblPrEx>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31C9014C" w14:textId="77777777" w:rsidR="006027F4" w:rsidRPr="0013388C" w:rsidRDefault="006027F4" w:rsidP="00E71F81">
            <w:pPr>
              <w:jc w:val="center"/>
              <w:rPr>
                <w:rFonts w:ascii="Arial Narrow" w:hAnsi="Arial Narrow"/>
                <w:bCs/>
                <w:color w:val="333333"/>
                <w:sz w:val="20"/>
                <w:szCs w:val="20"/>
              </w:rPr>
            </w:pPr>
          </w:p>
        </w:tc>
        <w:tc>
          <w:tcPr>
            <w:tcW w:w="8086" w:type="dxa"/>
            <w:gridSpan w:val="6"/>
          </w:tcPr>
          <w:p w14:paraId="0743889F" w14:textId="77777777" w:rsidR="006027F4" w:rsidRPr="0013388C" w:rsidRDefault="006027F4" w:rsidP="00E71F81">
            <w:pPr>
              <w:rPr>
                <w:rFonts w:ascii="Arial Narrow" w:hAnsi="Arial Narrow"/>
                <w:b/>
                <w:bCs/>
                <w:color w:val="333333"/>
                <w:sz w:val="20"/>
                <w:szCs w:val="20"/>
              </w:rPr>
            </w:pPr>
            <w:r w:rsidRPr="0013388C">
              <w:rPr>
                <w:rFonts w:ascii="Arial Narrow" w:hAnsi="Arial Narrow"/>
                <w:b/>
                <w:bCs/>
                <w:color w:val="333333"/>
                <w:sz w:val="20"/>
                <w:szCs w:val="20"/>
              </w:rPr>
              <w:t>Clinical criteria:</w:t>
            </w:r>
          </w:p>
        </w:tc>
      </w:tr>
      <w:tr w:rsidR="006027F4" w:rsidRPr="0013388C" w14:paraId="680171C3" w14:textId="77777777" w:rsidTr="00E71F81">
        <w:tblPrEx>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68464630" w14:textId="77777777" w:rsidR="006027F4" w:rsidRPr="0013388C" w:rsidRDefault="006027F4" w:rsidP="00E71F81">
            <w:pPr>
              <w:jc w:val="center"/>
              <w:rPr>
                <w:rFonts w:ascii="Arial Narrow" w:hAnsi="Arial Narrow"/>
                <w:bCs/>
                <w:color w:val="333333"/>
                <w:sz w:val="20"/>
                <w:szCs w:val="20"/>
              </w:rPr>
            </w:pPr>
          </w:p>
        </w:tc>
        <w:tc>
          <w:tcPr>
            <w:tcW w:w="8086" w:type="dxa"/>
            <w:gridSpan w:val="6"/>
          </w:tcPr>
          <w:p w14:paraId="6AFF8796" w14:textId="77777777" w:rsidR="006027F4" w:rsidRPr="0013388C" w:rsidRDefault="006027F4" w:rsidP="00E71F81">
            <w:pPr>
              <w:rPr>
                <w:rFonts w:ascii="Arial Narrow" w:hAnsi="Arial Narrow"/>
                <w:bCs/>
                <w:color w:val="333333"/>
                <w:sz w:val="20"/>
                <w:szCs w:val="20"/>
              </w:rPr>
            </w:pPr>
            <w:r w:rsidRPr="0013388C">
              <w:rPr>
                <w:rFonts w:ascii="Arial Narrow" w:hAnsi="Arial Narrow"/>
                <w:bCs/>
                <w:color w:val="333333"/>
                <w:sz w:val="20"/>
                <w:szCs w:val="20"/>
              </w:rPr>
              <w:t>The treatment must be within a framework of medical, social and psychological treatment</w:t>
            </w:r>
          </w:p>
        </w:tc>
      </w:tr>
      <w:tr w:rsidR="006027F4" w:rsidRPr="0013388C" w14:paraId="1958FC09" w14:textId="77777777" w:rsidTr="00E71F81">
        <w:tblPrEx>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1A7631D0" w14:textId="77777777" w:rsidR="006027F4" w:rsidRPr="0013388C" w:rsidRDefault="006027F4" w:rsidP="00E71F81">
            <w:pPr>
              <w:jc w:val="center"/>
              <w:rPr>
                <w:rFonts w:ascii="Arial Narrow" w:hAnsi="Arial Narrow"/>
                <w:bCs/>
                <w:color w:val="333333"/>
                <w:sz w:val="20"/>
                <w:szCs w:val="20"/>
              </w:rPr>
            </w:pPr>
          </w:p>
        </w:tc>
        <w:tc>
          <w:tcPr>
            <w:tcW w:w="8086" w:type="dxa"/>
            <w:gridSpan w:val="6"/>
            <w:hideMark/>
          </w:tcPr>
          <w:p w14:paraId="4361C896" w14:textId="77777777" w:rsidR="006027F4" w:rsidRPr="0013388C" w:rsidRDefault="006027F4" w:rsidP="00E71F81">
            <w:pPr>
              <w:rPr>
                <w:rFonts w:ascii="Arial Narrow" w:hAnsi="Arial Narrow"/>
                <w:b/>
                <w:bCs/>
                <w:color w:val="333333"/>
                <w:sz w:val="20"/>
                <w:szCs w:val="20"/>
              </w:rPr>
            </w:pPr>
            <w:r w:rsidRPr="0013388C">
              <w:rPr>
                <w:rFonts w:ascii="Arial Narrow" w:hAnsi="Arial Narrow"/>
                <w:b/>
                <w:bCs/>
                <w:color w:val="333333"/>
                <w:sz w:val="20"/>
                <w:szCs w:val="20"/>
              </w:rPr>
              <w:t>AND</w:t>
            </w:r>
          </w:p>
        </w:tc>
      </w:tr>
      <w:tr w:rsidR="006027F4" w:rsidRPr="0013388C" w14:paraId="42EA5073" w14:textId="77777777" w:rsidTr="00E71F81">
        <w:tblPrEx>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05C99B12" w14:textId="77777777" w:rsidR="006027F4" w:rsidRPr="0013388C" w:rsidRDefault="006027F4" w:rsidP="00E71F81">
            <w:pPr>
              <w:jc w:val="center"/>
              <w:rPr>
                <w:rFonts w:ascii="Arial Narrow" w:hAnsi="Arial Narrow"/>
                <w:bCs/>
                <w:color w:val="333333"/>
                <w:sz w:val="20"/>
                <w:szCs w:val="20"/>
              </w:rPr>
            </w:pPr>
          </w:p>
        </w:tc>
        <w:tc>
          <w:tcPr>
            <w:tcW w:w="8086" w:type="dxa"/>
            <w:gridSpan w:val="6"/>
            <w:hideMark/>
          </w:tcPr>
          <w:p w14:paraId="224EC50D" w14:textId="77777777" w:rsidR="006027F4" w:rsidRPr="0013388C" w:rsidRDefault="006027F4" w:rsidP="00E71F81">
            <w:pPr>
              <w:rPr>
                <w:rFonts w:ascii="Arial Narrow" w:hAnsi="Arial Narrow"/>
                <w:b/>
                <w:bCs/>
                <w:color w:val="333333"/>
                <w:sz w:val="20"/>
                <w:szCs w:val="20"/>
              </w:rPr>
            </w:pPr>
            <w:r w:rsidRPr="0013388C">
              <w:rPr>
                <w:rFonts w:ascii="Arial Narrow" w:hAnsi="Arial Narrow"/>
                <w:b/>
                <w:bCs/>
                <w:color w:val="333333"/>
                <w:sz w:val="20"/>
                <w:szCs w:val="20"/>
              </w:rPr>
              <w:t>Clinical criteria:</w:t>
            </w:r>
          </w:p>
        </w:tc>
      </w:tr>
      <w:tr w:rsidR="006027F4" w:rsidRPr="0013388C" w14:paraId="5A5EBBED" w14:textId="77777777" w:rsidTr="00E71F81">
        <w:tblPrEx>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321D259E" w14:textId="77777777" w:rsidR="006027F4" w:rsidRPr="0013388C" w:rsidRDefault="006027F4" w:rsidP="00E71F81">
            <w:pPr>
              <w:jc w:val="center"/>
              <w:rPr>
                <w:rFonts w:ascii="Arial Narrow" w:hAnsi="Arial Narrow"/>
                <w:bCs/>
                <w:color w:val="333333"/>
                <w:sz w:val="20"/>
                <w:szCs w:val="20"/>
              </w:rPr>
            </w:pPr>
          </w:p>
        </w:tc>
        <w:tc>
          <w:tcPr>
            <w:tcW w:w="8086" w:type="dxa"/>
            <w:gridSpan w:val="6"/>
            <w:hideMark/>
          </w:tcPr>
          <w:p w14:paraId="2338F013" w14:textId="77777777" w:rsidR="006027F4" w:rsidRPr="0013388C" w:rsidRDefault="006027F4" w:rsidP="00E71F81">
            <w:pPr>
              <w:rPr>
                <w:rFonts w:ascii="Arial Narrow" w:hAnsi="Arial Narrow"/>
                <w:bCs/>
                <w:strike/>
                <w:color w:val="333333"/>
                <w:sz w:val="20"/>
                <w:szCs w:val="20"/>
              </w:rPr>
            </w:pPr>
            <w:r w:rsidRPr="0013388C">
              <w:rPr>
                <w:rFonts w:ascii="Arial Narrow" w:hAnsi="Arial Narrow"/>
                <w:bCs/>
                <w:strike/>
                <w:color w:val="FF0000"/>
                <w:sz w:val="20"/>
                <w:szCs w:val="20"/>
              </w:rPr>
              <w:t>Patient must be stabilised on sublingual buprenorphine or buprenorphine/naloxone prior to commencing treatment with this drug for this condition</w:t>
            </w:r>
          </w:p>
        </w:tc>
      </w:tr>
    </w:tbl>
    <w:p w14:paraId="7F5C67AF" w14:textId="77777777" w:rsidR="006027F4" w:rsidRPr="0013388C" w:rsidRDefault="006027F4" w:rsidP="006027F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560"/>
        <w:gridCol w:w="2983"/>
        <w:gridCol w:w="993"/>
        <w:gridCol w:w="850"/>
        <w:gridCol w:w="709"/>
        <w:gridCol w:w="709"/>
        <w:gridCol w:w="1842"/>
      </w:tblGrid>
      <w:tr w:rsidR="006027F4" w:rsidRPr="0013388C" w14:paraId="1F976342" w14:textId="77777777" w:rsidTr="00E71F81">
        <w:trPr>
          <w:cantSplit/>
          <w:trHeight w:val="471"/>
        </w:trPr>
        <w:tc>
          <w:tcPr>
            <w:tcW w:w="3964" w:type="dxa"/>
            <w:gridSpan w:val="3"/>
          </w:tcPr>
          <w:p w14:paraId="170296B1" w14:textId="77777777" w:rsidR="006027F4" w:rsidRPr="0013388C" w:rsidRDefault="006027F4" w:rsidP="00E71F81">
            <w:pPr>
              <w:keepNext/>
              <w:ind w:left="-57"/>
              <w:rPr>
                <w:rFonts w:ascii="Arial Narrow" w:hAnsi="Arial Narrow"/>
                <w:b/>
                <w:bCs/>
                <w:sz w:val="18"/>
                <w:szCs w:val="18"/>
              </w:rPr>
            </w:pPr>
            <w:r w:rsidRPr="0013388C">
              <w:rPr>
                <w:rFonts w:ascii="Arial Narrow" w:hAnsi="Arial Narrow"/>
                <w:b/>
                <w:bCs/>
                <w:sz w:val="18"/>
                <w:szCs w:val="18"/>
              </w:rPr>
              <w:t>MEDICINAL PRODUCT</w:t>
            </w:r>
          </w:p>
          <w:p w14:paraId="595BD05A" w14:textId="77777777" w:rsidR="006027F4" w:rsidRPr="0013388C" w:rsidRDefault="006027F4" w:rsidP="00E71F81">
            <w:pPr>
              <w:keepNext/>
              <w:ind w:left="-57"/>
              <w:rPr>
                <w:rFonts w:ascii="Arial Narrow" w:hAnsi="Arial Narrow"/>
                <w:b/>
                <w:sz w:val="18"/>
                <w:szCs w:val="18"/>
              </w:rPr>
            </w:pPr>
            <w:r w:rsidRPr="0013388C">
              <w:rPr>
                <w:rFonts w:ascii="Arial Narrow" w:hAnsi="Arial Narrow"/>
                <w:b/>
                <w:bCs/>
                <w:sz w:val="18"/>
                <w:szCs w:val="18"/>
              </w:rPr>
              <w:t>medicinal product pack</w:t>
            </w:r>
          </w:p>
        </w:tc>
        <w:tc>
          <w:tcPr>
            <w:tcW w:w="993" w:type="dxa"/>
          </w:tcPr>
          <w:p w14:paraId="3254F48C" w14:textId="77777777" w:rsidR="006027F4" w:rsidRPr="0013388C" w:rsidRDefault="006027F4" w:rsidP="00E71F81">
            <w:pPr>
              <w:keepNext/>
              <w:ind w:left="-108"/>
              <w:jc w:val="center"/>
              <w:rPr>
                <w:rFonts w:ascii="Arial Narrow" w:hAnsi="Arial Narrow"/>
                <w:b/>
                <w:sz w:val="18"/>
                <w:szCs w:val="18"/>
              </w:rPr>
            </w:pPr>
            <w:r w:rsidRPr="0013388C">
              <w:rPr>
                <w:rFonts w:ascii="Arial Narrow" w:hAnsi="Arial Narrow"/>
                <w:b/>
                <w:sz w:val="18"/>
                <w:szCs w:val="18"/>
              </w:rPr>
              <w:t>PBS item code</w:t>
            </w:r>
          </w:p>
        </w:tc>
        <w:tc>
          <w:tcPr>
            <w:tcW w:w="850" w:type="dxa"/>
          </w:tcPr>
          <w:p w14:paraId="00366F43" w14:textId="77777777" w:rsidR="006027F4" w:rsidRPr="0013388C" w:rsidRDefault="006027F4" w:rsidP="00E71F81">
            <w:pPr>
              <w:keepNext/>
              <w:ind w:left="-108"/>
              <w:jc w:val="center"/>
              <w:rPr>
                <w:rFonts w:ascii="Arial Narrow" w:hAnsi="Arial Narrow"/>
                <w:b/>
                <w:sz w:val="18"/>
                <w:szCs w:val="18"/>
              </w:rPr>
            </w:pPr>
            <w:r w:rsidRPr="0013388C">
              <w:rPr>
                <w:rFonts w:ascii="Arial Narrow" w:hAnsi="Arial Narrow"/>
                <w:b/>
                <w:sz w:val="18"/>
                <w:szCs w:val="18"/>
              </w:rPr>
              <w:t>Max. qty packs</w:t>
            </w:r>
          </w:p>
        </w:tc>
        <w:tc>
          <w:tcPr>
            <w:tcW w:w="709" w:type="dxa"/>
          </w:tcPr>
          <w:p w14:paraId="43570CFF" w14:textId="77777777" w:rsidR="006027F4" w:rsidRPr="0013388C" w:rsidRDefault="006027F4" w:rsidP="00E71F81">
            <w:pPr>
              <w:keepNext/>
              <w:ind w:left="-108"/>
              <w:jc w:val="center"/>
              <w:rPr>
                <w:rFonts w:ascii="Arial Narrow" w:hAnsi="Arial Narrow"/>
                <w:b/>
                <w:sz w:val="18"/>
                <w:szCs w:val="18"/>
              </w:rPr>
            </w:pPr>
            <w:r w:rsidRPr="0013388C">
              <w:rPr>
                <w:rFonts w:ascii="Arial Narrow" w:hAnsi="Arial Narrow"/>
                <w:b/>
                <w:sz w:val="18"/>
                <w:szCs w:val="18"/>
              </w:rPr>
              <w:t>Max. qty units</w:t>
            </w:r>
          </w:p>
        </w:tc>
        <w:tc>
          <w:tcPr>
            <w:tcW w:w="709" w:type="dxa"/>
          </w:tcPr>
          <w:p w14:paraId="7D9A5A31" w14:textId="77777777" w:rsidR="006027F4" w:rsidRPr="0013388C" w:rsidRDefault="006027F4" w:rsidP="00E71F81">
            <w:pPr>
              <w:keepNext/>
              <w:ind w:left="-108"/>
              <w:jc w:val="center"/>
              <w:rPr>
                <w:rFonts w:ascii="Arial Narrow" w:hAnsi="Arial Narrow"/>
                <w:b/>
                <w:sz w:val="18"/>
                <w:szCs w:val="18"/>
              </w:rPr>
            </w:pPr>
            <w:r w:rsidRPr="0013388C">
              <w:rPr>
                <w:rFonts w:ascii="Arial Narrow" w:hAnsi="Arial Narrow"/>
                <w:b/>
                <w:sz w:val="18"/>
                <w:szCs w:val="18"/>
              </w:rPr>
              <w:t>№.of</w:t>
            </w:r>
          </w:p>
          <w:p w14:paraId="258303F0" w14:textId="77777777" w:rsidR="006027F4" w:rsidRPr="0013388C" w:rsidRDefault="006027F4" w:rsidP="00E71F81">
            <w:pPr>
              <w:keepNext/>
              <w:ind w:left="-108"/>
              <w:jc w:val="center"/>
              <w:rPr>
                <w:rFonts w:ascii="Arial Narrow" w:hAnsi="Arial Narrow"/>
                <w:b/>
                <w:sz w:val="18"/>
                <w:szCs w:val="18"/>
              </w:rPr>
            </w:pPr>
            <w:r w:rsidRPr="0013388C">
              <w:rPr>
                <w:rFonts w:ascii="Arial Narrow" w:hAnsi="Arial Narrow"/>
                <w:b/>
                <w:sz w:val="18"/>
                <w:szCs w:val="18"/>
              </w:rPr>
              <w:t>Rpts</w:t>
            </w:r>
          </w:p>
        </w:tc>
        <w:tc>
          <w:tcPr>
            <w:tcW w:w="1842" w:type="dxa"/>
          </w:tcPr>
          <w:p w14:paraId="2E3AC4A9" w14:textId="77777777" w:rsidR="006027F4" w:rsidRPr="0013388C" w:rsidRDefault="006027F4" w:rsidP="00E71F81">
            <w:pPr>
              <w:keepNext/>
              <w:rPr>
                <w:rFonts w:ascii="Arial Narrow" w:hAnsi="Arial Narrow"/>
                <w:b/>
                <w:sz w:val="18"/>
                <w:szCs w:val="18"/>
              </w:rPr>
            </w:pPr>
            <w:r w:rsidRPr="0013388C">
              <w:rPr>
                <w:rFonts w:ascii="Arial Narrow" w:hAnsi="Arial Narrow"/>
                <w:b/>
                <w:sz w:val="18"/>
                <w:szCs w:val="18"/>
              </w:rPr>
              <w:t>Available brands</w:t>
            </w:r>
          </w:p>
        </w:tc>
      </w:tr>
      <w:tr w:rsidR="006027F4" w:rsidRPr="0013388C" w14:paraId="05997740" w14:textId="77777777" w:rsidTr="00E71F81">
        <w:trPr>
          <w:cantSplit/>
          <w:trHeight w:val="217"/>
        </w:trPr>
        <w:tc>
          <w:tcPr>
            <w:tcW w:w="3964" w:type="dxa"/>
            <w:gridSpan w:val="3"/>
          </w:tcPr>
          <w:p w14:paraId="0DC7A8FB" w14:textId="77777777" w:rsidR="006027F4" w:rsidRPr="0013388C" w:rsidRDefault="006027F4" w:rsidP="00E71F81">
            <w:pPr>
              <w:keepNext/>
              <w:ind w:left="-57"/>
              <w:rPr>
                <w:rFonts w:ascii="Arial Narrow" w:hAnsi="Arial Narrow"/>
                <w:b/>
                <w:bCs/>
                <w:sz w:val="18"/>
                <w:szCs w:val="18"/>
              </w:rPr>
            </w:pPr>
            <w:r w:rsidRPr="0013388C">
              <w:rPr>
                <w:rFonts w:ascii="Arial Narrow" w:hAnsi="Arial Narrow"/>
                <w:b/>
                <w:bCs/>
                <w:sz w:val="18"/>
                <w:szCs w:val="18"/>
              </w:rPr>
              <w:t>BUPRENORPHINE 356 mg/mL monthly</w:t>
            </w:r>
          </w:p>
        </w:tc>
        <w:tc>
          <w:tcPr>
            <w:tcW w:w="5103" w:type="dxa"/>
            <w:gridSpan w:val="5"/>
          </w:tcPr>
          <w:p w14:paraId="3FAA5C08" w14:textId="77777777" w:rsidR="006027F4" w:rsidRPr="0013388C" w:rsidRDefault="006027F4" w:rsidP="00E71F81">
            <w:pPr>
              <w:keepNext/>
              <w:rPr>
                <w:rFonts w:ascii="Arial Narrow" w:hAnsi="Arial Narrow"/>
                <w:sz w:val="18"/>
                <w:szCs w:val="18"/>
              </w:rPr>
            </w:pPr>
          </w:p>
        </w:tc>
      </w:tr>
      <w:tr w:rsidR="006027F4" w:rsidRPr="0013388C" w14:paraId="4BB15AFB" w14:textId="77777777" w:rsidTr="00E71F81">
        <w:trPr>
          <w:cantSplit/>
          <w:trHeight w:val="503"/>
        </w:trPr>
        <w:tc>
          <w:tcPr>
            <w:tcW w:w="3964" w:type="dxa"/>
            <w:gridSpan w:val="3"/>
          </w:tcPr>
          <w:p w14:paraId="6B808BA5" w14:textId="77777777" w:rsidR="006027F4" w:rsidRPr="0013388C" w:rsidRDefault="006027F4" w:rsidP="00E71F81">
            <w:pPr>
              <w:keepNext/>
              <w:ind w:left="-57"/>
              <w:rPr>
                <w:rFonts w:ascii="Arial Narrow" w:hAnsi="Arial Narrow"/>
                <w:sz w:val="18"/>
                <w:szCs w:val="18"/>
              </w:rPr>
            </w:pPr>
            <w:r w:rsidRPr="0013388C">
              <w:rPr>
                <w:rFonts w:ascii="Arial Narrow" w:hAnsi="Arial Narrow"/>
                <w:sz w:val="18"/>
                <w:szCs w:val="18"/>
              </w:rPr>
              <w:t>Buprenorphine 64 mg/0.18 mL modified release injection, 0.18 mL syringe</w:t>
            </w:r>
          </w:p>
        </w:tc>
        <w:tc>
          <w:tcPr>
            <w:tcW w:w="993" w:type="dxa"/>
          </w:tcPr>
          <w:p w14:paraId="3D7A1807" w14:textId="77777777" w:rsidR="006027F4" w:rsidRPr="0013388C" w:rsidRDefault="006027F4" w:rsidP="00E71F81">
            <w:pPr>
              <w:keepNext/>
              <w:jc w:val="center"/>
              <w:rPr>
                <w:rFonts w:ascii="Arial Narrow" w:hAnsi="Arial Narrow"/>
                <w:sz w:val="18"/>
                <w:szCs w:val="18"/>
              </w:rPr>
            </w:pPr>
            <w:r w:rsidRPr="0013388C">
              <w:rPr>
                <w:rFonts w:ascii="Arial Narrow" w:hAnsi="Arial Narrow"/>
                <w:sz w:val="18"/>
                <w:szCs w:val="18"/>
              </w:rPr>
              <w:t>11754P</w:t>
            </w:r>
          </w:p>
        </w:tc>
        <w:tc>
          <w:tcPr>
            <w:tcW w:w="850" w:type="dxa"/>
            <w:vMerge w:val="restart"/>
          </w:tcPr>
          <w:p w14:paraId="0FF88B5A" w14:textId="77777777" w:rsidR="006027F4" w:rsidRPr="0013388C" w:rsidRDefault="006027F4" w:rsidP="00E71F81">
            <w:pPr>
              <w:keepNext/>
              <w:jc w:val="center"/>
              <w:rPr>
                <w:rFonts w:ascii="Arial Narrow" w:hAnsi="Arial Narrow"/>
                <w:sz w:val="18"/>
                <w:szCs w:val="18"/>
              </w:rPr>
            </w:pPr>
            <w:r w:rsidRPr="0013388C">
              <w:rPr>
                <w:rFonts w:ascii="Arial Narrow" w:hAnsi="Arial Narrow"/>
                <w:sz w:val="18"/>
                <w:szCs w:val="18"/>
              </w:rPr>
              <w:t>1</w:t>
            </w:r>
          </w:p>
        </w:tc>
        <w:tc>
          <w:tcPr>
            <w:tcW w:w="709" w:type="dxa"/>
            <w:vMerge w:val="restart"/>
          </w:tcPr>
          <w:p w14:paraId="4D06C81F" w14:textId="77777777" w:rsidR="006027F4" w:rsidRPr="0013388C" w:rsidRDefault="006027F4" w:rsidP="00E71F81">
            <w:pPr>
              <w:keepNext/>
              <w:jc w:val="center"/>
              <w:rPr>
                <w:rFonts w:ascii="Arial Narrow" w:hAnsi="Arial Narrow"/>
                <w:sz w:val="18"/>
                <w:szCs w:val="18"/>
              </w:rPr>
            </w:pPr>
            <w:r w:rsidRPr="0013388C">
              <w:rPr>
                <w:rFonts w:ascii="Arial Narrow" w:hAnsi="Arial Narrow"/>
                <w:sz w:val="18"/>
                <w:szCs w:val="18"/>
              </w:rPr>
              <w:t>1</w:t>
            </w:r>
          </w:p>
        </w:tc>
        <w:tc>
          <w:tcPr>
            <w:tcW w:w="709" w:type="dxa"/>
            <w:vMerge w:val="restart"/>
          </w:tcPr>
          <w:p w14:paraId="18383198" w14:textId="77777777" w:rsidR="006027F4" w:rsidRPr="0013388C" w:rsidRDefault="006027F4" w:rsidP="00E71F81">
            <w:pPr>
              <w:keepNext/>
              <w:jc w:val="center"/>
              <w:rPr>
                <w:rFonts w:ascii="Arial Narrow" w:hAnsi="Arial Narrow"/>
                <w:sz w:val="18"/>
                <w:szCs w:val="18"/>
              </w:rPr>
            </w:pPr>
            <w:r w:rsidRPr="0013388C">
              <w:rPr>
                <w:rFonts w:ascii="Arial Narrow" w:hAnsi="Arial Narrow"/>
                <w:sz w:val="18"/>
                <w:szCs w:val="18"/>
              </w:rPr>
              <w:t>NA</w:t>
            </w:r>
          </w:p>
        </w:tc>
        <w:tc>
          <w:tcPr>
            <w:tcW w:w="1842" w:type="dxa"/>
            <w:vMerge w:val="restart"/>
          </w:tcPr>
          <w:p w14:paraId="3ED35003" w14:textId="77777777" w:rsidR="006027F4" w:rsidRPr="0013388C" w:rsidRDefault="006027F4" w:rsidP="00E71F81">
            <w:pPr>
              <w:keepNext/>
              <w:rPr>
                <w:rFonts w:ascii="Arial Narrow" w:hAnsi="Arial Narrow"/>
                <w:sz w:val="18"/>
                <w:szCs w:val="18"/>
              </w:rPr>
            </w:pPr>
            <w:r w:rsidRPr="0013388C">
              <w:rPr>
                <w:rFonts w:ascii="Arial Narrow" w:hAnsi="Arial Narrow"/>
                <w:sz w:val="18"/>
                <w:szCs w:val="18"/>
              </w:rPr>
              <w:t>Buvidal Monthly</w:t>
            </w:r>
          </w:p>
        </w:tc>
      </w:tr>
      <w:tr w:rsidR="006027F4" w:rsidRPr="0013388C" w14:paraId="4A7FE1F7" w14:textId="77777777" w:rsidTr="00E71F81">
        <w:trPr>
          <w:cantSplit/>
          <w:trHeight w:val="501"/>
        </w:trPr>
        <w:tc>
          <w:tcPr>
            <w:tcW w:w="3964" w:type="dxa"/>
            <w:gridSpan w:val="3"/>
          </w:tcPr>
          <w:p w14:paraId="6DFC2B7E" w14:textId="77777777" w:rsidR="006027F4" w:rsidRPr="0013388C" w:rsidRDefault="006027F4" w:rsidP="00E71F81">
            <w:pPr>
              <w:keepNext/>
              <w:ind w:left="-57"/>
              <w:rPr>
                <w:rFonts w:ascii="Arial Narrow" w:hAnsi="Arial Narrow"/>
                <w:sz w:val="18"/>
                <w:szCs w:val="18"/>
              </w:rPr>
            </w:pPr>
            <w:r w:rsidRPr="0013388C">
              <w:rPr>
                <w:rFonts w:ascii="Arial Narrow" w:hAnsi="Arial Narrow"/>
                <w:sz w:val="18"/>
                <w:szCs w:val="18"/>
              </w:rPr>
              <w:t>Buprenorphine 96 mg/0.27 mL modified release injection, 0.27 mL syringe</w:t>
            </w:r>
          </w:p>
        </w:tc>
        <w:tc>
          <w:tcPr>
            <w:tcW w:w="993" w:type="dxa"/>
          </w:tcPr>
          <w:p w14:paraId="7E1D7895" w14:textId="77777777" w:rsidR="006027F4" w:rsidRPr="0013388C" w:rsidRDefault="006027F4" w:rsidP="00E71F81">
            <w:pPr>
              <w:keepNext/>
              <w:jc w:val="center"/>
              <w:rPr>
                <w:rFonts w:ascii="Arial Narrow" w:hAnsi="Arial Narrow"/>
                <w:sz w:val="18"/>
                <w:szCs w:val="18"/>
              </w:rPr>
            </w:pPr>
            <w:r w:rsidRPr="0013388C">
              <w:rPr>
                <w:rFonts w:ascii="Arial Narrow" w:hAnsi="Arial Narrow"/>
                <w:sz w:val="18"/>
                <w:szCs w:val="18"/>
              </w:rPr>
              <w:t>11767H</w:t>
            </w:r>
          </w:p>
        </w:tc>
        <w:tc>
          <w:tcPr>
            <w:tcW w:w="850" w:type="dxa"/>
            <w:vMerge/>
          </w:tcPr>
          <w:p w14:paraId="4BA7D70D" w14:textId="77777777" w:rsidR="006027F4" w:rsidRPr="0013388C" w:rsidRDefault="006027F4" w:rsidP="00E71F81">
            <w:pPr>
              <w:keepNext/>
              <w:jc w:val="center"/>
              <w:rPr>
                <w:rFonts w:ascii="Arial Narrow" w:hAnsi="Arial Narrow"/>
                <w:sz w:val="18"/>
                <w:szCs w:val="18"/>
              </w:rPr>
            </w:pPr>
          </w:p>
        </w:tc>
        <w:tc>
          <w:tcPr>
            <w:tcW w:w="709" w:type="dxa"/>
            <w:vMerge/>
          </w:tcPr>
          <w:p w14:paraId="00F1EF5C" w14:textId="77777777" w:rsidR="006027F4" w:rsidRPr="0013388C" w:rsidRDefault="006027F4" w:rsidP="00E71F81">
            <w:pPr>
              <w:keepNext/>
              <w:jc w:val="center"/>
              <w:rPr>
                <w:rFonts w:ascii="Arial Narrow" w:hAnsi="Arial Narrow"/>
                <w:sz w:val="18"/>
                <w:szCs w:val="18"/>
              </w:rPr>
            </w:pPr>
          </w:p>
        </w:tc>
        <w:tc>
          <w:tcPr>
            <w:tcW w:w="709" w:type="dxa"/>
            <w:vMerge/>
          </w:tcPr>
          <w:p w14:paraId="5C784388" w14:textId="77777777" w:rsidR="006027F4" w:rsidRPr="0013388C" w:rsidRDefault="006027F4" w:rsidP="00E71F81">
            <w:pPr>
              <w:keepNext/>
              <w:jc w:val="center"/>
              <w:rPr>
                <w:rFonts w:ascii="Arial Narrow" w:hAnsi="Arial Narrow"/>
                <w:sz w:val="18"/>
                <w:szCs w:val="18"/>
              </w:rPr>
            </w:pPr>
          </w:p>
        </w:tc>
        <w:tc>
          <w:tcPr>
            <w:tcW w:w="1842" w:type="dxa"/>
            <w:vMerge/>
          </w:tcPr>
          <w:p w14:paraId="0CC3B192" w14:textId="77777777" w:rsidR="006027F4" w:rsidRPr="0013388C" w:rsidRDefault="006027F4" w:rsidP="00E71F81">
            <w:pPr>
              <w:keepNext/>
              <w:rPr>
                <w:rFonts w:ascii="Arial Narrow" w:hAnsi="Arial Narrow"/>
                <w:sz w:val="18"/>
                <w:szCs w:val="18"/>
              </w:rPr>
            </w:pPr>
          </w:p>
        </w:tc>
      </w:tr>
      <w:tr w:rsidR="006027F4" w:rsidRPr="0013388C" w14:paraId="156376C7" w14:textId="77777777" w:rsidTr="00E71F81">
        <w:trPr>
          <w:cantSplit/>
          <w:trHeight w:val="501"/>
        </w:trPr>
        <w:tc>
          <w:tcPr>
            <w:tcW w:w="3964" w:type="dxa"/>
            <w:gridSpan w:val="3"/>
          </w:tcPr>
          <w:p w14:paraId="270C95DA" w14:textId="77777777" w:rsidR="006027F4" w:rsidRPr="0013388C" w:rsidRDefault="006027F4" w:rsidP="00E71F81">
            <w:pPr>
              <w:keepNext/>
              <w:ind w:left="-57"/>
              <w:rPr>
                <w:rFonts w:ascii="Arial Narrow" w:hAnsi="Arial Narrow"/>
                <w:sz w:val="18"/>
                <w:szCs w:val="18"/>
              </w:rPr>
            </w:pPr>
            <w:r w:rsidRPr="0013388C">
              <w:rPr>
                <w:rFonts w:ascii="Arial Narrow" w:hAnsi="Arial Narrow"/>
                <w:sz w:val="18"/>
                <w:szCs w:val="18"/>
              </w:rPr>
              <w:t>Buprenorphine 128 mg/0.36 mL modified release injection, 0.36 mL syringe</w:t>
            </w:r>
          </w:p>
        </w:tc>
        <w:tc>
          <w:tcPr>
            <w:tcW w:w="993" w:type="dxa"/>
          </w:tcPr>
          <w:p w14:paraId="28DD8CDC" w14:textId="77777777" w:rsidR="006027F4" w:rsidRPr="0013388C" w:rsidRDefault="006027F4" w:rsidP="00E71F81">
            <w:pPr>
              <w:keepNext/>
              <w:jc w:val="center"/>
              <w:rPr>
                <w:rFonts w:ascii="Arial Narrow" w:hAnsi="Arial Narrow"/>
                <w:sz w:val="18"/>
                <w:szCs w:val="18"/>
              </w:rPr>
            </w:pPr>
            <w:r w:rsidRPr="0013388C">
              <w:rPr>
                <w:rFonts w:ascii="Arial Narrow" w:hAnsi="Arial Narrow"/>
                <w:sz w:val="18"/>
                <w:szCs w:val="18"/>
              </w:rPr>
              <w:t>11768J</w:t>
            </w:r>
          </w:p>
        </w:tc>
        <w:tc>
          <w:tcPr>
            <w:tcW w:w="850" w:type="dxa"/>
            <w:vMerge/>
          </w:tcPr>
          <w:p w14:paraId="5671A465" w14:textId="77777777" w:rsidR="006027F4" w:rsidRPr="0013388C" w:rsidRDefault="006027F4" w:rsidP="00E71F81">
            <w:pPr>
              <w:keepNext/>
              <w:jc w:val="center"/>
              <w:rPr>
                <w:rFonts w:ascii="Arial Narrow" w:hAnsi="Arial Narrow"/>
                <w:sz w:val="18"/>
                <w:szCs w:val="18"/>
              </w:rPr>
            </w:pPr>
          </w:p>
        </w:tc>
        <w:tc>
          <w:tcPr>
            <w:tcW w:w="709" w:type="dxa"/>
            <w:vMerge/>
          </w:tcPr>
          <w:p w14:paraId="60BC93AD" w14:textId="77777777" w:rsidR="006027F4" w:rsidRPr="0013388C" w:rsidRDefault="006027F4" w:rsidP="00E71F81">
            <w:pPr>
              <w:keepNext/>
              <w:jc w:val="center"/>
              <w:rPr>
                <w:rFonts w:ascii="Arial Narrow" w:hAnsi="Arial Narrow"/>
                <w:sz w:val="18"/>
                <w:szCs w:val="18"/>
              </w:rPr>
            </w:pPr>
          </w:p>
        </w:tc>
        <w:tc>
          <w:tcPr>
            <w:tcW w:w="709" w:type="dxa"/>
            <w:vMerge/>
          </w:tcPr>
          <w:p w14:paraId="3D7A3DA6" w14:textId="77777777" w:rsidR="006027F4" w:rsidRPr="0013388C" w:rsidRDefault="006027F4" w:rsidP="00E71F81">
            <w:pPr>
              <w:keepNext/>
              <w:jc w:val="center"/>
              <w:rPr>
                <w:rFonts w:ascii="Arial Narrow" w:hAnsi="Arial Narrow"/>
                <w:sz w:val="18"/>
                <w:szCs w:val="18"/>
              </w:rPr>
            </w:pPr>
          </w:p>
        </w:tc>
        <w:tc>
          <w:tcPr>
            <w:tcW w:w="1842" w:type="dxa"/>
            <w:vMerge/>
          </w:tcPr>
          <w:p w14:paraId="159BCF11" w14:textId="77777777" w:rsidR="006027F4" w:rsidRPr="0013388C" w:rsidRDefault="006027F4" w:rsidP="00E71F81">
            <w:pPr>
              <w:keepNext/>
              <w:rPr>
                <w:rFonts w:ascii="Arial Narrow" w:hAnsi="Arial Narrow"/>
                <w:sz w:val="18"/>
                <w:szCs w:val="18"/>
              </w:rPr>
            </w:pPr>
          </w:p>
        </w:tc>
      </w:tr>
      <w:tr w:rsidR="006027F4" w:rsidRPr="0013388C" w14:paraId="5AE518A8" w14:textId="77777777" w:rsidTr="00E71F81">
        <w:trPr>
          <w:cantSplit/>
          <w:trHeight w:val="501"/>
        </w:trPr>
        <w:tc>
          <w:tcPr>
            <w:tcW w:w="3964" w:type="dxa"/>
            <w:gridSpan w:val="3"/>
          </w:tcPr>
          <w:p w14:paraId="23D05B3B" w14:textId="77777777" w:rsidR="006027F4" w:rsidRPr="0013388C" w:rsidRDefault="006027F4" w:rsidP="00E71F81">
            <w:pPr>
              <w:keepNext/>
              <w:ind w:left="-57"/>
              <w:rPr>
                <w:rFonts w:ascii="Arial Narrow" w:hAnsi="Arial Narrow"/>
                <w:sz w:val="18"/>
                <w:szCs w:val="18"/>
              </w:rPr>
            </w:pPr>
            <w:r w:rsidRPr="0013388C">
              <w:rPr>
                <w:rFonts w:ascii="Arial Narrow" w:hAnsi="Arial Narrow"/>
                <w:i/>
                <w:sz w:val="18"/>
                <w:szCs w:val="18"/>
              </w:rPr>
              <w:t>Buprenorphine 160 mg/0.45 mL modified release injection, 0.45 mL syringe</w:t>
            </w:r>
          </w:p>
        </w:tc>
        <w:tc>
          <w:tcPr>
            <w:tcW w:w="993" w:type="dxa"/>
          </w:tcPr>
          <w:p w14:paraId="0B489CFC" w14:textId="77777777" w:rsidR="006027F4" w:rsidRPr="0013388C" w:rsidRDefault="006027F4" w:rsidP="00E71F81">
            <w:pPr>
              <w:keepNext/>
              <w:jc w:val="center"/>
              <w:rPr>
                <w:rFonts w:ascii="Arial Narrow" w:hAnsi="Arial Narrow"/>
                <w:i/>
                <w:sz w:val="18"/>
                <w:szCs w:val="18"/>
              </w:rPr>
            </w:pPr>
            <w:r w:rsidRPr="0013388C">
              <w:rPr>
                <w:rFonts w:ascii="Arial Narrow" w:hAnsi="Arial Narrow"/>
                <w:i/>
                <w:sz w:val="18"/>
                <w:szCs w:val="18"/>
              </w:rPr>
              <w:t>NEW</w:t>
            </w:r>
          </w:p>
        </w:tc>
        <w:tc>
          <w:tcPr>
            <w:tcW w:w="850" w:type="dxa"/>
            <w:vMerge/>
          </w:tcPr>
          <w:p w14:paraId="7BBB2C03" w14:textId="77777777" w:rsidR="006027F4" w:rsidRPr="0013388C" w:rsidRDefault="006027F4" w:rsidP="00E71F81">
            <w:pPr>
              <w:keepNext/>
              <w:jc w:val="center"/>
              <w:rPr>
                <w:rFonts w:ascii="Arial Narrow" w:hAnsi="Arial Narrow"/>
                <w:sz w:val="18"/>
                <w:szCs w:val="18"/>
              </w:rPr>
            </w:pPr>
          </w:p>
        </w:tc>
        <w:tc>
          <w:tcPr>
            <w:tcW w:w="709" w:type="dxa"/>
            <w:vMerge/>
          </w:tcPr>
          <w:p w14:paraId="56945F55" w14:textId="77777777" w:rsidR="006027F4" w:rsidRPr="0013388C" w:rsidRDefault="006027F4" w:rsidP="00E71F81">
            <w:pPr>
              <w:keepNext/>
              <w:jc w:val="center"/>
              <w:rPr>
                <w:rFonts w:ascii="Arial Narrow" w:hAnsi="Arial Narrow"/>
                <w:sz w:val="18"/>
                <w:szCs w:val="18"/>
              </w:rPr>
            </w:pPr>
          </w:p>
        </w:tc>
        <w:tc>
          <w:tcPr>
            <w:tcW w:w="709" w:type="dxa"/>
            <w:vMerge/>
          </w:tcPr>
          <w:p w14:paraId="151A1D9E" w14:textId="77777777" w:rsidR="006027F4" w:rsidRPr="0013388C" w:rsidRDefault="006027F4" w:rsidP="00E71F81">
            <w:pPr>
              <w:keepNext/>
              <w:jc w:val="center"/>
              <w:rPr>
                <w:rFonts w:ascii="Arial Narrow" w:hAnsi="Arial Narrow"/>
                <w:sz w:val="18"/>
                <w:szCs w:val="18"/>
              </w:rPr>
            </w:pPr>
          </w:p>
        </w:tc>
        <w:tc>
          <w:tcPr>
            <w:tcW w:w="1842" w:type="dxa"/>
            <w:vMerge/>
          </w:tcPr>
          <w:p w14:paraId="25EEF2CB" w14:textId="77777777" w:rsidR="006027F4" w:rsidRPr="0013388C" w:rsidRDefault="006027F4" w:rsidP="00E71F81">
            <w:pPr>
              <w:keepNext/>
              <w:rPr>
                <w:rFonts w:ascii="Arial Narrow" w:hAnsi="Arial Narrow"/>
                <w:sz w:val="18"/>
                <w:szCs w:val="18"/>
              </w:rPr>
            </w:pPr>
          </w:p>
        </w:tc>
      </w:tr>
      <w:tr w:rsidR="006027F4" w:rsidRPr="0013388C" w14:paraId="06A8151C" w14:textId="77777777" w:rsidTr="00E71F81">
        <w:tblPrEx>
          <w:jc w:val="center"/>
          <w:tblCellMar>
            <w:top w:w="15" w:type="dxa"/>
            <w:left w:w="15" w:type="dxa"/>
            <w:bottom w:w="15" w:type="dxa"/>
            <w:right w:w="15" w:type="dxa"/>
          </w:tblCellMar>
          <w:tblLook w:val="04A0" w:firstRow="1" w:lastRow="0" w:firstColumn="1" w:lastColumn="0" w:noHBand="0" w:noVBand="1"/>
        </w:tblPrEx>
        <w:trPr>
          <w:jc w:val="center"/>
        </w:trPr>
        <w:tc>
          <w:tcPr>
            <w:tcW w:w="9067" w:type="dxa"/>
            <w:gridSpan w:val="8"/>
            <w:tcBorders>
              <w:top w:val="single" w:sz="4" w:space="0" w:color="auto"/>
              <w:left w:val="single" w:sz="4" w:space="0" w:color="auto"/>
              <w:right w:val="single" w:sz="4" w:space="0" w:color="auto"/>
            </w:tcBorders>
          </w:tcPr>
          <w:p w14:paraId="21EFC6BD" w14:textId="77777777" w:rsidR="006027F4" w:rsidRPr="0013388C" w:rsidRDefault="006027F4" w:rsidP="00E71F81">
            <w:pPr>
              <w:rPr>
                <w:rFonts w:ascii="Arial Narrow" w:hAnsi="Arial Narrow"/>
                <w:sz w:val="18"/>
                <w:szCs w:val="18"/>
              </w:rPr>
            </w:pPr>
          </w:p>
        </w:tc>
      </w:tr>
      <w:tr w:rsidR="006027F4" w:rsidRPr="0013388C" w14:paraId="6D14133E" w14:textId="77777777" w:rsidTr="00E71F81">
        <w:tblPrEx>
          <w:jc w:val="center"/>
          <w:tblCellMar>
            <w:top w:w="15" w:type="dxa"/>
            <w:left w:w="15" w:type="dxa"/>
            <w:bottom w:w="15" w:type="dxa"/>
            <w:right w:w="15" w:type="dxa"/>
          </w:tblCellMar>
          <w:tblLook w:val="04A0" w:firstRow="1" w:lastRow="0" w:firstColumn="1" w:lastColumn="0" w:noHBand="0" w:noVBand="1"/>
        </w:tblPrEx>
        <w:trPr>
          <w:jc w:val="center"/>
        </w:trPr>
        <w:tc>
          <w:tcPr>
            <w:tcW w:w="9067" w:type="dxa"/>
            <w:gridSpan w:val="8"/>
            <w:tcBorders>
              <w:top w:val="single" w:sz="4" w:space="0" w:color="auto"/>
              <w:left w:val="single" w:sz="4" w:space="0" w:color="auto"/>
              <w:right w:val="single" w:sz="4" w:space="0" w:color="auto"/>
            </w:tcBorders>
          </w:tcPr>
          <w:p w14:paraId="793E7B7B" w14:textId="77777777" w:rsidR="006027F4" w:rsidRPr="0013388C" w:rsidRDefault="006027F4" w:rsidP="00E71F81">
            <w:pPr>
              <w:rPr>
                <w:rFonts w:ascii="Arial Narrow" w:hAnsi="Arial Narrow"/>
                <w:b/>
                <w:sz w:val="18"/>
                <w:szCs w:val="18"/>
              </w:rPr>
            </w:pPr>
            <w:r w:rsidRPr="0013388C">
              <w:rPr>
                <w:rFonts w:ascii="Arial Narrow" w:hAnsi="Arial Narrow"/>
                <w:b/>
                <w:sz w:val="18"/>
                <w:szCs w:val="18"/>
              </w:rPr>
              <w:t>Restriction Summary 9213 / Treatment of Concept: 9212</w:t>
            </w:r>
          </w:p>
        </w:tc>
      </w:tr>
      <w:tr w:rsidR="006027F4" w:rsidRPr="0013388C" w14:paraId="0EF8F601" w14:textId="77777777" w:rsidTr="00E71F81">
        <w:tblPrEx>
          <w:jc w:val="center"/>
          <w:tblCellMar>
            <w:top w:w="15" w:type="dxa"/>
            <w:left w:w="15" w:type="dxa"/>
            <w:bottom w:w="15" w:type="dxa"/>
            <w:right w:w="15" w:type="dxa"/>
          </w:tblCellMar>
          <w:tblLook w:val="04A0" w:firstRow="1" w:lastRow="0" w:firstColumn="1" w:lastColumn="0" w:noHBand="0" w:noVBand="1"/>
        </w:tblPrEx>
        <w:trPr>
          <w:jc w:val="center"/>
        </w:trPr>
        <w:tc>
          <w:tcPr>
            <w:tcW w:w="981" w:type="dxa"/>
            <w:gridSpan w:val="2"/>
            <w:vMerge w:val="restart"/>
            <w:tcBorders>
              <w:top w:val="single" w:sz="4" w:space="0" w:color="auto"/>
              <w:left w:val="single" w:sz="4" w:space="0" w:color="auto"/>
              <w:right w:val="single" w:sz="4" w:space="0" w:color="auto"/>
            </w:tcBorders>
          </w:tcPr>
          <w:p w14:paraId="36333194" w14:textId="77777777" w:rsidR="006027F4" w:rsidRPr="0013388C" w:rsidRDefault="006027F4" w:rsidP="00E71F81">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6501BE93" w14:textId="77777777" w:rsidR="006027F4" w:rsidRPr="0013388C" w:rsidRDefault="006027F4" w:rsidP="00E71F81">
            <w:pPr>
              <w:rPr>
                <w:rFonts w:ascii="Arial Narrow" w:hAnsi="Arial Narrow"/>
                <w:sz w:val="18"/>
                <w:szCs w:val="18"/>
              </w:rPr>
            </w:pPr>
            <w:r w:rsidRPr="0013388C">
              <w:rPr>
                <w:rFonts w:ascii="Arial Narrow" w:hAnsi="Arial Narrow"/>
                <w:sz w:val="18"/>
                <w:szCs w:val="18"/>
              </w:rPr>
              <w:t>Section 100 – Opiate Dependence</w:t>
            </w:r>
          </w:p>
        </w:tc>
      </w:tr>
      <w:tr w:rsidR="006027F4" w:rsidRPr="0013388C" w14:paraId="1F85E7C3" w14:textId="77777777" w:rsidTr="00E71F81">
        <w:tblPrEx>
          <w:jc w:val="center"/>
          <w:tblCellMar>
            <w:top w:w="15" w:type="dxa"/>
            <w:left w:w="15" w:type="dxa"/>
            <w:bottom w:w="15" w:type="dxa"/>
            <w:right w:w="15" w:type="dxa"/>
          </w:tblCellMar>
          <w:tblLook w:val="04A0" w:firstRow="1" w:lastRow="0" w:firstColumn="1" w:lastColumn="0" w:noHBand="0" w:noVBand="1"/>
        </w:tblPrEx>
        <w:trPr>
          <w:trHeight w:val="240"/>
          <w:jc w:val="center"/>
        </w:trPr>
        <w:tc>
          <w:tcPr>
            <w:tcW w:w="981" w:type="dxa"/>
            <w:gridSpan w:val="2"/>
            <w:vMerge/>
            <w:tcBorders>
              <w:left w:val="single" w:sz="4" w:space="0" w:color="auto"/>
              <w:right w:val="single" w:sz="4" w:space="0" w:color="auto"/>
            </w:tcBorders>
          </w:tcPr>
          <w:p w14:paraId="00024DB9" w14:textId="77777777" w:rsidR="006027F4" w:rsidRPr="0013388C" w:rsidRDefault="006027F4" w:rsidP="00E71F81">
            <w:pP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736C5F03" w14:textId="77777777" w:rsidR="006027F4" w:rsidRPr="0013388C" w:rsidRDefault="006027F4" w:rsidP="00E71F81">
            <w:pPr>
              <w:rPr>
                <w:rFonts w:ascii="Arial Narrow" w:hAnsi="Arial Narrow"/>
                <w:b/>
                <w:sz w:val="18"/>
                <w:szCs w:val="18"/>
              </w:rPr>
            </w:pPr>
            <w:r w:rsidRPr="0013388C">
              <w:rPr>
                <w:rFonts w:ascii="Arial Narrow" w:hAnsi="Arial Narrow"/>
                <w:b/>
                <w:sz w:val="18"/>
                <w:szCs w:val="18"/>
              </w:rPr>
              <w:t xml:space="preserve">Prescriber type:   </w:t>
            </w:r>
            <w:r w:rsidRPr="0013388C">
              <w:rPr>
                <w:rFonts w:ascii="Arial Narrow" w:hAnsi="Arial Narrow"/>
                <w:sz w:val="18"/>
                <w:szCs w:val="18"/>
              </w:rPr>
              <w:fldChar w:fldCharType="begin">
                <w:ffData>
                  <w:name w:val="Check1"/>
                  <w:enabled/>
                  <w:calcOnExit w:val="0"/>
                  <w:checkBox>
                    <w:sizeAuto/>
                    <w:default w:val="0"/>
                  </w:checkBox>
                </w:ffData>
              </w:fldChar>
            </w:r>
            <w:r w:rsidRPr="0013388C">
              <w:rPr>
                <w:rFonts w:ascii="Arial Narrow" w:hAnsi="Arial Narrow"/>
                <w:sz w:val="18"/>
                <w:szCs w:val="18"/>
              </w:rPr>
              <w:instrText xml:space="preserve"> FORMCHECKBOX </w:instrText>
            </w:r>
            <w:r w:rsidR="001412AD">
              <w:rPr>
                <w:rFonts w:ascii="Arial Narrow" w:hAnsi="Arial Narrow"/>
                <w:sz w:val="18"/>
                <w:szCs w:val="18"/>
              </w:rPr>
            </w:r>
            <w:r w:rsidR="001412AD">
              <w:rPr>
                <w:rFonts w:ascii="Arial Narrow" w:hAnsi="Arial Narrow"/>
                <w:sz w:val="18"/>
                <w:szCs w:val="18"/>
              </w:rPr>
              <w:fldChar w:fldCharType="separate"/>
            </w:r>
            <w:r w:rsidRPr="0013388C">
              <w:rPr>
                <w:rFonts w:ascii="Arial Narrow" w:hAnsi="Arial Narrow"/>
                <w:sz w:val="18"/>
                <w:szCs w:val="18"/>
              </w:rPr>
              <w:fldChar w:fldCharType="end"/>
            </w:r>
            <w:r w:rsidRPr="0013388C">
              <w:rPr>
                <w:rFonts w:ascii="Arial Narrow" w:hAnsi="Arial Narrow"/>
                <w:sz w:val="18"/>
                <w:szCs w:val="18"/>
              </w:rPr>
              <w:t xml:space="preserve">Dental    </w:t>
            </w:r>
            <w:r w:rsidRPr="0013388C">
              <w:rPr>
                <w:rFonts w:ascii="Arial Narrow" w:hAnsi="Arial Narrow"/>
                <w:sz w:val="18"/>
                <w:szCs w:val="18"/>
              </w:rPr>
              <w:fldChar w:fldCharType="begin">
                <w:ffData>
                  <w:name w:val=""/>
                  <w:enabled/>
                  <w:calcOnExit w:val="0"/>
                  <w:checkBox>
                    <w:sizeAuto/>
                    <w:default w:val="1"/>
                  </w:checkBox>
                </w:ffData>
              </w:fldChar>
            </w:r>
            <w:r w:rsidRPr="0013388C">
              <w:rPr>
                <w:rFonts w:ascii="Arial Narrow" w:hAnsi="Arial Narrow"/>
                <w:sz w:val="18"/>
                <w:szCs w:val="18"/>
              </w:rPr>
              <w:instrText xml:space="preserve"> FORMCHECKBOX </w:instrText>
            </w:r>
            <w:r w:rsidR="001412AD">
              <w:rPr>
                <w:rFonts w:ascii="Arial Narrow" w:hAnsi="Arial Narrow"/>
                <w:sz w:val="18"/>
                <w:szCs w:val="18"/>
              </w:rPr>
            </w:r>
            <w:r w:rsidR="001412AD">
              <w:rPr>
                <w:rFonts w:ascii="Arial Narrow" w:hAnsi="Arial Narrow"/>
                <w:sz w:val="18"/>
                <w:szCs w:val="18"/>
              </w:rPr>
              <w:fldChar w:fldCharType="separate"/>
            </w:r>
            <w:r w:rsidRPr="0013388C">
              <w:rPr>
                <w:rFonts w:ascii="Arial Narrow" w:hAnsi="Arial Narrow"/>
                <w:sz w:val="18"/>
                <w:szCs w:val="18"/>
              </w:rPr>
              <w:fldChar w:fldCharType="end"/>
            </w:r>
            <w:r w:rsidRPr="0013388C">
              <w:rPr>
                <w:rFonts w:ascii="Arial Narrow" w:hAnsi="Arial Narrow"/>
                <w:sz w:val="18"/>
                <w:szCs w:val="18"/>
              </w:rPr>
              <w:t xml:space="preserve">Medical Practitioners    </w:t>
            </w:r>
            <w:r w:rsidRPr="0013388C">
              <w:rPr>
                <w:rFonts w:ascii="Arial Narrow" w:hAnsi="Arial Narrow"/>
                <w:sz w:val="18"/>
                <w:szCs w:val="18"/>
              </w:rPr>
              <w:fldChar w:fldCharType="begin">
                <w:ffData>
                  <w:name w:val="Check3"/>
                  <w:enabled/>
                  <w:calcOnExit w:val="0"/>
                  <w:checkBox>
                    <w:sizeAuto/>
                    <w:default w:val="1"/>
                  </w:checkBox>
                </w:ffData>
              </w:fldChar>
            </w:r>
            <w:r w:rsidRPr="0013388C">
              <w:rPr>
                <w:rFonts w:ascii="Arial Narrow" w:hAnsi="Arial Narrow"/>
                <w:sz w:val="18"/>
                <w:szCs w:val="18"/>
              </w:rPr>
              <w:instrText xml:space="preserve"> FORMCHECKBOX </w:instrText>
            </w:r>
            <w:r w:rsidR="001412AD">
              <w:rPr>
                <w:rFonts w:ascii="Arial Narrow" w:hAnsi="Arial Narrow"/>
                <w:sz w:val="18"/>
                <w:szCs w:val="18"/>
              </w:rPr>
            </w:r>
            <w:r w:rsidR="001412AD">
              <w:rPr>
                <w:rFonts w:ascii="Arial Narrow" w:hAnsi="Arial Narrow"/>
                <w:sz w:val="18"/>
                <w:szCs w:val="18"/>
              </w:rPr>
              <w:fldChar w:fldCharType="separate"/>
            </w:r>
            <w:r w:rsidRPr="0013388C">
              <w:rPr>
                <w:rFonts w:ascii="Arial Narrow" w:hAnsi="Arial Narrow"/>
                <w:sz w:val="18"/>
                <w:szCs w:val="18"/>
              </w:rPr>
              <w:fldChar w:fldCharType="end"/>
            </w:r>
            <w:r w:rsidRPr="0013388C">
              <w:rPr>
                <w:rFonts w:ascii="Arial Narrow" w:hAnsi="Arial Narrow"/>
                <w:sz w:val="18"/>
                <w:szCs w:val="18"/>
              </w:rPr>
              <w:t xml:space="preserve">Nurse practitioners     </w:t>
            </w:r>
            <w:r w:rsidRPr="0013388C">
              <w:rPr>
                <w:rFonts w:ascii="Arial Narrow" w:hAnsi="Arial Narrow"/>
                <w:sz w:val="18"/>
                <w:szCs w:val="18"/>
              </w:rPr>
              <w:fldChar w:fldCharType="begin">
                <w:ffData>
                  <w:name w:val=""/>
                  <w:enabled/>
                  <w:calcOnExit w:val="0"/>
                  <w:checkBox>
                    <w:sizeAuto/>
                    <w:default w:val="0"/>
                  </w:checkBox>
                </w:ffData>
              </w:fldChar>
            </w:r>
            <w:r w:rsidRPr="0013388C">
              <w:rPr>
                <w:rFonts w:ascii="Arial Narrow" w:hAnsi="Arial Narrow"/>
                <w:sz w:val="18"/>
                <w:szCs w:val="18"/>
              </w:rPr>
              <w:instrText xml:space="preserve"> FORMCHECKBOX </w:instrText>
            </w:r>
            <w:r w:rsidR="001412AD">
              <w:rPr>
                <w:rFonts w:ascii="Arial Narrow" w:hAnsi="Arial Narrow"/>
                <w:sz w:val="18"/>
                <w:szCs w:val="18"/>
              </w:rPr>
            </w:r>
            <w:r w:rsidR="001412AD">
              <w:rPr>
                <w:rFonts w:ascii="Arial Narrow" w:hAnsi="Arial Narrow"/>
                <w:sz w:val="18"/>
                <w:szCs w:val="18"/>
              </w:rPr>
              <w:fldChar w:fldCharType="separate"/>
            </w:r>
            <w:r w:rsidRPr="0013388C">
              <w:rPr>
                <w:rFonts w:ascii="Arial Narrow" w:hAnsi="Arial Narrow"/>
                <w:sz w:val="18"/>
                <w:szCs w:val="18"/>
              </w:rPr>
              <w:fldChar w:fldCharType="end"/>
            </w:r>
            <w:r w:rsidRPr="0013388C">
              <w:rPr>
                <w:rFonts w:ascii="Arial Narrow" w:hAnsi="Arial Narrow"/>
                <w:sz w:val="18"/>
                <w:szCs w:val="18"/>
              </w:rPr>
              <w:t xml:space="preserve">Optometrists    </w:t>
            </w:r>
            <w:r w:rsidRPr="0013388C">
              <w:rPr>
                <w:rFonts w:ascii="Arial Narrow" w:hAnsi="Arial Narrow"/>
                <w:sz w:val="18"/>
                <w:szCs w:val="18"/>
              </w:rPr>
              <w:fldChar w:fldCharType="begin">
                <w:ffData>
                  <w:name w:val="Check5"/>
                  <w:enabled/>
                  <w:calcOnExit w:val="0"/>
                  <w:checkBox>
                    <w:sizeAuto/>
                    <w:default w:val="0"/>
                  </w:checkBox>
                </w:ffData>
              </w:fldChar>
            </w:r>
            <w:r w:rsidRPr="0013388C">
              <w:rPr>
                <w:rFonts w:ascii="Arial Narrow" w:hAnsi="Arial Narrow"/>
                <w:sz w:val="18"/>
                <w:szCs w:val="18"/>
              </w:rPr>
              <w:instrText xml:space="preserve"> FORMCHECKBOX </w:instrText>
            </w:r>
            <w:r w:rsidR="001412AD">
              <w:rPr>
                <w:rFonts w:ascii="Arial Narrow" w:hAnsi="Arial Narrow"/>
                <w:sz w:val="18"/>
                <w:szCs w:val="18"/>
              </w:rPr>
            </w:r>
            <w:r w:rsidR="001412AD">
              <w:rPr>
                <w:rFonts w:ascii="Arial Narrow" w:hAnsi="Arial Narrow"/>
                <w:sz w:val="18"/>
                <w:szCs w:val="18"/>
              </w:rPr>
              <w:fldChar w:fldCharType="separate"/>
            </w:r>
            <w:r w:rsidRPr="0013388C">
              <w:rPr>
                <w:rFonts w:ascii="Arial Narrow" w:hAnsi="Arial Narrow"/>
                <w:sz w:val="18"/>
                <w:szCs w:val="18"/>
              </w:rPr>
              <w:fldChar w:fldCharType="end"/>
            </w:r>
            <w:r w:rsidRPr="0013388C">
              <w:rPr>
                <w:rFonts w:ascii="Arial Narrow" w:hAnsi="Arial Narrow"/>
                <w:sz w:val="18"/>
                <w:szCs w:val="18"/>
              </w:rPr>
              <w:t>Midwives</w:t>
            </w:r>
            <w:r w:rsidRPr="0013388C">
              <w:rPr>
                <w:rFonts w:ascii="Arial Narrow" w:hAnsi="Arial Narrow"/>
                <w:color w:val="FF0000"/>
                <w:sz w:val="18"/>
                <w:szCs w:val="18"/>
              </w:rPr>
              <w:t xml:space="preserve"> </w:t>
            </w:r>
          </w:p>
        </w:tc>
      </w:tr>
      <w:tr w:rsidR="006027F4" w:rsidRPr="0013388C" w14:paraId="51146180" w14:textId="77777777" w:rsidTr="00E71F81">
        <w:tblPrEx>
          <w:jc w:val="center"/>
          <w:tblCellMar>
            <w:top w:w="15" w:type="dxa"/>
            <w:left w:w="15" w:type="dxa"/>
            <w:bottom w:w="15" w:type="dxa"/>
            <w:right w:w="15" w:type="dxa"/>
          </w:tblCellMar>
          <w:tblLook w:val="04A0" w:firstRow="1" w:lastRow="0" w:firstColumn="1" w:lastColumn="0" w:noHBand="0" w:noVBand="1"/>
        </w:tblPrEx>
        <w:trPr>
          <w:trHeight w:val="238"/>
          <w:jc w:val="center"/>
        </w:trPr>
        <w:tc>
          <w:tcPr>
            <w:tcW w:w="981" w:type="dxa"/>
            <w:gridSpan w:val="2"/>
            <w:vMerge/>
            <w:tcBorders>
              <w:left w:val="single" w:sz="4" w:space="0" w:color="auto"/>
              <w:bottom w:val="single" w:sz="4" w:space="0" w:color="auto"/>
              <w:right w:val="single" w:sz="4" w:space="0" w:color="auto"/>
            </w:tcBorders>
          </w:tcPr>
          <w:p w14:paraId="6F18D3DE" w14:textId="77777777" w:rsidR="006027F4" w:rsidRPr="0013388C" w:rsidRDefault="006027F4" w:rsidP="00E71F81">
            <w:pP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2684D60C" w14:textId="77777777" w:rsidR="006027F4" w:rsidRPr="0013388C" w:rsidRDefault="006027F4" w:rsidP="00E71F81">
            <w:pPr>
              <w:rPr>
                <w:rFonts w:ascii="Arial Narrow" w:hAnsi="Arial Narrow"/>
                <w:b/>
                <w:sz w:val="18"/>
                <w:szCs w:val="18"/>
              </w:rPr>
            </w:pPr>
            <w:r w:rsidRPr="0013388C">
              <w:rPr>
                <w:rFonts w:ascii="Arial Narrow" w:hAnsi="Arial Narrow"/>
                <w:b/>
                <w:sz w:val="18"/>
                <w:szCs w:val="18"/>
              </w:rPr>
              <w:t xml:space="preserve">Restriction type: </w:t>
            </w:r>
            <w:r w:rsidRPr="0013388C">
              <w:rPr>
                <w:rFonts w:ascii="Arial Narrow" w:eastAsia="Calibri" w:hAnsi="Arial Narrow"/>
                <w:sz w:val="18"/>
                <w:szCs w:val="18"/>
              </w:rPr>
              <w:fldChar w:fldCharType="begin">
                <w:ffData>
                  <w:name w:val="Check1"/>
                  <w:enabled/>
                  <w:calcOnExit w:val="0"/>
                  <w:checkBox>
                    <w:sizeAuto/>
                    <w:default w:val="1"/>
                  </w:checkBox>
                </w:ffData>
              </w:fldChar>
            </w:r>
            <w:r w:rsidRPr="0013388C">
              <w:rPr>
                <w:rFonts w:ascii="Arial Narrow" w:eastAsia="Calibri" w:hAnsi="Arial Narrow"/>
                <w:sz w:val="18"/>
                <w:szCs w:val="18"/>
              </w:rPr>
              <w:instrText xml:space="preserve"> FORMCHECKBOX </w:instrText>
            </w:r>
            <w:r w:rsidR="001412AD">
              <w:rPr>
                <w:rFonts w:ascii="Arial Narrow" w:eastAsia="Calibri" w:hAnsi="Arial Narrow"/>
                <w:sz w:val="18"/>
                <w:szCs w:val="18"/>
              </w:rPr>
            </w:r>
            <w:r w:rsidR="001412AD">
              <w:rPr>
                <w:rFonts w:ascii="Arial Narrow" w:eastAsia="Calibri" w:hAnsi="Arial Narrow"/>
                <w:sz w:val="18"/>
                <w:szCs w:val="18"/>
              </w:rPr>
              <w:fldChar w:fldCharType="separate"/>
            </w:r>
            <w:r w:rsidRPr="0013388C">
              <w:rPr>
                <w:rFonts w:ascii="Arial Narrow" w:eastAsia="Calibri" w:hAnsi="Arial Narrow"/>
                <w:sz w:val="18"/>
                <w:szCs w:val="18"/>
              </w:rPr>
              <w:fldChar w:fldCharType="end"/>
            </w:r>
            <w:r w:rsidRPr="0013388C">
              <w:rPr>
                <w:rFonts w:ascii="Arial Narrow" w:eastAsia="Calibri" w:hAnsi="Arial Narrow"/>
                <w:sz w:val="18"/>
                <w:szCs w:val="18"/>
              </w:rPr>
              <w:t>Restricted benefit</w:t>
            </w:r>
          </w:p>
        </w:tc>
      </w:tr>
      <w:tr w:rsidR="006027F4" w:rsidRPr="0013388C" w14:paraId="461AC396" w14:textId="77777777" w:rsidTr="00E71F81">
        <w:tblPrEx>
          <w:jc w:val="center"/>
          <w:tblCellMar>
            <w:top w:w="15" w:type="dxa"/>
            <w:left w:w="15" w:type="dxa"/>
            <w:bottom w:w="15" w:type="dxa"/>
            <w:right w:w="15" w:type="dxa"/>
          </w:tblCellMar>
          <w:tblLook w:val="04A0" w:firstRow="1" w:lastRow="0" w:firstColumn="1" w:lastColumn="0" w:noHBand="0" w:noVBand="1"/>
        </w:tblPrEx>
        <w:trPr>
          <w:jc w:val="center"/>
        </w:trPr>
        <w:tc>
          <w:tcPr>
            <w:tcW w:w="421" w:type="dxa"/>
            <w:vMerge w:val="restart"/>
            <w:tcBorders>
              <w:left w:val="single" w:sz="4" w:space="0" w:color="auto"/>
              <w:right w:val="single" w:sz="4" w:space="0" w:color="auto"/>
            </w:tcBorders>
            <w:textDirection w:val="btLr"/>
            <w:vAlign w:val="center"/>
          </w:tcPr>
          <w:p w14:paraId="15ED4EDC" w14:textId="77777777" w:rsidR="006027F4" w:rsidRPr="0013388C" w:rsidRDefault="006027F4" w:rsidP="00E71F81">
            <w:pPr>
              <w:ind w:left="113" w:right="113"/>
              <w:rPr>
                <w:rFonts w:ascii="Arial Narrow" w:hAnsi="Arial Narrow"/>
                <w:sz w:val="18"/>
                <w:szCs w:val="18"/>
              </w:rPr>
            </w:pPr>
          </w:p>
        </w:tc>
        <w:tc>
          <w:tcPr>
            <w:tcW w:w="560" w:type="dxa"/>
            <w:vAlign w:val="center"/>
          </w:tcPr>
          <w:p w14:paraId="4BF6FBDA" w14:textId="77777777" w:rsidR="006027F4" w:rsidRPr="0013388C" w:rsidRDefault="006027F4" w:rsidP="00E71F81">
            <w:pPr>
              <w:jc w:val="center"/>
              <w:rPr>
                <w:rFonts w:ascii="Arial Narrow" w:hAnsi="Arial Narrow"/>
                <w:color w:val="333333"/>
                <w:sz w:val="18"/>
                <w:szCs w:val="18"/>
              </w:rPr>
            </w:pPr>
          </w:p>
        </w:tc>
        <w:tc>
          <w:tcPr>
            <w:tcW w:w="8086" w:type="dxa"/>
            <w:gridSpan w:val="6"/>
            <w:vAlign w:val="center"/>
          </w:tcPr>
          <w:p w14:paraId="5D28C14C" w14:textId="77777777" w:rsidR="006027F4" w:rsidRPr="0013388C" w:rsidRDefault="006027F4" w:rsidP="00E71F81">
            <w:pPr>
              <w:rPr>
                <w:rFonts w:ascii="Arial Narrow" w:hAnsi="Arial Narrow"/>
                <w:b/>
                <w:bCs/>
                <w:color w:val="333333"/>
                <w:sz w:val="18"/>
                <w:szCs w:val="18"/>
              </w:rPr>
            </w:pPr>
            <w:r w:rsidRPr="0013388C">
              <w:rPr>
                <w:rFonts w:ascii="Arial Narrow" w:hAnsi="Arial Narrow"/>
                <w:b/>
                <w:bCs/>
                <w:color w:val="333333"/>
                <w:sz w:val="18"/>
                <w:szCs w:val="18"/>
              </w:rPr>
              <w:t>Administrative Advice:</w:t>
            </w:r>
          </w:p>
          <w:p w14:paraId="7F8C580C" w14:textId="77777777" w:rsidR="006027F4" w:rsidRPr="0013388C" w:rsidRDefault="006027F4" w:rsidP="00E71F81">
            <w:pPr>
              <w:rPr>
                <w:rFonts w:ascii="Arial Narrow" w:hAnsi="Arial Narrow"/>
                <w:color w:val="333333"/>
                <w:sz w:val="18"/>
                <w:szCs w:val="18"/>
              </w:rPr>
            </w:pPr>
            <w:r w:rsidRPr="0013388C">
              <w:rPr>
                <w:rFonts w:ascii="Arial Narrow" w:hAnsi="Arial Narrow"/>
                <w:bCs/>
                <w:color w:val="333333"/>
                <w:sz w:val="18"/>
                <w:szCs w:val="18"/>
              </w:rPr>
              <w:t>Care must be taken to comply with the provisions of State/Territory law when prescribing this drug.</w:t>
            </w:r>
          </w:p>
        </w:tc>
      </w:tr>
      <w:tr w:rsidR="006027F4" w:rsidRPr="0013388C" w14:paraId="77267668" w14:textId="77777777" w:rsidTr="00E71F81">
        <w:tblPrEx>
          <w:jc w:val="center"/>
          <w:tblCellMar>
            <w:top w:w="15" w:type="dxa"/>
            <w:left w:w="15" w:type="dxa"/>
            <w:bottom w:w="15" w:type="dxa"/>
            <w:right w:w="15" w:type="dxa"/>
          </w:tblCellMar>
          <w:tblLook w:val="04A0" w:firstRow="1" w:lastRow="0" w:firstColumn="1" w:lastColumn="0" w:noHBand="0" w:noVBand="1"/>
        </w:tblPrEx>
        <w:trPr>
          <w:trHeight w:val="1212"/>
          <w:jc w:val="center"/>
        </w:trPr>
        <w:tc>
          <w:tcPr>
            <w:tcW w:w="421" w:type="dxa"/>
            <w:vMerge/>
            <w:tcBorders>
              <w:left w:val="single" w:sz="4" w:space="0" w:color="auto"/>
              <w:right w:val="single" w:sz="4" w:space="0" w:color="auto"/>
            </w:tcBorders>
          </w:tcPr>
          <w:p w14:paraId="0BCE3BD2" w14:textId="77777777" w:rsidR="006027F4" w:rsidRPr="0013388C" w:rsidRDefault="006027F4" w:rsidP="00E71F81">
            <w:pPr>
              <w:rPr>
                <w:rFonts w:ascii="Arial Narrow" w:hAnsi="Arial Narrow"/>
                <w:sz w:val="18"/>
                <w:szCs w:val="18"/>
              </w:rPr>
            </w:pPr>
          </w:p>
        </w:tc>
        <w:tc>
          <w:tcPr>
            <w:tcW w:w="560" w:type="dxa"/>
            <w:vAlign w:val="center"/>
          </w:tcPr>
          <w:p w14:paraId="01D9911A" w14:textId="77777777" w:rsidR="006027F4" w:rsidRPr="0013388C" w:rsidRDefault="006027F4" w:rsidP="00E71F81">
            <w:pPr>
              <w:jc w:val="center"/>
              <w:rPr>
                <w:rFonts w:ascii="Arial Narrow" w:hAnsi="Arial Narrow"/>
                <w:color w:val="333333"/>
                <w:sz w:val="18"/>
                <w:szCs w:val="18"/>
              </w:rPr>
            </w:pPr>
          </w:p>
        </w:tc>
        <w:tc>
          <w:tcPr>
            <w:tcW w:w="8086" w:type="dxa"/>
            <w:gridSpan w:val="6"/>
            <w:vAlign w:val="center"/>
          </w:tcPr>
          <w:p w14:paraId="12A05390" w14:textId="77777777" w:rsidR="006027F4" w:rsidRPr="0013388C" w:rsidRDefault="006027F4" w:rsidP="00E71F81">
            <w:pPr>
              <w:rPr>
                <w:rFonts w:ascii="Arial Narrow" w:hAnsi="Arial Narrow"/>
                <w:b/>
                <w:bCs/>
                <w:color w:val="333333"/>
                <w:sz w:val="18"/>
                <w:szCs w:val="18"/>
              </w:rPr>
            </w:pPr>
            <w:r w:rsidRPr="0013388C">
              <w:rPr>
                <w:rFonts w:ascii="Arial Narrow" w:hAnsi="Arial Narrow"/>
                <w:b/>
                <w:bCs/>
                <w:color w:val="333333"/>
                <w:sz w:val="18"/>
                <w:szCs w:val="18"/>
              </w:rPr>
              <w:t>Administrative Advice:</w:t>
            </w:r>
          </w:p>
          <w:p w14:paraId="2BB268DF" w14:textId="77777777" w:rsidR="006027F4" w:rsidRPr="0013388C" w:rsidRDefault="006027F4" w:rsidP="00E71F81">
            <w:pPr>
              <w:rPr>
                <w:rFonts w:ascii="Arial Narrow" w:hAnsi="Arial Narrow"/>
                <w:b/>
                <w:bCs/>
                <w:color w:val="333333"/>
                <w:sz w:val="18"/>
                <w:szCs w:val="18"/>
              </w:rPr>
            </w:pPr>
            <w:r w:rsidRPr="0013388C">
              <w:rPr>
                <w:rFonts w:ascii="Arial Narrow" w:hAnsi="Arial Narrow"/>
                <w:b/>
                <w:bCs/>
                <w:color w:val="333333"/>
                <w:sz w:val="18"/>
                <w:szCs w:val="18"/>
              </w:rPr>
              <w:t>Shared Care Model:</w:t>
            </w:r>
          </w:p>
          <w:p w14:paraId="766E0E45" w14:textId="77777777" w:rsidR="006027F4" w:rsidRPr="0013388C" w:rsidRDefault="006027F4" w:rsidP="00E71F81">
            <w:pPr>
              <w:rPr>
                <w:rFonts w:ascii="Arial Narrow" w:hAnsi="Arial Narrow"/>
                <w:bCs/>
                <w:color w:val="333333"/>
                <w:sz w:val="18"/>
                <w:szCs w:val="18"/>
              </w:rPr>
            </w:pPr>
            <w:r w:rsidRPr="0013388C">
              <w:rPr>
                <w:rFonts w:ascii="Arial Narrow" w:hAnsi="Arial Narrow"/>
                <w:bCs/>
                <w:color w:val="333333"/>
                <w:sz w:val="18"/>
                <w:szCs w:val="18"/>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6027F4" w:rsidRPr="0013388C" w14:paraId="7BD1C871" w14:textId="77777777" w:rsidTr="00E71F81">
        <w:tblPrEx>
          <w:jc w:val="center"/>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1999720A" w14:textId="77777777" w:rsidR="006027F4" w:rsidRPr="0013388C" w:rsidRDefault="006027F4" w:rsidP="00E71F81">
            <w:pPr>
              <w:jc w:val="center"/>
              <w:rPr>
                <w:rFonts w:ascii="Arial Narrow" w:hAnsi="Arial Narrow"/>
                <w:bCs/>
                <w:color w:val="333333"/>
                <w:sz w:val="18"/>
                <w:szCs w:val="18"/>
              </w:rPr>
            </w:pPr>
          </w:p>
        </w:tc>
        <w:tc>
          <w:tcPr>
            <w:tcW w:w="8086" w:type="dxa"/>
            <w:gridSpan w:val="6"/>
          </w:tcPr>
          <w:p w14:paraId="2EB89FA8" w14:textId="77777777" w:rsidR="006027F4" w:rsidRPr="0013388C" w:rsidRDefault="006027F4" w:rsidP="00E71F81">
            <w:pPr>
              <w:textAlignment w:val="baseline"/>
              <w:rPr>
                <w:rFonts w:ascii="Arial Narrow" w:hAnsi="Arial Narrow"/>
                <w:bCs/>
                <w:color w:val="333333"/>
                <w:sz w:val="18"/>
                <w:szCs w:val="18"/>
              </w:rPr>
            </w:pPr>
            <w:r w:rsidRPr="0013388C">
              <w:rPr>
                <w:rFonts w:ascii="Arial Narrow" w:hAnsi="Arial Narrow"/>
                <w:b/>
                <w:bCs/>
                <w:color w:val="333333"/>
                <w:sz w:val="18"/>
                <w:szCs w:val="18"/>
              </w:rPr>
              <w:t>Indication:</w:t>
            </w:r>
            <w:r w:rsidRPr="0013388C">
              <w:rPr>
                <w:rFonts w:ascii="Arial Narrow" w:hAnsi="Arial Narrow"/>
                <w:bCs/>
                <w:color w:val="333333"/>
                <w:sz w:val="18"/>
                <w:szCs w:val="18"/>
              </w:rPr>
              <w:t xml:space="preserve"> Opiate dependence</w:t>
            </w:r>
          </w:p>
        </w:tc>
      </w:tr>
      <w:tr w:rsidR="006027F4" w:rsidRPr="0013388C" w14:paraId="3F2250F9" w14:textId="77777777" w:rsidTr="00E71F81">
        <w:tblPrEx>
          <w:jc w:val="center"/>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3A03A424" w14:textId="77777777" w:rsidR="006027F4" w:rsidRPr="0013388C" w:rsidRDefault="006027F4" w:rsidP="00E71F81">
            <w:pPr>
              <w:jc w:val="center"/>
              <w:rPr>
                <w:rFonts w:ascii="Arial Narrow" w:hAnsi="Arial Narrow"/>
                <w:bCs/>
                <w:color w:val="333333"/>
                <w:sz w:val="18"/>
                <w:szCs w:val="18"/>
              </w:rPr>
            </w:pPr>
          </w:p>
        </w:tc>
        <w:tc>
          <w:tcPr>
            <w:tcW w:w="8086" w:type="dxa"/>
            <w:gridSpan w:val="6"/>
          </w:tcPr>
          <w:p w14:paraId="38BCD41E" w14:textId="77777777" w:rsidR="006027F4" w:rsidRPr="0013388C" w:rsidRDefault="006027F4" w:rsidP="00E71F81">
            <w:pPr>
              <w:rPr>
                <w:rFonts w:ascii="Arial Narrow" w:hAnsi="Arial Narrow"/>
                <w:b/>
                <w:bCs/>
                <w:color w:val="333333"/>
                <w:sz w:val="18"/>
                <w:szCs w:val="18"/>
              </w:rPr>
            </w:pPr>
            <w:r w:rsidRPr="0013388C">
              <w:rPr>
                <w:rFonts w:ascii="Arial Narrow" w:hAnsi="Arial Narrow"/>
                <w:b/>
                <w:bCs/>
                <w:color w:val="333333"/>
                <w:sz w:val="18"/>
                <w:szCs w:val="18"/>
              </w:rPr>
              <w:t>Treatment criteria:</w:t>
            </w:r>
          </w:p>
        </w:tc>
      </w:tr>
      <w:tr w:rsidR="006027F4" w:rsidRPr="0013388C" w14:paraId="30468375" w14:textId="77777777" w:rsidTr="00E71F81">
        <w:tblPrEx>
          <w:jc w:val="center"/>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228944A3" w14:textId="77777777" w:rsidR="006027F4" w:rsidRPr="0013388C" w:rsidRDefault="006027F4" w:rsidP="00E71F81">
            <w:pPr>
              <w:jc w:val="center"/>
              <w:rPr>
                <w:rFonts w:ascii="Arial Narrow" w:hAnsi="Arial Narrow"/>
                <w:bCs/>
                <w:color w:val="333333"/>
                <w:sz w:val="18"/>
                <w:szCs w:val="18"/>
              </w:rPr>
            </w:pPr>
          </w:p>
        </w:tc>
        <w:tc>
          <w:tcPr>
            <w:tcW w:w="8086" w:type="dxa"/>
            <w:gridSpan w:val="6"/>
          </w:tcPr>
          <w:p w14:paraId="071AF570" w14:textId="77777777" w:rsidR="006027F4" w:rsidRPr="0013388C" w:rsidRDefault="006027F4" w:rsidP="00E71F81">
            <w:pPr>
              <w:rPr>
                <w:rFonts w:ascii="Arial Narrow" w:hAnsi="Arial Narrow"/>
                <w:bCs/>
                <w:color w:val="333333"/>
                <w:sz w:val="18"/>
                <w:szCs w:val="18"/>
              </w:rPr>
            </w:pPr>
            <w:r w:rsidRPr="0013388C">
              <w:rPr>
                <w:rFonts w:ascii="Arial Narrow" w:hAnsi="Arial Narrow"/>
                <w:bCs/>
                <w:color w:val="333333"/>
                <w:sz w:val="18"/>
                <w:szCs w:val="18"/>
              </w:rPr>
              <w:t>Must be treated by a health care professional</w:t>
            </w:r>
          </w:p>
        </w:tc>
      </w:tr>
      <w:tr w:rsidR="006027F4" w:rsidRPr="0013388C" w14:paraId="0FFECE75" w14:textId="77777777" w:rsidTr="00E71F81">
        <w:tblPrEx>
          <w:jc w:val="center"/>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1C2DFB12" w14:textId="77777777" w:rsidR="006027F4" w:rsidRPr="0013388C" w:rsidRDefault="006027F4" w:rsidP="00E71F81">
            <w:pPr>
              <w:jc w:val="center"/>
              <w:rPr>
                <w:rFonts w:ascii="Arial Narrow" w:hAnsi="Arial Narrow"/>
                <w:bCs/>
                <w:color w:val="333333"/>
                <w:sz w:val="18"/>
                <w:szCs w:val="18"/>
              </w:rPr>
            </w:pPr>
          </w:p>
        </w:tc>
        <w:tc>
          <w:tcPr>
            <w:tcW w:w="8086" w:type="dxa"/>
            <w:gridSpan w:val="6"/>
          </w:tcPr>
          <w:p w14:paraId="2B0593AB" w14:textId="77777777" w:rsidR="006027F4" w:rsidRPr="0013388C" w:rsidRDefault="006027F4" w:rsidP="00E71F81">
            <w:pPr>
              <w:rPr>
                <w:rFonts w:ascii="Arial Narrow" w:hAnsi="Arial Narrow"/>
                <w:b/>
                <w:bCs/>
                <w:color w:val="333333"/>
                <w:sz w:val="18"/>
                <w:szCs w:val="18"/>
              </w:rPr>
            </w:pPr>
            <w:r w:rsidRPr="0013388C">
              <w:rPr>
                <w:rFonts w:ascii="Arial Narrow" w:hAnsi="Arial Narrow"/>
                <w:b/>
                <w:bCs/>
                <w:color w:val="333333"/>
                <w:sz w:val="18"/>
                <w:szCs w:val="18"/>
              </w:rPr>
              <w:t>AND</w:t>
            </w:r>
          </w:p>
        </w:tc>
      </w:tr>
      <w:tr w:rsidR="006027F4" w:rsidRPr="0013388C" w14:paraId="0A086E53" w14:textId="77777777" w:rsidTr="00E71F81">
        <w:tblPrEx>
          <w:jc w:val="center"/>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3D430EFC" w14:textId="77777777" w:rsidR="006027F4" w:rsidRPr="0013388C" w:rsidRDefault="006027F4" w:rsidP="00E71F81">
            <w:pPr>
              <w:jc w:val="center"/>
              <w:rPr>
                <w:rFonts w:ascii="Arial Narrow" w:hAnsi="Arial Narrow"/>
                <w:bCs/>
                <w:color w:val="333333"/>
                <w:sz w:val="18"/>
                <w:szCs w:val="18"/>
              </w:rPr>
            </w:pPr>
          </w:p>
        </w:tc>
        <w:tc>
          <w:tcPr>
            <w:tcW w:w="8086" w:type="dxa"/>
            <w:gridSpan w:val="6"/>
          </w:tcPr>
          <w:p w14:paraId="50A2A107" w14:textId="77777777" w:rsidR="006027F4" w:rsidRPr="0013388C" w:rsidRDefault="006027F4" w:rsidP="00E71F81">
            <w:pPr>
              <w:rPr>
                <w:rFonts w:ascii="Arial Narrow" w:hAnsi="Arial Narrow"/>
                <w:b/>
                <w:bCs/>
                <w:color w:val="333333"/>
                <w:sz w:val="18"/>
                <w:szCs w:val="18"/>
              </w:rPr>
            </w:pPr>
            <w:r w:rsidRPr="0013388C">
              <w:rPr>
                <w:rFonts w:ascii="Arial Narrow" w:hAnsi="Arial Narrow"/>
                <w:b/>
                <w:bCs/>
                <w:color w:val="333333"/>
                <w:sz w:val="18"/>
                <w:szCs w:val="18"/>
              </w:rPr>
              <w:t>Clinical criteria:</w:t>
            </w:r>
          </w:p>
        </w:tc>
      </w:tr>
      <w:tr w:rsidR="006027F4" w:rsidRPr="0013388C" w14:paraId="79477A1E" w14:textId="77777777" w:rsidTr="00E71F81">
        <w:tblPrEx>
          <w:jc w:val="center"/>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007D2565" w14:textId="77777777" w:rsidR="006027F4" w:rsidRPr="0013388C" w:rsidRDefault="006027F4" w:rsidP="00E71F81">
            <w:pPr>
              <w:jc w:val="center"/>
              <w:rPr>
                <w:rFonts w:ascii="Arial Narrow" w:hAnsi="Arial Narrow"/>
                <w:bCs/>
                <w:color w:val="333333"/>
                <w:sz w:val="18"/>
                <w:szCs w:val="18"/>
              </w:rPr>
            </w:pPr>
          </w:p>
        </w:tc>
        <w:tc>
          <w:tcPr>
            <w:tcW w:w="8086" w:type="dxa"/>
            <w:gridSpan w:val="6"/>
          </w:tcPr>
          <w:p w14:paraId="5C1052DB" w14:textId="77777777" w:rsidR="006027F4" w:rsidRPr="0013388C" w:rsidRDefault="006027F4" w:rsidP="00E71F81">
            <w:pPr>
              <w:rPr>
                <w:rFonts w:ascii="Arial Narrow" w:hAnsi="Arial Narrow"/>
                <w:bCs/>
                <w:color w:val="333333"/>
                <w:sz w:val="18"/>
                <w:szCs w:val="18"/>
              </w:rPr>
            </w:pPr>
            <w:r w:rsidRPr="0013388C">
              <w:rPr>
                <w:rFonts w:ascii="Arial Narrow" w:hAnsi="Arial Narrow"/>
                <w:bCs/>
                <w:color w:val="333333"/>
                <w:sz w:val="18"/>
                <w:szCs w:val="18"/>
              </w:rPr>
              <w:t>The treatment must be within a framework of medical, social and psychological treatment</w:t>
            </w:r>
          </w:p>
        </w:tc>
      </w:tr>
      <w:tr w:rsidR="006027F4" w:rsidRPr="0013388C" w14:paraId="4B3EFC61" w14:textId="77777777" w:rsidTr="00E71F81">
        <w:tblPrEx>
          <w:jc w:val="center"/>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4624BF0B" w14:textId="77777777" w:rsidR="006027F4" w:rsidRPr="0013388C" w:rsidRDefault="006027F4" w:rsidP="00E71F81">
            <w:pPr>
              <w:jc w:val="center"/>
              <w:rPr>
                <w:rFonts w:ascii="Arial Narrow" w:hAnsi="Arial Narrow"/>
                <w:bCs/>
                <w:color w:val="333333"/>
                <w:sz w:val="18"/>
                <w:szCs w:val="18"/>
              </w:rPr>
            </w:pPr>
          </w:p>
        </w:tc>
        <w:tc>
          <w:tcPr>
            <w:tcW w:w="8086" w:type="dxa"/>
            <w:gridSpan w:val="6"/>
            <w:hideMark/>
          </w:tcPr>
          <w:p w14:paraId="0AC1E370" w14:textId="77777777" w:rsidR="006027F4" w:rsidRPr="0013388C" w:rsidRDefault="006027F4" w:rsidP="00E71F81">
            <w:pPr>
              <w:rPr>
                <w:rFonts w:ascii="Arial Narrow" w:hAnsi="Arial Narrow"/>
                <w:b/>
                <w:bCs/>
                <w:color w:val="333333"/>
                <w:sz w:val="18"/>
                <w:szCs w:val="18"/>
              </w:rPr>
            </w:pPr>
            <w:r w:rsidRPr="0013388C">
              <w:rPr>
                <w:rFonts w:ascii="Arial Narrow" w:hAnsi="Arial Narrow"/>
                <w:b/>
                <w:bCs/>
                <w:color w:val="333333"/>
                <w:sz w:val="18"/>
                <w:szCs w:val="18"/>
              </w:rPr>
              <w:t>AND</w:t>
            </w:r>
          </w:p>
        </w:tc>
      </w:tr>
      <w:tr w:rsidR="006027F4" w:rsidRPr="0013388C" w14:paraId="75A9545C" w14:textId="77777777" w:rsidTr="00E71F81">
        <w:tblPrEx>
          <w:jc w:val="center"/>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4A64F406" w14:textId="77777777" w:rsidR="006027F4" w:rsidRPr="0013388C" w:rsidRDefault="006027F4" w:rsidP="00E71F81">
            <w:pPr>
              <w:jc w:val="center"/>
              <w:rPr>
                <w:rFonts w:ascii="Arial Narrow" w:hAnsi="Arial Narrow"/>
                <w:bCs/>
                <w:color w:val="333333"/>
                <w:sz w:val="18"/>
                <w:szCs w:val="18"/>
              </w:rPr>
            </w:pPr>
          </w:p>
        </w:tc>
        <w:tc>
          <w:tcPr>
            <w:tcW w:w="8086" w:type="dxa"/>
            <w:gridSpan w:val="6"/>
            <w:hideMark/>
          </w:tcPr>
          <w:p w14:paraId="1DF25B68" w14:textId="77777777" w:rsidR="006027F4" w:rsidRPr="0013388C" w:rsidRDefault="006027F4" w:rsidP="00E71F81">
            <w:pPr>
              <w:rPr>
                <w:rFonts w:ascii="Arial Narrow" w:hAnsi="Arial Narrow"/>
                <w:b/>
                <w:bCs/>
                <w:color w:val="333333"/>
                <w:sz w:val="18"/>
                <w:szCs w:val="18"/>
              </w:rPr>
            </w:pPr>
            <w:r w:rsidRPr="0013388C">
              <w:rPr>
                <w:rFonts w:ascii="Arial Narrow" w:hAnsi="Arial Narrow"/>
                <w:b/>
                <w:bCs/>
                <w:color w:val="333333"/>
                <w:sz w:val="18"/>
                <w:szCs w:val="18"/>
              </w:rPr>
              <w:t>Clinical criteria:</w:t>
            </w:r>
          </w:p>
        </w:tc>
      </w:tr>
      <w:tr w:rsidR="006027F4" w:rsidRPr="0013388C" w14:paraId="26EB7524" w14:textId="77777777" w:rsidTr="00E71F81">
        <w:tblPrEx>
          <w:jc w:val="center"/>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7C16345F" w14:textId="77777777" w:rsidR="006027F4" w:rsidRPr="0013388C" w:rsidRDefault="006027F4" w:rsidP="00E71F81">
            <w:pPr>
              <w:jc w:val="center"/>
              <w:rPr>
                <w:rFonts w:ascii="Arial Narrow" w:hAnsi="Arial Narrow"/>
                <w:bCs/>
                <w:color w:val="333333"/>
                <w:sz w:val="18"/>
                <w:szCs w:val="18"/>
              </w:rPr>
            </w:pPr>
          </w:p>
        </w:tc>
        <w:tc>
          <w:tcPr>
            <w:tcW w:w="8086" w:type="dxa"/>
            <w:gridSpan w:val="6"/>
            <w:hideMark/>
          </w:tcPr>
          <w:p w14:paraId="7AE41087" w14:textId="77777777" w:rsidR="006027F4" w:rsidRPr="0013388C" w:rsidRDefault="006027F4" w:rsidP="00E71F81">
            <w:pPr>
              <w:rPr>
                <w:rFonts w:ascii="Arial Narrow" w:hAnsi="Arial Narrow"/>
                <w:bCs/>
                <w:strike/>
                <w:color w:val="FF0000"/>
                <w:sz w:val="18"/>
                <w:szCs w:val="18"/>
              </w:rPr>
            </w:pPr>
            <w:r w:rsidRPr="0013388C">
              <w:rPr>
                <w:rFonts w:ascii="Arial Narrow" w:hAnsi="Arial Narrow"/>
                <w:bCs/>
                <w:strike/>
                <w:color w:val="FF0000"/>
                <w:sz w:val="18"/>
                <w:szCs w:val="18"/>
              </w:rPr>
              <w:t>Patient must be stabilised on sublingual buprenorphine or buprenorphine/naloxone prior to commencing treatment with this drug for this condition</w:t>
            </w:r>
          </w:p>
          <w:p w14:paraId="1A5AFA2A" w14:textId="77777777" w:rsidR="006027F4" w:rsidRPr="0013388C" w:rsidRDefault="006027F4" w:rsidP="00E71F81">
            <w:pPr>
              <w:rPr>
                <w:rFonts w:ascii="Arial Narrow" w:hAnsi="Arial Narrow"/>
                <w:bCs/>
                <w:i/>
                <w:iCs/>
                <w:color w:val="333333"/>
                <w:sz w:val="18"/>
                <w:szCs w:val="18"/>
              </w:rPr>
            </w:pPr>
          </w:p>
          <w:p w14:paraId="2F3BDF1F" w14:textId="77777777" w:rsidR="006027F4" w:rsidRPr="0013388C" w:rsidRDefault="006027F4" w:rsidP="00E71F81">
            <w:pPr>
              <w:rPr>
                <w:rFonts w:ascii="Arial Narrow" w:hAnsi="Arial Narrow"/>
                <w:bCs/>
                <w:i/>
                <w:iCs/>
                <w:color w:val="333333"/>
                <w:sz w:val="18"/>
                <w:szCs w:val="18"/>
              </w:rPr>
            </w:pPr>
            <w:r w:rsidRPr="0013388C">
              <w:rPr>
                <w:rFonts w:ascii="Arial Narrow" w:hAnsi="Arial Narrow"/>
                <w:bCs/>
                <w:i/>
                <w:iCs/>
                <w:color w:val="333333"/>
                <w:sz w:val="18"/>
                <w:szCs w:val="18"/>
              </w:rPr>
              <w:t>Patient must be stabilised on one of the following prior to commencing treatment with this drug for this condition: (i)weekly prolonged release buprenorphine (Buvidal Weekly) (ii) sublingual buprenorphine (iii) buprenorphine/naloxone</w:t>
            </w:r>
          </w:p>
        </w:tc>
      </w:tr>
    </w:tbl>
    <w:p w14:paraId="31F9A77E" w14:textId="77777777" w:rsidR="006027F4" w:rsidRPr="0013388C" w:rsidRDefault="006027F4" w:rsidP="006027F4"/>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560"/>
        <w:gridCol w:w="2983"/>
        <w:gridCol w:w="993"/>
        <w:gridCol w:w="850"/>
        <w:gridCol w:w="709"/>
        <w:gridCol w:w="709"/>
        <w:gridCol w:w="1842"/>
      </w:tblGrid>
      <w:tr w:rsidR="006027F4" w:rsidRPr="0013388C" w14:paraId="2FAAC0E7" w14:textId="77777777" w:rsidTr="00E71F81">
        <w:trPr>
          <w:cantSplit/>
          <w:trHeight w:val="471"/>
          <w:jc w:val="center"/>
        </w:trPr>
        <w:tc>
          <w:tcPr>
            <w:tcW w:w="3964" w:type="dxa"/>
            <w:gridSpan w:val="3"/>
          </w:tcPr>
          <w:p w14:paraId="519B5634" w14:textId="77777777" w:rsidR="006027F4" w:rsidRPr="0013388C" w:rsidRDefault="006027F4" w:rsidP="00E71F81">
            <w:pPr>
              <w:keepNext/>
              <w:ind w:left="-57"/>
              <w:rPr>
                <w:rFonts w:ascii="Arial Narrow" w:hAnsi="Arial Narrow"/>
                <w:b/>
                <w:bCs/>
                <w:sz w:val="18"/>
                <w:szCs w:val="18"/>
              </w:rPr>
            </w:pPr>
            <w:r w:rsidRPr="0013388C">
              <w:rPr>
                <w:rFonts w:ascii="Arial Narrow" w:hAnsi="Arial Narrow"/>
                <w:b/>
                <w:bCs/>
                <w:sz w:val="18"/>
                <w:szCs w:val="18"/>
              </w:rPr>
              <w:t>MEDICINAL PRODUCT</w:t>
            </w:r>
          </w:p>
          <w:p w14:paraId="4F46E307" w14:textId="77777777" w:rsidR="006027F4" w:rsidRPr="0013388C" w:rsidRDefault="006027F4" w:rsidP="00E71F81">
            <w:pPr>
              <w:keepNext/>
              <w:ind w:left="-57"/>
              <w:rPr>
                <w:rFonts w:ascii="Arial Narrow" w:hAnsi="Arial Narrow"/>
                <w:b/>
                <w:sz w:val="18"/>
                <w:szCs w:val="18"/>
              </w:rPr>
            </w:pPr>
            <w:r w:rsidRPr="0013388C">
              <w:rPr>
                <w:rFonts w:ascii="Arial Narrow" w:hAnsi="Arial Narrow"/>
                <w:b/>
                <w:bCs/>
                <w:sz w:val="18"/>
                <w:szCs w:val="18"/>
              </w:rPr>
              <w:t>medicinal product pack</w:t>
            </w:r>
          </w:p>
        </w:tc>
        <w:tc>
          <w:tcPr>
            <w:tcW w:w="993" w:type="dxa"/>
          </w:tcPr>
          <w:p w14:paraId="6D807116" w14:textId="77777777" w:rsidR="006027F4" w:rsidRPr="0013388C" w:rsidRDefault="006027F4" w:rsidP="00E71F81">
            <w:pPr>
              <w:keepNext/>
              <w:ind w:left="-108"/>
              <w:jc w:val="center"/>
              <w:rPr>
                <w:rFonts w:ascii="Arial Narrow" w:hAnsi="Arial Narrow"/>
                <w:b/>
                <w:sz w:val="18"/>
                <w:szCs w:val="18"/>
              </w:rPr>
            </w:pPr>
            <w:r w:rsidRPr="0013388C">
              <w:rPr>
                <w:rFonts w:ascii="Arial Narrow" w:hAnsi="Arial Narrow"/>
                <w:b/>
                <w:sz w:val="18"/>
                <w:szCs w:val="18"/>
              </w:rPr>
              <w:t>PBS item code</w:t>
            </w:r>
          </w:p>
        </w:tc>
        <w:tc>
          <w:tcPr>
            <w:tcW w:w="850" w:type="dxa"/>
          </w:tcPr>
          <w:p w14:paraId="737F4842" w14:textId="77777777" w:rsidR="006027F4" w:rsidRPr="0013388C" w:rsidRDefault="006027F4" w:rsidP="00E71F81">
            <w:pPr>
              <w:keepNext/>
              <w:ind w:left="-108"/>
              <w:jc w:val="center"/>
              <w:rPr>
                <w:rFonts w:ascii="Arial Narrow" w:hAnsi="Arial Narrow"/>
                <w:b/>
                <w:sz w:val="18"/>
                <w:szCs w:val="18"/>
              </w:rPr>
            </w:pPr>
            <w:r w:rsidRPr="0013388C">
              <w:rPr>
                <w:rFonts w:ascii="Arial Narrow" w:hAnsi="Arial Narrow"/>
                <w:b/>
                <w:sz w:val="18"/>
                <w:szCs w:val="18"/>
              </w:rPr>
              <w:t>Max. qty packs</w:t>
            </w:r>
          </w:p>
        </w:tc>
        <w:tc>
          <w:tcPr>
            <w:tcW w:w="709" w:type="dxa"/>
          </w:tcPr>
          <w:p w14:paraId="75040223" w14:textId="77777777" w:rsidR="006027F4" w:rsidRPr="0013388C" w:rsidRDefault="006027F4" w:rsidP="00E71F81">
            <w:pPr>
              <w:keepNext/>
              <w:ind w:left="-108"/>
              <w:jc w:val="center"/>
              <w:rPr>
                <w:rFonts w:ascii="Arial Narrow" w:hAnsi="Arial Narrow"/>
                <w:b/>
                <w:sz w:val="18"/>
                <w:szCs w:val="18"/>
              </w:rPr>
            </w:pPr>
            <w:r w:rsidRPr="0013388C">
              <w:rPr>
                <w:rFonts w:ascii="Arial Narrow" w:hAnsi="Arial Narrow"/>
                <w:b/>
                <w:sz w:val="18"/>
                <w:szCs w:val="18"/>
              </w:rPr>
              <w:t>Max. qty units</w:t>
            </w:r>
          </w:p>
        </w:tc>
        <w:tc>
          <w:tcPr>
            <w:tcW w:w="709" w:type="dxa"/>
          </w:tcPr>
          <w:p w14:paraId="35D2E3CA" w14:textId="77777777" w:rsidR="006027F4" w:rsidRPr="0013388C" w:rsidRDefault="006027F4" w:rsidP="00E71F81">
            <w:pPr>
              <w:keepNext/>
              <w:ind w:left="-108"/>
              <w:jc w:val="center"/>
              <w:rPr>
                <w:rFonts w:ascii="Arial Narrow" w:hAnsi="Arial Narrow"/>
                <w:b/>
                <w:sz w:val="18"/>
                <w:szCs w:val="18"/>
              </w:rPr>
            </w:pPr>
            <w:r w:rsidRPr="0013388C">
              <w:rPr>
                <w:rFonts w:ascii="Arial Narrow" w:hAnsi="Arial Narrow"/>
                <w:b/>
                <w:sz w:val="18"/>
                <w:szCs w:val="18"/>
              </w:rPr>
              <w:t>№.of</w:t>
            </w:r>
          </w:p>
          <w:p w14:paraId="76798596" w14:textId="77777777" w:rsidR="006027F4" w:rsidRPr="0013388C" w:rsidRDefault="006027F4" w:rsidP="00E71F81">
            <w:pPr>
              <w:keepNext/>
              <w:ind w:left="-108"/>
              <w:jc w:val="center"/>
              <w:rPr>
                <w:rFonts w:ascii="Arial Narrow" w:hAnsi="Arial Narrow"/>
                <w:b/>
                <w:sz w:val="18"/>
                <w:szCs w:val="18"/>
              </w:rPr>
            </w:pPr>
            <w:r w:rsidRPr="0013388C">
              <w:rPr>
                <w:rFonts w:ascii="Arial Narrow" w:hAnsi="Arial Narrow"/>
                <w:b/>
                <w:sz w:val="18"/>
                <w:szCs w:val="18"/>
              </w:rPr>
              <w:t>Rpts</w:t>
            </w:r>
          </w:p>
        </w:tc>
        <w:tc>
          <w:tcPr>
            <w:tcW w:w="1842" w:type="dxa"/>
          </w:tcPr>
          <w:p w14:paraId="2F06B717" w14:textId="77777777" w:rsidR="006027F4" w:rsidRPr="0013388C" w:rsidRDefault="006027F4" w:rsidP="00E71F81">
            <w:pPr>
              <w:keepNext/>
              <w:rPr>
                <w:rFonts w:ascii="Arial Narrow" w:hAnsi="Arial Narrow"/>
                <w:b/>
                <w:sz w:val="18"/>
                <w:szCs w:val="18"/>
              </w:rPr>
            </w:pPr>
            <w:r w:rsidRPr="0013388C">
              <w:rPr>
                <w:rFonts w:ascii="Arial Narrow" w:hAnsi="Arial Narrow"/>
                <w:b/>
                <w:sz w:val="18"/>
                <w:szCs w:val="18"/>
              </w:rPr>
              <w:t>Available brands</w:t>
            </w:r>
          </w:p>
        </w:tc>
      </w:tr>
      <w:tr w:rsidR="006027F4" w:rsidRPr="0013388C" w14:paraId="412E1E51" w14:textId="77777777" w:rsidTr="00E71F81">
        <w:trPr>
          <w:cantSplit/>
          <w:trHeight w:val="224"/>
          <w:jc w:val="center"/>
        </w:trPr>
        <w:tc>
          <w:tcPr>
            <w:tcW w:w="9067" w:type="dxa"/>
            <w:gridSpan w:val="8"/>
          </w:tcPr>
          <w:p w14:paraId="44B725B3" w14:textId="77777777" w:rsidR="006027F4" w:rsidRPr="0013388C" w:rsidRDefault="006027F4" w:rsidP="00E71F81">
            <w:pPr>
              <w:keepNext/>
              <w:ind w:left="-57"/>
              <w:rPr>
                <w:rFonts w:ascii="Arial Narrow" w:hAnsi="Arial Narrow"/>
                <w:b/>
                <w:bCs/>
                <w:sz w:val="18"/>
                <w:szCs w:val="18"/>
              </w:rPr>
            </w:pPr>
            <w:r w:rsidRPr="0013388C">
              <w:rPr>
                <w:rFonts w:ascii="Arial Narrow" w:hAnsi="Arial Narrow"/>
                <w:b/>
                <w:bCs/>
                <w:sz w:val="18"/>
                <w:szCs w:val="18"/>
              </w:rPr>
              <w:t>BUPRENORPHINE 50 mg/mL weekly</w:t>
            </w:r>
          </w:p>
        </w:tc>
      </w:tr>
      <w:tr w:rsidR="006027F4" w:rsidRPr="0013388C" w14:paraId="2D4E303B" w14:textId="77777777" w:rsidTr="00E71F81">
        <w:trPr>
          <w:cantSplit/>
          <w:trHeight w:val="503"/>
          <w:jc w:val="center"/>
        </w:trPr>
        <w:tc>
          <w:tcPr>
            <w:tcW w:w="3964" w:type="dxa"/>
            <w:gridSpan w:val="3"/>
          </w:tcPr>
          <w:p w14:paraId="214DDE8C" w14:textId="77777777" w:rsidR="006027F4" w:rsidRPr="0013388C" w:rsidRDefault="006027F4" w:rsidP="00E71F81">
            <w:pPr>
              <w:keepNext/>
              <w:ind w:left="-57"/>
              <w:rPr>
                <w:rFonts w:ascii="Arial Narrow" w:hAnsi="Arial Narrow"/>
                <w:sz w:val="18"/>
                <w:szCs w:val="18"/>
              </w:rPr>
            </w:pPr>
            <w:r w:rsidRPr="0013388C">
              <w:rPr>
                <w:rFonts w:ascii="Arial Narrow" w:hAnsi="Arial Narrow"/>
                <w:sz w:val="18"/>
                <w:szCs w:val="18"/>
              </w:rPr>
              <w:t>Buprenorphine 8 mg/0.16 mL modified release injection, 0.16 mL syringe</w:t>
            </w:r>
          </w:p>
        </w:tc>
        <w:tc>
          <w:tcPr>
            <w:tcW w:w="993" w:type="dxa"/>
          </w:tcPr>
          <w:p w14:paraId="435F6186" w14:textId="77777777" w:rsidR="006027F4" w:rsidRPr="0013388C" w:rsidRDefault="006027F4" w:rsidP="00E71F81">
            <w:pPr>
              <w:keepNext/>
              <w:jc w:val="center"/>
              <w:rPr>
                <w:rFonts w:ascii="Arial Narrow" w:hAnsi="Arial Narrow"/>
                <w:sz w:val="18"/>
                <w:szCs w:val="18"/>
              </w:rPr>
            </w:pPr>
            <w:r w:rsidRPr="0013388C">
              <w:rPr>
                <w:rFonts w:ascii="Arial Narrow" w:hAnsi="Arial Narrow"/>
                <w:sz w:val="18"/>
                <w:szCs w:val="18"/>
              </w:rPr>
              <w:t>NEW</w:t>
            </w:r>
          </w:p>
        </w:tc>
        <w:tc>
          <w:tcPr>
            <w:tcW w:w="850" w:type="dxa"/>
            <w:vMerge w:val="restart"/>
          </w:tcPr>
          <w:p w14:paraId="3D2D2227" w14:textId="77777777" w:rsidR="006027F4" w:rsidRPr="0013388C" w:rsidRDefault="006027F4" w:rsidP="00E71F81">
            <w:pPr>
              <w:keepNext/>
              <w:jc w:val="center"/>
              <w:rPr>
                <w:rFonts w:ascii="Arial Narrow" w:hAnsi="Arial Narrow"/>
                <w:sz w:val="18"/>
                <w:szCs w:val="18"/>
              </w:rPr>
            </w:pPr>
            <w:r w:rsidRPr="0013388C">
              <w:rPr>
                <w:rFonts w:ascii="Arial Narrow" w:hAnsi="Arial Narrow"/>
                <w:sz w:val="18"/>
                <w:szCs w:val="18"/>
              </w:rPr>
              <w:t>1</w:t>
            </w:r>
          </w:p>
        </w:tc>
        <w:tc>
          <w:tcPr>
            <w:tcW w:w="709" w:type="dxa"/>
            <w:vMerge w:val="restart"/>
          </w:tcPr>
          <w:p w14:paraId="07840F28" w14:textId="77777777" w:rsidR="006027F4" w:rsidRPr="0013388C" w:rsidRDefault="006027F4" w:rsidP="00E71F81">
            <w:pPr>
              <w:keepNext/>
              <w:jc w:val="center"/>
              <w:rPr>
                <w:rFonts w:ascii="Arial Narrow" w:hAnsi="Arial Narrow"/>
                <w:sz w:val="18"/>
                <w:szCs w:val="18"/>
              </w:rPr>
            </w:pPr>
            <w:r w:rsidRPr="0013388C">
              <w:rPr>
                <w:rFonts w:ascii="Arial Narrow" w:hAnsi="Arial Narrow"/>
                <w:sz w:val="18"/>
                <w:szCs w:val="18"/>
              </w:rPr>
              <w:t>1</w:t>
            </w:r>
          </w:p>
        </w:tc>
        <w:tc>
          <w:tcPr>
            <w:tcW w:w="709" w:type="dxa"/>
            <w:vMerge w:val="restart"/>
          </w:tcPr>
          <w:p w14:paraId="704634F7" w14:textId="77777777" w:rsidR="006027F4" w:rsidRPr="0013388C" w:rsidRDefault="006027F4" w:rsidP="00E71F81">
            <w:pPr>
              <w:keepNext/>
              <w:jc w:val="center"/>
              <w:rPr>
                <w:rFonts w:ascii="Arial Narrow" w:hAnsi="Arial Narrow"/>
                <w:sz w:val="18"/>
                <w:szCs w:val="18"/>
              </w:rPr>
            </w:pPr>
            <w:r w:rsidRPr="0013388C">
              <w:rPr>
                <w:rFonts w:ascii="Arial Narrow" w:hAnsi="Arial Narrow"/>
                <w:sz w:val="18"/>
                <w:szCs w:val="18"/>
              </w:rPr>
              <w:t>NA</w:t>
            </w:r>
          </w:p>
        </w:tc>
        <w:tc>
          <w:tcPr>
            <w:tcW w:w="1842" w:type="dxa"/>
            <w:vMerge w:val="restart"/>
          </w:tcPr>
          <w:p w14:paraId="506AD3DA" w14:textId="77777777" w:rsidR="006027F4" w:rsidRPr="0013388C" w:rsidRDefault="006027F4" w:rsidP="00E71F81">
            <w:pPr>
              <w:keepNext/>
              <w:rPr>
                <w:rFonts w:ascii="Arial Narrow" w:hAnsi="Arial Narrow"/>
                <w:sz w:val="18"/>
                <w:szCs w:val="18"/>
              </w:rPr>
            </w:pPr>
            <w:r w:rsidRPr="0013388C">
              <w:rPr>
                <w:rFonts w:ascii="Arial Narrow" w:hAnsi="Arial Narrow"/>
                <w:sz w:val="18"/>
                <w:szCs w:val="18"/>
              </w:rPr>
              <w:t>Buvidal weekly</w:t>
            </w:r>
          </w:p>
        </w:tc>
      </w:tr>
      <w:tr w:rsidR="006027F4" w:rsidRPr="0013388C" w14:paraId="11DE64D7" w14:textId="77777777" w:rsidTr="00E71F81">
        <w:trPr>
          <w:cantSplit/>
          <w:trHeight w:val="501"/>
          <w:jc w:val="center"/>
        </w:trPr>
        <w:tc>
          <w:tcPr>
            <w:tcW w:w="3964" w:type="dxa"/>
            <w:gridSpan w:val="3"/>
          </w:tcPr>
          <w:p w14:paraId="2B9D1FB3" w14:textId="77777777" w:rsidR="006027F4" w:rsidRPr="0013388C" w:rsidRDefault="006027F4" w:rsidP="00E71F81">
            <w:pPr>
              <w:keepNext/>
              <w:ind w:left="-57"/>
              <w:rPr>
                <w:rFonts w:ascii="Arial Narrow" w:hAnsi="Arial Narrow"/>
                <w:sz w:val="18"/>
                <w:szCs w:val="18"/>
              </w:rPr>
            </w:pPr>
            <w:r w:rsidRPr="0013388C">
              <w:rPr>
                <w:rFonts w:ascii="Arial Narrow" w:hAnsi="Arial Narrow"/>
                <w:sz w:val="18"/>
                <w:szCs w:val="18"/>
              </w:rPr>
              <w:t>Buprenorphine 16 mg/0.32 mL modified release injection, 0.32 mL syringe</w:t>
            </w:r>
          </w:p>
        </w:tc>
        <w:tc>
          <w:tcPr>
            <w:tcW w:w="993" w:type="dxa"/>
          </w:tcPr>
          <w:p w14:paraId="45D5EED1" w14:textId="77777777" w:rsidR="006027F4" w:rsidRPr="0013388C" w:rsidRDefault="006027F4" w:rsidP="00E71F81">
            <w:pPr>
              <w:keepNext/>
              <w:jc w:val="center"/>
              <w:rPr>
                <w:rFonts w:ascii="Arial Narrow" w:hAnsi="Arial Narrow"/>
                <w:sz w:val="18"/>
                <w:szCs w:val="18"/>
              </w:rPr>
            </w:pPr>
            <w:r w:rsidRPr="0013388C">
              <w:rPr>
                <w:rFonts w:ascii="Arial Narrow" w:hAnsi="Arial Narrow"/>
                <w:sz w:val="18"/>
                <w:szCs w:val="18"/>
              </w:rPr>
              <w:t>NEW</w:t>
            </w:r>
          </w:p>
        </w:tc>
        <w:tc>
          <w:tcPr>
            <w:tcW w:w="850" w:type="dxa"/>
            <w:vMerge/>
          </w:tcPr>
          <w:p w14:paraId="3B37AB22" w14:textId="77777777" w:rsidR="006027F4" w:rsidRPr="0013388C" w:rsidRDefault="006027F4" w:rsidP="00E71F81">
            <w:pPr>
              <w:keepNext/>
              <w:jc w:val="center"/>
              <w:rPr>
                <w:rFonts w:ascii="Arial Narrow" w:hAnsi="Arial Narrow"/>
                <w:sz w:val="18"/>
                <w:szCs w:val="18"/>
              </w:rPr>
            </w:pPr>
          </w:p>
        </w:tc>
        <w:tc>
          <w:tcPr>
            <w:tcW w:w="709" w:type="dxa"/>
            <w:vMerge/>
          </w:tcPr>
          <w:p w14:paraId="61ACFDB5" w14:textId="77777777" w:rsidR="006027F4" w:rsidRPr="0013388C" w:rsidRDefault="006027F4" w:rsidP="00E71F81">
            <w:pPr>
              <w:keepNext/>
              <w:jc w:val="center"/>
              <w:rPr>
                <w:rFonts w:ascii="Arial Narrow" w:hAnsi="Arial Narrow"/>
                <w:sz w:val="18"/>
                <w:szCs w:val="18"/>
              </w:rPr>
            </w:pPr>
          </w:p>
        </w:tc>
        <w:tc>
          <w:tcPr>
            <w:tcW w:w="709" w:type="dxa"/>
            <w:vMerge/>
          </w:tcPr>
          <w:p w14:paraId="448DF819" w14:textId="77777777" w:rsidR="006027F4" w:rsidRPr="0013388C" w:rsidRDefault="006027F4" w:rsidP="00E71F81">
            <w:pPr>
              <w:keepNext/>
              <w:jc w:val="center"/>
              <w:rPr>
                <w:rFonts w:ascii="Arial Narrow" w:hAnsi="Arial Narrow"/>
                <w:sz w:val="18"/>
                <w:szCs w:val="18"/>
              </w:rPr>
            </w:pPr>
          </w:p>
        </w:tc>
        <w:tc>
          <w:tcPr>
            <w:tcW w:w="1842" w:type="dxa"/>
            <w:vMerge/>
          </w:tcPr>
          <w:p w14:paraId="1573ADC7" w14:textId="77777777" w:rsidR="006027F4" w:rsidRPr="0013388C" w:rsidRDefault="006027F4" w:rsidP="00E71F81">
            <w:pPr>
              <w:keepNext/>
              <w:rPr>
                <w:rFonts w:ascii="Arial Narrow" w:hAnsi="Arial Narrow"/>
                <w:sz w:val="18"/>
                <w:szCs w:val="18"/>
              </w:rPr>
            </w:pPr>
          </w:p>
        </w:tc>
      </w:tr>
      <w:tr w:rsidR="006027F4" w:rsidRPr="0013388C" w14:paraId="232EC58B" w14:textId="77777777" w:rsidTr="00E71F81">
        <w:trPr>
          <w:cantSplit/>
          <w:trHeight w:val="501"/>
          <w:jc w:val="center"/>
        </w:trPr>
        <w:tc>
          <w:tcPr>
            <w:tcW w:w="3964" w:type="dxa"/>
            <w:gridSpan w:val="3"/>
          </w:tcPr>
          <w:p w14:paraId="1BCF52C4" w14:textId="77777777" w:rsidR="006027F4" w:rsidRPr="0013388C" w:rsidRDefault="006027F4" w:rsidP="00E71F81">
            <w:pPr>
              <w:keepNext/>
              <w:ind w:left="-57"/>
              <w:rPr>
                <w:rFonts w:ascii="Arial Narrow" w:hAnsi="Arial Narrow"/>
                <w:sz w:val="18"/>
                <w:szCs w:val="18"/>
              </w:rPr>
            </w:pPr>
            <w:r w:rsidRPr="0013388C">
              <w:rPr>
                <w:rFonts w:ascii="Arial Narrow" w:hAnsi="Arial Narrow"/>
                <w:sz w:val="18"/>
                <w:szCs w:val="18"/>
              </w:rPr>
              <w:t>Buprenorphine 24 mg/0.48 mL modified release injection, 0.48 mL syringe</w:t>
            </w:r>
          </w:p>
        </w:tc>
        <w:tc>
          <w:tcPr>
            <w:tcW w:w="993" w:type="dxa"/>
          </w:tcPr>
          <w:p w14:paraId="7BA6E7B1" w14:textId="77777777" w:rsidR="006027F4" w:rsidRPr="0013388C" w:rsidRDefault="006027F4" w:rsidP="00E71F81">
            <w:pPr>
              <w:keepNext/>
              <w:jc w:val="center"/>
              <w:rPr>
                <w:rFonts w:ascii="Arial Narrow" w:hAnsi="Arial Narrow"/>
                <w:sz w:val="18"/>
                <w:szCs w:val="18"/>
              </w:rPr>
            </w:pPr>
            <w:r w:rsidRPr="0013388C">
              <w:rPr>
                <w:rFonts w:ascii="Arial Narrow" w:hAnsi="Arial Narrow"/>
                <w:sz w:val="18"/>
                <w:szCs w:val="18"/>
              </w:rPr>
              <w:t>NEW</w:t>
            </w:r>
          </w:p>
        </w:tc>
        <w:tc>
          <w:tcPr>
            <w:tcW w:w="850" w:type="dxa"/>
            <w:vMerge/>
          </w:tcPr>
          <w:p w14:paraId="4D135DDF" w14:textId="77777777" w:rsidR="006027F4" w:rsidRPr="0013388C" w:rsidRDefault="006027F4" w:rsidP="00E71F81">
            <w:pPr>
              <w:keepNext/>
              <w:jc w:val="center"/>
              <w:rPr>
                <w:rFonts w:ascii="Arial Narrow" w:hAnsi="Arial Narrow"/>
                <w:sz w:val="18"/>
                <w:szCs w:val="18"/>
              </w:rPr>
            </w:pPr>
          </w:p>
        </w:tc>
        <w:tc>
          <w:tcPr>
            <w:tcW w:w="709" w:type="dxa"/>
            <w:vMerge/>
          </w:tcPr>
          <w:p w14:paraId="7B05157D" w14:textId="77777777" w:rsidR="006027F4" w:rsidRPr="0013388C" w:rsidRDefault="006027F4" w:rsidP="00E71F81">
            <w:pPr>
              <w:keepNext/>
              <w:jc w:val="center"/>
              <w:rPr>
                <w:rFonts w:ascii="Arial Narrow" w:hAnsi="Arial Narrow"/>
                <w:sz w:val="18"/>
                <w:szCs w:val="18"/>
              </w:rPr>
            </w:pPr>
          </w:p>
        </w:tc>
        <w:tc>
          <w:tcPr>
            <w:tcW w:w="709" w:type="dxa"/>
            <w:vMerge/>
          </w:tcPr>
          <w:p w14:paraId="0D1668AE" w14:textId="77777777" w:rsidR="006027F4" w:rsidRPr="0013388C" w:rsidRDefault="006027F4" w:rsidP="00E71F81">
            <w:pPr>
              <w:keepNext/>
              <w:jc w:val="center"/>
              <w:rPr>
                <w:rFonts w:ascii="Arial Narrow" w:hAnsi="Arial Narrow"/>
                <w:sz w:val="18"/>
                <w:szCs w:val="18"/>
              </w:rPr>
            </w:pPr>
          </w:p>
        </w:tc>
        <w:tc>
          <w:tcPr>
            <w:tcW w:w="1842" w:type="dxa"/>
            <w:vMerge/>
          </w:tcPr>
          <w:p w14:paraId="2FBA8FE3" w14:textId="77777777" w:rsidR="006027F4" w:rsidRPr="0013388C" w:rsidRDefault="006027F4" w:rsidP="00E71F81">
            <w:pPr>
              <w:keepNext/>
              <w:rPr>
                <w:rFonts w:ascii="Arial Narrow" w:hAnsi="Arial Narrow"/>
                <w:sz w:val="18"/>
                <w:szCs w:val="18"/>
              </w:rPr>
            </w:pPr>
          </w:p>
        </w:tc>
      </w:tr>
      <w:tr w:rsidR="006027F4" w:rsidRPr="0013388C" w14:paraId="4BC15DE0" w14:textId="77777777" w:rsidTr="00E71F81">
        <w:trPr>
          <w:cantSplit/>
          <w:trHeight w:val="501"/>
          <w:jc w:val="center"/>
        </w:trPr>
        <w:tc>
          <w:tcPr>
            <w:tcW w:w="3964" w:type="dxa"/>
            <w:gridSpan w:val="3"/>
          </w:tcPr>
          <w:p w14:paraId="545D2350" w14:textId="77777777" w:rsidR="006027F4" w:rsidRPr="0013388C" w:rsidRDefault="006027F4" w:rsidP="00E71F81">
            <w:pPr>
              <w:keepNext/>
              <w:ind w:left="-57"/>
              <w:rPr>
                <w:rFonts w:ascii="Arial Narrow" w:hAnsi="Arial Narrow"/>
                <w:sz w:val="18"/>
                <w:szCs w:val="18"/>
              </w:rPr>
            </w:pPr>
            <w:r w:rsidRPr="0013388C">
              <w:rPr>
                <w:rFonts w:ascii="Arial Narrow" w:hAnsi="Arial Narrow"/>
                <w:sz w:val="18"/>
                <w:szCs w:val="18"/>
              </w:rPr>
              <w:t>Buprenorphine 32 mg/0.64 mL modified release injection, 0.64 mL syringe</w:t>
            </w:r>
          </w:p>
        </w:tc>
        <w:tc>
          <w:tcPr>
            <w:tcW w:w="993" w:type="dxa"/>
          </w:tcPr>
          <w:p w14:paraId="14208849" w14:textId="77777777" w:rsidR="006027F4" w:rsidRPr="0013388C" w:rsidRDefault="006027F4" w:rsidP="00E71F81">
            <w:pPr>
              <w:keepNext/>
              <w:jc w:val="center"/>
              <w:rPr>
                <w:rFonts w:ascii="Arial Narrow" w:hAnsi="Arial Narrow"/>
                <w:sz w:val="18"/>
                <w:szCs w:val="18"/>
              </w:rPr>
            </w:pPr>
            <w:r w:rsidRPr="0013388C">
              <w:rPr>
                <w:rFonts w:ascii="Arial Narrow" w:hAnsi="Arial Narrow"/>
                <w:sz w:val="18"/>
                <w:szCs w:val="18"/>
              </w:rPr>
              <w:t>NEW</w:t>
            </w:r>
          </w:p>
        </w:tc>
        <w:tc>
          <w:tcPr>
            <w:tcW w:w="850" w:type="dxa"/>
            <w:vMerge/>
          </w:tcPr>
          <w:p w14:paraId="3F19124A" w14:textId="77777777" w:rsidR="006027F4" w:rsidRPr="0013388C" w:rsidRDefault="006027F4" w:rsidP="00E71F81">
            <w:pPr>
              <w:keepNext/>
              <w:jc w:val="center"/>
              <w:rPr>
                <w:rFonts w:ascii="Arial Narrow" w:hAnsi="Arial Narrow"/>
                <w:sz w:val="18"/>
                <w:szCs w:val="18"/>
              </w:rPr>
            </w:pPr>
          </w:p>
        </w:tc>
        <w:tc>
          <w:tcPr>
            <w:tcW w:w="709" w:type="dxa"/>
            <w:vMerge/>
          </w:tcPr>
          <w:p w14:paraId="3FDF7C72" w14:textId="77777777" w:rsidR="006027F4" w:rsidRPr="0013388C" w:rsidRDefault="006027F4" w:rsidP="00E71F81">
            <w:pPr>
              <w:keepNext/>
              <w:jc w:val="center"/>
              <w:rPr>
                <w:rFonts w:ascii="Arial Narrow" w:hAnsi="Arial Narrow"/>
                <w:sz w:val="18"/>
                <w:szCs w:val="18"/>
              </w:rPr>
            </w:pPr>
          </w:p>
        </w:tc>
        <w:tc>
          <w:tcPr>
            <w:tcW w:w="709" w:type="dxa"/>
            <w:vMerge/>
          </w:tcPr>
          <w:p w14:paraId="7BB5F9E7" w14:textId="77777777" w:rsidR="006027F4" w:rsidRPr="0013388C" w:rsidRDefault="006027F4" w:rsidP="00E71F81">
            <w:pPr>
              <w:keepNext/>
              <w:jc w:val="center"/>
              <w:rPr>
                <w:rFonts w:ascii="Arial Narrow" w:hAnsi="Arial Narrow"/>
                <w:sz w:val="18"/>
                <w:szCs w:val="18"/>
              </w:rPr>
            </w:pPr>
          </w:p>
        </w:tc>
        <w:tc>
          <w:tcPr>
            <w:tcW w:w="1842" w:type="dxa"/>
            <w:vMerge/>
          </w:tcPr>
          <w:p w14:paraId="0F41009E" w14:textId="77777777" w:rsidR="006027F4" w:rsidRPr="0013388C" w:rsidRDefault="006027F4" w:rsidP="00E71F81">
            <w:pPr>
              <w:keepNext/>
              <w:rPr>
                <w:rFonts w:ascii="Arial Narrow" w:hAnsi="Arial Narrow"/>
                <w:sz w:val="18"/>
                <w:szCs w:val="18"/>
              </w:rPr>
            </w:pPr>
          </w:p>
        </w:tc>
      </w:tr>
      <w:tr w:rsidR="006027F4" w:rsidRPr="0013388C" w14:paraId="014E7120" w14:textId="77777777" w:rsidTr="00E71F81">
        <w:tblPrEx>
          <w:tblCellMar>
            <w:top w:w="15" w:type="dxa"/>
            <w:left w:w="15" w:type="dxa"/>
            <w:bottom w:w="15" w:type="dxa"/>
            <w:right w:w="15" w:type="dxa"/>
          </w:tblCellMar>
          <w:tblLook w:val="04A0" w:firstRow="1" w:lastRow="0" w:firstColumn="1" w:lastColumn="0" w:noHBand="0" w:noVBand="1"/>
        </w:tblPrEx>
        <w:trPr>
          <w:jc w:val="center"/>
        </w:trPr>
        <w:tc>
          <w:tcPr>
            <w:tcW w:w="9067" w:type="dxa"/>
            <w:gridSpan w:val="8"/>
            <w:tcBorders>
              <w:top w:val="single" w:sz="4" w:space="0" w:color="auto"/>
              <w:left w:val="single" w:sz="4" w:space="0" w:color="auto"/>
              <w:right w:val="single" w:sz="4" w:space="0" w:color="auto"/>
            </w:tcBorders>
          </w:tcPr>
          <w:p w14:paraId="543B4838" w14:textId="77777777" w:rsidR="006027F4" w:rsidRPr="0013388C" w:rsidRDefault="006027F4" w:rsidP="00E71F81">
            <w:pPr>
              <w:rPr>
                <w:rFonts w:ascii="Arial Narrow" w:hAnsi="Arial Narrow"/>
                <w:sz w:val="18"/>
                <w:szCs w:val="18"/>
              </w:rPr>
            </w:pPr>
          </w:p>
        </w:tc>
      </w:tr>
      <w:tr w:rsidR="006027F4" w:rsidRPr="0013388C" w14:paraId="4A0CDED0" w14:textId="77777777" w:rsidTr="00E71F81">
        <w:tblPrEx>
          <w:tblCellMar>
            <w:top w:w="15" w:type="dxa"/>
            <w:left w:w="15" w:type="dxa"/>
            <w:bottom w:w="15" w:type="dxa"/>
            <w:right w:w="15" w:type="dxa"/>
          </w:tblCellMar>
          <w:tblLook w:val="04A0" w:firstRow="1" w:lastRow="0" w:firstColumn="1" w:lastColumn="0" w:noHBand="0" w:noVBand="1"/>
        </w:tblPrEx>
        <w:trPr>
          <w:jc w:val="center"/>
        </w:trPr>
        <w:tc>
          <w:tcPr>
            <w:tcW w:w="9067" w:type="dxa"/>
            <w:gridSpan w:val="8"/>
            <w:tcBorders>
              <w:top w:val="single" w:sz="4" w:space="0" w:color="auto"/>
              <w:left w:val="single" w:sz="4" w:space="0" w:color="auto"/>
              <w:right w:val="single" w:sz="4" w:space="0" w:color="auto"/>
            </w:tcBorders>
          </w:tcPr>
          <w:p w14:paraId="395697DD" w14:textId="77777777" w:rsidR="006027F4" w:rsidRPr="0013388C" w:rsidRDefault="006027F4" w:rsidP="00E71F81">
            <w:pPr>
              <w:rPr>
                <w:rFonts w:ascii="Arial Narrow" w:hAnsi="Arial Narrow"/>
                <w:b/>
                <w:sz w:val="18"/>
                <w:szCs w:val="18"/>
              </w:rPr>
            </w:pPr>
            <w:r w:rsidRPr="0013388C">
              <w:rPr>
                <w:rFonts w:ascii="Arial Narrow" w:hAnsi="Arial Narrow"/>
                <w:b/>
                <w:sz w:val="18"/>
                <w:szCs w:val="18"/>
              </w:rPr>
              <w:t>Restriction Summary 9213 / Treatment of Concept: 9212</w:t>
            </w:r>
          </w:p>
        </w:tc>
      </w:tr>
      <w:tr w:rsidR="006027F4" w:rsidRPr="0013388C" w14:paraId="3B548447" w14:textId="77777777" w:rsidTr="00E71F81">
        <w:tblPrEx>
          <w:tblCellMar>
            <w:top w:w="15" w:type="dxa"/>
            <w:left w:w="15" w:type="dxa"/>
            <w:bottom w:w="15" w:type="dxa"/>
            <w:right w:w="15" w:type="dxa"/>
          </w:tblCellMar>
          <w:tblLook w:val="04A0" w:firstRow="1" w:lastRow="0" w:firstColumn="1" w:lastColumn="0" w:noHBand="0" w:noVBand="1"/>
        </w:tblPrEx>
        <w:trPr>
          <w:jc w:val="center"/>
        </w:trPr>
        <w:tc>
          <w:tcPr>
            <w:tcW w:w="981" w:type="dxa"/>
            <w:gridSpan w:val="2"/>
            <w:vMerge w:val="restart"/>
            <w:tcBorders>
              <w:top w:val="single" w:sz="4" w:space="0" w:color="auto"/>
              <w:left w:val="single" w:sz="4" w:space="0" w:color="auto"/>
              <w:right w:val="single" w:sz="4" w:space="0" w:color="auto"/>
            </w:tcBorders>
          </w:tcPr>
          <w:p w14:paraId="6ACCBB95" w14:textId="77777777" w:rsidR="006027F4" w:rsidRPr="0013388C" w:rsidRDefault="006027F4" w:rsidP="00E71F81">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4B454428" w14:textId="77777777" w:rsidR="006027F4" w:rsidRPr="0013388C" w:rsidRDefault="006027F4" w:rsidP="00E71F81">
            <w:pPr>
              <w:rPr>
                <w:rFonts w:ascii="Arial Narrow" w:hAnsi="Arial Narrow"/>
                <w:sz w:val="18"/>
                <w:szCs w:val="18"/>
              </w:rPr>
            </w:pPr>
            <w:r w:rsidRPr="0013388C">
              <w:rPr>
                <w:rFonts w:ascii="Arial Narrow" w:hAnsi="Arial Narrow"/>
                <w:b/>
                <w:sz w:val="18"/>
                <w:szCs w:val="18"/>
              </w:rPr>
              <w:t xml:space="preserve"> Category / Program:   </w:t>
            </w:r>
            <w:r w:rsidRPr="0013388C">
              <w:rPr>
                <w:rFonts w:ascii="Arial Narrow" w:hAnsi="Arial Narrow"/>
                <w:sz w:val="18"/>
                <w:szCs w:val="18"/>
              </w:rPr>
              <w:t>GENERAL- General Schedule</w:t>
            </w:r>
          </w:p>
        </w:tc>
      </w:tr>
      <w:tr w:rsidR="006027F4" w:rsidRPr="0013388C" w14:paraId="4E995B8E" w14:textId="77777777" w:rsidTr="00E71F81">
        <w:tblPrEx>
          <w:tblCellMar>
            <w:top w:w="15" w:type="dxa"/>
            <w:left w:w="15" w:type="dxa"/>
            <w:bottom w:w="15" w:type="dxa"/>
            <w:right w:w="15" w:type="dxa"/>
          </w:tblCellMar>
          <w:tblLook w:val="04A0" w:firstRow="1" w:lastRow="0" w:firstColumn="1" w:lastColumn="0" w:noHBand="0" w:noVBand="1"/>
        </w:tblPrEx>
        <w:trPr>
          <w:trHeight w:val="240"/>
          <w:jc w:val="center"/>
        </w:trPr>
        <w:tc>
          <w:tcPr>
            <w:tcW w:w="981" w:type="dxa"/>
            <w:gridSpan w:val="2"/>
            <w:vMerge/>
            <w:tcBorders>
              <w:left w:val="single" w:sz="4" w:space="0" w:color="auto"/>
              <w:right w:val="single" w:sz="4" w:space="0" w:color="auto"/>
            </w:tcBorders>
          </w:tcPr>
          <w:p w14:paraId="34637827" w14:textId="77777777" w:rsidR="006027F4" w:rsidRPr="0013388C" w:rsidRDefault="006027F4" w:rsidP="00E71F81">
            <w:pP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67053A45" w14:textId="77777777" w:rsidR="006027F4" w:rsidRPr="0013388C" w:rsidRDefault="006027F4" w:rsidP="00E71F81">
            <w:pPr>
              <w:rPr>
                <w:rFonts w:ascii="Arial Narrow" w:hAnsi="Arial Narrow"/>
                <w:b/>
                <w:sz w:val="18"/>
                <w:szCs w:val="18"/>
              </w:rPr>
            </w:pPr>
            <w:r w:rsidRPr="0013388C">
              <w:rPr>
                <w:rFonts w:ascii="Arial Narrow" w:hAnsi="Arial Narrow"/>
                <w:b/>
                <w:sz w:val="18"/>
                <w:szCs w:val="18"/>
              </w:rPr>
              <w:t xml:space="preserve">Prescriber type:   </w:t>
            </w:r>
            <w:r w:rsidRPr="0013388C">
              <w:rPr>
                <w:rFonts w:ascii="Arial Narrow" w:hAnsi="Arial Narrow"/>
                <w:sz w:val="18"/>
                <w:szCs w:val="18"/>
              </w:rPr>
              <w:fldChar w:fldCharType="begin">
                <w:ffData>
                  <w:name w:val="Check1"/>
                  <w:enabled/>
                  <w:calcOnExit w:val="0"/>
                  <w:checkBox>
                    <w:sizeAuto/>
                    <w:default w:val="0"/>
                  </w:checkBox>
                </w:ffData>
              </w:fldChar>
            </w:r>
            <w:r w:rsidRPr="0013388C">
              <w:rPr>
                <w:rFonts w:ascii="Arial Narrow" w:hAnsi="Arial Narrow"/>
                <w:sz w:val="18"/>
                <w:szCs w:val="18"/>
              </w:rPr>
              <w:instrText xml:space="preserve"> FORMCHECKBOX </w:instrText>
            </w:r>
            <w:r w:rsidR="001412AD">
              <w:rPr>
                <w:rFonts w:ascii="Arial Narrow" w:hAnsi="Arial Narrow"/>
                <w:sz w:val="18"/>
                <w:szCs w:val="18"/>
              </w:rPr>
            </w:r>
            <w:r w:rsidR="001412AD">
              <w:rPr>
                <w:rFonts w:ascii="Arial Narrow" w:hAnsi="Arial Narrow"/>
                <w:sz w:val="18"/>
                <w:szCs w:val="18"/>
              </w:rPr>
              <w:fldChar w:fldCharType="separate"/>
            </w:r>
            <w:r w:rsidRPr="0013388C">
              <w:rPr>
                <w:rFonts w:ascii="Arial Narrow" w:hAnsi="Arial Narrow"/>
                <w:sz w:val="18"/>
                <w:szCs w:val="18"/>
              </w:rPr>
              <w:fldChar w:fldCharType="end"/>
            </w:r>
            <w:r w:rsidRPr="0013388C">
              <w:rPr>
                <w:rFonts w:ascii="Arial Narrow" w:hAnsi="Arial Narrow"/>
                <w:sz w:val="18"/>
                <w:szCs w:val="18"/>
              </w:rPr>
              <w:t xml:space="preserve">Dental    </w:t>
            </w:r>
            <w:r w:rsidRPr="0013388C">
              <w:rPr>
                <w:rFonts w:ascii="Arial Narrow" w:hAnsi="Arial Narrow"/>
                <w:sz w:val="18"/>
                <w:szCs w:val="18"/>
              </w:rPr>
              <w:fldChar w:fldCharType="begin">
                <w:ffData>
                  <w:name w:val=""/>
                  <w:enabled/>
                  <w:calcOnExit w:val="0"/>
                  <w:checkBox>
                    <w:sizeAuto/>
                    <w:default w:val="1"/>
                  </w:checkBox>
                </w:ffData>
              </w:fldChar>
            </w:r>
            <w:r w:rsidRPr="0013388C">
              <w:rPr>
                <w:rFonts w:ascii="Arial Narrow" w:hAnsi="Arial Narrow"/>
                <w:sz w:val="18"/>
                <w:szCs w:val="18"/>
              </w:rPr>
              <w:instrText xml:space="preserve"> FORMCHECKBOX </w:instrText>
            </w:r>
            <w:r w:rsidR="001412AD">
              <w:rPr>
                <w:rFonts w:ascii="Arial Narrow" w:hAnsi="Arial Narrow"/>
                <w:sz w:val="18"/>
                <w:szCs w:val="18"/>
              </w:rPr>
            </w:r>
            <w:r w:rsidR="001412AD">
              <w:rPr>
                <w:rFonts w:ascii="Arial Narrow" w:hAnsi="Arial Narrow"/>
                <w:sz w:val="18"/>
                <w:szCs w:val="18"/>
              </w:rPr>
              <w:fldChar w:fldCharType="separate"/>
            </w:r>
            <w:r w:rsidRPr="0013388C">
              <w:rPr>
                <w:rFonts w:ascii="Arial Narrow" w:hAnsi="Arial Narrow"/>
                <w:sz w:val="18"/>
                <w:szCs w:val="18"/>
              </w:rPr>
              <w:fldChar w:fldCharType="end"/>
            </w:r>
            <w:r w:rsidRPr="0013388C">
              <w:rPr>
                <w:rFonts w:ascii="Arial Narrow" w:hAnsi="Arial Narrow"/>
                <w:sz w:val="18"/>
                <w:szCs w:val="18"/>
              </w:rPr>
              <w:t xml:space="preserve">Medical Practitioners    </w:t>
            </w:r>
            <w:r w:rsidRPr="0013388C">
              <w:rPr>
                <w:rFonts w:ascii="Arial Narrow" w:hAnsi="Arial Narrow"/>
                <w:sz w:val="18"/>
                <w:szCs w:val="18"/>
              </w:rPr>
              <w:fldChar w:fldCharType="begin">
                <w:ffData>
                  <w:name w:val="Check3"/>
                  <w:enabled/>
                  <w:calcOnExit w:val="0"/>
                  <w:checkBox>
                    <w:sizeAuto/>
                    <w:default w:val="1"/>
                  </w:checkBox>
                </w:ffData>
              </w:fldChar>
            </w:r>
            <w:r w:rsidRPr="0013388C">
              <w:rPr>
                <w:rFonts w:ascii="Arial Narrow" w:hAnsi="Arial Narrow"/>
                <w:sz w:val="18"/>
                <w:szCs w:val="18"/>
              </w:rPr>
              <w:instrText xml:space="preserve"> FORMCHECKBOX </w:instrText>
            </w:r>
            <w:r w:rsidR="001412AD">
              <w:rPr>
                <w:rFonts w:ascii="Arial Narrow" w:hAnsi="Arial Narrow"/>
                <w:sz w:val="18"/>
                <w:szCs w:val="18"/>
              </w:rPr>
            </w:r>
            <w:r w:rsidR="001412AD">
              <w:rPr>
                <w:rFonts w:ascii="Arial Narrow" w:hAnsi="Arial Narrow"/>
                <w:sz w:val="18"/>
                <w:szCs w:val="18"/>
              </w:rPr>
              <w:fldChar w:fldCharType="separate"/>
            </w:r>
            <w:r w:rsidRPr="0013388C">
              <w:rPr>
                <w:rFonts w:ascii="Arial Narrow" w:hAnsi="Arial Narrow"/>
                <w:sz w:val="18"/>
                <w:szCs w:val="18"/>
              </w:rPr>
              <w:fldChar w:fldCharType="end"/>
            </w:r>
            <w:r w:rsidRPr="0013388C">
              <w:rPr>
                <w:rFonts w:ascii="Arial Narrow" w:hAnsi="Arial Narrow"/>
                <w:sz w:val="18"/>
                <w:szCs w:val="18"/>
              </w:rPr>
              <w:t xml:space="preserve">Nurse practitioners     </w:t>
            </w:r>
            <w:r w:rsidRPr="0013388C">
              <w:rPr>
                <w:rFonts w:ascii="Arial Narrow" w:hAnsi="Arial Narrow"/>
                <w:sz w:val="18"/>
                <w:szCs w:val="18"/>
              </w:rPr>
              <w:fldChar w:fldCharType="begin">
                <w:ffData>
                  <w:name w:val=""/>
                  <w:enabled/>
                  <w:calcOnExit w:val="0"/>
                  <w:checkBox>
                    <w:sizeAuto/>
                    <w:default w:val="0"/>
                  </w:checkBox>
                </w:ffData>
              </w:fldChar>
            </w:r>
            <w:r w:rsidRPr="0013388C">
              <w:rPr>
                <w:rFonts w:ascii="Arial Narrow" w:hAnsi="Arial Narrow"/>
                <w:sz w:val="18"/>
                <w:szCs w:val="18"/>
              </w:rPr>
              <w:instrText xml:space="preserve"> FORMCHECKBOX </w:instrText>
            </w:r>
            <w:r w:rsidR="001412AD">
              <w:rPr>
                <w:rFonts w:ascii="Arial Narrow" w:hAnsi="Arial Narrow"/>
                <w:sz w:val="18"/>
                <w:szCs w:val="18"/>
              </w:rPr>
            </w:r>
            <w:r w:rsidR="001412AD">
              <w:rPr>
                <w:rFonts w:ascii="Arial Narrow" w:hAnsi="Arial Narrow"/>
                <w:sz w:val="18"/>
                <w:szCs w:val="18"/>
              </w:rPr>
              <w:fldChar w:fldCharType="separate"/>
            </w:r>
            <w:r w:rsidRPr="0013388C">
              <w:rPr>
                <w:rFonts w:ascii="Arial Narrow" w:hAnsi="Arial Narrow"/>
                <w:sz w:val="18"/>
                <w:szCs w:val="18"/>
              </w:rPr>
              <w:fldChar w:fldCharType="end"/>
            </w:r>
            <w:r w:rsidRPr="0013388C">
              <w:rPr>
                <w:rFonts w:ascii="Arial Narrow" w:hAnsi="Arial Narrow"/>
                <w:sz w:val="18"/>
                <w:szCs w:val="18"/>
              </w:rPr>
              <w:t xml:space="preserve">Optometrists    </w:t>
            </w:r>
            <w:r w:rsidRPr="0013388C">
              <w:rPr>
                <w:rFonts w:ascii="Arial Narrow" w:hAnsi="Arial Narrow"/>
                <w:sz w:val="18"/>
                <w:szCs w:val="18"/>
              </w:rPr>
              <w:fldChar w:fldCharType="begin">
                <w:ffData>
                  <w:name w:val="Check5"/>
                  <w:enabled/>
                  <w:calcOnExit w:val="0"/>
                  <w:checkBox>
                    <w:sizeAuto/>
                    <w:default w:val="0"/>
                  </w:checkBox>
                </w:ffData>
              </w:fldChar>
            </w:r>
            <w:r w:rsidRPr="0013388C">
              <w:rPr>
                <w:rFonts w:ascii="Arial Narrow" w:hAnsi="Arial Narrow"/>
                <w:sz w:val="18"/>
                <w:szCs w:val="18"/>
              </w:rPr>
              <w:instrText xml:space="preserve"> FORMCHECKBOX </w:instrText>
            </w:r>
            <w:r w:rsidR="001412AD">
              <w:rPr>
                <w:rFonts w:ascii="Arial Narrow" w:hAnsi="Arial Narrow"/>
                <w:sz w:val="18"/>
                <w:szCs w:val="18"/>
              </w:rPr>
            </w:r>
            <w:r w:rsidR="001412AD">
              <w:rPr>
                <w:rFonts w:ascii="Arial Narrow" w:hAnsi="Arial Narrow"/>
                <w:sz w:val="18"/>
                <w:szCs w:val="18"/>
              </w:rPr>
              <w:fldChar w:fldCharType="separate"/>
            </w:r>
            <w:r w:rsidRPr="0013388C">
              <w:rPr>
                <w:rFonts w:ascii="Arial Narrow" w:hAnsi="Arial Narrow"/>
                <w:sz w:val="18"/>
                <w:szCs w:val="18"/>
              </w:rPr>
              <w:fldChar w:fldCharType="end"/>
            </w:r>
            <w:r w:rsidRPr="0013388C">
              <w:rPr>
                <w:rFonts w:ascii="Arial Narrow" w:hAnsi="Arial Narrow"/>
                <w:sz w:val="18"/>
                <w:szCs w:val="18"/>
              </w:rPr>
              <w:t>Midwives</w:t>
            </w:r>
            <w:r w:rsidRPr="0013388C">
              <w:rPr>
                <w:rFonts w:ascii="Arial Narrow" w:hAnsi="Arial Narrow"/>
                <w:color w:val="FF0000"/>
                <w:sz w:val="18"/>
                <w:szCs w:val="18"/>
              </w:rPr>
              <w:t xml:space="preserve"> </w:t>
            </w:r>
          </w:p>
        </w:tc>
      </w:tr>
      <w:tr w:rsidR="006027F4" w:rsidRPr="0013388C" w14:paraId="5DBBDCFD" w14:textId="77777777" w:rsidTr="00E71F81">
        <w:tblPrEx>
          <w:tblCellMar>
            <w:top w:w="15" w:type="dxa"/>
            <w:left w:w="15" w:type="dxa"/>
            <w:bottom w:w="15" w:type="dxa"/>
            <w:right w:w="15" w:type="dxa"/>
          </w:tblCellMar>
          <w:tblLook w:val="04A0" w:firstRow="1" w:lastRow="0" w:firstColumn="1" w:lastColumn="0" w:noHBand="0" w:noVBand="1"/>
        </w:tblPrEx>
        <w:trPr>
          <w:trHeight w:val="238"/>
          <w:jc w:val="center"/>
        </w:trPr>
        <w:tc>
          <w:tcPr>
            <w:tcW w:w="981" w:type="dxa"/>
            <w:gridSpan w:val="2"/>
            <w:vMerge/>
            <w:tcBorders>
              <w:left w:val="single" w:sz="4" w:space="0" w:color="auto"/>
              <w:bottom w:val="single" w:sz="4" w:space="0" w:color="auto"/>
              <w:right w:val="single" w:sz="4" w:space="0" w:color="auto"/>
            </w:tcBorders>
          </w:tcPr>
          <w:p w14:paraId="6C5A4567" w14:textId="77777777" w:rsidR="006027F4" w:rsidRPr="0013388C" w:rsidRDefault="006027F4" w:rsidP="00E71F81">
            <w:pP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5E25730F" w14:textId="77777777" w:rsidR="006027F4" w:rsidRPr="0013388C" w:rsidRDefault="006027F4" w:rsidP="00E71F81">
            <w:pPr>
              <w:rPr>
                <w:rFonts w:ascii="Arial Narrow" w:hAnsi="Arial Narrow"/>
                <w:b/>
                <w:sz w:val="18"/>
                <w:szCs w:val="18"/>
              </w:rPr>
            </w:pPr>
            <w:r w:rsidRPr="0013388C">
              <w:rPr>
                <w:rFonts w:ascii="Arial Narrow" w:hAnsi="Arial Narrow"/>
                <w:b/>
                <w:sz w:val="18"/>
                <w:szCs w:val="18"/>
              </w:rPr>
              <w:t xml:space="preserve">Restriction type: </w:t>
            </w:r>
            <w:r w:rsidRPr="0013388C">
              <w:rPr>
                <w:rFonts w:ascii="Arial Narrow" w:eastAsia="Calibri" w:hAnsi="Arial Narrow"/>
                <w:sz w:val="18"/>
                <w:szCs w:val="18"/>
              </w:rPr>
              <w:fldChar w:fldCharType="begin">
                <w:ffData>
                  <w:name w:val="Check1"/>
                  <w:enabled/>
                  <w:calcOnExit w:val="0"/>
                  <w:checkBox>
                    <w:sizeAuto/>
                    <w:default w:val="1"/>
                  </w:checkBox>
                </w:ffData>
              </w:fldChar>
            </w:r>
            <w:r w:rsidRPr="0013388C">
              <w:rPr>
                <w:rFonts w:ascii="Arial Narrow" w:eastAsia="Calibri" w:hAnsi="Arial Narrow"/>
                <w:sz w:val="18"/>
                <w:szCs w:val="18"/>
              </w:rPr>
              <w:instrText xml:space="preserve"> FORMCHECKBOX </w:instrText>
            </w:r>
            <w:r w:rsidR="001412AD">
              <w:rPr>
                <w:rFonts w:ascii="Arial Narrow" w:eastAsia="Calibri" w:hAnsi="Arial Narrow"/>
                <w:sz w:val="18"/>
                <w:szCs w:val="18"/>
              </w:rPr>
            </w:r>
            <w:r w:rsidR="001412AD">
              <w:rPr>
                <w:rFonts w:ascii="Arial Narrow" w:eastAsia="Calibri" w:hAnsi="Arial Narrow"/>
                <w:sz w:val="18"/>
                <w:szCs w:val="18"/>
              </w:rPr>
              <w:fldChar w:fldCharType="separate"/>
            </w:r>
            <w:r w:rsidRPr="0013388C">
              <w:rPr>
                <w:rFonts w:ascii="Arial Narrow" w:eastAsia="Calibri" w:hAnsi="Arial Narrow"/>
                <w:sz w:val="18"/>
                <w:szCs w:val="18"/>
              </w:rPr>
              <w:fldChar w:fldCharType="end"/>
            </w:r>
            <w:r w:rsidRPr="0013388C">
              <w:rPr>
                <w:rFonts w:ascii="Arial Narrow" w:eastAsia="Calibri" w:hAnsi="Arial Narrow"/>
                <w:sz w:val="18"/>
                <w:szCs w:val="18"/>
              </w:rPr>
              <w:t>Restricted benefit</w:t>
            </w:r>
          </w:p>
        </w:tc>
      </w:tr>
      <w:tr w:rsidR="006027F4" w:rsidRPr="0013388C" w14:paraId="67B971A1" w14:textId="77777777" w:rsidTr="00E71F81">
        <w:tblPrEx>
          <w:tblCellMar>
            <w:top w:w="15" w:type="dxa"/>
            <w:left w:w="15" w:type="dxa"/>
            <w:bottom w:w="15" w:type="dxa"/>
            <w:right w:w="15" w:type="dxa"/>
          </w:tblCellMar>
          <w:tblLook w:val="04A0" w:firstRow="1" w:lastRow="0" w:firstColumn="1" w:lastColumn="0" w:noHBand="0" w:noVBand="1"/>
        </w:tblPrEx>
        <w:trPr>
          <w:jc w:val="center"/>
        </w:trPr>
        <w:tc>
          <w:tcPr>
            <w:tcW w:w="421" w:type="dxa"/>
            <w:vMerge w:val="restart"/>
            <w:tcBorders>
              <w:left w:val="single" w:sz="4" w:space="0" w:color="auto"/>
              <w:right w:val="single" w:sz="4" w:space="0" w:color="auto"/>
            </w:tcBorders>
            <w:textDirection w:val="btLr"/>
            <w:vAlign w:val="center"/>
          </w:tcPr>
          <w:p w14:paraId="0B19CE40" w14:textId="77777777" w:rsidR="006027F4" w:rsidRPr="0013388C" w:rsidRDefault="006027F4" w:rsidP="00E71F81">
            <w:pPr>
              <w:ind w:left="113" w:right="113"/>
              <w:rPr>
                <w:rFonts w:ascii="Arial Narrow" w:hAnsi="Arial Narrow"/>
                <w:sz w:val="18"/>
                <w:szCs w:val="18"/>
              </w:rPr>
            </w:pPr>
          </w:p>
        </w:tc>
        <w:tc>
          <w:tcPr>
            <w:tcW w:w="560" w:type="dxa"/>
            <w:vAlign w:val="center"/>
          </w:tcPr>
          <w:p w14:paraId="780A15C8" w14:textId="77777777" w:rsidR="006027F4" w:rsidRPr="0013388C" w:rsidRDefault="006027F4" w:rsidP="00E71F81">
            <w:pPr>
              <w:jc w:val="center"/>
              <w:rPr>
                <w:rFonts w:ascii="Arial Narrow" w:hAnsi="Arial Narrow"/>
                <w:color w:val="333333"/>
                <w:sz w:val="18"/>
                <w:szCs w:val="18"/>
              </w:rPr>
            </w:pPr>
          </w:p>
        </w:tc>
        <w:tc>
          <w:tcPr>
            <w:tcW w:w="8086" w:type="dxa"/>
            <w:gridSpan w:val="6"/>
            <w:vAlign w:val="center"/>
          </w:tcPr>
          <w:p w14:paraId="35F2A420" w14:textId="77777777" w:rsidR="006027F4" w:rsidRPr="0013388C" w:rsidRDefault="006027F4" w:rsidP="00E71F81">
            <w:pPr>
              <w:rPr>
                <w:rFonts w:ascii="Arial Narrow" w:hAnsi="Arial Narrow"/>
                <w:b/>
                <w:bCs/>
                <w:color w:val="333333"/>
                <w:sz w:val="18"/>
                <w:szCs w:val="18"/>
              </w:rPr>
            </w:pPr>
            <w:r w:rsidRPr="0013388C">
              <w:rPr>
                <w:rFonts w:ascii="Arial Narrow" w:hAnsi="Arial Narrow"/>
                <w:b/>
                <w:bCs/>
                <w:color w:val="333333"/>
                <w:sz w:val="18"/>
                <w:szCs w:val="18"/>
              </w:rPr>
              <w:t>Administrative Advice:</w:t>
            </w:r>
          </w:p>
          <w:p w14:paraId="388F2CE0" w14:textId="77777777" w:rsidR="006027F4" w:rsidRPr="0013388C" w:rsidRDefault="006027F4" w:rsidP="00E71F81">
            <w:pPr>
              <w:rPr>
                <w:rFonts w:ascii="Arial Narrow" w:hAnsi="Arial Narrow"/>
                <w:color w:val="333333"/>
                <w:sz w:val="18"/>
                <w:szCs w:val="18"/>
              </w:rPr>
            </w:pPr>
            <w:r w:rsidRPr="0013388C">
              <w:rPr>
                <w:rFonts w:ascii="Arial Narrow" w:hAnsi="Arial Narrow"/>
                <w:bCs/>
                <w:color w:val="333333"/>
                <w:sz w:val="18"/>
                <w:szCs w:val="18"/>
              </w:rPr>
              <w:t>Care must be taken to comply with the provisions of State/Territory law when prescribing this drug.</w:t>
            </w:r>
          </w:p>
        </w:tc>
      </w:tr>
      <w:tr w:rsidR="006027F4" w:rsidRPr="0013388C" w14:paraId="38A22216" w14:textId="77777777" w:rsidTr="00E71F81">
        <w:tblPrEx>
          <w:tblCellMar>
            <w:top w:w="15" w:type="dxa"/>
            <w:left w:w="15" w:type="dxa"/>
            <w:bottom w:w="15" w:type="dxa"/>
            <w:right w:w="15" w:type="dxa"/>
          </w:tblCellMar>
          <w:tblLook w:val="04A0" w:firstRow="1" w:lastRow="0" w:firstColumn="1" w:lastColumn="0" w:noHBand="0" w:noVBand="1"/>
        </w:tblPrEx>
        <w:trPr>
          <w:trHeight w:val="1212"/>
          <w:jc w:val="center"/>
        </w:trPr>
        <w:tc>
          <w:tcPr>
            <w:tcW w:w="421" w:type="dxa"/>
            <w:vMerge/>
            <w:tcBorders>
              <w:left w:val="single" w:sz="4" w:space="0" w:color="auto"/>
              <w:right w:val="single" w:sz="4" w:space="0" w:color="auto"/>
            </w:tcBorders>
          </w:tcPr>
          <w:p w14:paraId="504908AD" w14:textId="77777777" w:rsidR="006027F4" w:rsidRPr="0013388C" w:rsidRDefault="006027F4" w:rsidP="00E71F81">
            <w:pPr>
              <w:rPr>
                <w:rFonts w:ascii="Arial Narrow" w:hAnsi="Arial Narrow"/>
                <w:sz w:val="18"/>
                <w:szCs w:val="18"/>
              </w:rPr>
            </w:pPr>
          </w:p>
        </w:tc>
        <w:tc>
          <w:tcPr>
            <w:tcW w:w="560" w:type="dxa"/>
            <w:vAlign w:val="center"/>
          </w:tcPr>
          <w:p w14:paraId="1CDEB0DD" w14:textId="77777777" w:rsidR="006027F4" w:rsidRPr="0013388C" w:rsidRDefault="006027F4" w:rsidP="00E71F81">
            <w:pPr>
              <w:jc w:val="center"/>
              <w:rPr>
                <w:rFonts w:ascii="Arial Narrow" w:hAnsi="Arial Narrow"/>
                <w:color w:val="333333"/>
                <w:sz w:val="18"/>
                <w:szCs w:val="18"/>
              </w:rPr>
            </w:pPr>
          </w:p>
        </w:tc>
        <w:tc>
          <w:tcPr>
            <w:tcW w:w="8086" w:type="dxa"/>
            <w:gridSpan w:val="6"/>
            <w:vAlign w:val="center"/>
          </w:tcPr>
          <w:p w14:paraId="2633C3DC" w14:textId="77777777" w:rsidR="006027F4" w:rsidRPr="0013388C" w:rsidRDefault="006027F4" w:rsidP="00E71F81">
            <w:pPr>
              <w:rPr>
                <w:rFonts w:ascii="Arial Narrow" w:hAnsi="Arial Narrow"/>
                <w:b/>
                <w:bCs/>
                <w:color w:val="333333"/>
                <w:sz w:val="18"/>
                <w:szCs w:val="18"/>
              </w:rPr>
            </w:pPr>
            <w:r w:rsidRPr="0013388C">
              <w:rPr>
                <w:rFonts w:ascii="Arial Narrow" w:hAnsi="Arial Narrow"/>
                <w:b/>
                <w:bCs/>
                <w:color w:val="333333"/>
                <w:sz w:val="18"/>
                <w:szCs w:val="18"/>
              </w:rPr>
              <w:t>Administrative Advice:</w:t>
            </w:r>
          </w:p>
          <w:p w14:paraId="2AEDA3E4" w14:textId="77777777" w:rsidR="006027F4" w:rsidRPr="0013388C" w:rsidRDefault="006027F4" w:rsidP="00E71F81">
            <w:pPr>
              <w:rPr>
                <w:rFonts w:ascii="Arial Narrow" w:hAnsi="Arial Narrow"/>
                <w:b/>
                <w:bCs/>
                <w:color w:val="333333"/>
                <w:sz w:val="18"/>
                <w:szCs w:val="18"/>
              </w:rPr>
            </w:pPr>
            <w:r w:rsidRPr="0013388C">
              <w:rPr>
                <w:rFonts w:ascii="Arial Narrow" w:hAnsi="Arial Narrow"/>
                <w:b/>
                <w:bCs/>
                <w:color w:val="333333"/>
                <w:sz w:val="18"/>
                <w:szCs w:val="18"/>
              </w:rPr>
              <w:t>Shared Care Model:</w:t>
            </w:r>
          </w:p>
          <w:p w14:paraId="79B53AEA" w14:textId="77777777" w:rsidR="006027F4" w:rsidRPr="0013388C" w:rsidRDefault="006027F4" w:rsidP="00E71F81">
            <w:pPr>
              <w:rPr>
                <w:rFonts w:ascii="Arial Narrow" w:hAnsi="Arial Narrow"/>
                <w:bCs/>
                <w:color w:val="333333"/>
                <w:sz w:val="18"/>
                <w:szCs w:val="18"/>
              </w:rPr>
            </w:pPr>
            <w:r w:rsidRPr="0013388C">
              <w:rPr>
                <w:rFonts w:ascii="Arial Narrow" w:hAnsi="Arial Narrow"/>
                <w:bCs/>
                <w:color w:val="333333"/>
                <w:sz w:val="18"/>
                <w:szCs w:val="18"/>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6027F4" w:rsidRPr="0013388C" w14:paraId="78E3689C" w14:textId="77777777" w:rsidTr="00E71F81">
        <w:tblPrEx>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3F02823B" w14:textId="77777777" w:rsidR="006027F4" w:rsidRPr="0013388C" w:rsidRDefault="006027F4" w:rsidP="00E71F81">
            <w:pPr>
              <w:jc w:val="center"/>
              <w:rPr>
                <w:rFonts w:ascii="Arial Narrow" w:hAnsi="Arial Narrow"/>
                <w:bCs/>
                <w:color w:val="333333"/>
                <w:sz w:val="18"/>
                <w:szCs w:val="18"/>
              </w:rPr>
            </w:pPr>
          </w:p>
        </w:tc>
        <w:tc>
          <w:tcPr>
            <w:tcW w:w="8086" w:type="dxa"/>
            <w:gridSpan w:val="6"/>
          </w:tcPr>
          <w:p w14:paraId="5E4ADBE9" w14:textId="77777777" w:rsidR="006027F4" w:rsidRPr="0013388C" w:rsidRDefault="006027F4" w:rsidP="00E71F81">
            <w:pPr>
              <w:textAlignment w:val="baseline"/>
              <w:rPr>
                <w:rFonts w:ascii="Arial Narrow" w:hAnsi="Arial Narrow"/>
                <w:bCs/>
                <w:color w:val="333333"/>
                <w:sz w:val="18"/>
                <w:szCs w:val="18"/>
              </w:rPr>
            </w:pPr>
            <w:r w:rsidRPr="0013388C">
              <w:rPr>
                <w:rFonts w:ascii="Arial Narrow" w:hAnsi="Arial Narrow"/>
                <w:b/>
                <w:bCs/>
                <w:color w:val="333333"/>
                <w:sz w:val="18"/>
                <w:szCs w:val="18"/>
              </w:rPr>
              <w:t>Indication:</w:t>
            </w:r>
            <w:r w:rsidRPr="0013388C">
              <w:rPr>
                <w:rFonts w:ascii="Arial Narrow" w:hAnsi="Arial Narrow"/>
                <w:bCs/>
                <w:color w:val="333333"/>
                <w:sz w:val="18"/>
                <w:szCs w:val="18"/>
              </w:rPr>
              <w:t xml:space="preserve"> Opiate dependence</w:t>
            </w:r>
          </w:p>
        </w:tc>
      </w:tr>
      <w:tr w:rsidR="006027F4" w:rsidRPr="0013388C" w14:paraId="0D1B1635" w14:textId="77777777" w:rsidTr="00E71F81">
        <w:tblPrEx>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47312940" w14:textId="77777777" w:rsidR="006027F4" w:rsidRPr="0013388C" w:rsidRDefault="006027F4" w:rsidP="00E71F81">
            <w:pPr>
              <w:jc w:val="center"/>
              <w:rPr>
                <w:rFonts w:ascii="Arial Narrow" w:hAnsi="Arial Narrow"/>
                <w:bCs/>
                <w:color w:val="333333"/>
                <w:sz w:val="18"/>
                <w:szCs w:val="18"/>
              </w:rPr>
            </w:pPr>
          </w:p>
        </w:tc>
        <w:tc>
          <w:tcPr>
            <w:tcW w:w="8086" w:type="dxa"/>
            <w:gridSpan w:val="6"/>
          </w:tcPr>
          <w:p w14:paraId="44084A66" w14:textId="77777777" w:rsidR="006027F4" w:rsidRPr="0013388C" w:rsidRDefault="006027F4" w:rsidP="00E71F81">
            <w:pPr>
              <w:rPr>
                <w:rFonts w:ascii="Arial Narrow" w:hAnsi="Arial Narrow"/>
                <w:b/>
                <w:bCs/>
                <w:color w:val="333333"/>
                <w:sz w:val="18"/>
                <w:szCs w:val="18"/>
              </w:rPr>
            </w:pPr>
            <w:r w:rsidRPr="0013388C">
              <w:rPr>
                <w:rFonts w:ascii="Arial Narrow" w:hAnsi="Arial Narrow"/>
                <w:b/>
                <w:bCs/>
                <w:color w:val="333333"/>
                <w:sz w:val="18"/>
                <w:szCs w:val="18"/>
              </w:rPr>
              <w:t>Treatment criteria:</w:t>
            </w:r>
          </w:p>
        </w:tc>
      </w:tr>
      <w:tr w:rsidR="006027F4" w:rsidRPr="0013388C" w14:paraId="72229AE9" w14:textId="77777777" w:rsidTr="00E71F81">
        <w:tblPrEx>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632F98FD" w14:textId="77777777" w:rsidR="006027F4" w:rsidRPr="0013388C" w:rsidRDefault="006027F4" w:rsidP="00E71F81">
            <w:pPr>
              <w:jc w:val="center"/>
              <w:rPr>
                <w:rFonts w:ascii="Arial Narrow" w:hAnsi="Arial Narrow"/>
                <w:bCs/>
                <w:color w:val="333333"/>
                <w:sz w:val="18"/>
                <w:szCs w:val="18"/>
              </w:rPr>
            </w:pPr>
          </w:p>
        </w:tc>
        <w:tc>
          <w:tcPr>
            <w:tcW w:w="8086" w:type="dxa"/>
            <w:gridSpan w:val="6"/>
          </w:tcPr>
          <w:p w14:paraId="340D026B" w14:textId="77777777" w:rsidR="006027F4" w:rsidRPr="0013388C" w:rsidRDefault="006027F4" w:rsidP="00E71F81">
            <w:pPr>
              <w:rPr>
                <w:rFonts w:ascii="Arial Narrow" w:hAnsi="Arial Narrow"/>
                <w:bCs/>
                <w:color w:val="333333"/>
                <w:sz w:val="18"/>
                <w:szCs w:val="18"/>
              </w:rPr>
            </w:pPr>
            <w:r w:rsidRPr="0013388C">
              <w:rPr>
                <w:rFonts w:ascii="Arial Narrow" w:hAnsi="Arial Narrow"/>
                <w:bCs/>
                <w:color w:val="333333"/>
                <w:sz w:val="18"/>
                <w:szCs w:val="18"/>
              </w:rPr>
              <w:t>Must be treated by a health care professional</w:t>
            </w:r>
          </w:p>
        </w:tc>
      </w:tr>
      <w:tr w:rsidR="006027F4" w:rsidRPr="0013388C" w14:paraId="7E28B607" w14:textId="77777777" w:rsidTr="00E71F81">
        <w:tblPrEx>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349DC6E5" w14:textId="77777777" w:rsidR="006027F4" w:rsidRPr="0013388C" w:rsidRDefault="006027F4" w:rsidP="00E71F81">
            <w:pPr>
              <w:jc w:val="center"/>
              <w:rPr>
                <w:rFonts w:ascii="Arial Narrow" w:hAnsi="Arial Narrow"/>
                <w:bCs/>
                <w:color w:val="333333"/>
                <w:sz w:val="18"/>
                <w:szCs w:val="18"/>
              </w:rPr>
            </w:pPr>
          </w:p>
        </w:tc>
        <w:tc>
          <w:tcPr>
            <w:tcW w:w="8086" w:type="dxa"/>
            <w:gridSpan w:val="6"/>
          </w:tcPr>
          <w:p w14:paraId="23E4088C" w14:textId="77777777" w:rsidR="006027F4" w:rsidRPr="0013388C" w:rsidRDefault="006027F4" w:rsidP="00E71F81">
            <w:pPr>
              <w:rPr>
                <w:rFonts w:ascii="Arial Narrow" w:hAnsi="Arial Narrow"/>
                <w:b/>
                <w:bCs/>
                <w:color w:val="333333"/>
                <w:sz w:val="18"/>
                <w:szCs w:val="18"/>
              </w:rPr>
            </w:pPr>
            <w:r w:rsidRPr="0013388C">
              <w:rPr>
                <w:rFonts w:ascii="Arial Narrow" w:hAnsi="Arial Narrow"/>
                <w:b/>
                <w:bCs/>
                <w:color w:val="333333"/>
                <w:sz w:val="18"/>
                <w:szCs w:val="18"/>
              </w:rPr>
              <w:t>AND</w:t>
            </w:r>
          </w:p>
        </w:tc>
      </w:tr>
      <w:tr w:rsidR="006027F4" w:rsidRPr="0013388C" w14:paraId="6668C0FE" w14:textId="77777777" w:rsidTr="00E71F81">
        <w:tblPrEx>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7ADC1C35" w14:textId="77777777" w:rsidR="006027F4" w:rsidRPr="0013388C" w:rsidRDefault="006027F4" w:rsidP="00E71F81">
            <w:pPr>
              <w:jc w:val="center"/>
              <w:rPr>
                <w:rFonts w:ascii="Arial Narrow" w:hAnsi="Arial Narrow"/>
                <w:bCs/>
                <w:color w:val="333333"/>
                <w:sz w:val="18"/>
                <w:szCs w:val="18"/>
              </w:rPr>
            </w:pPr>
          </w:p>
        </w:tc>
        <w:tc>
          <w:tcPr>
            <w:tcW w:w="8086" w:type="dxa"/>
            <w:gridSpan w:val="6"/>
          </w:tcPr>
          <w:p w14:paraId="69330C38" w14:textId="77777777" w:rsidR="006027F4" w:rsidRPr="0013388C" w:rsidRDefault="006027F4" w:rsidP="00E71F81">
            <w:pPr>
              <w:rPr>
                <w:rFonts w:ascii="Arial Narrow" w:hAnsi="Arial Narrow"/>
                <w:b/>
                <w:bCs/>
                <w:color w:val="333333"/>
                <w:sz w:val="18"/>
                <w:szCs w:val="18"/>
              </w:rPr>
            </w:pPr>
            <w:r w:rsidRPr="0013388C">
              <w:rPr>
                <w:rFonts w:ascii="Arial Narrow" w:hAnsi="Arial Narrow"/>
                <w:b/>
                <w:bCs/>
                <w:color w:val="333333"/>
                <w:sz w:val="18"/>
                <w:szCs w:val="18"/>
              </w:rPr>
              <w:t>Clinical criteria:</w:t>
            </w:r>
          </w:p>
        </w:tc>
      </w:tr>
      <w:tr w:rsidR="006027F4" w:rsidRPr="0013388C" w14:paraId="03D43F8E" w14:textId="77777777" w:rsidTr="00E71F81">
        <w:tblPrEx>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5BC0CBC1" w14:textId="77777777" w:rsidR="006027F4" w:rsidRPr="0013388C" w:rsidRDefault="006027F4" w:rsidP="00E71F81">
            <w:pPr>
              <w:jc w:val="center"/>
              <w:rPr>
                <w:rFonts w:ascii="Arial Narrow" w:hAnsi="Arial Narrow"/>
                <w:bCs/>
                <w:color w:val="333333"/>
                <w:sz w:val="18"/>
                <w:szCs w:val="18"/>
              </w:rPr>
            </w:pPr>
          </w:p>
        </w:tc>
        <w:tc>
          <w:tcPr>
            <w:tcW w:w="8086" w:type="dxa"/>
            <w:gridSpan w:val="6"/>
          </w:tcPr>
          <w:p w14:paraId="0E559225" w14:textId="77777777" w:rsidR="006027F4" w:rsidRPr="0013388C" w:rsidRDefault="006027F4" w:rsidP="00E71F81">
            <w:pPr>
              <w:rPr>
                <w:rFonts w:ascii="Arial Narrow" w:hAnsi="Arial Narrow"/>
                <w:bCs/>
                <w:color w:val="333333"/>
                <w:sz w:val="18"/>
                <w:szCs w:val="18"/>
              </w:rPr>
            </w:pPr>
            <w:r w:rsidRPr="0013388C">
              <w:rPr>
                <w:rFonts w:ascii="Arial Narrow" w:hAnsi="Arial Narrow"/>
                <w:bCs/>
                <w:color w:val="333333"/>
                <w:sz w:val="18"/>
                <w:szCs w:val="18"/>
              </w:rPr>
              <w:t>The treatment must be within a framework of medical, social and psychological treatment</w:t>
            </w:r>
          </w:p>
        </w:tc>
      </w:tr>
      <w:tr w:rsidR="006027F4" w:rsidRPr="0013388C" w14:paraId="43B816D8" w14:textId="77777777" w:rsidTr="00E71F81">
        <w:tblPrEx>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0096E136" w14:textId="77777777" w:rsidR="006027F4" w:rsidRPr="0013388C" w:rsidRDefault="006027F4" w:rsidP="00E71F81">
            <w:pPr>
              <w:jc w:val="center"/>
              <w:rPr>
                <w:rFonts w:ascii="Arial Narrow" w:hAnsi="Arial Narrow"/>
                <w:bCs/>
                <w:color w:val="333333"/>
                <w:sz w:val="18"/>
                <w:szCs w:val="18"/>
              </w:rPr>
            </w:pPr>
          </w:p>
        </w:tc>
        <w:tc>
          <w:tcPr>
            <w:tcW w:w="8086" w:type="dxa"/>
            <w:gridSpan w:val="6"/>
            <w:hideMark/>
          </w:tcPr>
          <w:p w14:paraId="374A980E" w14:textId="77777777" w:rsidR="006027F4" w:rsidRPr="0013388C" w:rsidRDefault="006027F4" w:rsidP="00E71F81">
            <w:pPr>
              <w:rPr>
                <w:rFonts w:ascii="Arial Narrow" w:hAnsi="Arial Narrow"/>
                <w:b/>
                <w:bCs/>
                <w:color w:val="333333"/>
                <w:sz w:val="18"/>
                <w:szCs w:val="18"/>
              </w:rPr>
            </w:pPr>
            <w:r w:rsidRPr="0013388C">
              <w:rPr>
                <w:rFonts w:ascii="Arial Narrow" w:hAnsi="Arial Narrow"/>
                <w:b/>
                <w:bCs/>
                <w:color w:val="333333"/>
                <w:sz w:val="18"/>
                <w:szCs w:val="18"/>
              </w:rPr>
              <w:t>AND</w:t>
            </w:r>
          </w:p>
        </w:tc>
      </w:tr>
      <w:tr w:rsidR="006027F4" w:rsidRPr="0013388C" w14:paraId="7BD78D28" w14:textId="77777777" w:rsidTr="00E71F81">
        <w:tblPrEx>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085145E6" w14:textId="77777777" w:rsidR="006027F4" w:rsidRPr="0013388C" w:rsidRDefault="006027F4" w:rsidP="00E71F81">
            <w:pPr>
              <w:jc w:val="center"/>
              <w:rPr>
                <w:rFonts w:ascii="Arial Narrow" w:hAnsi="Arial Narrow"/>
                <w:bCs/>
                <w:color w:val="333333"/>
                <w:sz w:val="18"/>
                <w:szCs w:val="18"/>
              </w:rPr>
            </w:pPr>
          </w:p>
        </w:tc>
        <w:tc>
          <w:tcPr>
            <w:tcW w:w="8086" w:type="dxa"/>
            <w:gridSpan w:val="6"/>
            <w:hideMark/>
          </w:tcPr>
          <w:p w14:paraId="30F32B79" w14:textId="77777777" w:rsidR="006027F4" w:rsidRPr="0013388C" w:rsidRDefault="006027F4" w:rsidP="00E71F81">
            <w:pPr>
              <w:rPr>
                <w:rFonts w:ascii="Arial Narrow" w:hAnsi="Arial Narrow"/>
                <w:b/>
                <w:bCs/>
                <w:color w:val="333333"/>
                <w:sz w:val="18"/>
                <w:szCs w:val="18"/>
              </w:rPr>
            </w:pPr>
            <w:r w:rsidRPr="0013388C">
              <w:rPr>
                <w:rFonts w:ascii="Arial Narrow" w:hAnsi="Arial Narrow"/>
                <w:b/>
                <w:bCs/>
                <w:color w:val="333333"/>
                <w:sz w:val="18"/>
                <w:szCs w:val="18"/>
              </w:rPr>
              <w:t>Clinical criteria:</w:t>
            </w:r>
          </w:p>
        </w:tc>
      </w:tr>
      <w:tr w:rsidR="006027F4" w:rsidRPr="0013388C" w14:paraId="00359CAF" w14:textId="77777777" w:rsidTr="00E71F81">
        <w:tblPrEx>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174F2D52" w14:textId="77777777" w:rsidR="006027F4" w:rsidRPr="0013388C" w:rsidRDefault="006027F4" w:rsidP="00E71F81">
            <w:pPr>
              <w:jc w:val="center"/>
              <w:rPr>
                <w:rFonts w:ascii="Arial Narrow" w:hAnsi="Arial Narrow"/>
                <w:bCs/>
                <w:color w:val="333333"/>
                <w:sz w:val="18"/>
                <w:szCs w:val="18"/>
              </w:rPr>
            </w:pPr>
          </w:p>
        </w:tc>
        <w:tc>
          <w:tcPr>
            <w:tcW w:w="8086" w:type="dxa"/>
            <w:gridSpan w:val="6"/>
            <w:hideMark/>
          </w:tcPr>
          <w:p w14:paraId="538A6AF2" w14:textId="77777777" w:rsidR="006027F4" w:rsidRPr="0013388C" w:rsidRDefault="006027F4" w:rsidP="00E71F81">
            <w:pPr>
              <w:rPr>
                <w:rFonts w:ascii="Arial Narrow" w:hAnsi="Arial Narrow"/>
                <w:bCs/>
                <w:strike/>
                <w:color w:val="333333"/>
                <w:sz w:val="18"/>
                <w:szCs w:val="18"/>
              </w:rPr>
            </w:pPr>
            <w:r w:rsidRPr="0013388C">
              <w:rPr>
                <w:rFonts w:ascii="Arial Narrow" w:hAnsi="Arial Narrow"/>
                <w:bCs/>
                <w:strike/>
                <w:color w:val="FF0000"/>
                <w:sz w:val="18"/>
                <w:szCs w:val="18"/>
              </w:rPr>
              <w:t>Patient must be stabilised on sublingual buprenorphine or buprenorphine/naloxone prior to commencing treatment with this drug for this condition</w:t>
            </w:r>
          </w:p>
        </w:tc>
      </w:tr>
    </w:tbl>
    <w:p w14:paraId="23C8A617" w14:textId="77777777" w:rsidR="006027F4" w:rsidRPr="0013388C" w:rsidRDefault="006027F4" w:rsidP="006027F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560"/>
        <w:gridCol w:w="2983"/>
        <w:gridCol w:w="993"/>
        <w:gridCol w:w="850"/>
        <w:gridCol w:w="709"/>
        <w:gridCol w:w="709"/>
        <w:gridCol w:w="1842"/>
      </w:tblGrid>
      <w:tr w:rsidR="006027F4" w:rsidRPr="0013388C" w14:paraId="4032F9CB" w14:textId="77777777" w:rsidTr="00E71F81">
        <w:trPr>
          <w:cantSplit/>
          <w:trHeight w:val="471"/>
        </w:trPr>
        <w:tc>
          <w:tcPr>
            <w:tcW w:w="3964" w:type="dxa"/>
            <w:gridSpan w:val="3"/>
          </w:tcPr>
          <w:p w14:paraId="639882E4" w14:textId="77777777" w:rsidR="006027F4" w:rsidRPr="0013388C" w:rsidRDefault="006027F4" w:rsidP="00E71F81">
            <w:pPr>
              <w:keepNext/>
              <w:ind w:left="-57"/>
              <w:rPr>
                <w:rFonts w:ascii="Arial Narrow" w:hAnsi="Arial Narrow"/>
                <w:b/>
                <w:bCs/>
                <w:sz w:val="18"/>
                <w:szCs w:val="18"/>
              </w:rPr>
            </w:pPr>
            <w:r w:rsidRPr="0013388C">
              <w:rPr>
                <w:rFonts w:ascii="Arial Narrow" w:hAnsi="Arial Narrow"/>
                <w:b/>
                <w:bCs/>
                <w:sz w:val="18"/>
                <w:szCs w:val="18"/>
              </w:rPr>
              <w:t>MEDICINAL PRODUCT</w:t>
            </w:r>
          </w:p>
          <w:p w14:paraId="6CE25871" w14:textId="77777777" w:rsidR="006027F4" w:rsidRPr="0013388C" w:rsidRDefault="006027F4" w:rsidP="00E71F81">
            <w:pPr>
              <w:keepNext/>
              <w:ind w:left="-57"/>
              <w:rPr>
                <w:rFonts w:ascii="Arial Narrow" w:hAnsi="Arial Narrow"/>
                <w:b/>
                <w:sz w:val="18"/>
                <w:szCs w:val="18"/>
              </w:rPr>
            </w:pPr>
            <w:r w:rsidRPr="0013388C">
              <w:rPr>
                <w:rFonts w:ascii="Arial Narrow" w:hAnsi="Arial Narrow"/>
                <w:b/>
                <w:bCs/>
                <w:sz w:val="18"/>
                <w:szCs w:val="18"/>
              </w:rPr>
              <w:t>medicinal product pack</w:t>
            </w:r>
          </w:p>
        </w:tc>
        <w:tc>
          <w:tcPr>
            <w:tcW w:w="993" w:type="dxa"/>
          </w:tcPr>
          <w:p w14:paraId="4267CB4E" w14:textId="77777777" w:rsidR="006027F4" w:rsidRPr="0013388C" w:rsidRDefault="006027F4" w:rsidP="00E71F81">
            <w:pPr>
              <w:keepNext/>
              <w:ind w:left="-108"/>
              <w:jc w:val="center"/>
              <w:rPr>
                <w:rFonts w:ascii="Arial Narrow" w:hAnsi="Arial Narrow"/>
                <w:b/>
                <w:sz w:val="18"/>
                <w:szCs w:val="18"/>
              </w:rPr>
            </w:pPr>
            <w:r w:rsidRPr="0013388C">
              <w:rPr>
                <w:rFonts w:ascii="Arial Narrow" w:hAnsi="Arial Narrow"/>
                <w:b/>
                <w:sz w:val="18"/>
                <w:szCs w:val="18"/>
              </w:rPr>
              <w:t>PBS item code</w:t>
            </w:r>
          </w:p>
        </w:tc>
        <w:tc>
          <w:tcPr>
            <w:tcW w:w="850" w:type="dxa"/>
          </w:tcPr>
          <w:p w14:paraId="22EF4AAD" w14:textId="77777777" w:rsidR="006027F4" w:rsidRPr="0013388C" w:rsidRDefault="006027F4" w:rsidP="00E71F81">
            <w:pPr>
              <w:keepNext/>
              <w:ind w:left="-108"/>
              <w:jc w:val="center"/>
              <w:rPr>
                <w:rFonts w:ascii="Arial Narrow" w:hAnsi="Arial Narrow"/>
                <w:b/>
                <w:sz w:val="18"/>
                <w:szCs w:val="18"/>
              </w:rPr>
            </w:pPr>
            <w:r w:rsidRPr="0013388C">
              <w:rPr>
                <w:rFonts w:ascii="Arial Narrow" w:hAnsi="Arial Narrow"/>
                <w:b/>
                <w:sz w:val="18"/>
                <w:szCs w:val="18"/>
              </w:rPr>
              <w:t>Max. qty packs</w:t>
            </w:r>
          </w:p>
        </w:tc>
        <w:tc>
          <w:tcPr>
            <w:tcW w:w="709" w:type="dxa"/>
          </w:tcPr>
          <w:p w14:paraId="5110926F" w14:textId="77777777" w:rsidR="006027F4" w:rsidRPr="0013388C" w:rsidRDefault="006027F4" w:rsidP="00E71F81">
            <w:pPr>
              <w:keepNext/>
              <w:ind w:left="-108"/>
              <w:jc w:val="center"/>
              <w:rPr>
                <w:rFonts w:ascii="Arial Narrow" w:hAnsi="Arial Narrow"/>
                <w:b/>
                <w:sz w:val="18"/>
                <w:szCs w:val="18"/>
              </w:rPr>
            </w:pPr>
            <w:r w:rsidRPr="0013388C">
              <w:rPr>
                <w:rFonts w:ascii="Arial Narrow" w:hAnsi="Arial Narrow"/>
                <w:b/>
                <w:sz w:val="18"/>
                <w:szCs w:val="18"/>
              </w:rPr>
              <w:t>Max. qty units</w:t>
            </w:r>
          </w:p>
        </w:tc>
        <w:tc>
          <w:tcPr>
            <w:tcW w:w="709" w:type="dxa"/>
          </w:tcPr>
          <w:p w14:paraId="03CE8006" w14:textId="77777777" w:rsidR="006027F4" w:rsidRPr="0013388C" w:rsidRDefault="006027F4" w:rsidP="00E71F81">
            <w:pPr>
              <w:keepNext/>
              <w:ind w:left="-108"/>
              <w:jc w:val="center"/>
              <w:rPr>
                <w:rFonts w:ascii="Arial Narrow" w:hAnsi="Arial Narrow"/>
                <w:b/>
                <w:sz w:val="18"/>
                <w:szCs w:val="18"/>
              </w:rPr>
            </w:pPr>
            <w:r w:rsidRPr="0013388C">
              <w:rPr>
                <w:rFonts w:ascii="Arial Narrow" w:hAnsi="Arial Narrow"/>
                <w:b/>
                <w:sz w:val="18"/>
                <w:szCs w:val="18"/>
              </w:rPr>
              <w:t>№.of</w:t>
            </w:r>
          </w:p>
          <w:p w14:paraId="24121589" w14:textId="77777777" w:rsidR="006027F4" w:rsidRPr="0013388C" w:rsidRDefault="006027F4" w:rsidP="00E71F81">
            <w:pPr>
              <w:keepNext/>
              <w:ind w:left="-108"/>
              <w:jc w:val="center"/>
              <w:rPr>
                <w:rFonts w:ascii="Arial Narrow" w:hAnsi="Arial Narrow"/>
                <w:b/>
                <w:sz w:val="18"/>
                <w:szCs w:val="18"/>
              </w:rPr>
            </w:pPr>
            <w:r w:rsidRPr="0013388C">
              <w:rPr>
                <w:rFonts w:ascii="Arial Narrow" w:hAnsi="Arial Narrow"/>
                <w:b/>
                <w:sz w:val="18"/>
                <w:szCs w:val="18"/>
              </w:rPr>
              <w:t>Rpts</w:t>
            </w:r>
          </w:p>
        </w:tc>
        <w:tc>
          <w:tcPr>
            <w:tcW w:w="1842" w:type="dxa"/>
          </w:tcPr>
          <w:p w14:paraId="64D0FAD0" w14:textId="77777777" w:rsidR="006027F4" w:rsidRPr="0013388C" w:rsidRDefault="006027F4" w:rsidP="00E71F81">
            <w:pPr>
              <w:keepNext/>
              <w:rPr>
                <w:rFonts w:ascii="Arial Narrow" w:hAnsi="Arial Narrow"/>
                <w:b/>
                <w:sz w:val="18"/>
                <w:szCs w:val="18"/>
              </w:rPr>
            </w:pPr>
            <w:r w:rsidRPr="0013388C">
              <w:rPr>
                <w:rFonts w:ascii="Arial Narrow" w:hAnsi="Arial Narrow"/>
                <w:b/>
                <w:sz w:val="18"/>
                <w:szCs w:val="18"/>
              </w:rPr>
              <w:t>Available brands</w:t>
            </w:r>
          </w:p>
        </w:tc>
      </w:tr>
      <w:tr w:rsidR="006027F4" w:rsidRPr="0013388C" w14:paraId="172CB5AF" w14:textId="77777777" w:rsidTr="00E71F81">
        <w:trPr>
          <w:cantSplit/>
          <w:trHeight w:val="217"/>
        </w:trPr>
        <w:tc>
          <w:tcPr>
            <w:tcW w:w="3964" w:type="dxa"/>
            <w:gridSpan w:val="3"/>
          </w:tcPr>
          <w:p w14:paraId="7EA5C0BA" w14:textId="77777777" w:rsidR="006027F4" w:rsidRPr="0013388C" w:rsidRDefault="006027F4" w:rsidP="00E71F81">
            <w:pPr>
              <w:keepNext/>
              <w:ind w:left="-57"/>
              <w:rPr>
                <w:rFonts w:ascii="Arial Narrow" w:hAnsi="Arial Narrow"/>
                <w:b/>
                <w:bCs/>
                <w:sz w:val="18"/>
                <w:szCs w:val="18"/>
              </w:rPr>
            </w:pPr>
            <w:r w:rsidRPr="0013388C">
              <w:rPr>
                <w:rFonts w:ascii="Arial Narrow" w:hAnsi="Arial Narrow"/>
                <w:b/>
                <w:bCs/>
                <w:sz w:val="18"/>
                <w:szCs w:val="18"/>
              </w:rPr>
              <w:t>BUPRENORPHINE 356 mg/mL monthly</w:t>
            </w:r>
          </w:p>
        </w:tc>
        <w:tc>
          <w:tcPr>
            <w:tcW w:w="5103" w:type="dxa"/>
            <w:gridSpan w:val="5"/>
          </w:tcPr>
          <w:p w14:paraId="37DF938F" w14:textId="77777777" w:rsidR="006027F4" w:rsidRPr="0013388C" w:rsidRDefault="006027F4" w:rsidP="00E71F81">
            <w:pPr>
              <w:keepNext/>
              <w:rPr>
                <w:rFonts w:ascii="Arial Narrow" w:hAnsi="Arial Narrow"/>
                <w:sz w:val="18"/>
                <w:szCs w:val="18"/>
              </w:rPr>
            </w:pPr>
          </w:p>
        </w:tc>
      </w:tr>
      <w:tr w:rsidR="006027F4" w:rsidRPr="0013388C" w14:paraId="2B42482D" w14:textId="77777777" w:rsidTr="00E71F81">
        <w:trPr>
          <w:cantSplit/>
          <w:trHeight w:val="503"/>
        </w:trPr>
        <w:tc>
          <w:tcPr>
            <w:tcW w:w="3964" w:type="dxa"/>
            <w:gridSpan w:val="3"/>
          </w:tcPr>
          <w:p w14:paraId="2942C129" w14:textId="77777777" w:rsidR="006027F4" w:rsidRPr="0013388C" w:rsidRDefault="006027F4" w:rsidP="00E71F81">
            <w:pPr>
              <w:keepNext/>
              <w:ind w:left="-57"/>
              <w:rPr>
                <w:rFonts w:ascii="Arial Narrow" w:hAnsi="Arial Narrow"/>
                <w:sz w:val="18"/>
                <w:szCs w:val="18"/>
              </w:rPr>
            </w:pPr>
            <w:r w:rsidRPr="0013388C">
              <w:rPr>
                <w:rFonts w:ascii="Arial Narrow" w:hAnsi="Arial Narrow"/>
                <w:sz w:val="18"/>
                <w:szCs w:val="18"/>
              </w:rPr>
              <w:t>Buprenorphine 64 mg/0.18 mL modified release injection, 0.18 mL syringe</w:t>
            </w:r>
          </w:p>
        </w:tc>
        <w:tc>
          <w:tcPr>
            <w:tcW w:w="993" w:type="dxa"/>
          </w:tcPr>
          <w:p w14:paraId="00F8F96C" w14:textId="77777777" w:rsidR="006027F4" w:rsidRPr="0013388C" w:rsidRDefault="006027F4" w:rsidP="00E71F81">
            <w:pPr>
              <w:keepNext/>
              <w:jc w:val="center"/>
              <w:rPr>
                <w:rFonts w:ascii="Arial Narrow" w:hAnsi="Arial Narrow"/>
                <w:sz w:val="18"/>
                <w:szCs w:val="18"/>
              </w:rPr>
            </w:pPr>
            <w:r w:rsidRPr="0013388C">
              <w:rPr>
                <w:rFonts w:ascii="Arial Narrow" w:hAnsi="Arial Narrow"/>
                <w:sz w:val="18"/>
                <w:szCs w:val="18"/>
              </w:rPr>
              <w:t>NEW</w:t>
            </w:r>
          </w:p>
        </w:tc>
        <w:tc>
          <w:tcPr>
            <w:tcW w:w="850" w:type="dxa"/>
            <w:vMerge w:val="restart"/>
          </w:tcPr>
          <w:p w14:paraId="6A854833" w14:textId="77777777" w:rsidR="006027F4" w:rsidRPr="0013388C" w:rsidRDefault="006027F4" w:rsidP="00E71F81">
            <w:pPr>
              <w:keepNext/>
              <w:jc w:val="center"/>
              <w:rPr>
                <w:rFonts w:ascii="Arial Narrow" w:hAnsi="Arial Narrow"/>
                <w:sz w:val="18"/>
                <w:szCs w:val="18"/>
              </w:rPr>
            </w:pPr>
            <w:r w:rsidRPr="0013388C">
              <w:rPr>
                <w:rFonts w:ascii="Arial Narrow" w:hAnsi="Arial Narrow"/>
                <w:sz w:val="18"/>
                <w:szCs w:val="18"/>
              </w:rPr>
              <w:t>1</w:t>
            </w:r>
          </w:p>
        </w:tc>
        <w:tc>
          <w:tcPr>
            <w:tcW w:w="709" w:type="dxa"/>
            <w:vMerge w:val="restart"/>
          </w:tcPr>
          <w:p w14:paraId="162FAD90" w14:textId="77777777" w:rsidR="006027F4" w:rsidRPr="0013388C" w:rsidRDefault="006027F4" w:rsidP="00E71F81">
            <w:pPr>
              <w:keepNext/>
              <w:jc w:val="center"/>
              <w:rPr>
                <w:rFonts w:ascii="Arial Narrow" w:hAnsi="Arial Narrow"/>
                <w:sz w:val="18"/>
                <w:szCs w:val="18"/>
              </w:rPr>
            </w:pPr>
            <w:r w:rsidRPr="0013388C">
              <w:rPr>
                <w:rFonts w:ascii="Arial Narrow" w:hAnsi="Arial Narrow"/>
                <w:sz w:val="18"/>
                <w:szCs w:val="18"/>
              </w:rPr>
              <w:t>1</w:t>
            </w:r>
          </w:p>
        </w:tc>
        <w:tc>
          <w:tcPr>
            <w:tcW w:w="709" w:type="dxa"/>
            <w:vMerge w:val="restart"/>
          </w:tcPr>
          <w:p w14:paraId="3E2234DF" w14:textId="77777777" w:rsidR="006027F4" w:rsidRPr="0013388C" w:rsidRDefault="006027F4" w:rsidP="00E71F81">
            <w:pPr>
              <w:keepNext/>
              <w:jc w:val="center"/>
              <w:rPr>
                <w:rFonts w:ascii="Arial Narrow" w:hAnsi="Arial Narrow"/>
                <w:sz w:val="18"/>
                <w:szCs w:val="18"/>
              </w:rPr>
            </w:pPr>
            <w:r w:rsidRPr="0013388C">
              <w:rPr>
                <w:rFonts w:ascii="Arial Narrow" w:hAnsi="Arial Narrow"/>
                <w:sz w:val="18"/>
                <w:szCs w:val="18"/>
              </w:rPr>
              <w:t>NA</w:t>
            </w:r>
          </w:p>
        </w:tc>
        <w:tc>
          <w:tcPr>
            <w:tcW w:w="1842" w:type="dxa"/>
            <w:vMerge w:val="restart"/>
          </w:tcPr>
          <w:p w14:paraId="41531465" w14:textId="77777777" w:rsidR="006027F4" w:rsidRPr="0013388C" w:rsidRDefault="006027F4" w:rsidP="00E71F81">
            <w:pPr>
              <w:keepNext/>
              <w:rPr>
                <w:rFonts w:ascii="Arial Narrow" w:hAnsi="Arial Narrow"/>
                <w:sz w:val="18"/>
                <w:szCs w:val="18"/>
              </w:rPr>
            </w:pPr>
            <w:r w:rsidRPr="0013388C">
              <w:rPr>
                <w:rFonts w:ascii="Arial Narrow" w:hAnsi="Arial Narrow"/>
                <w:sz w:val="18"/>
                <w:szCs w:val="18"/>
              </w:rPr>
              <w:t>Buvidal Monthly</w:t>
            </w:r>
          </w:p>
        </w:tc>
      </w:tr>
      <w:tr w:rsidR="006027F4" w:rsidRPr="0013388C" w14:paraId="5320F720" w14:textId="77777777" w:rsidTr="00E71F81">
        <w:trPr>
          <w:cantSplit/>
          <w:trHeight w:val="501"/>
        </w:trPr>
        <w:tc>
          <w:tcPr>
            <w:tcW w:w="3964" w:type="dxa"/>
            <w:gridSpan w:val="3"/>
          </w:tcPr>
          <w:p w14:paraId="28D7A5E3" w14:textId="77777777" w:rsidR="006027F4" w:rsidRPr="0013388C" w:rsidRDefault="006027F4" w:rsidP="00E71F81">
            <w:pPr>
              <w:keepNext/>
              <w:ind w:left="-57"/>
              <w:rPr>
                <w:rFonts w:ascii="Arial Narrow" w:hAnsi="Arial Narrow"/>
                <w:sz w:val="18"/>
                <w:szCs w:val="18"/>
              </w:rPr>
            </w:pPr>
            <w:r w:rsidRPr="0013388C">
              <w:rPr>
                <w:rFonts w:ascii="Arial Narrow" w:hAnsi="Arial Narrow"/>
                <w:sz w:val="18"/>
                <w:szCs w:val="18"/>
              </w:rPr>
              <w:t>Buprenorphine 96 mg/0.27 mL modified release injection, 0.27 mL syringe</w:t>
            </w:r>
          </w:p>
        </w:tc>
        <w:tc>
          <w:tcPr>
            <w:tcW w:w="993" w:type="dxa"/>
          </w:tcPr>
          <w:p w14:paraId="7403D080" w14:textId="77777777" w:rsidR="006027F4" w:rsidRPr="0013388C" w:rsidRDefault="006027F4" w:rsidP="00E71F81">
            <w:pPr>
              <w:keepNext/>
              <w:jc w:val="center"/>
              <w:rPr>
                <w:rFonts w:ascii="Arial Narrow" w:hAnsi="Arial Narrow"/>
                <w:sz w:val="18"/>
                <w:szCs w:val="18"/>
              </w:rPr>
            </w:pPr>
            <w:r w:rsidRPr="0013388C">
              <w:rPr>
                <w:rFonts w:ascii="Arial Narrow" w:hAnsi="Arial Narrow"/>
                <w:sz w:val="18"/>
                <w:szCs w:val="18"/>
              </w:rPr>
              <w:t>NEW</w:t>
            </w:r>
          </w:p>
        </w:tc>
        <w:tc>
          <w:tcPr>
            <w:tcW w:w="850" w:type="dxa"/>
            <w:vMerge/>
          </w:tcPr>
          <w:p w14:paraId="5162B2F0" w14:textId="77777777" w:rsidR="006027F4" w:rsidRPr="0013388C" w:rsidRDefault="006027F4" w:rsidP="00E71F81">
            <w:pPr>
              <w:keepNext/>
              <w:jc w:val="center"/>
              <w:rPr>
                <w:rFonts w:ascii="Arial Narrow" w:hAnsi="Arial Narrow"/>
                <w:sz w:val="18"/>
                <w:szCs w:val="18"/>
              </w:rPr>
            </w:pPr>
          </w:p>
        </w:tc>
        <w:tc>
          <w:tcPr>
            <w:tcW w:w="709" w:type="dxa"/>
            <w:vMerge/>
          </w:tcPr>
          <w:p w14:paraId="52778584" w14:textId="77777777" w:rsidR="006027F4" w:rsidRPr="0013388C" w:rsidRDefault="006027F4" w:rsidP="00E71F81">
            <w:pPr>
              <w:keepNext/>
              <w:jc w:val="center"/>
              <w:rPr>
                <w:rFonts w:ascii="Arial Narrow" w:hAnsi="Arial Narrow"/>
                <w:sz w:val="18"/>
                <w:szCs w:val="18"/>
              </w:rPr>
            </w:pPr>
          </w:p>
        </w:tc>
        <w:tc>
          <w:tcPr>
            <w:tcW w:w="709" w:type="dxa"/>
            <w:vMerge/>
          </w:tcPr>
          <w:p w14:paraId="4E49FB1C" w14:textId="77777777" w:rsidR="006027F4" w:rsidRPr="0013388C" w:rsidRDefault="006027F4" w:rsidP="00E71F81">
            <w:pPr>
              <w:keepNext/>
              <w:jc w:val="center"/>
              <w:rPr>
                <w:rFonts w:ascii="Arial Narrow" w:hAnsi="Arial Narrow"/>
                <w:sz w:val="18"/>
                <w:szCs w:val="18"/>
              </w:rPr>
            </w:pPr>
          </w:p>
        </w:tc>
        <w:tc>
          <w:tcPr>
            <w:tcW w:w="1842" w:type="dxa"/>
            <w:vMerge/>
          </w:tcPr>
          <w:p w14:paraId="07333911" w14:textId="77777777" w:rsidR="006027F4" w:rsidRPr="0013388C" w:rsidRDefault="006027F4" w:rsidP="00E71F81">
            <w:pPr>
              <w:keepNext/>
              <w:rPr>
                <w:rFonts w:ascii="Arial Narrow" w:hAnsi="Arial Narrow"/>
                <w:sz w:val="18"/>
                <w:szCs w:val="18"/>
              </w:rPr>
            </w:pPr>
          </w:p>
        </w:tc>
      </w:tr>
      <w:tr w:rsidR="006027F4" w:rsidRPr="0013388C" w14:paraId="19F562C6" w14:textId="77777777" w:rsidTr="00E71F81">
        <w:trPr>
          <w:cantSplit/>
          <w:trHeight w:val="501"/>
        </w:trPr>
        <w:tc>
          <w:tcPr>
            <w:tcW w:w="3964" w:type="dxa"/>
            <w:gridSpan w:val="3"/>
          </w:tcPr>
          <w:p w14:paraId="32B55813" w14:textId="77777777" w:rsidR="006027F4" w:rsidRPr="0013388C" w:rsidRDefault="006027F4" w:rsidP="00E71F81">
            <w:pPr>
              <w:keepNext/>
              <w:ind w:left="-57"/>
              <w:rPr>
                <w:rFonts w:ascii="Arial Narrow" w:hAnsi="Arial Narrow"/>
                <w:sz w:val="18"/>
                <w:szCs w:val="18"/>
              </w:rPr>
            </w:pPr>
            <w:r w:rsidRPr="0013388C">
              <w:rPr>
                <w:rFonts w:ascii="Arial Narrow" w:hAnsi="Arial Narrow"/>
                <w:sz w:val="18"/>
                <w:szCs w:val="18"/>
              </w:rPr>
              <w:t>Buprenorphine 128 mg/0.36 mL modified release injection, 0.36 mL syringe</w:t>
            </w:r>
          </w:p>
        </w:tc>
        <w:tc>
          <w:tcPr>
            <w:tcW w:w="993" w:type="dxa"/>
          </w:tcPr>
          <w:p w14:paraId="72009562" w14:textId="77777777" w:rsidR="006027F4" w:rsidRPr="0013388C" w:rsidRDefault="006027F4" w:rsidP="00E71F81">
            <w:pPr>
              <w:keepNext/>
              <w:jc w:val="center"/>
              <w:rPr>
                <w:rFonts w:ascii="Arial Narrow" w:hAnsi="Arial Narrow"/>
                <w:sz w:val="18"/>
                <w:szCs w:val="18"/>
              </w:rPr>
            </w:pPr>
            <w:r w:rsidRPr="0013388C">
              <w:rPr>
                <w:rFonts w:ascii="Arial Narrow" w:hAnsi="Arial Narrow"/>
                <w:sz w:val="18"/>
                <w:szCs w:val="18"/>
              </w:rPr>
              <w:t>NEW</w:t>
            </w:r>
          </w:p>
        </w:tc>
        <w:tc>
          <w:tcPr>
            <w:tcW w:w="850" w:type="dxa"/>
            <w:vMerge/>
          </w:tcPr>
          <w:p w14:paraId="1B6FD18E" w14:textId="77777777" w:rsidR="006027F4" w:rsidRPr="0013388C" w:rsidRDefault="006027F4" w:rsidP="00E71F81">
            <w:pPr>
              <w:keepNext/>
              <w:jc w:val="center"/>
              <w:rPr>
                <w:rFonts w:ascii="Arial Narrow" w:hAnsi="Arial Narrow"/>
                <w:sz w:val="18"/>
                <w:szCs w:val="18"/>
              </w:rPr>
            </w:pPr>
          </w:p>
        </w:tc>
        <w:tc>
          <w:tcPr>
            <w:tcW w:w="709" w:type="dxa"/>
            <w:vMerge/>
          </w:tcPr>
          <w:p w14:paraId="2BC6FF4A" w14:textId="77777777" w:rsidR="006027F4" w:rsidRPr="0013388C" w:rsidRDefault="006027F4" w:rsidP="00E71F81">
            <w:pPr>
              <w:keepNext/>
              <w:jc w:val="center"/>
              <w:rPr>
                <w:rFonts w:ascii="Arial Narrow" w:hAnsi="Arial Narrow"/>
                <w:sz w:val="18"/>
                <w:szCs w:val="18"/>
              </w:rPr>
            </w:pPr>
          </w:p>
        </w:tc>
        <w:tc>
          <w:tcPr>
            <w:tcW w:w="709" w:type="dxa"/>
            <w:vMerge/>
          </w:tcPr>
          <w:p w14:paraId="0C3C9766" w14:textId="77777777" w:rsidR="006027F4" w:rsidRPr="0013388C" w:rsidRDefault="006027F4" w:rsidP="00E71F81">
            <w:pPr>
              <w:keepNext/>
              <w:jc w:val="center"/>
              <w:rPr>
                <w:rFonts w:ascii="Arial Narrow" w:hAnsi="Arial Narrow"/>
                <w:sz w:val="18"/>
                <w:szCs w:val="18"/>
              </w:rPr>
            </w:pPr>
          </w:p>
        </w:tc>
        <w:tc>
          <w:tcPr>
            <w:tcW w:w="1842" w:type="dxa"/>
            <w:vMerge/>
          </w:tcPr>
          <w:p w14:paraId="0B88CB8C" w14:textId="77777777" w:rsidR="006027F4" w:rsidRPr="0013388C" w:rsidRDefault="006027F4" w:rsidP="00E71F81">
            <w:pPr>
              <w:keepNext/>
              <w:rPr>
                <w:rFonts w:ascii="Arial Narrow" w:hAnsi="Arial Narrow"/>
                <w:sz w:val="18"/>
                <w:szCs w:val="18"/>
              </w:rPr>
            </w:pPr>
          </w:p>
        </w:tc>
      </w:tr>
      <w:tr w:rsidR="006027F4" w:rsidRPr="0013388C" w14:paraId="5479C181" w14:textId="77777777" w:rsidTr="00E71F81">
        <w:trPr>
          <w:cantSplit/>
          <w:trHeight w:val="501"/>
        </w:trPr>
        <w:tc>
          <w:tcPr>
            <w:tcW w:w="3964" w:type="dxa"/>
            <w:gridSpan w:val="3"/>
          </w:tcPr>
          <w:p w14:paraId="75DB0025" w14:textId="77777777" w:rsidR="006027F4" w:rsidRPr="0013388C" w:rsidRDefault="006027F4" w:rsidP="00E71F81">
            <w:pPr>
              <w:keepNext/>
              <w:ind w:left="-57"/>
              <w:rPr>
                <w:rFonts w:ascii="Arial Narrow" w:hAnsi="Arial Narrow"/>
                <w:sz w:val="18"/>
                <w:szCs w:val="18"/>
              </w:rPr>
            </w:pPr>
            <w:r w:rsidRPr="0013388C">
              <w:rPr>
                <w:rFonts w:ascii="Arial Narrow" w:hAnsi="Arial Narrow"/>
                <w:i/>
                <w:sz w:val="18"/>
                <w:szCs w:val="18"/>
              </w:rPr>
              <w:t>Buprenorphine 160 mg/0.45 mL modified release injection, 0.45 mL syringe</w:t>
            </w:r>
          </w:p>
        </w:tc>
        <w:tc>
          <w:tcPr>
            <w:tcW w:w="993" w:type="dxa"/>
          </w:tcPr>
          <w:p w14:paraId="6DA190D0" w14:textId="77777777" w:rsidR="006027F4" w:rsidRPr="0013388C" w:rsidRDefault="006027F4" w:rsidP="00E71F81">
            <w:pPr>
              <w:keepNext/>
              <w:jc w:val="center"/>
              <w:rPr>
                <w:rFonts w:ascii="Arial Narrow" w:hAnsi="Arial Narrow"/>
                <w:i/>
                <w:sz w:val="18"/>
                <w:szCs w:val="18"/>
              </w:rPr>
            </w:pPr>
            <w:r w:rsidRPr="0013388C">
              <w:rPr>
                <w:rFonts w:ascii="Arial Narrow" w:hAnsi="Arial Narrow"/>
                <w:i/>
                <w:sz w:val="18"/>
                <w:szCs w:val="18"/>
              </w:rPr>
              <w:t>NEW</w:t>
            </w:r>
          </w:p>
        </w:tc>
        <w:tc>
          <w:tcPr>
            <w:tcW w:w="850" w:type="dxa"/>
            <w:vMerge/>
          </w:tcPr>
          <w:p w14:paraId="6A3D61B0" w14:textId="77777777" w:rsidR="006027F4" w:rsidRPr="0013388C" w:rsidRDefault="006027F4" w:rsidP="00E71F81">
            <w:pPr>
              <w:keepNext/>
              <w:jc w:val="center"/>
              <w:rPr>
                <w:rFonts w:ascii="Arial Narrow" w:hAnsi="Arial Narrow"/>
                <w:sz w:val="18"/>
                <w:szCs w:val="18"/>
              </w:rPr>
            </w:pPr>
          </w:p>
        </w:tc>
        <w:tc>
          <w:tcPr>
            <w:tcW w:w="709" w:type="dxa"/>
            <w:vMerge/>
          </w:tcPr>
          <w:p w14:paraId="4FD98CF4" w14:textId="77777777" w:rsidR="006027F4" w:rsidRPr="0013388C" w:rsidRDefault="006027F4" w:rsidP="00E71F81">
            <w:pPr>
              <w:keepNext/>
              <w:jc w:val="center"/>
              <w:rPr>
                <w:rFonts w:ascii="Arial Narrow" w:hAnsi="Arial Narrow"/>
                <w:sz w:val="18"/>
                <w:szCs w:val="18"/>
              </w:rPr>
            </w:pPr>
          </w:p>
        </w:tc>
        <w:tc>
          <w:tcPr>
            <w:tcW w:w="709" w:type="dxa"/>
            <w:vMerge/>
          </w:tcPr>
          <w:p w14:paraId="68015BAF" w14:textId="77777777" w:rsidR="006027F4" w:rsidRPr="0013388C" w:rsidRDefault="006027F4" w:rsidP="00E71F81">
            <w:pPr>
              <w:keepNext/>
              <w:jc w:val="center"/>
              <w:rPr>
                <w:rFonts w:ascii="Arial Narrow" w:hAnsi="Arial Narrow"/>
                <w:sz w:val="18"/>
                <w:szCs w:val="18"/>
              </w:rPr>
            </w:pPr>
          </w:p>
        </w:tc>
        <w:tc>
          <w:tcPr>
            <w:tcW w:w="1842" w:type="dxa"/>
            <w:vMerge/>
          </w:tcPr>
          <w:p w14:paraId="172729C2" w14:textId="77777777" w:rsidR="006027F4" w:rsidRPr="0013388C" w:rsidRDefault="006027F4" w:rsidP="00E71F81">
            <w:pPr>
              <w:keepNext/>
              <w:rPr>
                <w:rFonts w:ascii="Arial Narrow" w:hAnsi="Arial Narrow"/>
                <w:sz w:val="18"/>
                <w:szCs w:val="18"/>
              </w:rPr>
            </w:pPr>
          </w:p>
        </w:tc>
      </w:tr>
      <w:tr w:rsidR="006027F4" w:rsidRPr="0013388C" w14:paraId="75686B8A" w14:textId="77777777" w:rsidTr="00E71F81">
        <w:tblPrEx>
          <w:jc w:val="center"/>
          <w:tblCellMar>
            <w:top w:w="15" w:type="dxa"/>
            <w:left w:w="15" w:type="dxa"/>
            <w:bottom w:w="15" w:type="dxa"/>
            <w:right w:w="15" w:type="dxa"/>
          </w:tblCellMar>
          <w:tblLook w:val="04A0" w:firstRow="1" w:lastRow="0" w:firstColumn="1" w:lastColumn="0" w:noHBand="0" w:noVBand="1"/>
        </w:tblPrEx>
        <w:trPr>
          <w:jc w:val="center"/>
        </w:trPr>
        <w:tc>
          <w:tcPr>
            <w:tcW w:w="9067" w:type="dxa"/>
            <w:gridSpan w:val="8"/>
            <w:tcBorders>
              <w:top w:val="single" w:sz="4" w:space="0" w:color="auto"/>
              <w:left w:val="single" w:sz="4" w:space="0" w:color="auto"/>
              <w:right w:val="single" w:sz="4" w:space="0" w:color="auto"/>
            </w:tcBorders>
          </w:tcPr>
          <w:p w14:paraId="5E015D62" w14:textId="77777777" w:rsidR="006027F4" w:rsidRPr="0013388C" w:rsidRDefault="006027F4" w:rsidP="00E71F81">
            <w:pPr>
              <w:rPr>
                <w:rFonts w:ascii="Arial Narrow" w:hAnsi="Arial Narrow"/>
                <w:sz w:val="18"/>
                <w:szCs w:val="18"/>
              </w:rPr>
            </w:pPr>
          </w:p>
        </w:tc>
      </w:tr>
      <w:tr w:rsidR="006027F4" w:rsidRPr="0013388C" w14:paraId="0F0E460C" w14:textId="77777777" w:rsidTr="00E71F81">
        <w:tblPrEx>
          <w:jc w:val="center"/>
          <w:tblCellMar>
            <w:top w:w="15" w:type="dxa"/>
            <w:left w:w="15" w:type="dxa"/>
            <w:bottom w:w="15" w:type="dxa"/>
            <w:right w:w="15" w:type="dxa"/>
          </w:tblCellMar>
          <w:tblLook w:val="04A0" w:firstRow="1" w:lastRow="0" w:firstColumn="1" w:lastColumn="0" w:noHBand="0" w:noVBand="1"/>
        </w:tblPrEx>
        <w:trPr>
          <w:jc w:val="center"/>
        </w:trPr>
        <w:tc>
          <w:tcPr>
            <w:tcW w:w="9067" w:type="dxa"/>
            <w:gridSpan w:val="8"/>
            <w:tcBorders>
              <w:top w:val="single" w:sz="4" w:space="0" w:color="auto"/>
              <w:left w:val="single" w:sz="4" w:space="0" w:color="auto"/>
              <w:right w:val="single" w:sz="4" w:space="0" w:color="auto"/>
            </w:tcBorders>
          </w:tcPr>
          <w:p w14:paraId="41F27F66" w14:textId="77777777" w:rsidR="006027F4" w:rsidRPr="0013388C" w:rsidRDefault="006027F4" w:rsidP="00E71F81">
            <w:pPr>
              <w:rPr>
                <w:rFonts w:ascii="Arial Narrow" w:hAnsi="Arial Narrow"/>
                <w:b/>
                <w:sz w:val="18"/>
                <w:szCs w:val="18"/>
              </w:rPr>
            </w:pPr>
            <w:r w:rsidRPr="0013388C">
              <w:rPr>
                <w:rFonts w:ascii="Arial Narrow" w:hAnsi="Arial Narrow"/>
                <w:b/>
                <w:sz w:val="18"/>
                <w:szCs w:val="18"/>
              </w:rPr>
              <w:t>Restriction Summary  / Treatment of Concept:</w:t>
            </w:r>
          </w:p>
        </w:tc>
      </w:tr>
      <w:tr w:rsidR="006027F4" w:rsidRPr="0013388C" w14:paraId="2667217B" w14:textId="77777777" w:rsidTr="00E71F81">
        <w:tblPrEx>
          <w:jc w:val="center"/>
          <w:tblCellMar>
            <w:top w:w="15" w:type="dxa"/>
            <w:left w:w="15" w:type="dxa"/>
            <w:bottom w:w="15" w:type="dxa"/>
            <w:right w:w="15" w:type="dxa"/>
          </w:tblCellMar>
          <w:tblLook w:val="04A0" w:firstRow="1" w:lastRow="0" w:firstColumn="1" w:lastColumn="0" w:noHBand="0" w:noVBand="1"/>
        </w:tblPrEx>
        <w:trPr>
          <w:jc w:val="center"/>
        </w:trPr>
        <w:tc>
          <w:tcPr>
            <w:tcW w:w="981" w:type="dxa"/>
            <w:gridSpan w:val="2"/>
            <w:vMerge w:val="restart"/>
            <w:tcBorders>
              <w:top w:val="single" w:sz="4" w:space="0" w:color="auto"/>
              <w:left w:val="single" w:sz="4" w:space="0" w:color="auto"/>
              <w:right w:val="single" w:sz="4" w:space="0" w:color="auto"/>
            </w:tcBorders>
          </w:tcPr>
          <w:p w14:paraId="31A1F39B" w14:textId="77777777" w:rsidR="006027F4" w:rsidRPr="0013388C" w:rsidRDefault="006027F4" w:rsidP="00E71F81">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2D0B5275" w14:textId="77777777" w:rsidR="006027F4" w:rsidRPr="0013388C" w:rsidRDefault="006027F4" w:rsidP="00E71F81">
            <w:pPr>
              <w:rPr>
                <w:rFonts w:ascii="Arial Narrow" w:hAnsi="Arial Narrow"/>
                <w:sz w:val="18"/>
                <w:szCs w:val="18"/>
              </w:rPr>
            </w:pPr>
            <w:r w:rsidRPr="0013388C">
              <w:rPr>
                <w:rFonts w:ascii="Arial Narrow" w:hAnsi="Arial Narrow"/>
                <w:b/>
                <w:sz w:val="18"/>
                <w:szCs w:val="18"/>
              </w:rPr>
              <w:t xml:space="preserve">Category / Program:   </w:t>
            </w:r>
            <w:r w:rsidRPr="0013388C">
              <w:rPr>
                <w:rFonts w:ascii="Arial Narrow" w:hAnsi="Arial Narrow"/>
                <w:sz w:val="18"/>
                <w:szCs w:val="18"/>
              </w:rPr>
              <w:t>GENERAL- General Schedule</w:t>
            </w:r>
          </w:p>
        </w:tc>
      </w:tr>
      <w:tr w:rsidR="006027F4" w:rsidRPr="0013388C" w14:paraId="7F246BEA" w14:textId="77777777" w:rsidTr="00E71F81">
        <w:tblPrEx>
          <w:jc w:val="center"/>
          <w:tblCellMar>
            <w:top w:w="15" w:type="dxa"/>
            <w:left w:w="15" w:type="dxa"/>
            <w:bottom w:w="15" w:type="dxa"/>
            <w:right w:w="15" w:type="dxa"/>
          </w:tblCellMar>
          <w:tblLook w:val="04A0" w:firstRow="1" w:lastRow="0" w:firstColumn="1" w:lastColumn="0" w:noHBand="0" w:noVBand="1"/>
        </w:tblPrEx>
        <w:trPr>
          <w:trHeight w:val="240"/>
          <w:jc w:val="center"/>
        </w:trPr>
        <w:tc>
          <w:tcPr>
            <w:tcW w:w="981" w:type="dxa"/>
            <w:gridSpan w:val="2"/>
            <w:vMerge/>
            <w:tcBorders>
              <w:left w:val="single" w:sz="4" w:space="0" w:color="auto"/>
              <w:right w:val="single" w:sz="4" w:space="0" w:color="auto"/>
            </w:tcBorders>
          </w:tcPr>
          <w:p w14:paraId="5D7C3064" w14:textId="77777777" w:rsidR="006027F4" w:rsidRPr="0013388C" w:rsidRDefault="006027F4" w:rsidP="00E71F81">
            <w:pP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00595BD3" w14:textId="77777777" w:rsidR="006027F4" w:rsidRPr="0013388C" w:rsidRDefault="006027F4" w:rsidP="00E71F81">
            <w:pPr>
              <w:rPr>
                <w:rFonts w:ascii="Arial Narrow" w:hAnsi="Arial Narrow"/>
                <w:b/>
                <w:sz w:val="18"/>
                <w:szCs w:val="18"/>
              </w:rPr>
            </w:pPr>
            <w:r w:rsidRPr="0013388C">
              <w:rPr>
                <w:rFonts w:ascii="Arial Narrow" w:hAnsi="Arial Narrow"/>
                <w:b/>
                <w:sz w:val="18"/>
                <w:szCs w:val="18"/>
              </w:rPr>
              <w:t xml:space="preserve">Prescriber type:   </w:t>
            </w:r>
            <w:r w:rsidRPr="0013388C">
              <w:rPr>
                <w:rFonts w:ascii="Arial Narrow" w:hAnsi="Arial Narrow"/>
                <w:sz w:val="18"/>
                <w:szCs w:val="18"/>
              </w:rPr>
              <w:fldChar w:fldCharType="begin">
                <w:ffData>
                  <w:name w:val="Check1"/>
                  <w:enabled/>
                  <w:calcOnExit w:val="0"/>
                  <w:checkBox>
                    <w:sizeAuto/>
                    <w:default w:val="0"/>
                  </w:checkBox>
                </w:ffData>
              </w:fldChar>
            </w:r>
            <w:r w:rsidRPr="0013388C">
              <w:rPr>
                <w:rFonts w:ascii="Arial Narrow" w:hAnsi="Arial Narrow"/>
                <w:sz w:val="18"/>
                <w:szCs w:val="18"/>
              </w:rPr>
              <w:instrText xml:space="preserve"> FORMCHECKBOX </w:instrText>
            </w:r>
            <w:r w:rsidR="001412AD">
              <w:rPr>
                <w:rFonts w:ascii="Arial Narrow" w:hAnsi="Arial Narrow"/>
                <w:sz w:val="18"/>
                <w:szCs w:val="18"/>
              </w:rPr>
            </w:r>
            <w:r w:rsidR="001412AD">
              <w:rPr>
                <w:rFonts w:ascii="Arial Narrow" w:hAnsi="Arial Narrow"/>
                <w:sz w:val="18"/>
                <w:szCs w:val="18"/>
              </w:rPr>
              <w:fldChar w:fldCharType="separate"/>
            </w:r>
            <w:r w:rsidRPr="0013388C">
              <w:rPr>
                <w:rFonts w:ascii="Arial Narrow" w:hAnsi="Arial Narrow"/>
                <w:sz w:val="18"/>
                <w:szCs w:val="18"/>
              </w:rPr>
              <w:fldChar w:fldCharType="end"/>
            </w:r>
            <w:r w:rsidRPr="0013388C">
              <w:rPr>
                <w:rFonts w:ascii="Arial Narrow" w:hAnsi="Arial Narrow"/>
                <w:sz w:val="18"/>
                <w:szCs w:val="18"/>
              </w:rPr>
              <w:t xml:space="preserve">Dental    </w:t>
            </w:r>
            <w:r w:rsidRPr="0013388C">
              <w:rPr>
                <w:rFonts w:ascii="Arial Narrow" w:hAnsi="Arial Narrow"/>
                <w:sz w:val="18"/>
                <w:szCs w:val="18"/>
              </w:rPr>
              <w:fldChar w:fldCharType="begin">
                <w:ffData>
                  <w:name w:val=""/>
                  <w:enabled/>
                  <w:calcOnExit w:val="0"/>
                  <w:checkBox>
                    <w:sizeAuto/>
                    <w:default w:val="1"/>
                  </w:checkBox>
                </w:ffData>
              </w:fldChar>
            </w:r>
            <w:r w:rsidRPr="0013388C">
              <w:rPr>
                <w:rFonts w:ascii="Arial Narrow" w:hAnsi="Arial Narrow"/>
                <w:sz w:val="18"/>
                <w:szCs w:val="18"/>
              </w:rPr>
              <w:instrText xml:space="preserve"> FORMCHECKBOX </w:instrText>
            </w:r>
            <w:r w:rsidR="001412AD">
              <w:rPr>
                <w:rFonts w:ascii="Arial Narrow" w:hAnsi="Arial Narrow"/>
                <w:sz w:val="18"/>
                <w:szCs w:val="18"/>
              </w:rPr>
            </w:r>
            <w:r w:rsidR="001412AD">
              <w:rPr>
                <w:rFonts w:ascii="Arial Narrow" w:hAnsi="Arial Narrow"/>
                <w:sz w:val="18"/>
                <w:szCs w:val="18"/>
              </w:rPr>
              <w:fldChar w:fldCharType="separate"/>
            </w:r>
            <w:r w:rsidRPr="0013388C">
              <w:rPr>
                <w:rFonts w:ascii="Arial Narrow" w:hAnsi="Arial Narrow"/>
                <w:sz w:val="18"/>
                <w:szCs w:val="18"/>
              </w:rPr>
              <w:fldChar w:fldCharType="end"/>
            </w:r>
            <w:r w:rsidRPr="0013388C">
              <w:rPr>
                <w:rFonts w:ascii="Arial Narrow" w:hAnsi="Arial Narrow"/>
                <w:sz w:val="18"/>
                <w:szCs w:val="18"/>
              </w:rPr>
              <w:t xml:space="preserve">Medical Practitioners    </w:t>
            </w:r>
            <w:r w:rsidRPr="0013388C">
              <w:rPr>
                <w:rFonts w:ascii="Arial Narrow" w:hAnsi="Arial Narrow"/>
                <w:sz w:val="18"/>
                <w:szCs w:val="18"/>
              </w:rPr>
              <w:fldChar w:fldCharType="begin">
                <w:ffData>
                  <w:name w:val="Check3"/>
                  <w:enabled/>
                  <w:calcOnExit w:val="0"/>
                  <w:checkBox>
                    <w:sizeAuto/>
                    <w:default w:val="1"/>
                  </w:checkBox>
                </w:ffData>
              </w:fldChar>
            </w:r>
            <w:r w:rsidRPr="0013388C">
              <w:rPr>
                <w:rFonts w:ascii="Arial Narrow" w:hAnsi="Arial Narrow"/>
                <w:sz w:val="18"/>
                <w:szCs w:val="18"/>
              </w:rPr>
              <w:instrText xml:space="preserve"> FORMCHECKBOX </w:instrText>
            </w:r>
            <w:r w:rsidR="001412AD">
              <w:rPr>
                <w:rFonts w:ascii="Arial Narrow" w:hAnsi="Arial Narrow"/>
                <w:sz w:val="18"/>
                <w:szCs w:val="18"/>
              </w:rPr>
            </w:r>
            <w:r w:rsidR="001412AD">
              <w:rPr>
                <w:rFonts w:ascii="Arial Narrow" w:hAnsi="Arial Narrow"/>
                <w:sz w:val="18"/>
                <w:szCs w:val="18"/>
              </w:rPr>
              <w:fldChar w:fldCharType="separate"/>
            </w:r>
            <w:r w:rsidRPr="0013388C">
              <w:rPr>
                <w:rFonts w:ascii="Arial Narrow" w:hAnsi="Arial Narrow"/>
                <w:sz w:val="18"/>
                <w:szCs w:val="18"/>
              </w:rPr>
              <w:fldChar w:fldCharType="end"/>
            </w:r>
            <w:r w:rsidRPr="0013388C">
              <w:rPr>
                <w:rFonts w:ascii="Arial Narrow" w:hAnsi="Arial Narrow"/>
                <w:sz w:val="18"/>
                <w:szCs w:val="18"/>
              </w:rPr>
              <w:t xml:space="preserve">Nurse practitioners     </w:t>
            </w:r>
            <w:r w:rsidRPr="0013388C">
              <w:rPr>
                <w:rFonts w:ascii="Arial Narrow" w:hAnsi="Arial Narrow"/>
                <w:sz w:val="18"/>
                <w:szCs w:val="18"/>
              </w:rPr>
              <w:fldChar w:fldCharType="begin">
                <w:ffData>
                  <w:name w:val=""/>
                  <w:enabled/>
                  <w:calcOnExit w:val="0"/>
                  <w:checkBox>
                    <w:sizeAuto/>
                    <w:default w:val="0"/>
                  </w:checkBox>
                </w:ffData>
              </w:fldChar>
            </w:r>
            <w:r w:rsidRPr="0013388C">
              <w:rPr>
                <w:rFonts w:ascii="Arial Narrow" w:hAnsi="Arial Narrow"/>
                <w:sz w:val="18"/>
                <w:szCs w:val="18"/>
              </w:rPr>
              <w:instrText xml:space="preserve"> FORMCHECKBOX </w:instrText>
            </w:r>
            <w:r w:rsidR="001412AD">
              <w:rPr>
                <w:rFonts w:ascii="Arial Narrow" w:hAnsi="Arial Narrow"/>
                <w:sz w:val="18"/>
                <w:szCs w:val="18"/>
              </w:rPr>
            </w:r>
            <w:r w:rsidR="001412AD">
              <w:rPr>
                <w:rFonts w:ascii="Arial Narrow" w:hAnsi="Arial Narrow"/>
                <w:sz w:val="18"/>
                <w:szCs w:val="18"/>
              </w:rPr>
              <w:fldChar w:fldCharType="separate"/>
            </w:r>
            <w:r w:rsidRPr="0013388C">
              <w:rPr>
                <w:rFonts w:ascii="Arial Narrow" w:hAnsi="Arial Narrow"/>
                <w:sz w:val="18"/>
                <w:szCs w:val="18"/>
              </w:rPr>
              <w:fldChar w:fldCharType="end"/>
            </w:r>
            <w:r w:rsidRPr="0013388C">
              <w:rPr>
                <w:rFonts w:ascii="Arial Narrow" w:hAnsi="Arial Narrow"/>
                <w:sz w:val="18"/>
                <w:szCs w:val="18"/>
              </w:rPr>
              <w:t xml:space="preserve">Optometrists    </w:t>
            </w:r>
            <w:r w:rsidRPr="0013388C">
              <w:rPr>
                <w:rFonts w:ascii="Arial Narrow" w:hAnsi="Arial Narrow"/>
                <w:sz w:val="18"/>
                <w:szCs w:val="18"/>
              </w:rPr>
              <w:fldChar w:fldCharType="begin">
                <w:ffData>
                  <w:name w:val="Check5"/>
                  <w:enabled/>
                  <w:calcOnExit w:val="0"/>
                  <w:checkBox>
                    <w:sizeAuto/>
                    <w:default w:val="0"/>
                  </w:checkBox>
                </w:ffData>
              </w:fldChar>
            </w:r>
            <w:r w:rsidRPr="0013388C">
              <w:rPr>
                <w:rFonts w:ascii="Arial Narrow" w:hAnsi="Arial Narrow"/>
                <w:sz w:val="18"/>
                <w:szCs w:val="18"/>
              </w:rPr>
              <w:instrText xml:space="preserve"> FORMCHECKBOX </w:instrText>
            </w:r>
            <w:r w:rsidR="001412AD">
              <w:rPr>
                <w:rFonts w:ascii="Arial Narrow" w:hAnsi="Arial Narrow"/>
                <w:sz w:val="18"/>
                <w:szCs w:val="18"/>
              </w:rPr>
            </w:r>
            <w:r w:rsidR="001412AD">
              <w:rPr>
                <w:rFonts w:ascii="Arial Narrow" w:hAnsi="Arial Narrow"/>
                <w:sz w:val="18"/>
                <w:szCs w:val="18"/>
              </w:rPr>
              <w:fldChar w:fldCharType="separate"/>
            </w:r>
            <w:r w:rsidRPr="0013388C">
              <w:rPr>
                <w:rFonts w:ascii="Arial Narrow" w:hAnsi="Arial Narrow"/>
                <w:sz w:val="18"/>
                <w:szCs w:val="18"/>
              </w:rPr>
              <w:fldChar w:fldCharType="end"/>
            </w:r>
            <w:r w:rsidRPr="0013388C">
              <w:rPr>
                <w:rFonts w:ascii="Arial Narrow" w:hAnsi="Arial Narrow"/>
                <w:sz w:val="18"/>
                <w:szCs w:val="18"/>
              </w:rPr>
              <w:t>Midwives</w:t>
            </w:r>
            <w:r w:rsidRPr="0013388C">
              <w:rPr>
                <w:rFonts w:ascii="Arial Narrow" w:hAnsi="Arial Narrow"/>
                <w:color w:val="FF0000"/>
                <w:sz w:val="18"/>
                <w:szCs w:val="18"/>
              </w:rPr>
              <w:t xml:space="preserve"> </w:t>
            </w:r>
          </w:p>
        </w:tc>
      </w:tr>
      <w:tr w:rsidR="006027F4" w:rsidRPr="0013388C" w14:paraId="350CED9D" w14:textId="77777777" w:rsidTr="00E71F81">
        <w:tblPrEx>
          <w:jc w:val="center"/>
          <w:tblCellMar>
            <w:top w:w="15" w:type="dxa"/>
            <w:left w:w="15" w:type="dxa"/>
            <w:bottom w:w="15" w:type="dxa"/>
            <w:right w:w="15" w:type="dxa"/>
          </w:tblCellMar>
          <w:tblLook w:val="04A0" w:firstRow="1" w:lastRow="0" w:firstColumn="1" w:lastColumn="0" w:noHBand="0" w:noVBand="1"/>
        </w:tblPrEx>
        <w:trPr>
          <w:trHeight w:val="238"/>
          <w:jc w:val="center"/>
        </w:trPr>
        <w:tc>
          <w:tcPr>
            <w:tcW w:w="981" w:type="dxa"/>
            <w:gridSpan w:val="2"/>
            <w:vMerge/>
            <w:tcBorders>
              <w:left w:val="single" w:sz="4" w:space="0" w:color="auto"/>
              <w:bottom w:val="single" w:sz="4" w:space="0" w:color="auto"/>
              <w:right w:val="single" w:sz="4" w:space="0" w:color="auto"/>
            </w:tcBorders>
          </w:tcPr>
          <w:p w14:paraId="334CEE0A" w14:textId="77777777" w:rsidR="006027F4" w:rsidRPr="0013388C" w:rsidRDefault="006027F4" w:rsidP="00E71F81">
            <w:pP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2954CB6D" w14:textId="77777777" w:rsidR="006027F4" w:rsidRPr="0013388C" w:rsidRDefault="006027F4" w:rsidP="00E71F81">
            <w:pPr>
              <w:rPr>
                <w:rFonts w:ascii="Arial Narrow" w:hAnsi="Arial Narrow"/>
                <w:b/>
                <w:sz w:val="18"/>
                <w:szCs w:val="18"/>
              </w:rPr>
            </w:pPr>
            <w:r w:rsidRPr="0013388C">
              <w:rPr>
                <w:rFonts w:ascii="Arial Narrow" w:hAnsi="Arial Narrow"/>
                <w:b/>
                <w:sz w:val="18"/>
                <w:szCs w:val="18"/>
              </w:rPr>
              <w:t xml:space="preserve">Restriction type: </w:t>
            </w:r>
            <w:r w:rsidRPr="0013388C">
              <w:rPr>
                <w:rFonts w:ascii="Arial Narrow" w:eastAsia="Calibri" w:hAnsi="Arial Narrow"/>
                <w:sz w:val="18"/>
                <w:szCs w:val="18"/>
              </w:rPr>
              <w:fldChar w:fldCharType="begin">
                <w:ffData>
                  <w:name w:val="Check1"/>
                  <w:enabled/>
                  <w:calcOnExit w:val="0"/>
                  <w:checkBox>
                    <w:sizeAuto/>
                    <w:default w:val="1"/>
                  </w:checkBox>
                </w:ffData>
              </w:fldChar>
            </w:r>
            <w:r w:rsidRPr="0013388C">
              <w:rPr>
                <w:rFonts w:ascii="Arial Narrow" w:eastAsia="Calibri" w:hAnsi="Arial Narrow"/>
                <w:sz w:val="18"/>
                <w:szCs w:val="18"/>
              </w:rPr>
              <w:instrText xml:space="preserve"> FORMCHECKBOX </w:instrText>
            </w:r>
            <w:r w:rsidR="001412AD">
              <w:rPr>
                <w:rFonts w:ascii="Arial Narrow" w:eastAsia="Calibri" w:hAnsi="Arial Narrow"/>
                <w:sz w:val="18"/>
                <w:szCs w:val="18"/>
              </w:rPr>
            </w:r>
            <w:r w:rsidR="001412AD">
              <w:rPr>
                <w:rFonts w:ascii="Arial Narrow" w:eastAsia="Calibri" w:hAnsi="Arial Narrow"/>
                <w:sz w:val="18"/>
                <w:szCs w:val="18"/>
              </w:rPr>
              <w:fldChar w:fldCharType="separate"/>
            </w:r>
            <w:r w:rsidRPr="0013388C">
              <w:rPr>
                <w:rFonts w:ascii="Arial Narrow" w:eastAsia="Calibri" w:hAnsi="Arial Narrow"/>
                <w:sz w:val="18"/>
                <w:szCs w:val="18"/>
              </w:rPr>
              <w:fldChar w:fldCharType="end"/>
            </w:r>
            <w:r w:rsidRPr="0013388C">
              <w:rPr>
                <w:rFonts w:ascii="Arial Narrow" w:eastAsia="Calibri" w:hAnsi="Arial Narrow"/>
                <w:sz w:val="18"/>
                <w:szCs w:val="18"/>
              </w:rPr>
              <w:t>Restricted benefit</w:t>
            </w:r>
          </w:p>
        </w:tc>
      </w:tr>
      <w:tr w:rsidR="006027F4" w:rsidRPr="0013388C" w14:paraId="5D2A12B8" w14:textId="77777777" w:rsidTr="00E71F81">
        <w:tblPrEx>
          <w:jc w:val="center"/>
          <w:tblCellMar>
            <w:top w:w="15" w:type="dxa"/>
            <w:left w:w="15" w:type="dxa"/>
            <w:bottom w:w="15" w:type="dxa"/>
            <w:right w:w="15" w:type="dxa"/>
          </w:tblCellMar>
          <w:tblLook w:val="04A0" w:firstRow="1" w:lastRow="0" w:firstColumn="1" w:lastColumn="0" w:noHBand="0" w:noVBand="1"/>
        </w:tblPrEx>
        <w:trPr>
          <w:jc w:val="center"/>
        </w:trPr>
        <w:tc>
          <w:tcPr>
            <w:tcW w:w="421" w:type="dxa"/>
            <w:vMerge w:val="restart"/>
            <w:tcBorders>
              <w:left w:val="single" w:sz="4" w:space="0" w:color="auto"/>
              <w:right w:val="single" w:sz="4" w:space="0" w:color="auto"/>
            </w:tcBorders>
            <w:textDirection w:val="btLr"/>
            <w:vAlign w:val="center"/>
          </w:tcPr>
          <w:p w14:paraId="4C0471C8" w14:textId="77777777" w:rsidR="006027F4" w:rsidRPr="0013388C" w:rsidRDefault="006027F4" w:rsidP="00E71F81">
            <w:pPr>
              <w:ind w:left="113" w:right="113"/>
              <w:rPr>
                <w:rFonts w:ascii="Arial Narrow" w:hAnsi="Arial Narrow"/>
                <w:sz w:val="18"/>
                <w:szCs w:val="18"/>
              </w:rPr>
            </w:pPr>
          </w:p>
        </w:tc>
        <w:tc>
          <w:tcPr>
            <w:tcW w:w="560" w:type="dxa"/>
            <w:vAlign w:val="center"/>
          </w:tcPr>
          <w:p w14:paraId="618DE603" w14:textId="77777777" w:rsidR="006027F4" w:rsidRPr="0013388C" w:rsidRDefault="006027F4" w:rsidP="00E71F81">
            <w:pPr>
              <w:jc w:val="center"/>
              <w:rPr>
                <w:rFonts w:ascii="Arial Narrow" w:hAnsi="Arial Narrow"/>
                <w:color w:val="333333"/>
                <w:sz w:val="18"/>
                <w:szCs w:val="18"/>
              </w:rPr>
            </w:pPr>
          </w:p>
        </w:tc>
        <w:tc>
          <w:tcPr>
            <w:tcW w:w="8086" w:type="dxa"/>
            <w:gridSpan w:val="6"/>
            <w:vAlign w:val="center"/>
          </w:tcPr>
          <w:p w14:paraId="1BBDF18F" w14:textId="77777777" w:rsidR="006027F4" w:rsidRPr="0013388C" w:rsidRDefault="006027F4" w:rsidP="00E71F81">
            <w:pPr>
              <w:rPr>
                <w:rFonts w:ascii="Arial Narrow" w:hAnsi="Arial Narrow"/>
                <w:b/>
                <w:bCs/>
                <w:color w:val="333333"/>
                <w:sz w:val="18"/>
                <w:szCs w:val="18"/>
              </w:rPr>
            </w:pPr>
            <w:r w:rsidRPr="0013388C">
              <w:rPr>
                <w:rFonts w:ascii="Arial Narrow" w:hAnsi="Arial Narrow"/>
                <w:b/>
                <w:bCs/>
                <w:color w:val="333333"/>
                <w:sz w:val="18"/>
                <w:szCs w:val="18"/>
              </w:rPr>
              <w:t>Administrative Advice:</w:t>
            </w:r>
          </w:p>
          <w:p w14:paraId="60E8C713" w14:textId="77777777" w:rsidR="006027F4" w:rsidRPr="0013388C" w:rsidRDefault="006027F4" w:rsidP="00E71F81">
            <w:pPr>
              <w:rPr>
                <w:rFonts w:ascii="Arial Narrow" w:hAnsi="Arial Narrow"/>
                <w:color w:val="333333"/>
                <w:sz w:val="18"/>
                <w:szCs w:val="18"/>
              </w:rPr>
            </w:pPr>
            <w:r w:rsidRPr="0013388C">
              <w:rPr>
                <w:rFonts w:ascii="Arial Narrow" w:hAnsi="Arial Narrow"/>
                <w:bCs/>
                <w:color w:val="333333"/>
                <w:sz w:val="18"/>
                <w:szCs w:val="18"/>
              </w:rPr>
              <w:t>Care must be taken to comply with the provisions of State/Territory law when prescribing this drug.</w:t>
            </w:r>
          </w:p>
        </w:tc>
      </w:tr>
      <w:tr w:rsidR="006027F4" w:rsidRPr="0013388C" w14:paraId="3D7F5B0C" w14:textId="77777777" w:rsidTr="00E71F81">
        <w:tblPrEx>
          <w:jc w:val="center"/>
          <w:tblCellMar>
            <w:top w:w="15" w:type="dxa"/>
            <w:left w:w="15" w:type="dxa"/>
            <w:bottom w:w="15" w:type="dxa"/>
            <w:right w:w="15" w:type="dxa"/>
          </w:tblCellMar>
          <w:tblLook w:val="04A0" w:firstRow="1" w:lastRow="0" w:firstColumn="1" w:lastColumn="0" w:noHBand="0" w:noVBand="1"/>
        </w:tblPrEx>
        <w:trPr>
          <w:trHeight w:val="1212"/>
          <w:jc w:val="center"/>
        </w:trPr>
        <w:tc>
          <w:tcPr>
            <w:tcW w:w="421" w:type="dxa"/>
            <w:vMerge/>
            <w:tcBorders>
              <w:left w:val="single" w:sz="4" w:space="0" w:color="auto"/>
              <w:right w:val="single" w:sz="4" w:space="0" w:color="auto"/>
            </w:tcBorders>
          </w:tcPr>
          <w:p w14:paraId="321D0F7C" w14:textId="77777777" w:rsidR="006027F4" w:rsidRPr="0013388C" w:rsidRDefault="006027F4" w:rsidP="00E71F81">
            <w:pPr>
              <w:rPr>
                <w:rFonts w:ascii="Arial Narrow" w:hAnsi="Arial Narrow"/>
                <w:sz w:val="18"/>
                <w:szCs w:val="18"/>
              </w:rPr>
            </w:pPr>
          </w:p>
        </w:tc>
        <w:tc>
          <w:tcPr>
            <w:tcW w:w="560" w:type="dxa"/>
            <w:vAlign w:val="center"/>
          </w:tcPr>
          <w:p w14:paraId="1FE7DE71" w14:textId="77777777" w:rsidR="006027F4" w:rsidRPr="0013388C" w:rsidRDefault="006027F4" w:rsidP="00E71F81">
            <w:pPr>
              <w:jc w:val="center"/>
              <w:rPr>
                <w:rFonts w:ascii="Arial Narrow" w:hAnsi="Arial Narrow"/>
                <w:color w:val="333333"/>
                <w:sz w:val="18"/>
                <w:szCs w:val="18"/>
              </w:rPr>
            </w:pPr>
          </w:p>
        </w:tc>
        <w:tc>
          <w:tcPr>
            <w:tcW w:w="8086" w:type="dxa"/>
            <w:gridSpan w:val="6"/>
            <w:vAlign w:val="center"/>
          </w:tcPr>
          <w:p w14:paraId="1D4D5917" w14:textId="77777777" w:rsidR="006027F4" w:rsidRPr="0013388C" w:rsidRDefault="006027F4" w:rsidP="00E71F81">
            <w:pPr>
              <w:rPr>
                <w:rFonts w:ascii="Arial Narrow" w:hAnsi="Arial Narrow"/>
                <w:b/>
                <w:bCs/>
                <w:color w:val="333333"/>
                <w:sz w:val="18"/>
                <w:szCs w:val="18"/>
              </w:rPr>
            </w:pPr>
            <w:r w:rsidRPr="0013388C">
              <w:rPr>
                <w:rFonts w:ascii="Arial Narrow" w:hAnsi="Arial Narrow"/>
                <w:b/>
                <w:bCs/>
                <w:color w:val="333333"/>
                <w:sz w:val="18"/>
                <w:szCs w:val="18"/>
              </w:rPr>
              <w:t>Administrative Advice:</w:t>
            </w:r>
          </w:p>
          <w:p w14:paraId="3B5F7822" w14:textId="77777777" w:rsidR="006027F4" w:rsidRPr="0013388C" w:rsidRDefault="006027F4" w:rsidP="00E71F81">
            <w:pPr>
              <w:rPr>
                <w:rFonts w:ascii="Arial Narrow" w:hAnsi="Arial Narrow"/>
                <w:b/>
                <w:bCs/>
                <w:color w:val="333333"/>
                <w:sz w:val="18"/>
                <w:szCs w:val="18"/>
              </w:rPr>
            </w:pPr>
            <w:r w:rsidRPr="0013388C">
              <w:rPr>
                <w:rFonts w:ascii="Arial Narrow" w:hAnsi="Arial Narrow"/>
                <w:b/>
                <w:bCs/>
                <w:color w:val="333333"/>
                <w:sz w:val="18"/>
                <w:szCs w:val="18"/>
              </w:rPr>
              <w:t>Shared Care Model:</w:t>
            </w:r>
          </w:p>
          <w:p w14:paraId="589093B5" w14:textId="77777777" w:rsidR="006027F4" w:rsidRPr="0013388C" w:rsidRDefault="006027F4" w:rsidP="00E71F81">
            <w:pPr>
              <w:rPr>
                <w:rFonts w:ascii="Arial Narrow" w:hAnsi="Arial Narrow"/>
                <w:bCs/>
                <w:color w:val="333333"/>
                <w:sz w:val="18"/>
                <w:szCs w:val="18"/>
              </w:rPr>
            </w:pPr>
            <w:r w:rsidRPr="0013388C">
              <w:rPr>
                <w:rFonts w:ascii="Arial Narrow" w:hAnsi="Arial Narrow"/>
                <w:bCs/>
                <w:color w:val="333333"/>
                <w:sz w:val="18"/>
                <w:szCs w:val="18"/>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6027F4" w:rsidRPr="0013388C" w14:paraId="5659AF90" w14:textId="77777777" w:rsidTr="00E71F81">
        <w:tblPrEx>
          <w:jc w:val="center"/>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59D4C276" w14:textId="77777777" w:rsidR="006027F4" w:rsidRPr="0013388C" w:rsidRDefault="006027F4" w:rsidP="00E71F81">
            <w:pPr>
              <w:jc w:val="center"/>
              <w:rPr>
                <w:rFonts w:ascii="Arial Narrow" w:hAnsi="Arial Narrow"/>
                <w:bCs/>
                <w:color w:val="333333"/>
                <w:sz w:val="18"/>
                <w:szCs w:val="18"/>
              </w:rPr>
            </w:pPr>
          </w:p>
        </w:tc>
        <w:tc>
          <w:tcPr>
            <w:tcW w:w="8086" w:type="dxa"/>
            <w:gridSpan w:val="6"/>
          </w:tcPr>
          <w:p w14:paraId="5235004F" w14:textId="77777777" w:rsidR="006027F4" w:rsidRPr="0013388C" w:rsidRDefault="006027F4" w:rsidP="00E71F81">
            <w:pPr>
              <w:textAlignment w:val="baseline"/>
              <w:rPr>
                <w:rFonts w:ascii="Arial Narrow" w:hAnsi="Arial Narrow"/>
                <w:bCs/>
                <w:color w:val="333333"/>
                <w:sz w:val="18"/>
                <w:szCs w:val="18"/>
              </w:rPr>
            </w:pPr>
            <w:r w:rsidRPr="0013388C">
              <w:rPr>
                <w:rFonts w:ascii="Arial Narrow" w:hAnsi="Arial Narrow"/>
                <w:b/>
                <w:bCs/>
                <w:color w:val="333333"/>
                <w:sz w:val="18"/>
                <w:szCs w:val="18"/>
              </w:rPr>
              <w:t>Indication:</w:t>
            </w:r>
            <w:r w:rsidRPr="0013388C">
              <w:rPr>
                <w:rFonts w:ascii="Arial Narrow" w:hAnsi="Arial Narrow"/>
                <w:bCs/>
                <w:color w:val="333333"/>
                <w:sz w:val="18"/>
                <w:szCs w:val="18"/>
              </w:rPr>
              <w:t xml:space="preserve"> Opiate dependence</w:t>
            </w:r>
          </w:p>
        </w:tc>
      </w:tr>
      <w:tr w:rsidR="006027F4" w:rsidRPr="0013388C" w14:paraId="66B76BA8" w14:textId="77777777" w:rsidTr="00E71F81">
        <w:tblPrEx>
          <w:jc w:val="center"/>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49B1117C" w14:textId="77777777" w:rsidR="006027F4" w:rsidRPr="0013388C" w:rsidRDefault="006027F4" w:rsidP="00E71F81">
            <w:pPr>
              <w:jc w:val="center"/>
              <w:rPr>
                <w:rFonts w:ascii="Arial Narrow" w:hAnsi="Arial Narrow"/>
                <w:bCs/>
                <w:color w:val="333333"/>
                <w:sz w:val="18"/>
                <w:szCs w:val="18"/>
              </w:rPr>
            </w:pPr>
          </w:p>
        </w:tc>
        <w:tc>
          <w:tcPr>
            <w:tcW w:w="8086" w:type="dxa"/>
            <w:gridSpan w:val="6"/>
          </w:tcPr>
          <w:p w14:paraId="28F8AAA6" w14:textId="77777777" w:rsidR="006027F4" w:rsidRPr="0013388C" w:rsidRDefault="006027F4" w:rsidP="00E71F81">
            <w:pPr>
              <w:rPr>
                <w:rFonts w:ascii="Arial Narrow" w:hAnsi="Arial Narrow"/>
                <w:b/>
                <w:bCs/>
                <w:color w:val="333333"/>
                <w:sz w:val="18"/>
                <w:szCs w:val="18"/>
              </w:rPr>
            </w:pPr>
            <w:r w:rsidRPr="0013388C">
              <w:rPr>
                <w:rFonts w:ascii="Arial Narrow" w:hAnsi="Arial Narrow"/>
                <w:b/>
                <w:bCs/>
                <w:color w:val="333333"/>
                <w:sz w:val="18"/>
                <w:szCs w:val="18"/>
              </w:rPr>
              <w:t>Treatment criteria:</w:t>
            </w:r>
          </w:p>
        </w:tc>
      </w:tr>
      <w:tr w:rsidR="006027F4" w:rsidRPr="0013388C" w14:paraId="69A9A3B6" w14:textId="77777777" w:rsidTr="00E71F81">
        <w:tblPrEx>
          <w:jc w:val="center"/>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25AA0591" w14:textId="77777777" w:rsidR="006027F4" w:rsidRPr="0013388C" w:rsidRDefault="006027F4" w:rsidP="00E71F81">
            <w:pPr>
              <w:jc w:val="center"/>
              <w:rPr>
                <w:rFonts w:ascii="Arial Narrow" w:hAnsi="Arial Narrow"/>
                <w:bCs/>
                <w:color w:val="333333"/>
                <w:sz w:val="18"/>
                <w:szCs w:val="18"/>
              </w:rPr>
            </w:pPr>
          </w:p>
        </w:tc>
        <w:tc>
          <w:tcPr>
            <w:tcW w:w="8086" w:type="dxa"/>
            <w:gridSpan w:val="6"/>
          </w:tcPr>
          <w:p w14:paraId="06A456FC" w14:textId="77777777" w:rsidR="006027F4" w:rsidRPr="0013388C" w:rsidRDefault="006027F4" w:rsidP="00E71F81">
            <w:pPr>
              <w:rPr>
                <w:rFonts w:ascii="Arial Narrow" w:hAnsi="Arial Narrow"/>
                <w:bCs/>
                <w:color w:val="333333"/>
                <w:sz w:val="18"/>
                <w:szCs w:val="18"/>
              </w:rPr>
            </w:pPr>
            <w:r w:rsidRPr="0013388C">
              <w:rPr>
                <w:rFonts w:ascii="Arial Narrow" w:hAnsi="Arial Narrow"/>
                <w:bCs/>
                <w:color w:val="333333"/>
                <w:sz w:val="18"/>
                <w:szCs w:val="18"/>
              </w:rPr>
              <w:t>Must be treated by a health care professional</w:t>
            </w:r>
          </w:p>
        </w:tc>
      </w:tr>
      <w:tr w:rsidR="006027F4" w:rsidRPr="0013388C" w14:paraId="7E0015E0" w14:textId="77777777" w:rsidTr="00E71F81">
        <w:tblPrEx>
          <w:jc w:val="center"/>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2BFA76BA" w14:textId="77777777" w:rsidR="006027F4" w:rsidRPr="0013388C" w:rsidRDefault="006027F4" w:rsidP="00E71F81">
            <w:pPr>
              <w:jc w:val="center"/>
              <w:rPr>
                <w:rFonts w:ascii="Arial Narrow" w:hAnsi="Arial Narrow"/>
                <w:bCs/>
                <w:color w:val="333333"/>
                <w:sz w:val="18"/>
                <w:szCs w:val="18"/>
              </w:rPr>
            </w:pPr>
          </w:p>
        </w:tc>
        <w:tc>
          <w:tcPr>
            <w:tcW w:w="8086" w:type="dxa"/>
            <w:gridSpan w:val="6"/>
          </w:tcPr>
          <w:p w14:paraId="42A98FD7" w14:textId="77777777" w:rsidR="006027F4" w:rsidRPr="0013388C" w:rsidRDefault="006027F4" w:rsidP="00E71F81">
            <w:pPr>
              <w:rPr>
                <w:rFonts w:ascii="Arial Narrow" w:hAnsi="Arial Narrow"/>
                <w:b/>
                <w:bCs/>
                <w:color w:val="333333"/>
                <w:sz w:val="18"/>
                <w:szCs w:val="18"/>
              </w:rPr>
            </w:pPr>
            <w:r w:rsidRPr="0013388C">
              <w:rPr>
                <w:rFonts w:ascii="Arial Narrow" w:hAnsi="Arial Narrow"/>
                <w:b/>
                <w:bCs/>
                <w:color w:val="333333"/>
                <w:sz w:val="18"/>
                <w:szCs w:val="18"/>
              </w:rPr>
              <w:t>AND</w:t>
            </w:r>
          </w:p>
        </w:tc>
      </w:tr>
      <w:tr w:rsidR="006027F4" w:rsidRPr="0013388C" w14:paraId="24DF3227" w14:textId="77777777" w:rsidTr="00E71F81">
        <w:tblPrEx>
          <w:jc w:val="center"/>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64542C5B" w14:textId="77777777" w:rsidR="006027F4" w:rsidRPr="0013388C" w:rsidRDefault="006027F4" w:rsidP="00E71F81">
            <w:pPr>
              <w:jc w:val="center"/>
              <w:rPr>
                <w:rFonts w:ascii="Arial Narrow" w:hAnsi="Arial Narrow"/>
                <w:bCs/>
                <w:color w:val="333333"/>
                <w:sz w:val="18"/>
                <w:szCs w:val="18"/>
              </w:rPr>
            </w:pPr>
          </w:p>
        </w:tc>
        <w:tc>
          <w:tcPr>
            <w:tcW w:w="8086" w:type="dxa"/>
            <w:gridSpan w:val="6"/>
          </w:tcPr>
          <w:p w14:paraId="0C36942D" w14:textId="77777777" w:rsidR="006027F4" w:rsidRPr="0013388C" w:rsidRDefault="006027F4" w:rsidP="00E71F81">
            <w:pPr>
              <w:rPr>
                <w:rFonts w:ascii="Arial Narrow" w:hAnsi="Arial Narrow"/>
                <w:b/>
                <w:bCs/>
                <w:color w:val="333333"/>
                <w:sz w:val="18"/>
                <w:szCs w:val="18"/>
              </w:rPr>
            </w:pPr>
            <w:r w:rsidRPr="0013388C">
              <w:rPr>
                <w:rFonts w:ascii="Arial Narrow" w:hAnsi="Arial Narrow"/>
                <w:b/>
                <w:bCs/>
                <w:color w:val="333333"/>
                <w:sz w:val="18"/>
                <w:szCs w:val="18"/>
              </w:rPr>
              <w:t>Clinical criteria:</w:t>
            </w:r>
          </w:p>
        </w:tc>
      </w:tr>
      <w:tr w:rsidR="006027F4" w:rsidRPr="0013388C" w14:paraId="0FE3C6CA" w14:textId="77777777" w:rsidTr="00E71F81">
        <w:tblPrEx>
          <w:jc w:val="center"/>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2193D7AA" w14:textId="77777777" w:rsidR="006027F4" w:rsidRPr="0013388C" w:rsidRDefault="006027F4" w:rsidP="00E71F81">
            <w:pPr>
              <w:jc w:val="center"/>
              <w:rPr>
                <w:rFonts w:ascii="Arial Narrow" w:hAnsi="Arial Narrow"/>
                <w:bCs/>
                <w:color w:val="333333"/>
                <w:sz w:val="18"/>
                <w:szCs w:val="18"/>
              </w:rPr>
            </w:pPr>
          </w:p>
        </w:tc>
        <w:tc>
          <w:tcPr>
            <w:tcW w:w="8086" w:type="dxa"/>
            <w:gridSpan w:val="6"/>
          </w:tcPr>
          <w:p w14:paraId="3FC551E6" w14:textId="77777777" w:rsidR="006027F4" w:rsidRPr="0013388C" w:rsidRDefault="006027F4" w:rsidP="00E71F81">
            <w:pPr>
              <w:rPr>
                <w:rFonts w:ascii="Arial Narrow" w:hAnsi="Arial Narrow"/>
                <w:bCs/>
                <w:color w:val="333333"/>
                <w:sz w:val="18"/>
                <w:szCs w:val="18"/>
              </w:rPr>
            </w:pPr>
            <w:r w:rsidRPr="0013388C">
              <w:rPr>
                <w:rFonts w:ascii="Arial Narrow" w:hAnsi="Arial Narrow"/>
                <w:bCs/>
                <w:color w:val="333333"/>
                <w:sz w:val="18"/>
                <w:szCs w:val="18"/>
              </w:rPr>
              <w:t>The treatment must be within a framework of medical, social and psychological treatment</w:t>
            </w:r>
          </w:p>
        </w:tc>
      </w:tr>
      <w:tr w:rsidR="006027F4" w:rsidRPr="0013388C" w14:paraId="2D00F249" w14:textId="77777777" w:rsidTr="00E71F81">
        <w:tblPrEx>
          <w:jc w:val="center"/>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304DEBE1" w14:textId="77777777" w:rsidR="006027F4" w:rsidRPr="0013388C" w:rsidRDefault="006027F4" w:rsidP="00E71F81">
            <w:pPr>
              <w:jc w:val="center"/>
              <w:rPr>
                <w:rFonts w:ascii="Arial Narrow" w:hAnsi="Arial Narrow"/>
                <w:bCs/>
                <w:color w:val="333333"/>
                <w:sz w:val="18"/>
                <w:szCs w:val="18"/>
              </w:rPr>
            </w:pPr>
          </w:p>
        </w:tc>
        <w:tc>
          <w:tcPr>
            <w:tcW w:w="8086" w:type="dxa"/>
            <w:gridSpan w:val="6"/>
            <w:hideMark/>
          </w:tcPr>
          <w:p w14:paraId="385EEEEE" w14:textId="77777777" w:rsidR="006027F4" w:rsidRPr="0013388C" w:rsidRDefault="006027F4" w:rsidP="00E71F81">
            <w:pPr>
              <w:rPr>
                <w:rFonts w:ascii="Arial Narrow" w:hAnsi="Arial Narrow"/>
                <w:b/>
                <w:bCs/>
                <w:color w:val="333333"/>
                <w:sz w:val="18"/>
                <w:szCs w:val="18"/>
              </w:rPr>
            </w:pPr>
            <w:r w:rsidRPr="0013388C">
              <w:rPr>
                <w:rFonts w:ascii="Arial Narrow" w:hAnsi="Arial Narrow"/>
                <w:b/>
                <w:bCs/>
                <w:color w:val="333333"/>
                <w:sz w:val="18"/>
                <w:szCs w:val="18"/>
              </w:rPr>
              <w:t>AND</w:t>
            </w:r>
          </w:p>
        </w:tc>
      </w:tr>
      <w:tr w:rsidR="006027F4" w:rsidRPr="0013388C" w14:paraId="034FC169" w14:textId="77777777" w:rsidTr="00E71F81">
        <w:tblPrEx>
          <w:jc w:val="center"/>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185B9B7C" w14:textId="77777777" w:rsidR="006027F4" w:rsidRPr="0013388C" w:rsidRDefault="006027F4" w:rsidP="00E71F81">
            <w:pPr>
              <w:jc w:val="center"/>
              <w:rPr>
                <w:rFonts w:ascii="Arial Narrow" w:hAnsi="Arial Narrow"/>
                <w:bCs/>
                <w:color w:val="333333"/>
                <w:sz w:val="18"/>
                <w:szCs w:val="18"/>
              </w:rPr>
            </w:pPr>
          </w:p>
        </w:tc>
        <w:tc>
          <w:tcPr>
            <w:tcW w:w="8086" w:type="dxa"/>
            <w:gridSpan w:val="6"/>
            <w:hideMark/>
          </w:tcPr>
          <w:p w14:paraId="0D68AA09" w14:textId="77777777" w:rsidR="006027F4" w:rsidRPr="0013388C" w:rsidRDefault="006027F4" w:rsidP="00E71F81">
            <w:pPr>
              <w:rPr>
                <w:rFonts w:ascii="Arial Narrow" w:hAnsi="Arial Narrow"/>
                <w:b/>
                <w:bCs/>
                <w:color w:val="333333"/>
                <w:sz w:val="18"/>
                <w:szCs w:val="18"/>
              </w:rPr>
            </w:pPr>
            <w:r w:rsidRPr="0013388C">
              <w:rPr>
                <w:rFonts w:ascii="Arial Narrow" w:hAnsi="Arial Narrow"/>
                <w:b/>
                <w:bCs/>
                <w:color w:val="333333"/>
                <w:sz w:val="18"/>
                <w:szCs w:val="18"/>
              </w:rPr>
              <w:t>Clinical criteria:</w:t>
            </w:r>
          </w:p>
        </w:tc>
      </w:tr>
      <w:tr w:rsidR="006027F4" w:rsidRPr="00540422" w14:paraId="763B16EA" w14:textId="77777777" w:rsidTr="00E71F81">
        <w:tblPrEx>
          <w:jc w:val="center"/>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25BB9E15" w14:textId="77777777" w:rsidR="006027F4" w:rsidRPr="0013388C" w:rsidRDefault="006027F4" w:rsidP="00E71F81">
            <w:pPr>
              <w:jc w:val="center"/>
              <w:rPr>
                <w:rFonts w:ascii="Arial Narrow" w:hAnsi="Arial Narrow"/>
                <w:bCs/>
                <w:color w:val="333333"/>
                <w:sz w:val="18"/>
                <w:szCs w:val="18"/>
              </w:rPr>
            </w:pPr>
          </w:p>
        </w:tc>
        <w:tc>
          <w:tcPr>
            <w:tcW w:w="8086" w:type="dxa"/>
            <w:gridSpan w:val="6"/>
            <w:hideMark/>
          </w:tcPr>
          <w:p w14:paraId="29AC434E" w14:textId="77777777" w:rsidR="006027F4" w:rsidRPr="0013388C" w:rsidRDefault="006027F4" w:rsidP="00E71F81">
            <w:pPr>
              <w:rPr>
                <w:rFonts w:ascii="Arial Narrow" w:hAnsi="Arial Narrow"/>
                <w:bCs/>
                <w:strike/>
                <w:color w:val="FF0000"/>
                <w:sz w:val="18"/>
                <w:szCs w:val="18"/>
              </w:rPr>
            </w:pPr>
            <w:r w:rsidRPr="0013388C">
              <w:rPr>
                <w:rFonts w:ascii="Arial Narrow" w:hAnsi="Arial Narrow"/>
                <w:bCs/>
                <w:strike/>
                <w:color w:val="FF0000"/>
                <w:sz w:val="18"/>
                <w:szCs w:val="18"/>
              </w:rPr>
              <w:t>Patient must be stabilised on sublingual buprenorphine or buprenorphine/naloxone prior to commencing treatment with this drug for this condition</w:t>
            </w:r>
          </w:p>
          <w:p w14:paraId="509ED03E" w14:textId="77777777" w:rsidR="006027F4" w:rsidRPr="0013388C" w:rsidRDefault="006027F4" w:rsidP="00E71F81">
            <w:pPr>
              <w:rPr>
                <w:rFonts w:ascii="Arial Narrow" w:hAnsi="Arial Narrow"/>
                <w:bCs/>
                <w:i/>
                <w:iCs/>
                <w:color w:val="333333"/>
                <w:sz w:val="18"/>
                <w:szCs w:val="18"/>
              </w:rPr>
            </w:pPr>
          </w:p>
          <w:p w14:paraId="77A7AA3E" w14:textId="77777777" w:rsidR="006027F4" w:rsidRPr="00540422" w:rsidRDefault="006027F4" w:rsidP="00E71F81">
            <w:pPr>
              <w:rPr>
                <w:rFonts w:ascii="Arial Narrow" w:hAnsi="Arial Narrow"/>
                <w:bCs/>
                <w:i/>
                <w:iCs/>
                <w:color w:val="333333"/>
                <w:sz w:val="18"/>
                <w:szCs w:val="18"/>
              </w:rPr>
            </w:pPr>
            <w:r w:rsidRPr="0013388C">
              <w:rPr>
                <w:rFonts w:ascii="Arial Narrow" w:hAnsi="Arial Narrow"/>
                <w:bCs/>
                <w:i/>
                <w:iCs/>
                <w:color w:val="333333"/>
                <w:sz w:val="18"/>
                <w:szCs w:val="18"/>
              </w:rPr>
              <w:t>Patient must be stabilised on one of the following prior to commencing treatment with this drug for this condition: (i)weekly prolonged release buprenorphine (Buvidal Weekly) (ii) sublingual buprenorphine (iii) buprenorphine/naloxone</w:t>
            </w:r>
          </w:p>
        </w:tc>
      </w:tr>
    </w:tbl>
    <w:p w14:paraId="53EAFBBA" w14:textId="77777777" w:rsidR="006027F4" w:rsidRPr="006027F4" w:rsidRDefault="006027F4" w:rsidP="006027F4">
      <w:pPr>
        <w:pStyle w:val="ExecSumBodyText"/>
        <w:numPr>
          <w:ilvl w:val="0"/>
          <w:numId w:val="0"/>
        </w:numPr>
        <w:ind w:left="720"/>
        <w:rPr>
          <w:iCs/>
        </w:rPr>
      </w:pPr>
    </w:p>
    <w:p w14:paraId="78C7FDFC" w14:textId="77777777" w:rsidR="00276B73" w:rsidRPr="0098148A" w:rsidRDefault="00276B73" w:rsidP="004E18E9">
      <w:pPr>
        <w:pStyle w:val="ExecSumBodyText"/>
        <w:rPr>
          <w:iCs/>
        </w:rPr>
      </w:pPr>
      <w:r w:rsidRPr="0098148A">
        <w:rPr>
          <w:iCs/>
        </w:rPr>
        <w:t>The</w:t>
      </w:r>
      <w:r w:rsidR="008A4A91" w:rsidRPr="0098148A">
        <w:rPr>
          <w:iCs/>
        </w:rPr>
        <w:t xml:space="preserve"> </w:t>
      </w:r>
      <w:r w:rsidR="00FA0E2D">
        <w:t>Pre-Sub-Committee Response</w:t>
      </w:r>
      <w:r w:rsidR="00FA0E2D" w:rsidRPr="0098148A">
        <w:rPr>
          <w:iCs/>
        </w:rPr>
        <w:t xml:space="preserve"> </w:t>
      </w:r>
      <w:r w:rsidR="00FA0E2D">
        <w:rPr>
          <w:iCs/>
        </w:rPr>
        <w:t>(</w:t>
      </w:r>
      <w:r w:rsidR="008A4A91" w:rsidRPr="0098148A">
        <w:rPr>
          <w:iCs/>
        </w:rPr>
        <w:t>PSCR</w:t>
      </w:r>
      <w:r w:rsidR="00FA0E2D">
        <w:rPr>
          <w:iCs/>
        </w:rPr>
        <w:t>)</w:t>
      </w:r>
      <w:r w:rsidR="008A4A91" w:rsidRPr="0098148A">
        <w:rPr>
          <w:iCs/>
        </w:rPr>
        <w:t xml:space="preserve"> proposed restriction wording for the monthly formulation that includes the need to be stabilised on either the weekly formulation, sublingual buprenorphine, or sublingual </w:t>
      </w:r>
      <w:r w:rsidR="008A4A91" w:rsidRPr="00095824">
        <w:rPr>
          <w:iCs/>
        </w:rPr>
        <w:t>buprenorphine/naloxone (whilst removing any reference to stabilisation for the weekly formulation)</w:t>
      </w:r>
      <w:r w:rsidR="00EE10FC" w:rsidRPr="00095824">
        <w:rPr>
          <w:iCs/>
        </w:rPr>
        <w:t xml:space="preserve">. </w:t>
      </w:r>
      <w:r w:rsidR="00857328" w:rsidRPr="00095824">
        <w:rPr>
          <w:iCs/>
        </w:rPr>
        <w:t>The ESC considered that</w:t>
      </w:r>
      <w:r w:rsidR="00095824">
        <w:rPr>
          <w:iCs/>
        </w:rPr>
        <w:t xml:space="preserve"> these</w:t>
      </w:r>
      <w:r w:rsidR="00857328" w:rsidRPr="00095824">
        <w:rPr>
          <w:iCs/>
        </w:rPr>
        <w:t xml:space="preserve"> restriction changes regarding prior stabilisation were reasonable and supported by the clinical evidence (see paragraph 6.35).</w:t>
      </w:r>
      <w:r w:rsidR="00857328" w:rsidRPr="0098148A">
        <w:rPr>
          <w:iCs/>
        </w:rPr>
        <w:t xml:space="preserve"> </w:t>
      </w:r>
    </w:p>
    <w:p w14:paraId="2B67B092" w14:textId="77777777" w:rsidR="00E66A1E" w:rsidRPr="00540422" w:rsidRDefault="00E66A1E" w:rsidP="004E18E9">
      <w:pPr>
        <w:pStyle w:val="ExecSumBodyText"/>
      </w:pPr>
      <w:r w:rsidRPr="00540422">
        <w:t xml:space="preserve">The November 2018 submission for prolonged release buprenorphine requested a Section 100 listing </w:t>
      </w:r>
      <w:r w:rsidR="004840A4" w:rsidRPr="00540422">
        <w:t xml:space="preserve">to align with other listed </w:t>
      </w:r>
      <w:r w:rsidR="00073A9E" w:rsidRPr="00540422">
        <w:t xml:space="preserve">opioid substitution therapy </w:t>
      </w:r>
      <w:r w:rsidR="00073A9E">
        <w:t>(</w:t>
      </w:r>
      <w:r w:rsidR="00D72510" w:rsidRPr="00540422">
        <w:t>OST</w:t>
      </w:r>
      <w:r w:rsidR="00073A9E">
        <w:t>)</w:t>
      </w:r>
      <w:r w:rsidR="004840A4" w:rsidRPr="00540422">
        <w:t>. It was also</w:t>
      </w:r>
      <w:r w:rsidRPr="00540422">
        <w:t xml:space="preserve"> proposed that the PBAC consider whether a Section 85 listing would be more appropriate on the basis that the requirement for administration by a healthcare professional in contrast with supervised dose administration at a community pharmacy for existing therapies necessitated the development of new models of care for the treatment of opioid dependence.</w:t>
      </w:r>
    </w:p>
    <w:p w14:paraId="43EDACFA" w14:textId="77777777" w:rsidR="00E77FD2" w:rsidRPr="00540422" w:rsidRDefault="00F90B19" w:rsidP="004E18E9">
      <w:pPr>
        <w:pStyle w:val="ExecSumBodyText"/>
        <w:rPr>
          <w:iCs/>
        </w:rPr>
      </w:pPr>
      <w:r w:rsidRPr="00540422">
        <w:rPr>
          <w:iCs/>
        </w:rPr>
        <w:t>In October 2018</w:t>
      </w:r>
      <w:r w:rsidR="00AA7076" w:rsidRPr="00540422">
        <w:rPr>
          <w:iCs/>
        </w:rPr>
        <w:t>,</w:t>
      </w:r>
      <w:r w:rsidRPr="00540422">
        <w:rPr>
          <w:iCs/>
        </w:rPr>
        <w:t xml:space="preserve"> t</w:t>
      </w:r>
      <w:r w:rsidR="00E77FD2" w:rsidRPr="00540422">
        <w:rPr>
          <w:iCs/>
        </w:rPr>
        <w:t xml:space="preserve">he ESC considered that it was more appropriate for a listing to occur under Section 100, as a General Schedule listing was unlikely to be implementable, as it would preclude some incarcerated people from accessing treatment, and a General Schedule listing whereby the medicine would be delivered directly to prescribers’ rooms instead of the pharmacy would breach the conditions of approval of Section 90 (community) pharmacy (para 2.4, Buprenorphine </w:t>
      </w:r>
      <w:r w:rsidR="00FA0E2D">
        <w:rPr>
          <w:iCs/>
        </w:rPr>
        <w:t>Public Summary Document (</w:t>
      </w:r>
      <w:r w:rsidR="00E77FD2" w:rsidRPr="00540422">
        <w:rPr>
          <w:iCs/>
        </w:rPr>
        <w:t>PSD</w:t>
      </w:r>
      <w:r w:rsidR="00FA0E2D">
        <w:rPr>
          <w:iCs/>
        </w:rPr>
        <w:t>)</w:t>
      </w:r>
      <w:r w:rsidR="00E77FD2" w:rsidRPr="00540422">
        <w:rPr>
          <w:iCs/>
        </w:rPr>
        <w:t>, November 2018 PBAC meeting).</w:t>
      </w:r>
    </w:p>
    <w:p w14:paraId="1011C7CB" w14:textId="77777777" w:rsidR="005F1C35" w:rsidRPr="00540422" w:rsidRDefault="005F1C35" w:rsidP="004E18E9">
      <w:pPr>
        <w:pStyle w:val="ExecSumBodyText"/>
        <w:rPr>
          <w:iCs/>
        </w:rPr>
      </w:pPr>
      <w:r w:rsidRPr="00540422">
        <w:rPr>
          <w:iCs/>
        </w:rPr>
        <w:t>In November 2018, the PBAC considered that any future listing of prolonged release buprenorphine should be implemented under the existing Section 100 Opioid Dependence Treatment Program (para 7.11, Buprenorphine PSD, November 2018 PBAC meeting) and the March 2019 minor resubmission requesting a Section 100 listing only was subsequently recommended.</w:t>
      </w:r>
    </w:p>
    <w:p w14:paraId="152A697A" w14:textId="77777777" w:rsidR="007B31A4" w:rsidRPr="00540422" w:rsidRDefault="007B31A4" w:rsidP="004E18E9">
      <w:pPr>
        <w:pStyle w:val="ExecSumBodyText"/>
      </w:pPr>
      <w:r w:rsidRPr="00540422">
        <w:t xml:space="preserve">The current submission proposed a dual Section 85/Section 100 (ODTP) listing whereby a General Schedule listing would be applicable to the dispensing and provision of supply of prolonged release buprenorphine </w:t>
      </w:r>
      <w:r w:rsidR="00F47DA4" w:rsidRPr="00540422">
        <w:t>by</w:t>
      </w:r>
      <w:r w:rsidRPr="00540422">
        <w:t xml:space="preserve"> community pharmacies, and a Section 100 listing would continue to apply in other settings, including public and private specialist clinics, correctional facilities, and hospitals.</w:t>
      </w:r>
    </w:p>
    <w:p w14:paraId="171D1FAD" w14:textId="77777777" w:rsidR="000702AC" w:rsidRPr="00540422" w:rsidRDefault="00116263" w:rsidP="00294E1C">
      <w:pPr>
        <w:pStyle w:val="ExecSumBodyText"/>
      </w:pPr>
      <w:r w:rsidRPr="00540422">
        <w:t xml:space="preserve">The submission </w:t>
      </w:r>
      <w:r w:rsidR="00C02553" w:rsidRPr="00540422">
        <w:t>stated that the differ</w:t>
      </w:r>
      <w:r w:rsidR="00F47DA4" w:rsidRPr="00540422">
        <w:t>ent</w:t>
      </w:r>
      <w:r w:rsidR="00C02553" w:rsidRPr="00540422">
        <w:t xml:space="preserve"> mechanism of administration of prolonged release buprenorphine</w:t>
      </w:r>
      <w:r w:rsidR="000702AC" w:rsidRPr="00540422">
        <w:t>, with administration by a healthcare professional as opposed to supervised dose administration at a community pharmacy, necessitates adaptations to the models of care for the treatment of opioid dependence and presents an opportunity to improve current PBS arrangements.</w:t>
      </w:r>
    </w:p>
    <w:p w14:paraId="5354E5B8" w14:textId="77777777" w:rsidR="000852F2" w:rsidRPr="00540422" w:rsidRDefault="000852F2" w:rsidP="000852F2">
      <w:pPr>
        <w:pStyle w:val="ExecSumBodyText"/>
      </w:pPr>
      <w:r w:rsidRPr="00540422">
        <w:t xml:space="preserve">Recent National Opioid Pharmacotherapy Statistics Annual Data (NOPSAD) show that community pharmacy accounted for 71% of </w:t>
      </w:r>
      <w:r w:rsidR="00D72510" w:rsidRPr="00540422">
        <w:t>OST</w:t>
      </w:r>
      <w:r w:rsidRPr="00540422">
        <w:t xml:space="preserve"> supply and was similarly the primary mechanism for facilitating the supply of prolonged release buprenorphine (56.9%) in Australia in 2020 (all states and territories excluding NSW as NSW buprenorphine data are not disaggregated). The submission argued that, given the majority of prolonged release buprenorphine is dispensed through pharmacies, it is currently effectively being managed as a Section 85 product, but not remunerated as such, leading to substantial out-of-pocket costs for patients.</w:t>
      </w:r>
    </w:p>
    <w:p w14:paraId="7AFDB4AF" w14:textId="77777777" w:rsidR="00116263" w:rsidRPr="00540422" w:rsidRDefault="00F9163A" w:rsidP="00FE582B">
      <w:pPr>
        <w:pStyle w:val="ExecSumBodyText"/>
        <w:contextualSpacing/>
      </w:pPr>
      <w:r w:rsidRPr="00540422">
        <w:t xml:space="preserve">The </w:t>
      </w:r>
      <w:r w:rsidR="00774424" w:rsidRPr="00540422">
        <w:t xml:space="preserve">submission claimed that the </w:t>
      </w:r>
      <w:r w:rsidR="00C0446A" w:rsidRPr="00540422">
        <w:t>advantage</w:t>
      </w:r>
      <w:r w:rsidR="00774424" w:rsidRPr="00540422">
        <w:t>s</w:t>
      </w:r>
      <w:r w:rsidR="00C0446A" w:rsidRPr="00540422">
        <w:t xml:space="preserve"> of a </w:t>
      </w:r>
      <w:r w:rsidR="00774424" w:rsidRPr="00540422">
        <w:t>S</w:t>
      </w:r>
      <w:r w:rsidRPr="00540422">
        <w:t>ection 85 list</w:t>
      </w:r>
      <w:r w:rsidR="00C0446A" w:rsidRPr="00540422">
        <w:t>i</w:t>
      </w:r>
      <w:r w:rsidRPr="00540422">
        <w:t xml:space="preserve">ng </w:t>
      </w:r>
      <w:r w:rsidR="00C0446A" w:rsidRPr="00540422">
        <w:t>for patients and service providers</w:t>
      </w:r>
      <w:r w:rsidR="00774424" w:rsidRPr="00540422">
        <w:t xml:space="preserve"> include:</w:t>
      </w:r>
    </w:p>
    <w:p w14:paraId="72098C8A" w14:textId="77777777" w:rsidR="00DD01B0" w:rsidRPr="0098148A" w:rsidRDefault="00E90869" w:rsidP="00485DE9">
      <w:pPr>
        <w:pStyle w:val="ExecSumBodyText"/>
        <w:numPr>
          <w:ilvl w:val="1"/>
          <w:numId w:val="8"/>
        </w:numPr>
        <w:ind w:left="1077" w:hanging="357"/>
        <w:contextualSpacing/>
      </w:pPr>
      <w:r w:rsidRPr="00540422">
        <w:t xml:space="preserve">appropriate reimbursement of </w:t>
      </w:r>
      <w:r w:rsidR="00DD01B0" w:rsidRPr="00540422">
        <w:t xml:space="preserve">community pharmacies and wholesalers for the handling, storage and dispensing of Schedule 8 drugs consistent with the supply of other </w:t>
      </w:r>
      <w:r w:rsidR="00DD01B0" w:rsidRPr="0098148A">
        <w:t>PBS listed medicines</w:t>
      </w:r>
      <w:r w:rsidR="0086280C" w:rsidRPr="0098148A">
        <w:t xml:space="preserve"> such as buprenorphine patches</w:t>
      </w:r>
      <w:r w:rsidR="00DD01B0" w:rsidRPr="0098148A">
        <w:t>.</w:t>
      </w:r>
      <w:r w:rsidR="00E710F5" w:rsidRPr="0098148A">
        <w:rPr>
          <w:iCs/>
        </w:rPr>
        <w:t xml:space="preserve"> The ESC </w:t>
      </w:r>
      <w:r w:rsidR="00C412D0" w:rsidRPr="0098148A">
        <w:rPr>
          <w:iCs/>
        </w:rPr>
        <w:t>acknowledged service models may incur additional costs</w:t>
      </w:r>
      <w:r w:rsidR="00E710F5" w:rsidRPr="0098148A">
        <w:rPr>
          <w:iCs/>
        </w:rPr>
        <w:t xml:space="preserve">. </w:t>
      </w:r>
      <w:r w:rsidR="006D49C2" w:rsidRPr="0098148A">
        <w:rPr>
          <w:rFonts w:ascii="Calibri" w:hAnsi="Calibri"/>
          <w:iCs/>
          <w:snapToGrid/>
        </w:rPr>
        <w:t>T</w:t>
      </w:r>
      <w:r w:rsidR="006D49C2" w:rsidRPr="0098148A">
        <w:rPr>
          <w:iCs/>
        </w:rPr>
        <w:t xml:space="preserve">he ESC considered this would be informed by the current ODTP </w:t>
      </w:r>
      <w:r w:rsidR="006D49C2" w:rsidRPr="0098148A">
        <w:t>Post-market Review</w:t>
      </w:r>
      <w:r w:rsidR="006D49C2" w:rsidRPr="0098148A">
        <w:rPr>
          <w:iCs/>
        </w:rPr>
        <w:t>, which will consider service delivery arrangements.</w:t>
      </w:r>
    </w:p>
    <w:p w14:paraId="73618AC8" w14:textId="77777777" w:rsidR="003668B3" w:rsidRPr="0098148A" w:rsidRDefault="004202BE" w:rsidP="00485DE9">
      <w:pPr>
        <w:pStyle w:val="ExecSumBodyText"/>
        <w:numPr>
          <w:ilvl w:val="1"/>
          <w:numId w:val="8"/>
        </w:numPr>
        <w:ind w:left="1077" w:hanging="357"/>
        <w:contextualSpacing/>
      </w:pPr>
      <w:r w:rsidRPr="0098148A">
        <w:t>s</w:t>
      </w:r>
      <w:r w:rsidR="00145D2A" w:rsidRPr="0098148A">
        <w:t>tandardised patient fees (</w:t>
      </w:r>
      <w:r w:rsidR="003668B3" w:rsidRPr="0098148A">
        <w:t>copayments</w:t>
      </w:r>
      <w:r w:rsidR="00145D2A" w:rsidRPr="0098148A">
        <w:t>)</w:t>
      </w:r>
      <w:r w:rsidR="003668B3" w:rsidRPr="0098148A">
        <w:t xml:space="preserve"> which also contribute to a patient’s overall PBS safety net threshold instead of private</w:t>
      </w:r>
      <w:r w:rsidR="00A365DC" w:rsidRPr="0098148A">
        <w:t>, generally unregulated</w:t>
      </w:r>
      <w:r w:rsidR="003668B3" w:rsidRPr="0098148A">
        <w:t xml:space="preserve"> pharmacy-directed service fees, which </w:t>
      </w:r>
      <w:r w:rsidR="00A50B9C" w:rsidRPr="0098148A">
        <w:t>can be</w:t>
      </w:r>
      <w:r w:rsidR="003668B3" w:rsidRPr="0098148A">
        <w:t xml:space="preserve"> a barrier to access.</w:t>
      </w:r>
      <w:r w:rsidR="00E710F5" w:rsidRPr="0098148A">
        <w:rPr>
          <w:iCs/>
        </w:rPr>
        <w:t xml:space="preserve"> The ESC considered that the sponsor’s own survey of dispensers (n=11) indicated that</w:t>
      </w:r>
      <w:r w:rsidR="00DF395F" w:rsidRPr="0098148A">
        <w:rPr>
          <w:iCs/>
        </w:rPr>
        <w:t>, for most of them,</w:t>
      </w:r>
      <w:r w:rsidR="00E710F5" w:rsidRPr="0098148A">
        <w:rPr>
          <w:iCs/>
        </w:rPr>
        <w:t xml:space="preserve"> a Section 85 listing would not stop the charging of additional, unregulated ‘delivery’ fees</w:t>
      </w:r>
      <w:r w:rsidR="00DF395F" w:rsidRPr="0098148A">
        <w:rPr>
          <w:iCs/>
        </w:rPr>
        <w:t xml:space="preserve">. </w:t>
      </w:r>
    </w:p>
    <w:p w14:paraId="00161638" w14:textId="77777777" w:rsidR="00774424" w:rsidRPr="0098148A" w:rsidRDefault="00A973EC" w:rsidP="00485DE9">
      <w:pPr>
        <w:pStyle w:val="ExecSumBodyText"/>
        <w:numPr>
          <w:ilvl w:val="1"/>
          <w:numId w:val="8"/>
        </w:numPr>
        <w:ind w:left="1077" w:hanging="357"/>
      </w:pPr>
      <w:r w:rsidRPr="0098148A">
        <w:t xml:space="preserve">supply would not be restricted to pharmacies approved for </w:t>
      </w:r>
      <w:r w:rsidR="00D72510" w:rsidRPr="0098148A">
        <w:t>OST</w:t>
      </w:r>
      <w:r w:rsidR="00806BD0" w:rsidRPr="0098148A">
        <w:t xml:space="preserve"> services</w:t>
      </w:r>
      <w:r w:rsidR="007931D4" w:rsidRPr="0098148A">
        <w:t xml:space="preserve"> (p</w:t>
      </w:r>
      <w:r w:rsidR="00806BD0" w:rsidRPr="0098148A">
        <w:t xml:space="preserve">rovided </w:t>
      </w:r>
      <w:r w:rsidR="007931D4" w:rsidRPr="0098148A">
        <w:t xml:space="preserve">appropriate contingencies are made to ensure </w:t>
      </w:r>
      <w:r w:rsidR="00A5750E" w:rsidRPr="0098148A">
        <w:t xml:space="preserve">that prolonged release buprenorphine </w:t>
      </w:r>
      <w:r w:rsidR="007931D4" w:rsidRPr="0098148A">
        <w:t>is not dispensed directly to a patient and can be delivered to the site at which administration occurs</w:t>
      </w:r>
      <w:r w:rsidR="00A5750E" w:rsidRPr="0098148A">
        <w:t>)</w:t>
      </w:r>
      <w:r w:rsidR="008B5213" w:rsidRPr="0098148A">
        <w:t xml:space="preserve">, </w:t>
      </w:r>
      <w:r w:rsidR="003668B3" w:rsidRPr="0098148A">
        <w:t>facilitating improved treatment access, particularly for patients in rural and remote settings.</w:t>
      </w:r>
      <w:r w:rsidR="00E710F5" w:rsidRPr="0098148A">
        <w:rPr>
          <w:iCs/>
        </w:rPr>
        <w:t xml:space="preserve"> The ESC considered this may not be reasonable, noting that nearly 90% of dosing occurs in pharmacies, with many pharmacies already approved for ODTP (approximately 50%). </w:t>
      </w:r>
    </w:p>
    <w:p w14:paraId="6A5F03AF" w14:textId="77777777" w:rsidR="00EC3CCD" w:rsidRPr="00540422" w:rsidRDefault="00BE14F4" w:rsidP="00395CD4">
      <w:pPr>
        <w:pStyle w:val="ExecSumBodyText"/>
      </w:pPr>
      <w:r w:rsidRPr="00540422">
        <w:t>The submission noted that a</w:t>
      </w:r>
      <w:r w:rsidR="00EC3CCD" w:rsidRPr="00540422">
        <w:t xml:space="preserve"> dual Section 85/Section 100 Highly Specialised Drugs Program approach has been adopted for medicines used to treat hepatitis C, to ensure broad access while conforming to state and territory regulatory requirements</w:t>
      </w:r>
      <w:r w:rsidRPr="00540422">
        <w:t xml:space="preserve"> and that s</w:t>
      </w:r>
      <w:r w:rsidR="00EC3CCD" w:rsidRPr="00540422">
        <w:t xml:space="preserve">imilar proposals to expand the PBS listing arrangements of </w:t>
      </w:r>
      <w:r w:rsidR="00DA1F56" w:rsidRPr="00540422">
        <w:t>prolonged release</w:t>
      </w:r>
      <w:r w:rsidR="00EC3CCD" w:rsidRPr="00540422">
        <w:t xml:space="preserve"> buprenorphine preparations have been proposed by other stakeholders, including Harm Reduction Australia (Harm Reduction Australia MATOD Summit Report 2018; Harm Reduction Australia communiques 1-4).</w:t>
      </w:r>
    </w:p>
    <w:p w14:paraId="5A1D4A42" w14:textId="77777777" w:rsidR="00EB21CA" w:rsidRPr="00233B34" w:rsidRDefault="00EC3CCD" w:rsidP="00DF395F">
      <w:pPr>
        <w:pStyle w:val="ExecSumBodyText"/>
        <w:rPr>
          <w:iCs/>
        </w:rPr>
      </w:pPr>
      <w:r w:rsidRPr="00540422">
        <w:rPr>
          <w:iCs/>
        </w:rPr>
        <w:t>On 24 March 2021 the Department of Health announced it would conduct a Post-market Review of the medicines available under the PBS ODTP. The Post-market Review will examine issues such as barriers to access and the future delivery of opioid use disorder treatment.</w:t>
      </w:r>
      <w:r w:rsidR="00DF395F" w:rsidRPr="00540422">
        <w:rPr>
          <w:iCs/>
        </w:rPr>
        <w:t xml:space="preserve"> </w:t>
      </w:r>
      <w:r w:rsidR="00DF395F" w:rsidRPr="0098148A">
        <w:t xml:space="preserve">The PSCR </w:t>
      </w:r>
      <w:r w:rsidR="003816F0" w:rsidRPr="0098148A">
        <w:t xml:space="preserve">considered </w:t>
      </w:r>
      <w:r w:rsidR="00DF395F" w:rsidRPr="0098148A">
        <w:t>th</w:t>
      </w:r>
      <w:r w:rsidR="003816F0" w:rsidRPr="0098148A">
        <w:t>at the</w:t>
      </w:r>
      <w:r w:rsidR="00DF395F" w:rsidRPr="0098148A">
        <w:t xml:space="preserve"> Post-Market Review</w:t>
      </w:r>
      <w:r w:rsidR="003816F0" w:rsidRPr="0098148A">
        <w:t xml:space="preserve"> will likely examine some of the issues identified in the submission</w:t>
      </w:r>
      <w:r w:rsidR="00DF395F" w:rsidRPr="0098148A">
        <w:t xml:space="preserve">, but stated that “it could be a number of years before any meaningful improvements to access are implemented”. The ESC considered that the request for a dual Section 85/Section 100 </w:t>
      </w:r>
      <w:r w:rsidR="008422B1" w:rsidRPr="0098148A">
        <w:t xml:space="preserve">(ODTP) </w:t>
      </w:r>
      <w:r w:rsidR="00DF395F" w:rsidRPr="0098148A">
        <w:t>listing should be informed by th</w:t>
      </w:r>
      <w:r w:rsidR="003816F0" w:rsidRPr="0098148A">
        <w:t>e</w:t>
      </w:r>
      <w:r w:rsidR="00DF395F" w:rsidRPr="0098148A">
        <w:t xml:space="preserve"> Post-Market Review.</w:t>
      </w:r>
    </w:p>
    <w:p w14:paraId="30B6ACDB" w14:textId="77777777" w:rsidR="00233B34" w:rsidRPr="00233B34" w:rsidRDefault="00233B34" w:rsidP="00233B34">
      <w:pPr>
        <w:pStyle w:val="ExecSumBodyText"/>
        <w:numPr>
          <w:ilvl w:val="0"/>
          <w:numId w:val="0"/>
        </w:numPr>
        <w:ind w:left="720"/>
        <w:rPr>
          <w:i/>
          <w:iCs/>
        </w:rPr>
      </w:pPr>
      <w:r w:rsidRPr="00233B34">
        <w:rPr>
          <w:i/>
          <w:iCs/>
        </w:rPr>
        <w:t>For more detail on PBAC’s view, see section 7 PBAC outcome.</w:t>
      </w:r>
    </w:p>
    <w:p w14:paraId="6B121018" w14:textId="77777777" w:rsidR="00B50DB8" w:rsidRPr="00540422" w:rsidRDefault="00203181" w:rsidP="004E18E9">
      <w:pPr>
        <w:pStyle w:val="2-SectionHeading"/>
      </w:pPr>
      <w:bookmarkStart w:id="7" w:name="_Toc82522438"/>
      <w:r w:rsidRPr="00540422">
        <w:t xml:space="preserve">Population and </w:t>
      </w:r>
      <w:r w:rsidR="008E0D3C" w:rsidRPr="00540422">
        <w:t>d</w:t>
      </w:r>
      <w:r w:rsidRPr="00540422">
        <w:t>isease</w:t>
      </w:r>
      <w:bookmarkEnd w:id="7"/>
    </w:p>
    <w:p w14:paraId="2F004DF3" w14:textId="77777777" w:rsidR="007078ED" w:rsidRPr="00540422" w:rsidRDefault="007078ED" w:rsidP="007078ED">
      <w:pPr>
        <w:pStyle w:val="ExecSumBodyText"/>
        <w:rPr>
          <w:iCs/>
        </w:rPr>
      </w:pPr>
      <w:r w:rsidRPr="00540422">
        <w:t xml:space="preserve">The target population in the submission </w:t>
      </w:r>
      <w:r w:rsidR="000B56C2">
        <w:t>was</w:t>
      </w:r>
      <w:r w:rsidR="000B56C2" w:rsidRPr="00540422">
        <w:t xml:space="preserve"> </w:t>
      </w:r>
      <w:r w:rsidRPr="00540422">
        <w:t>people with opioid dependence/opioid use disorder. Regular use of opioids can lead to opioid use disorder, which is a neuro</w:t>
      </w:r>
      <w:r w:rsidR="00545051" w:rsidRPr="00540422">
        <w:t>-</w:t>
      </w:r>
      <w:r w:rsidRPr="00540422">
        <w:t xml:space="preserve">behavioural chronic disorder with a natural history of relapse and remission, characterised by a problematic pattern of opioid use despite adverse social, psychological, and/or physical consequences. </w:t>
      </w:r>
      <w:r w:rsidR="00824A3F" w:rsidRPr="00540422">
        <w:rPr>
          <w:iCs/>
        </w:rPr>
        <w:t xml:space="preserve">In October 2018, </w:t>
      </w:r>
      <w:r w:rsidRPr="00540422">
        <w:rPr>
          <w:iCs/>
        </w:rPr>
        <w:t>DUSC noted that the demographics of opioid</w:t>
      </w:r>
      <w:r w:rsidR="00EA1D0B" w:rsidRPr="00540422">
        <w:rPr>
          <w:iCs/>
        </w:rPr>
        <w:t xml:space="preserve"> </w:t>
      </w:r>
      <w:r w:rsidRPr="00540422">
        <w:rPr>
          <w:iCs/>
        </w:rPr>
        <w:t xml:space="preserve">use </w:t>
      </w:r>
      <w:r w:rsidR="00EA1D0B" w:rsidRPr="00540422">
        <w:rPr>
          <w:iCs/>
        </w:rPr>
        <w:t xml:space="preserve">disorder </w:t>
      </w:r>
      <w:r w:rsidRPr="00540422">
        <w:rPr>
          <w:iCs/>
        </w:rPr>
        <w:t>are changing, with increasing misuse of prescription opioids in place of illicit opioids (Buprenorphine DUSC Advice, November 2018 PBAC meeting).</w:t>
      </w:r>
    </w:p>
    <w:p w14:paraId="39BB260A" w14:textId="77777777" w:rsidR="007078ED" w:rsidRPr="00540422" w:rsidRDefault="007078ED" w:rsidP="007B32B7">
      <w:pPr>
        <w:pStyle w:val="ExecSumBodyText"/>
      </w:pPr>
      <w:r w:rsidRPr="00540422">
        <w:t xml:space="preserve">Evidence-based interventions for </w:t>
      </w:r>
      <w:r w:rsidR="004E61D7" w:rsidRPr="00540422">
        <w:t xml:space="preserve">opioid use disorder </w:t>
      </w:r>
      <w:r w:rsidRPr="00540422">
        <w:t>include opioid withdrawal (detoxification), medication</w:t>
      </w:r>
      <w:r w:rsidR="000B56C2">
        <w:noBreakHyphen/>
      </w:r>
      <w:r w:rsidRPr="00540422">
        <w:t>assisted treatment, psychosocial interventions, and antagonist-assisted treatment either individually or in combination. Medication</w:t>
      </w:r>
      <w:r w:rsidR="000B56C2">
        <w:noBreakHyphen/>
      </w:r>
      <w:r w:rsidRPr="00540422">
        <w:t xml:space="preserve">assisted treatment involves treatment of </w:t>
      </w:r>
      <w:r w:rsidR="004E61D7" w:rsidRPr="00540422">
        <w:t xml:space="preserve">opioid use disorder </w:t>
      </w:r>
      <w:r w:rsidRPr="00540422">
        <w:t xml:space="preserve">with a legally obtained, long-lasting opioid which eliminates withdrawal symptoms and cravings or blocks the euphoric effect of opioid use. </w:t>
      </w:r>
    </w:p>
    <w:p w14:paraId="5BAF2167" w14:textId="77777777" w:rsidR="00B64402" w:rsidRPr="00540422" w:rsidRDefault="007078ED" w:rsidP="00E1485C">
      <w:pPr>
        <w:pStyle w:val="ExecSumBodyText"/>
      </w:pPr>
      <w:r w:rsidRPr="00540422">
        <w:t xml:space="preserve">The medications currently listed on the PBS for long-term maintenance treatment for patients with </w:t>
      </w:r>
      <w:r w:rsidR="004E61D7" w:rsidRPr="00540422">
        <w:t xml:space="preserve">opioid use disorder </w:t>
      </w:r>
      <w:r w:rsidRPr="00540422">
        <w:t>are methadone, sublingual buprenorphine, sublingual buprenorphine/naloxone, and prolonged release buprenorphine.</w:t>
      </w:r>
      <w:r w:rsidR="00F97A78" w:rsidRPr="00540422">
        <w:t xml:space="preserve"> </w:t>
      </w:r>
      <w:r w:rsidR="00B07EC8" w:rsidRPr="00540422">
        <w:t>An alternative brand of prolonged release buprenorphine (Sublocade</w:t>
      </w:r>
      <w:r w:rsidR="00545051" w:rsidRPr="00540422">
        <w:rPr>
          <w:rFonts w:cstheme="minorHAnsi"/>
        </w:rPr>
        <w:t>®</w:t>
      </w:r>
      <w:r w:rsidR="00B07EC8" w:rsidRPr="00540422">
        <w:t>) was listed on the PBS in May 2020 following consideration by the PBAC in March 2019 and November</w:t>
      </w:r>
      <w:r w:rsidR="00E60236">
        <w:t> </w:t>
      </w:r>
      <w:r w:rsidR="00B07EC8" w:rsidRPr="00540422">
        <w:t>2019.</w:t>
      </w:r>
      <w:r w:rsidR="00E1485C" w:rsidRPr="00540422">
        <w:t xml:space="preserve"> </w:t>
      </w:r>
    </w:p>
    <w:p w14:paraId="68A1491A" w14:textId="77777777" w:rsidR="00DA7393" w:rsidRPr="00233B34" w:rsidRDefault="00DA7393" w:rsidP="007078ED">
      <w:pPr>
        <w:pStyle w:val="ExecSumBodyText"/>
        <w:rPr>
          <w:i/>
          <w:iCs/>
        </w:rPr>
      </w:pPr>
      <w:r w:rsidRPr="00540422">
        <w:rPr>
          <w:iCs/>
        </w:rPr>
        <w:t xml:space="preserve">The Royal Australasian College of Physicians produced Interim guidance for the delivery of medication assisted treatment of opioid use disorder in response to COVID-19 (RACP, April 2020), intended to be read alongside state/territory jurisdictional advice. The key principle of the guidelines is to reduce the spread of COVID-19 amongst patients receiving opioid agonist treatment and treatment providers by reducing social exposure and attendance of patients to health services. The guidelines note the potential advantages of using </w:t>
      </w:r>
      <w:r w:rsidR="00FE0AE1" w:rsidRPr="00540422">
        <w:rPr>
          <w:iCs/>
        </w:rPr>
        <w:t>prolonged release</w:t>
      </w:r>
      <w:r w:rsidRPr="00540422">
        <w:rPr>
          <w:iCs/>
        </w:rPr>
        <w:t xml:space="preserve"> buprenorphine products in the COVID-19 context (reduced need for regular attendance for dosing, reduced need for risk assessments and reduced staff and/or patient costs associated with preparation of take-away doses of methadone and sublingual buprenorphine). The guidelines recommend maintaining patients on weekly or monthly prolonged release buprenorphine wherever possible and note that patients may initiate </w:t>
      </w:r>
      <w:r w:rsidR="00D72510" w:rsidRPr="00540422">
        <w:rPr>
          <w:iCs/>
        </w:rPr>
        <w:t>OST</w:t>
      </w:r>
      <w:r w:rsidRPr="00540422">
        <w:rPr>
          <w:iCs/>
        </w:rPr>
        <w:t xml:space="preserve"> with weekly prolonged release buprenorphine before progressing to the monthly formulation.</w:t>
      </w:r>
    </w:p>
    <w:p w14:paraId="0E7E5EBD" w14:textId="77777777" w:rsidR="00233B34" w:rsidRPr="00540422" w:rsidRDefault="00233B34" w:rsidP="00233B34">
      <w:pPr>
        <w:pStyle w:val="ExecSumBodyText"/>
        <w:numPr>
          <w:ilvl w:val="0"/>
          <w:numId w:val="0"/>
        </w:numPr>
        <w:ind w:left="720"/>
        <w:rPr>
          <w:i/>
          <w:iCs/>
        </w:rPr>
      </w:pPr>
      <w:r w:rsidRPr="00233B34">
        <w:rPr>
          <w:i/>
          <w:iCs/>
        </w:rPr>
        <w:t>For more detail on PBAC’s view, see section 7 PBAC outcome.</w:t>
      </w:r>
    </w:p>
    <w:p w14:paraId="2105288B" w14:textId="77777777" w:rsidR="00B50DB8" w:rsidRPr="00540422" w:rsidRDefault="00B50DB8" w:rsidP="004E18E9">
      <w:pPr>
        <w:pStyle w:val="2-SectionHeading"/>
      </w:pPr>
      <w:bookmarkStart w:id="8" w:name="_Toc82522439"/>
      <w:r w:rsidRPr="00540422">
        <w:t>Comparator</w:t>
      </w:r>
      <w:bookmarkEnd w:id="8"/>
    </w:p>
    <w:p w14:paraId="5DF11298" w14:textId="77777777" w:rsidR="0028154E" w:rsidRPr="00540422" w:rsidRDefault="002C77B7" w:rsidP="00882E3C">
      <w:pPr>
        <w:pStyle w:val="ExecSumBodyText"/>
        <w:rPr>
          <w:snapToGrid/>
        </w:rPr>
      </w:pPr>
      <w:r w:rsidRPr="00540422">
        <w:t xml:space="preserve">The submission did not formally nominate a </w:t>
      </w:r>
      <w:r w:rsidR="00F678AC" w:rsidRPr="00540422">
        <w:t>comparator;</w:t>
      </w:r>
      <w:r w:rsidRPr="00540422">
        <w:t xml:space="preserve"> however,</w:t>
      </w:r>
      <w:r w:rsidR="006F32E9" w:rsidRPr="00540422">
        <w:t xml:space="preserve"> sublingual buprenorphine/naloxone</w:t>
      </w:r>
      <w:r w:rsidR="0028154E" w:rsidRPr="00540422">
        <w:t xml:space="preserve"> </w:t>
      </w:r>
      <w:r w:rsidR="005D1F21" w:rsidRPr="00540422">
        <w:t>was presented as the main comparator in the majority of the clinical ev</w:t>
      </w:r>
      <w:r w:rsidRPr="00540422">
        <w:t>idence, the cost minimisation analysis and financial implications of the submission</w:t>
      </w:r>
      <w:r w:rsidR="005D1F21" w:rsidRPr="00540422">
        <w:t xml:space="preserve"> (this </w:t>
      </w:r>
      <w:r w:rsidRPr="00540422">
        <w:t>is unchanged from the November 2018 and March 2019 submissions</w:t>
      </w:r>
      <w:r w:rsidR="005D1F21" w:rsidRPr="00540422">
        <w:t>)</w:t>
      </w:r>
      <w:r w:rsidRPr="00540422">
        <w:t>.</w:t>
      </w:r>
    </w:p>
    <w:p w14:paraId="0463309B" w14:textId="77777777" w:rsidR="0032396F" w:rsidRPr="00540422" w:rsidRDefault="0028154E" w:rsidP="00395CD4">
      <w:pPr>
        <w:pStyle w:val="ExecSumBodyText"/>
        <w:rPr>
          <w:iCs/>
          <w:snapToGrid/>
        </w:rPr>
      </w:pPr>
      <w:r w:rsidRPr="00540422">
        <w:rPr>
          <w:iCs/>
        </w:rPr>
        <w:t>In November 2018 and March 2019,</w:t>
      </w:r>
      <w:r w:rsidR="002C77B7" w:rsidRPr="00540422">
        <w:rPr>
          <w:iCs/>
        </w:rPr>
        <w:t xml:space="preserve"> </w:t>
      </w:r>
      <w:r w:rsidRPr="00540422">
        <w:rPr>
          <w:iCs/>
        </w:rPr>
        <w:t>t</w:t>
      </w:r>
      <w:r w:rsidR="002C77B7" w:rsidRPr="00540422">
        <w:rPr>
          <w:iCs/>
        </w:rPr>
        <w:t>he PBAC accepted sublingual buprenorphine/</w:t>
      </w:r>
      <w:r w:rsidR="00AA7E02" w:rsidRPr="00540422">
        <w:rPr>
          <w:iCs/>
        </w:rPr>
        <w:t xml:space="preserve"> </w:t>
      </w:r>
      <w:r w:rsidR="002C77B7" w:rsidRPr="00540422">
        <w:rPr>
          <w:iCs/>
        </w:rPr>
        <w:t>naloxone as the appropriate main comparator (para 7.3, Buprenorphine Public Summary Document</w:t>
      </w:r>
      <w:r w:rsidR="00545051" w:rsidRPr="00540422">
        <w:rPr>
          <w:iCs/>
        </w:rPr>
        <w:t xml:space="preserve"> (PSD</w:t>
      </w:r>
      <w:r w:rsidR="001F67CC" w:rsidRPr="00540422">
        <w:rPr>
          <w:iCs/>
        </w:rPr>
        <w:t>)</w:t>
      </w:r>
      <w:r w:rsidR="002C77B7" w:rsidRPr="00540422">
        <w:rPr>
          <w:iCs/>
        </w:rPr>
        <w:t xml:space="preserve">, November 2018 PBAC meeting; para 5.1, Buprenorphine </w:t>
      </w:r>
      <w:r w:rsidR="00545051" w:rsidRPr="00540422">
        <w:rPr>
          <w:iCs/>
        </w:rPr>
        <w:t>PSD</w:t>
      </w:r>
      <w:r w:rsidR="002C77B7" w:rsidRPr="00540422">
        <w:rPr>
          <w:iCs/>
        </w:rPr>
        <w:t>, March 2019 PBAC meeting).</w:t>
      </w:r>
      <w:r w:rsidR="00DB5A03" w:rsidRPr="00540422">
        <w:rPr>
          <w:iCs/>
        </w:rPr>
        <w:t xml:space="preserve"> </w:t>
      </w:r>
      <w:r w:rsidR="002C77B7" w:rsidRPr="00540422">
        <w:rPr>
          <w:iCs/>
        </w:rPr>
        <w:t xml:space="preserve">The PBAC considered that any </w:t>
      </w:r>
      <w:r w:rsidR="00D72510" w:rsidRPr="00540422">
        <w:rPr>
          <w:iCs/>
        </w:rPr>
        <w:t>OST</w:t>
      </w:r>
      <w:r w:rsidR="002C77B7" w:rsidRPr="00540422">
        <w:rPr>
          <w:iCs/>
        </w:rPr>
        <w:t xml:space="preserve"> including methadone or sublingual buprenorphine may be replaced by prolonged release buprenorphine as there are no significant differences in the populations currently accessing the range of treatment options (para 7.3, Buprenorphine </w:t>
      </w:r>
      <w:r w:rsidR="00545051" w:rsidRPr="00540422">
        <w:rPr>
          <w:iCs/>
        </w:rPr>
        <w:t>PSD</w:t>
      </w:r>
      <w:r w:rsidR="002C77B7" w:rsidRPr="00540422">
        <w:rPr>
          <w:iCs/>
        </w:rPr>
        <w:t>, November 2018 PBAC meeting).</w:t>
      </w:r>
    </w:p>
    <w:p w14:paraId="6C4C668C" w14:textId="77777777" w:rsidR="009626D0" w:rsidRDefault="002C77B7" w:rsidP="009626D0">
      <w:pPr>
        <w:pStyle w:val="ExecSumBodyText"/>
        <w:rPr>
          <w:iCs/>
        </w:rPr>
      </w:pPr>
      <w:r w:rsidRPr="00540422">
        <w:rPr>
          <w:iCs/>
        </w:rPr>
        <w:t>An alternative brand of prolonged release buprenorphine (Sublocade) was listed on the PBS in May 2020 following consideration by the PBAC in March 2019 and November 2019. Sublocade (with monthly dosing) is indicated for maintenance treatment following induction on a transmucosal buprenorphine-continuing product (not direct initiation).</w:t>
      </w:r>
    </w:p>
    <w:p w14:paraId="4A070A8F" w14:textId="77777777" w:rsidR="00233B34" w:rsidRPr="00233B34" w:rsidRDefault="00233B34" w:rsidP="00233B34">
      <w:pPr>
        <w:pStyle w:val="ExecSumBodyText"/>
        <w:numPr>
          <w:ilvl w:val="0"/>
          <w:numId w:val="0"/>
        </w:numPr>
        <w:ind w:left="720"/>
        <w:rPr>
          <w:i/>
          <w:iCs/>
        </w:rPr>
      </w:pPr>
      <w:r w:rsidRPr="00233B34">
        <w:rPr>
          <w:i/>
          <w:iCs/>
        </w:rPr>
        <w:t>For more detail on PBAC’s view, see section 7 PBAC outcome.</w:t>
      </w:r>
    </w:p>
    <w:p w14:paraId="0B2CF9FA" w14:textId="77777777" w:rsidR="00223D5A" w:rsidRPr="00540422" w:rsidRDefault="00223D5A" w:rsidP="00223D5A">
      <w:pPr>
        <w:pStyle w:val="2-SectionHeading"/>
        <w:numPr>
          <w:ilvl w:val="0"/>
          <w:numId w:val="1"/>
        </w:numPr>
      </w:pPr>
      <w:bookmarkStart w:id="9" w:name="_Toc82522440"/>
      <w:bookmarkStart w:id="10" w:name="_Toc22897640"/>
      <w:r w:rsidRPr="00540422">
        <w:t>Consideration of the evidence</w:t>
      </w:r>
      <w:bookmarkEnd w:id="9"/>
    </w:p>
    <w:p w14:paraId="577EA01F" w14:textId="77777777" w:rsidR="00233B34" w:rsidRDefault="00233B34" w:rsidP="002E4F02">
      <w:pPr>
        <w:pStyle w:val="3-SubsectionHeading"/>
      </w:pPr>
      <w:bookmarkStart w:id="11" w:name="_Toc82522441"/>
      <w:r w:rsidRPr="00233B34">
        <w:t>Sponsor hearing</w:t>
      </w:r>
    </w:p>
    <w:p w14:paraId="2FD196DC" w14:textId="77777777" w:rsidR="00233B34" w:rsidRPr="00233B34" w:rsidRDefault="00226597" w:rsidP="006D172A">
      <w:pPr>
        <w:pStyle w:val="ExecSumBodyText"/>
      </w:pPr>
      <w:r w:rsidRPr="00226597">
        <w:t xml:space="preserve">The sponsor requested a hearing for this item. The clinician presented </w:t>
      </w:r>
      <w:r w:rsidR="00F0545C">
        <w:t xml:space="preserve">two </w:t>
      </w:r>
      <w:r w:rsidRPr="00226597">
        <w:t>clinical case studies</w:t>
      </w:r>
      <w:r w:rsidR="00960A4C">
        <w:t xml:space="preserve"> included in the submission</w:t>
      </w:r>
      <w:r w:rsidRPr="00226597">
        <w:t xml:space="preserve"> and discussed the </w:t>
      </w:r>
      <w:r>
        <w:t>benefit</w:t>
      </w:r>
      <w:r w:rsidR="00385DA5">
        <w:t>s</w:t>
      </w:r>
      <w:r>
        <w:t xml:space="preserve"> of direct initiation with Budival Weekly</w:t>
      </w:r>
      <w:r w:rsidR="008D5E56">
        <w:t>,</w:t>
      </w:r>
      <w:r>
        <w:t xml:space="preserve"> </w:t>
      </w:r>
      <w:r w:rsidR="00F0545C">
        <w:t xml:space="preserve">particularly for </w:t>
      </w:r>
      <w:r w:rsidR="008D5E56">
        <w:t xml:space="preserve">people in </w:t>
      </w:r>
      <w:r w:rsidR="00F0545C">
        <w:t>rural areas, such as avoiding adherence challenges during induction</w:t>
      </w:r>
      <w:r w:rsidR="008D5E56">
        <w:t>,</w:t>
      </w:r>
      <w:r w:rsidR="00F0545C">
        <w:t xml:space="preserve"> removing the need</w:t>
      </w:r>
      <w:r w:rsidR="008D5E56">
        <w:t xml:space="preserve"> to attend a pharmacy</w:t>
      </w:r>
      <w:r w:rsidR="00F0545C">
        <w:t xml:space="preserve"> for daily dosing, </w:t>
      </w:r>
      <w:r w:rsidR="008D5E56">
        <w:t xml:space="preserve">and removing </w:t>
      </w:r>
      <w:r w:rsidR="00F0545C">
        <w:t>associated patient cost and travel burde</w:t>
      </w:r>
      <w:r w:rsidR="006D172A">
        <w:t>ns. The clinician</w:t>
      </w:r>
      <w:r w:rsidR="00F0545C">
        <w:t xml:space="preserve"> noted that the addition of </w:t>
      </w:r>
      <w:r>
        <w:t>Buvidal Monthly 160</w:t>
      </w:r>
      <w:r w:rsidR="008D5E56">
        <w:t> </w:t>
      </w:r>
      <w:r>
        <w:t xml:space="preserve">mg </w:t>
      </w:r>
      <w:r w:rsidR="00F0545C">
        <w:t xml:space="preserve">would allow clinicians to </w:t>
      </w:r>
      <w:r w:rsidR="006D172A">
        <w:t xml:space="preserve">provide improved treatment and </w:t>
      </w:r>
      <w:r w:rsidR="00F0545C">
        <w:t xml:space="preserve">safely and effectively manage patients requiring sublingual buprenorphine with a dosing rage of 26-32 mg. </w:t>
      </w:r>
      <w:r w:rsidR="006D172A">
        <w:t xml:space="preserve">The clinician noted inequity in patient cost for the current section 100 listing, as 89% of dosing </w:t>
      </w:r>
      <w:r w:rsidR="006D172A" w:rsidRPr="006D172A">
        <w:t>points are community pharmacies, where patients are required to pay unregulated and uncapped private costs to pharmacies for their dosing</w:t>
      </w:r>
      <w:r w:rsidR="00993249">
        <w:t xml:space="preserve">. </w:t>
      </w:r>
      <w:r w:rsidR="006D172A">
        <w:t xml:space="preserve">The clinician discussed that a section 85 listing would ensure adequate pharmacist </w:t>
      </w:r>
      <w:r w:rsidR="00295D65">
        <w:t>remuneration</w:t>
      </w:r>
      <w:r w:rsidR="006D172A">
        <w:t xml:space="preserve">, </w:t>
      </w:r>
      <w:r w:rsidR="008D5E56">
        <w:t xml:space="preserve">with </w:t>
      </w:r>
      <w:r w:rsidR="006D172A" w:rsidRPr="006D172A">
        <w:t>patient costs capped and captured within the safety net</w:t>
      </w:r>
      <w:r w:rsidR="008D5E56">
        <w:t>,</w:t>
      </w:r>
      <w:r w:rsidR="006D172A" w:rsidRPr="006D172A">
        <w:t xml:space="preserve"> </w:t>
      </w:r>
      <w:r w:rsidR="008D5E56">
        <w:t>ensuring equal</w:t>
      </w:r>
      <w:r w:rsidR="006D172A">
        <w:t xml:space="preserve"> </w:t>
      </w:r>
      <w:r w:rsidR="006D172A" w:rsidRPr="006D172A">
        <w:t>access for these medications regardless of the treatment or dosing setting.</w:t>
      </w:r>
      <w:r w:rsidR="006D172A">
        <w:t xml:space="preserve"> </w:t>
      </w:r>
      <w:r w:rsidR="00C2510E" w:rsidRPr="00226597">
        <w:t xml:space="preserve">The PBAC </w:t>
      </w:r>
      <w:r w:rsidR="00C2510E">
        <w:t xml:space="preserve">had no further questions for the clinician. </w:t>
      </w:r>
      <w:r w:rsidR="0068789F">
        <w:t xml:space="preserve">The PBAC noted that the clinician </w:t>
      </w:r>
      <w:r w:rsidR="007F365D">
        <w:t xml:space="preserve">contributed to the main submission and </w:t>
      </w:r>
      <w:r w:rsidR="0068789F">
        <w:t>restated information that was already included in the submission</w:t>
      </w:r>
      <w:r w:rsidR="007F365D">
        <w:t>.</w:t>
      </w:r>
    </w:p>
    <w:p w14:paraId="16954859" w14:textId="77777777" w:rsidR="00233B34" w:rsidRDefault="00233B34" w:rsidP="002E4F02">
      <w:pPr>
        <w:pStyle w:val="3-SubsectionHeading"/>
      </w:pPr>
      <w:r w:rsidRPr="00233B34">
        <w:t>Consumer comments</w:t>
      </w:r>
    </w:p>
    <w:p w14:paraId="78052A50" w14:textId="77777777" w:rsidR="00B202B7" w:rsidRDefault="00226597" w:rsidP="00F2282E">
      <w:pPr>
        <w:pStyle w:val="ExecSumBodyText"/>
      </w:pPr>
      <w:r w:rsidRPr="00226597">
        <w:t>The PBAC noted and welcomed the input from individuals (</w:t>
      </w:r>
      <w:r w:rsidR="00427ED2">
        <w:t>1</w:t>
      </w:r>
      <w:r w:rsidRPr="00226597">
        <w:t>)</w:t>
      </w:r>
      <w:r w:rsidR="00427ED2">
        <w:t xml:space="preserve"> </w:t>
      </w:r>
      <w:r w:rsidRPr="00226597">
        <w:t xml:space="preserve">and organisations (1) via the Consumer Comments facility on the PBS website.  </w:t>
      </w:r>
    </w:p>
    <w:p w14:paraId="793530CD" w14:textId="77777777" w:rsidR="00233B34" w:rsidRDefault="00205CA3" w:rsidP="00205CA3">
      <w:pPr>
        <w:pStyle w:val="ExecSumBodyText"/>
        <w:numPr>
          <w:ilvl w:val="1"/>
          <w:numId w:val="1"/>
        </w:numPr>
      </w:pPr>
      <w:r>
        <w:t>A comment from Better Access Australia advocated for an end to ‘the charging of uncapped fees that do not count towards a patient’s Safety Net’. The organisation proposed that making ODT medicines dual S</w:t>
      </w:r>
      <w:r w:rsidRPr="006D172A">
        <w:t xml:space="preserve">ection 85/100 </w:t>
      </w:r>
      <w:r>
        <w:t xml:space="preserve">listed would ‘end the discriminatory practice of current s100 uncapped fees’. The organisation stated that delays to the dual listing on the basis of a Post-market Review (PMR) being in train would be ‘unfair to patients.’ The PBAC noted that the dual listing would not prevent pharmacies charging additional fees. </w:t>
      </w:r>
    </w:p>
    <w:p w14:paraId="089E1E7D" w14:textId="77777777" w:rsidR="00B60939" w:rsidRPr="00540422" w:rsidRDefault="00B60939" w:rsidP="002E4F02">
      <w:pPr>
        <w:pStyle w:val="3-SubsectionHeading"/>
      </w:pPr>
      <w:r w:rsidRPr="00540422">
        <w:t xml:space="preserve">Clinical </w:t>
      </w:r>
      <w:r w:rsidR="00D5243B" w:rsidRPr="00540422">
        <w:t>studies</w:t>
      </w:r>
      <w:bookmarkEnd w:id="10"/>
      <w:bookmarkEnd w:id="11"/>
    </w:p>
    <w:p w14:paraId="3504582F" w14:textId="77777777" w:rsidR="0039452E" w:rsidRPr="00540422" w:rsidRDefault="0039452E" w:rsidP="001C11FB">
      <w:pPr>
        <w:pStyle w:val="ExecSumBodyText"/>
        <w:contextualSpacing/>
      </w:pPr>
      <w:r w:rsidRPr="00540422">
        <w:rPr>
          <w:snapToGrid/>
        </w:rPr>
        <w:t>The submission was based on:</w:t>
      </w:r>
    </w:p>
    <w:p w14:paraId="02B7D473" w14:textId="77777777" w:rsidR="00506103" w:rsidRPr="00540422" w:rsidRDefault="00506103" w:rsidP="00485DE9">
      <w:pPr>
        <w:pStyle w:val="ExecSumBodyText"/>
        <w:numPr>
          <w:ilvl w:val="1"/>
          <w:numId w:val="5"/>
        </w:numPr>
        <w:ind w:left="1100" w:hanging="380"/>
        <w:contextualSpacing/>
      </w:pPr>
      <w:r w:rsidRPr="00540422">
        <w:t>Two studies of prolonged-release buprenorphine presented in the November 2018 and March 2019 submissions:</w:t>
      </w:r>
    </w:p>
    <w:p w14:paraId="615DFD4B" w14:textId="77777777" w:rsidR="00506103" w:rsidRPr="00540422" w:rsidRDefault="00506103" w:rsidP="00485DE9">
      <w:pPr>
        <w:pStyle w:val="ExecSumBodyText"/>
        <w:numPr>
          <w:ilvl w:val="1"/>
          <w:numId w:val="7"/>
        </w:numPr>
        <w:ind w:left="1480" w:hanging="380"/>
        <w:contextualSpacing/>
      </w:pPr>
      <w:r w:rsidRPr="00540422">
        <w:t>One double-blind randomised trial (HS-11-421) comparing prolonged release buprenorphine with sublingual buprenorphine/naloxone in untreated patients with moderate to severe opioid use disorder.</w:t>
      </w:r>
    </w:p>
    <w:p w14:paraId="6DCB04F5" w14:textId="77777777" w:rsidR="00506103" w:rsidRPr="00540422" w:rsidRDefault="00506103" w:rsidP="00485DE9">
      <w:pPr>
        <w:pStyle w:val="ExecSumBodyText"/>
        <w:numPr>
          <w:ilvl w:val="1"/>
          <w:numId w:val="7"/>
        </w:numPr>
        <w:ind w:left="1480" w:hanging="380"/>
        <w:contextualSpacing/>
      </w:pPr>
      <w:r w:rsidRPr="00540422">
        <w:t xml:space="preserve">One single arm open-label study (HS-14-499) of prolonged release buprenorphine assessing safety and tolerability in patients with moderate to severe opioid use disorder taking sublingual buprenorphine or sublingual buprenorphine/naloxone, or actively seeking treatment. </w:t>
      </w:r>
    </w:p>
    <w:p w14:paraId="208A0C43" w14:textId="77777777" w:rsidR="00506103" w:rsidRPr="00540422" w:rsidRDefault="00506103" w:rsidP="00485DE9">
      <w:pPr>
        <w:pStyle w:val="ExecSumBodyText"/>
        <w:numPr>
          <w:ilvl w:val="1"/>
          <w:numId w:val="5"/>
        </w:numPr>
        <w:ind w:left="1100" w:hanging="380"/>
        <w:contextualSpacing/>
      </w:pPr>
      <w:r w:rsidRPr="00540422">
        <w:t xml:space="preserve">Two additional studies that have been completed subsequent to PBAC </w:t>
      </w:r>
      <w:r w:rsidR="000A09D4">
        <w:t xml:space="preserve">initial </w:t>
      </w:r>
      <w:r w:rsidRPr="00540422">
        <w:t>considerations of prolonged release buprenorphine:</w:t>
      </w:r>
    </w:p>
    <w:p w14:paraId="6B05377C" w14:textId="77777777" w:rsidR="00506103" w:rsidRPr="00540422" w:rsidRDefault="00506103" w:rsidP="00485DE9">
      <w:pPr>
        <w:pStyle w:val="ExecSumBodyText"/>
        <w:numPr>
          <w:ilvl w:val="1"/>
          <w:numId w:val="7"/>
        </w:numPr>
        <w:ind w:left="1480" w:hanging="380"/>
        <w:contextualSpacing/>
      </w:pPr>
      <w:r w:rsidRPr="00540422">
        <w:t>One open-label randomised trial (HS-17-585) comparing prolonged release buprenorphine with sublingual buprenorphine or sublingual buprenorphine/ naloxone in patients with moderate to severe opioid use disorder or opioid dependence.</w:t>
      </w:r>
    </w:p>
    <w:p w14:paraId="422E8563" w14:textId="77777777" w:rsidR="00506103" w:rsidRPr="00540422" w:rsidRDefault="00506103" w:rsidP="00485DE9">
      <w:pPr>
        <w:pStyle w:val="ExecSumBodyText"/>
        <w:numPr>
          <w:ilvl w:val="1"/>
          <w:numId w:val="7"/>
        </w:numPr>
        <w:ind w:left="1480" w:hanging="380"/>
      </w:pPr>
      <w:r w:rsidRPr="00540422">
        <w:t>One open-label non-randomised study (dBC2531) in patients in correctional centres with moderate to severe opioid use disorder comparing prolonged release buprenorphine in patients previously not receiving opioid agonist treatment, with oral methadone in patients already stable on treatment.</w:t>
      </w:r>
    </w:p>
    <w:p w14:paraId="0DBFEBD4" w14:textId="77777777" w:rsidR="00D47C5E" w:rsidRPr="00540422" w:rsidRDefault="00D47C5E" w:rsidP="002E4F02">
      <w:pPr>
        <w:pStyle w:val="ExecSumBodyText"/>
        <w:rPr>
          <w:iCs/>
        </w:rPr>
      </w:pPr>
      <w:r w:rsidRPr="00540422">
        <w:rPr>
          <w:iCs/>
          <w:snapToGrid/>
        </w:rPr>
        <w:t xml:space="preserve">At the time of submission, a study report for dBC2531 had not been published, however, </w:t>
      </w:r>
      <w:r w:rsidR="00DF3C8C" w:rsidRPr="00540422">
        <w:rPr>
          <w:iCs/>
          <w:snapToGrid/>
        </w:rPr>
        <w:t>at the time of evaluation,</w:t>
      </w:r>
      <w:r w:rsidR="00DF3C8C" w:rsidRPr="00540422">
        <w:rPr>
          <w:i/>
          <w:snapToGrid/>
        </w:rPr>
        <w:t xml:space="preserve"> </w:t>
      </w:r>
      <w:r w:rsidRPr="00540422">
        <w:rPr>
          <w:iCs/>
          <w:snapToGrid/>
        </w:rPr>
        <w:t>the results of the study ha</w:t>
      </w:r>
      <w:r w:rsidR="00DF3C8C" w:rsidRPr="00540422">
        <w:rPr>
          <w:iCs/>
          <w:snapToGrid/>
        </w:rPr>
        <w:t>d</w:t>
      </w:r>
      <w:r w:rsidRPr="00540422">
        <w:rPr>
          <w:iCs/>
          <w:snapToGrid/>
        </w:rPr>
        <w:t xml:space="preserve"> been published (Dunlop et al, 2021).</w:t>
      </w:r>
    </w:p>
    <w:p w14:paraId="16C6D4B9" w14:textId="77777777" w:rsidR="001F67CC" w:rsidRPr="00540422" w:rsidRDefault="00A73134" w:rsidP="00D72510">
      <w:pPr>
        <w:pStyle w:val="ExecSumBodyText"/>
      </w:pPr>
      <w:r w:rsidRPr="00540422">
        <w:rPr>
          <w:snapToGrid/>
        </w:rPr>
        <w:t xml:space="preserve">Details of the </w:t>
      </w:r>
      <w:r w:rsidR="00D5243B" w:rsidRPr="00540422">
        <w:rPr>
          <w:snapToGrid/>
        </w:rPr>
        <w:t>studies</w:t>
      </w:r>
      <w:r w:rsidRPr="00540422">
        <w:rPr>
          <w:snapToGrid/>
        </w:rPr>
        <w:t xml:space="preserve"> presented in the submission are provided in the table below.</w:t>
      </w:r>
    </w:p>
    <w:p w14:paraId="64DB733A" w14:textId="77777777" w:rsidR="008E0D3C" w:rsidRPr="00540422" w:rsidRDefault="008E0D3C" w:rsidP="00230DB1">
      <w:pPr>
        <w:pStyle w:val="TableFigureCaption"/>
      </w:pPr>
      <w:r w:rsidRPr="00540422">
        <w:t xml:space="preserve">Table </w:t>
      </w:r>
      <w:r w:rsidR="007478D0" w:rsidRPr="00540422">
        <w:t>1</w:t>
      </w:r>
      <w:r w:rsidRPr="00540422">
        <w:t>:</w:t>
      </w:r>
      <w:r w:rsidR="00BC591F" w:rsidRPr="00540422">
        <w:t xml:space="preserve"> </w:t>
      </w:r>
      <w:r w:rsidR="00652945" w:rsidRPr="00540422">
        <w:t>Studies</w:t>
      </w:r>
      <w:r w:rsidRPr="00540422">
        <w:t xml:space="preserve">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 Studies and associated reports presented in the submission"/>
      </w:tblPr>
      <w:tblGrid>
        <w:gridCol w:w="1129"/>
        <w:gridCol w:w="5955"/>
        <w:gridCol w:w="1933"/>
      </w:tblGrid>
      <w:tr w:rsidR="00652945" w:rsidRPr="00540422" w14:paraId="788E511D" w14:textId="77777777" w:rsidTr="00D46462">
        <w:trPr>
          <w:cantSplit/>
          <w:tblHeader/>
        </w:trPr>
        <w:tc>
          <w:tcPr>
            <w:tcW w:w="626" w:type="pct"/>
            <w:tcBorders>
              <w:top w:val="single" w:sz="4" w:space="0" w:color="auto"/>
              <w:left w:val="single" w:sz="4" w:space="0" w:color="auto"/>
              <w:bottom w:val="single" w:sz="4" w:space="0" w:color="auto"/>
              <w:right w:val="single" w:sz="4" w:space="0" w:color="auto"/>
            </w:tcBorders>
          </w:tcPr>
          <w:p w14:paraId="51E076D9" w14:textId="77777777" w:rsidR="00652945" w:rsidRPr="00540422" w:rsidRDefault="00652945" w:rsidP="00AC3569">
            <w:pPr>
              <w:pStyle w:val="Tableheadingrow"/>
              <w:keepNext w:val="0"/>
              <w:widowControl w:val="0"/>
              <w:rPr>
                <w:lang w:val="en-AU"/>
              </w:rPr>
            </w:pPr>
            <w:r w:rsidRPr="00540422">
              <w:rPr>
                <w:lang w:val="en-AU"/>
              </w:rPr>
              <w:t>Trial ID</w:t>
            </w:r>
          </w:p>
        </w:tc>
        <w:tc>
          <w:tcPr>
            <w:tcW w:w="3302" w:type="pct"/>
            <w:tcBorders>
              <w:top w:val="single" w:sz="4" w:space="0" w:color="auto"/>
              <w:left w:val="single" w:sz="4" w:space="0" w:color="auto"/>
              <w:bottom w:val="single" w:sz="4" w:space="0" w:color="auto"/>
              <w:right w:val="single" w:sz="4" w:space="0" w:color="auto"/>
            </w:tcBorders>
            <w:vAlign w:val="center"/>
          </w:tcPr>
          <w:p w14:paraId="2B3C498F" w14:textId="77777777" w:rsidR="00652945" w:rsidRPr="00540422" w:rsidRDefault="00652945" w:rsidP="00AC3569">
            <w:pPr>
              <w:pStyle w:val="Tableheadingrow"/>
              <w:keepNext w:val="0"/>
              <w:widowControl w:val="0"/>
              <w:rPr>
                <w:lang w:val="en-AU"/>
              </w:rPr>
            </w:pPr>
            <w:r w:rsidRPr="00540422">
              <w:rPr>
                <w:lang w:val="en-AU"/>
              </w:rPr>
              <w:t>Protocol title/ Publication title</w:t>
            </w:r>
          </w:p>
        </w:tc>
        <w:tc>
          <w:tcPr>
            <w:tcW w:w="1072" w:type="pct"/>
            <w:tcBorders>
              <w:top w:val="single" w:sz="4" w:space="0" w:color="auto"/>
              <w:left w:val="single" w:sz="4" w:space="0" w:color="auto"/>
              <w:bottom w:val="single" w:sz="4" w:space="0" w:color="auto"/>
              <w:right w:val="single" w:sz="4" w:space="0" w:color="auto"/>
            </w:tcBorders>
            <w:vAlign w:val="center"/>
          </w:tcPr>
          <w:p w14:paraId="42DECDEA" w14:textId="77777777" w:rsidR="00652945" w:rsidRPr="00540422" w:rsidRDefault="00652945" w:rsidP="00AC3569">
            <w:pPr>
              <w:pStyle w:val="Tableheadingrow"/>
              <w:keepNext w:val="0"/>
              <w:widowControl w:val="0"/>
              <w:rPr>
                <w:lang w:val="en-AU"/>
              </w:rPr>
            </w:pPr>
            <w:r w:rsidRPr="00540422">
              <w:rPr>
                <w:lang w:val="en-AU"/>
              </w:rPr>
              <w:t>Publication citation</w:t>
            </w:r>
          </w:p>
        </w:tc>
      </w:tr>
      <w:tr w:rsidR="00E575DA" w:rsidRPr="00540422" w14:paraId="1D4DCF9D" w14:textId="77777777" w:rsidTr="00D46462">
        <w:trPr>
          <w:cantSplit/>
        </w:trPr>
        <w:tc>
          <w:tcPr>
            <w:tcW w:w="626" w:type="pct"/>
            <w:vMerge w:val="restart"/>
            <w:tcBorders>
              <w:top w:val="single" w:sz="4" w:space="0" w:color="auto"/>
              <w:left w:val="single" w:sz="4" w:space="0" w:color="auto"/>
              <w:right w:val="single" w:sz="4" w:space="0" w:color="auto"/>
            </w:tcBorders>
          </w:tcPr>
          <w:p w14:paraId="06CAADD7" w14:textId="77777777" w:rsidR="00E575DA" w:rsidRPr="00540422" w:rsidRDefault="00E575DA" w:rsidP="00AC3569">
            <w:pPr>
              <w:pStyle w:val="Tableheadingrow"/>
              <w:keepNext w:val="0"/>
              <w:widowControl w:val="0"/>
              <w:rPr>
                <w:b w:val="0"/>
                <w:bCs/>
                <w:lang w:val="en-AU"/>
              </w:rPr>
            </w:pPr>
            <w:r w:rsidRPr="00540422">
              <w:rPr>
                <w:b w:val="0"/>
                <w:bCs/>
                <w:lang w:val="en-AU"/>
              </w:rPr>
              <w:t>HS-11-421</w:t>
            </w:r>
          </w:p>
        </w:tc>
        <w:tc>
          <w:tcPr>
            <w:tcW w:w="3302" w:type="pct"/>
            <w:tcBorders>
              <w:top w:val="single" w:sz="4" w:space="0" w:color="auto"/>
              <w:left w:val="single" w:sz="4" w:space="0" w:color="auto"/>
              <w:bottom w:val="nil"/>
              <w:right w:val="single" w:sz="4" w:space="0" w:color="auto"/>
            </w:tcBorders>
            <w:vAlign w:val="center"/>
          </w:tcPr>
          <w:p w14:paraId="287BBE97" w14:textId="77777777" w:rsidR="00E575DA" w:rsidRPr="00540422" w:rsidRDefault="00E575DA" w:rsidP="00AC3569">
            <w:pPr>
              <w:pStyle w:val="Tableheadingrow"/>
              <w:keepNext w:val="0"/>
              <w:widowControl w:val="0"/>
              <w:rPr>
                <w:b w:val="0"/>
                <w:bCs/>
                <w:lang w:val="en-AU"/>
              </w:rPr>
            </w:pPr>
            <w:r w:rsidRPr="00540422">
              <w:rPr>
                <w:b w:val="0"/>
                <w:bCs/>
                <w:lang w:val="en-AU"/>
              </w:rPr>
              <w:t>A phase III, randomised, double-blind, active-controlled, parallel group, multi-center trial assessing the efficacy and safety of a once-weekly and once-monthly, long-acting subcutaneous injectable depot of buprenorphine (CAM2038) in treatment of adult outpatients with opioid use disorder.</w:t>
            </w:r>
          </w:p>
        </w:tc>
        <w:tc>
          <w:tcPr>
            <w:tcW w:w="1072" w:type="pct"/>
            <w:tcBorders>
              <w:top w:val="single" w:sz="4" w:space="0" w:color="auto"/>
              <w:left w:val="single" w:sz="4" w:space="0" w:color="auto"/>
              <w:bottom w:val="nil"/>
              <w:right w:val="single" w:sz="4" w:space="0" w:color="auto"/>
            </w:tcBorders>
          </w:tcPr>
          <w:p w14:paraId="2E4B6426" w14:textId="77777777" w:rsidR="00E575DA" w:rsidRPr="00540422" w:rsidRDefault="00E575DA" w:rsidP="00AC3569">
            <w:pPr>
              <w:pStyle w:val="Tableheadingrow"/>
              <w:keepNext w:val="0"/>
              <w:widowControl w:val="0"/>
              <w:rPr>
                <w:b w:val="0"/>
                <w:bCs/>
                <w:lang w:val="en-AU"/>
              </w:rPr>
            </w:pPr>
            <w:r w:rsidRPr="00540422">
              <w:rPr>
                <w:b w:val="0"/>
                <w:bCs/>
                <w:lang w:val="en-AU"/>
              </w:rPr>
              <w:t>April 2018</w:t>
            </w:r>
          </w:p>
        </w:tc>
      </w:tr>
      <w:tr w:rsidR="00E575DA" w:rsidRPr="00540422" w14:paraId="168F3E71" w14:textId="77777777" w:rsidTr="00D46462">
        <w:trPr>
          <w:cantSplit/>
        </w:trPr>
        <w:tc>
          <w:tcPr>
            <w:tcW w:w="626" w:type="pct"/>
            <w:vMerge/>
            <w:tcBorders>
              <w:left w:val="single" w:sz="4" w:space="0" w:color="auto"/>
              <w:bottom w:val="single" w:sz="4" w:space="0" w:color="auto"/>
              <w:right w:val="single" w:sz="4" w:space="0" w:color="auto"/>
            </w:tcBorders>
          </w:tcPr>
          <w:p w14:paraId="4D226A4A" w14:textId="77777777" w:rsidR="00E575DA" w:rsidRPr="00540422" w:rsidRDefault="00E575DA" w:rsidP="00AC3569">
            <w:pPr>
              <w:pStyle w:val="Tableheadingrow"/>
              <w:keepNext w:val="0"/>
              <w:widowControl w:val="0"/>
              <w:rPr>
                <w:b w:val="0"/>
                <w:bCs/>
                <w:lang w:val="en-AU"/>
              </w:rPr>
            </w:pPr>
          </w:p>
        </w:tc>
        <w:tc>
          <w:tcPr>
            <w:tcW w:w="3302" w:type="pct"/>
            <w:tcBorders>
              <w:top w:val="nil"/>
              <w:left w:val="single" w:sz="4" w:space="0" w:color="auto"/>
              <w:bottom w:val="single" w:sz="4" w:space="0" w:color="auto"/>
              <w:right w:val="single" w:sz="4" w:space="0" w:color="auto"/>
            </w:tcBorders>
            <w:vAlign w:val="center"/>
          </w:tcPr>
          <w:p w14:paraId="3C5471D3" w14:textId="77777777" w:rsidR="00E575DA" w:rsidRPr="00540422" w:rsidRDefault="00E575DA" w:rsidP="00AC3569">
            <w:pPr>
              <w:pStyle w:val="Tableheadingrow"/>
              <w:keepNext w:val="0"/>
              <w:widowControl w:val="0"/>
              <w:rPr>
                <w:b w:val="0"/>
                <w:bCs/>
                <w:lang w:val="en-AU"/>
              </w:rPr>
            </w:pPr>
            <w:r w:rsidRPr="00540422">
              <w:rPr>
                <w:b w:val="0"/>
                <w:bCs/>
                <w:lang w:val="en-AU"/>
              </w:rPr>
              <w:t>Lofwall MR, Walsh SL, Nunes EV et al. Weekly and monthly subcutaneous buprenorphine depot formulations vs daily sublingual buprenorphine with naloxone for treatment of opioid use disorder: a randomized clinical trial.</w:t>
            </w:r>
          </w:p>
        </w:tc>
        <w:tc>
          <w:tcPr>
            <w:tcW w:w="1072" w:type="pct"/>
            <w:tcBorders>
              <w:top w:val="nil"/>
              <w:left w:val="single" w:sz="4" w:space="0" w:color="auto"/>
              <w:bottom w:val="single" w:sz="4" w:space="0" w:color="auto"/>
              <w:right w:val="single" w:sz="4" w:space="0" w:color="auto"/>
            </w:tcBorders>
          </w:tcPr>
          <w:p w14:paraId="0E9F766F" w14:textId="77777777" w:rsidR="00E575DA" w:rsidRPr="00540422" w:rsidRDefault="00E575DA" w:rsidP="00AC3569">
            <w:pPr>
              <w:pStyle w:val="Tableheadingrow"/>
              <w:keepNext w:val="0"/>
              <w:widowControl w:val="0"/>
              <w:rPr>
                <w:b w:val="0"/>
                <w:bCs/>
                <w:lang w:val="en-AU"/>
              </w:rPr>
            </w:pPr>
            <w:r w:rsidRPr="00540422">
              <w:rPr>
                <w:b w:val="0"/>
                <w:bCs/>
                <w:lang w:val="en-AU"/>
              </w:rPr>
              <w:t>JAMA Internal Medicine 2018; 178(6):764-773</w:t>
            </w:r>
          </w:p>
        </w:tc>
      </w:tr>
      <w:tr w:rsidR="00E575DA" w:rsidRPr="00540422" w14:paraId="6E6C8A75" w14:textId="77777777" w:rsidTr="00D46462">
        <w:trPr>
          <w:cantSplit/>
        </w:trPr>
        <w:tc>
          <w:tcPr>
            <w:tcW w:w="626" w:type="pct"/>
            <w:vMerge w:val="restart"/>
            <w:tcBorders>
              <w:top w:val="single" w:sz="4" w:space="0" w:color="auto"/>
              <w:left w:val="single" w:sz="4" w:space="0" w:color="auto"/>
              <w:right w:val="single" w:sz="4" w:space="0" w:color="auto"/>
            </w:tcBorders>
          </w:tcPr>
          <w:p w14:paraId="105B3EC9" w14:textId="77777777" w:rsidR="00E575DA" w:rsidRPr="00540422" w:rsidRDefault="00E575DA" w:rsidP="00AC3569">
            <w:pPr>
              <w:pStyle w:val="Tableheadingrow"/>
              <w:keepNext w:val="0"/>
              <w:widowControl w:val="0"/>
              <w:rPr>
                <w:b w:val="0"/>
                <w:bCs/>
                <w:lang w:val="en-AU"/>
              </w:rPr>
            </w:pPr>
            <w:r w:rsidRPr="00540422">
              <w:rPr>
                <w:b w:val="0"/>
                <w:bCs/>
                <w:lang w:val="en-AU"/>
              </w:rPr>
              <w:t>HS-14-499</w:t>
            </w:r>
          </w:p>
        </w:tc>
        <w:tc>
          <w:tcPr>
            <w:tcW w:w="3302" w:type="pct"/>
            <w:tcBorders>
              <w:top w:val="single" w:sz="4" w:space="0" w:color="auto"/>
              <w:left w:val="single" w:sz="4" w:space="0" w:color="auto"/>
              <w:bottom w:val="nil"/>
              <w:right w:val="single" w:sz="4" w:space="0" w:color="auto"/>
            </w:tcBorders>
            <w:vAlign w:val="center"/>
          </w:tcPr>
          <w:p w14:paraId="17844E4F" w14:textId="77777777" w:rsidR="00E575DA" w:rsidRPr="00540422" w:rsidRDefault="00E575DA" w:rsidP="00AC3569">
            <w:pPr>
              <w:pStyle w:val="Tableheadingrow"/>
              <w:keepNext w:val="0"/>
              <w:widowControl w:val="0"/>
              <w:rPr>
                <w:b w:val="0"/>
                <w:bCs/>
                <w:lang w:val="en-AU"/>
              </w:rPr>
            </w:pPr>
            <w:r w:rsidRPr="00540422">
              <w:rPr>
                <w:b w:val="0"/>
                <w:bCs/>
                <w:lang w:val="en-AU"/>
              </w:rPr>
              <w:t xml:space="preserve">An open-label multicenter study assessing the long-term safety of a once-weekly and once-monthly, long-acting subcutaneous injection depot of buprenorphine (CAM2038) in adult outpatients with opioid use disorder. </w:t>
            </w:r>
          </w:p>
        </w:tc>
        <w:tc>
          <w:tcPr>
            <w:tcW w:w="1072" w:type="pct"/>
            <w:tcBorders>
              <w:top w:val="single" w:sz="4" w:space="0" w:color="auto"/>
              <w:left w:val="single" w:sz="4" w:space="0" w:color="auto"/>
              <w:bottom w:val="nil"/>
              <w:right w:val="single" w:sz="4" w:space="0" w:color="auto"/>
            </w:tcBorders>
          </w:tcPr>
          <w:p w14:paraId="49BCE366" w14:textId="77777777" w:rsidR="00E575DA" w:rsidRPr="00540422" w:rsidRDefault="00E575DA" w:rsidP="00AC3569">
            <w:pPr>
              <w:pStyle w:val="Tableheadingrow"/>
              <w:keepNext w:val="0"/>
              <w:widowControl w:val="0"/>
              <w:rPr>
                <w:b w:val="0"/>
                <w:bCs/>
                <w:lang w:val="en-AU"/>
              </w:rPr>
            </w:pPr>
            <w:r w:rsidRPr="00540422">
              <w:rPr>
                <w:b w:val="0"/>
                <w:bCs/>
                <w:lang w:val="en-AU"/>
              </w:rPr>
              <w:t>June 2017</w:t>
            </w:r>
          </w:p>
        </w:tc>
      </w:tr>
      <w:tr w:rsidR="00E575DA" w:rsidRPr="00540422" w14:paraId="4A9BC7A4" w14:textId="77777777" w:rsidTr="00D46462">
        <w:trPr>
          <w:cantSplit/>
        </w:trPr>
        <w:tc>
          <w:tcPr>
            <w:tcW w:w="626" w:type="pct"/>
            <w:vMerge/>
            <w:tcBorders>
              <w:left w:val="single" w:sz="4" w:space="0" w:color="auto"/>
              <w:bottom w:val="single" w:sz="4" w:space="0" w:color="auto"/>
              <w:right w:val="single" w:sz="4" w:space="0" w:color="auto"/>
            </w:tcBorders>
          </w:tcPr>
          <w:p w14:paraId="55089281" w14:textId="77777777" w:rsidR="00E575DA" w:rsidRPr="00540422" w:rsidRDefault="00E575DA" w:rsidP="00AC3569">
            <w:pPr>
              <w:pStyle w:val="Tableheadingrow"/>
              <w:keepNext w:val="0"/>
              <w:widowControl w:val="0"/>
              <w:rPr>
                <w:b w:val="0"/>
                <w:bCs/>
                <w:lang w:val="en-AU"/>
              </w:rPr>
            </w:pPr>
          </w:p>
        </w:tc>
        <w:tc>
          <w:tcPr>
            <w:tcW w:w="3302" w:type="pct"/>
            <w:tcBorders>
              <w:top w:val="nil"/>
              <w:left w:val="single" w:sz="4" w:space="0" w:color="auto"/>
              <w:bottom w:val="single" w:sz="4" w:space="0" w:color="auto"/>
              <w:right w:val="single" w:sz="4" w:space="0" w:color="auto"/>
            </w:tcBorders>
            <w:vAlign w:val="center"/>
          </w:tcPr>
          <w:p w14:paraId="44E93D33" w14:textId="77777777" w:rsidR="00E575DA" w:rsidRPr="00540422" w:rsidRDefault="00E575DA" w:rsidP="00AC3569">
            <w:pPr>
              <w:pStyle w:val="Tableheadingrow"/>
              <w:keepNext w:val="0"/>
              <w:widowControl w:val="0"/>
              <w:rPr>
                <w:b w:val="0"/>
                <w:bCs/>
                <w:lang w:val="en-AU"/>
              </w:rPr>
            </w:pPr>
            <w:r w:rsidRPr="00540422">
              <w:rPr>
                <w:b w:val="0"/>
                <w:bCs/>
                <w:lang w:val="en-AU"/>
              </w:rPr>
              <w:t>Frost M, Bailey GL, Lintzeris N, et al. Long-term safety of a weekly and monthly subcutaneous buprenorphine depot (CAM2038) in the treatment of adult out-patients with opioid use disorder.</w:t>
            </w:r>
          </w:p>
        </w:tc>
        <w:tc>
          <w:tcPr>
            <w:tcW w:w="1072" w:type="pct"/>
            <w:tcBorders>
              <w:top w:val="nil"/>
              <w:left w:val="single" w:sz="4" w:space="0" w:color="auto"/>
              <w:bottom w:val="single" w:sz="4" w:space="0" w:color="auto"/>
              <w:right w:val="single" w:sz="4" w:space="0" w:color="auto"/>
            </w:tcBorders>
          </w:tcPr>
          <w:p w14:paraId="42DD9B4E" w14:textId="77777777" w:rsidR="00E575DA" w:rsidRPr="00540422" w:rsidRDefault="00E575DA" w:rsidP="00AC3569">
            <w:pPr>
              <w:pStyle w:val="Tableheadingrow"/>
              <w:keepNext w:val="0"/>
              <w:widowControl w:val="0"/>
              <w:rPr>
                <w:b w:val="0"/>
                <w:bCs/>
                <w:lang w:val="en-AU"/>
              </w:rPr>
            </w:pPr>
            <w:r w:rsidRPr="00540422">
              <w:rPr>
                <w:b w:val="0"/>
                <w:bCs/>
                <w:lang w:val="en-AU"/>
              </w:rPr>
              <w:t>Addiction 2019; 114(8): 1416-1426</w:t>
            </w:r>
          </w:p>
        </w:tc>
      </w:tr>
      <w:tr w:rsidR="00A37034" w:rsidRPr="00540422" w14:paraId="230CDB18" w14:textId="77777777" w:rsidTr="00D46462">
        <w:trPr>
          <w:cantSplit/>
        </w:trPr>
        <w:tc>
          <w:tcPr>
            <w:tcW w:w="626" w:type="pct"/>
          </w:tcPr>
          <w:p w14:paraId="5546C348" w14:textId="77777777" w:rsidR="00A37034" w:rsidRPr="00540422" w:rsidRDefault="00A37034" w:rsidP="00AC3569">
            <w:pPr>
              <w:pStyle w:val="Tableheadingrow"/>
              <w:keepNext w:val="0"/>
              <w:widowControl w:val="0"/>
              <w:rPr>
                <w:b w:val="0"/>
                <w:bCs/>
                <w:lang w:val="en-AU"/>
              </w:rPr>
            </w:pPr>
            <w:r w:rsidRPr="00540422">
              <w:rPr>
                <w:b w:val="0"/>
                <w:bCs/>
                <w:lang w:val="en-AU"/>
              </w:rPr>
              <w:t>HS-15-585</w:t>
            </w:r>
          </w:p>
        </w:tc>
        <w:tc>
          <w:tcPr>
            <w:tcW w:w="3302" w:type="pct"/>
            <w:tcBorders>
              <w:top w:val="nil"/>
              <w:bottom w:val="single" w:sz="4" w:space="0" w:color="auto"/>
            </w:tcBorders>
            <w:vAlign w:val="center"/>
          </w:tcPr>
          <w:p w14:paraId="16BE7FCB" w14:textId="77777777" w:rsidR="00A37034" w:rsidRPr="00540422" w:rsidRDefault="00A37034" w:rsidP="00AC3569">
            <w:pPr>
              <w:pStyle w:val="Tableheadingrow"/>
              <w:keepNext w:val="0"/>
              <w:widowControl w:val="0"/>
              <w:rPr>
                <w:b w:val="0"/>
                <w:bCs/>
                <w:lang w:val="en-AU"/>
              </w:rPr>
            </w:pPr>
            <w:r w:rsidRPr="00540422">
              <w:rPr>
                <w:b w:val="0"/>
                <w:bCs/>
                <w:szCs w:val="18"/>
                <w:lang w:val="en-AU"/>
              </w:rPr>
              <w:t>A phase II, open-label, partially randomised, three treatment group, multi-site study assessing pharmacokinetics after administration of the once weekly and once monthly, long-acting, subcutaneous injectable depot of buprenorphine (CAM2038) at different injection sites in opioid dependent subjects with chronic pain</w:t>
            </w:r>
          </w:p>
        </w:tc>
        <w:tc>
          <w:tcPr>
            <w:tcW w:w="1072" w:type="pct"/>
            <w:tcBorders>
              <w:top w:val="nil"/>
              <w:left w:val="single" w:sz="4" w:space="0" w:color="auto"/>
              <w:bottom w:val="single" w:sz="4" w:space="0" w:color="auto"/>
              <w:right w:val="single" w:sz="4" w:space="0" w:color="auto"/>
            </w:tcBorders>
          </w:tcPr>
          <w:p w14:paraId="25395209" w14:textId="77777777" w:rsidR="00A37034" w:rsidRPr="00540422" w:rsidRDefault="00B76FA4" w:rsidP="00AC3569">
            <w:pPr>
              <w:pStyle w:val="Tableheadingrow"/>
              <w:keepNext w:val="0"/>
              <w:widowControl w:val="0"/>
              <w:rPr>
                <w:b w:val="0"/>
                <w:bCs/>
                <w:lang w:val="en-AU"/>
              </w:rPr>
            </w:pPr>
            <w:r w:rsidRPr="00540422">
              <w:rPr>
                <w:b w:val="0"/>
                <w:bCs/>
                <w:lang w:val="en-AU"/>
              </w:rPr>
              <w:t>Not reported.</w:t>
            </w:r>
          </w:p>
        </w:tc>
      </w:tr>
      <w:tr w:rsidR="00E575DA" w:rsidRPr="00540422" w14:paraId="19F03068" w14:textId="77777777" w:rsidTr="00D46462">
        <w:trPr>
          <w:cantSplit/>
        </w:trPr>
        <w:tc>
          <w:tcPr>
            <w:tcW w:w="626" w:type="pct"/>
            <w:vMerge w:val="restart"/>
            <w:tcBorders>
              <w:top w:val="single" w:sz="4" w:space="0" w:color="auto"/>
              <w:left w:val="single" w:sz="4" w:space="0" w:color="auto"/>
              <w:right w:val="single" w:sz="4" w:space="0" w:color="auto"/>
            </w:tcBorders>
          </w:tcPr>
          <w:p w14:paraId="3F3DE78F" w14:textId="77777777" w:rsidR="00E575DA" w:rsidRPr="00540422" w:rsidRDefault="00E575DA" w:rsidP="00AC3569">
            <w:pPr>
              <w:pStyle w:val="Tableheadingrow"/>
              <w:keepNext w:val="0"/>
              <w:widowControl w:val="0"/>
              <w:rPr>
                <w:b w:val="0"/>
                <w:bCs/>
                <w:lang w:val="en-AU"/>
              </w:rPr>
            </w:pPr>
            <w:r w:rsidRPr="00540422">
              <w:rPr>
                <w:b w:val="0"/>
                <w:bCs/>
                <w:lang w:val="en-AU"/>
              </w:rPr>
              <w:t>HS-17-585</w:t>
            </w:r>
          </w:p>
          <w:p w14:paraId="44E9297F" w14:textId="77777777" w:rsidR="00211D95" w:rsidRPr="00540422" w:rsidRDefault="00211D95" w:rsidP="00AC3569">
            <w:pPr>
              <w:pStyle w:val="Tableheadingrow"/>
              <w:keepNext w:val="0"/>
              <w:widowControl w:val="0"/>
              <w:rPr>
                <w:b w:val="0"/>
                <w:bCs/>
                <w:lang w:val="en-AU"/>
              </w:rPr>
            </w:pPr>
            <w:r w:rsidRPr="00540422">
              <w:rPr>
                <w:b w:val="0"/>
                <w:bCs/>
                <w:lang w:val="en-AU"/>
              </w:rPr>
              <w:t>(DEBUT)</w:t>
            </w:r>
          </w:p>
        </w:tc>
        <w:tc>
          <w:tcPr>
            <w:tcW w:w="3302" w:type="pct"/>
            <w:tcBorders>
              <w:top w:val="single" w:sz="4" w:space="0" w:color="auto"/>
              <w:left w:val="single" w:sz="4" w:space="0" w:color="auto"/>
              <w:bottom w:val="nil"/>
              <w:right w:val="single" w:sz="4" w:space="0" w:color="auto"/>
            </w:tcBorders>
            <w:vAlign w:val="center"/>
          </w:tcPr>
          <w:p w14:paraId="3FE9D117" w14:textId="77777777" w:rsidR="00E575DA" w:rsidRPr="00540422" w:rsidRDefault="00E575DA" w:rsidP="00AC3569">
            <w:pPr>
              <w:pStyle w:val="Tableheadingrow"/>
              <w:keepNext w:val="0"/>
              <w:widowControl w:val="0"/>
              <w:rPr>
                <w:b w:val="0"/>
                <w:bCs/>
                <w:lang w:val="en-AU"/>
              </w:rPr>
            </w:pPr>
            <w:r w:rsidRPr="00540422">
              <w:rPr>
                <w:b w:val="0"/>
                <w:bCs/>
                <w:lang w:val="en-AU"/>
              </w:rPr>
              <w:t>A randomized, open-label, active-comparator, multi-center trial comparing a once-weekly and once-monthly long-acting subcutaneous injectable depot of buprenorphine (CAM2038) to buprenorphine standard of care in adult outpatients with opioid dependence.</w:t>
            </w:r>
          </w:p>
        </w:tc>
        <w:tc>
          <w:tcPr>
            <w:tcW w:w="1072" w:type="pct"/>
            <w:tcBorders>
              <w:top w:val="single" w:sz="4" w:space="0" w:color="auto"/>
              <w:left w:val="single" w:sz="4" w:space="0" w:color="auto"/>
              <w:bottom w:val="nil"/>
              <w:right w:val="single" w:sz="4" w:space="0" w:color="auto"/>
            </w:tcBorders>
          </w:tcPr>
          <w:p w14:paraId="08074509" w14:textId="77777777" w:rsidR="00E575DA" w:rsidRPr="00540422" w:rsidRDefault="00E575DA" w:rsidP="00AC3569">
            <w:pPr>
              <w:pStyle w:val="Tableheadingrow"/>
              <w:keepNext w:val="0"/>
              <w:widowControl w:val="0"/>
              <w:rPr>
                <w:b w:val="0"/>
                <w:bCs/>
                <w:lang w:val="en-AU"/>
              </w:rPr>
            </w:pPr>
            <w:r w:rsidRPr="00540422">
              <w:rPr>
                <w:b w:val="0"/>
                <w:bCs/>
                <w:lang w:val="en-AU"/>
              </w:rPr>
              <w:t>May 2020</w:t>
            </w:r>
          </w:p>
        </w:tc>
      </w:tr>
      <w:tr w:rsidR="00E575DA" w:rsidRPr="00540422" w14:paraId="5B25EB83" w14:textId="77777777" w:rsidTr="00D46462">
        <w:trPr>
          <w:cantSplit/>
        </w:trPr>
        <w:tc>
          <w:tcPr>
            <w:tcW w:w="626" w:type="pct"/>
            <w:vMerge/>
            <w:tcBorders>
              <w:left w:val="single" w:sz="4" w:space="0" w:color="auto"/>
              <w:bottom w:val="single" w:sz="4" w:space="0" w:color="auto"/>
              <w:right w:val="single" w:sz="4" w:space="0" w:color="auto"/>
            </w:tcBorders>
          </w:tcPr>
          <w:p w14:paraId="2E7DB9DC" w14:textId="77777777" w:rsidR="00E575DA" w:rsidRPr="00540422" w:rsidRDefault="00E575DA" w:rsidP="00AC3569">
            <w:pPr>
              <w:pStyle w:val="Tableheadingrow"/>
              <w:keepNext w:val="0"/>
              <w:widowControl w:val="0"/>
              <w:rPr>
                <w:b w:val="0"/>
                <w:bCs/>
                <w:lang w:val="en-AU"/>
              </w:rPr>
            </w:pPr>
          </w:p>
        </w:tc>
        <w:tc>
          <w:tcPr>
            <w:tcW w:w="3302" w:type="pct"/>
            <w:tcBorders>
              <w:top w:val="nil"/>
              <w:left w:val="single" w:sz="4" w:space="0" w:color="auto"/>
              <w:bottom w:val="single" w:sz="4" w:space="0" w:color="auto"/>
              <w:right w:val="single" w:sz="4" w:space="0" w:color="auto"/>
            </w:tcBorders>
            <w:vAlign w:val="center"/>
          </w:tcPr>
          <w:p w14:paraId="284FE99E" w14:textId="77777777" w:rsidR="00E575DA" w:rsidRPr="00540422" w:rsidRDefault="00E575DA" w:rsidP="00AC3569">
            <w:pPr>
              <w:pStyle w:val="Tableheadingrow"/>
              <w:keepNext w:val="0"/>
              <w:widowControl w:val="0"/>
              <w:rPr>
                <w:b w:val="0"/>
                <w:bCs/>
                <w:lang w:val="en-AU"/>
              </w:rPr>
            </w:pPr>
            <w:r w:rsidRPr="00540422">
              <w:rPr>
                <w:b w:val="0"/>
                <w:bCs/>
                <w:lang w:val="en-AU"/>
              </w:rPr>
              <w:t>Lintzeris N, Dunlop AJ, Haber PS, et al. Patient-reported outcomes of treatment of opioid dependence with weekly and monthly subcutaneous depot vs daily sublingual buprenorphine: a randomized clinical trial.</w:t>
            </w:r>
          </w:p>
        </w:tc>
        <w:tc>
          <w:tcPr>
            <w:tcW w:w="1072" w:type="pct"/>
            <w:tcBorders>
              <w:top w:val="nil"/>
              <w:left w:val="single" w:sz="4" w:space="0" w:color="auto"/>
              <w:bottom w:val="single" w:sz="4" w:space="0" w:color="auto"/>
              <w:right w:val="single" w:sz="4" w:space="0" w:color="auto"/>
            </w:tcBorders>
          </w:tcPr>
          <w:p w14:paraId="1CC20AD2" w14:textId="77777777" w:rsidR="00E575DA" w:rsidRPr="00540422" w:rsidRDefault="00E575DA" w:rsidP="00AC3569">
            <w:pPr>
              <w:pStyle w:val="Tableheadingrow"/>
              <w:keepNext w:val="0"/>
              <w:widowControl w:val="0"/>
              <w:rPr>
                <w:b w:val="0"/>
                <w:bCs/>
                <w:lang w:val="en-AU"/>
              </w:rPr>
            </w:pPr>
            <w:r w:rsidRPr="00540422">
              <w:rPr>
                <w:b w:val="0"/>
                <w:bCs/>
                <w:lang w:val="en-AU"/>
              </w:rPr>
              <w:t>JAMA Network Open 2021; 4(5):e219041</w:t>
            </w:r>
          </w:p>
        </w:tc>
      </w:tr>
      <w:tr w:rsidR="00E575DA" w:rsidRPr="00540422" w14:paraId="68452550" w14:textId="77777777" w:rsidTr="00D46462">
        <w:trPr>
          <w:cantSplit/>
        </w:trPr>
        <w:tc>
          <w:tcPr>
            <w:tcW w:w="626" w:type="pct"/>
            <w:vMerge w:val="restart"/>
            <w:tcBorders>
              <w:top w:val="single" w:sz="4" w:space="0" w:color="auto"/>
              <w:left w:val="single" w:sz="4" w:space="0" w:color="auto"/>
              <w:right w:val="single" w:sz="4" w:space="0" w:color="auto"/>
            </w:tcBorders>
          </w:tcPr>
          <w:p w14:paraId="58C8D688" w14:textId="77777777" w:rsidR="00E575DA" w:rsidRPr="00540422" w:rsidRDefault="00E575DA" w:rsidP="00BE6C4C">
            <w:pPr>
              <w:pStyle w:val="Tableheadingrow"/>
              <w:widowControl w:val="0"/>
              <w:rPr>
                <w:b w:val="0"/>
                <w:bCs/>
                <w:lang w:val="en-AU"/>
              </w:rPr>
            </w:pPr>
            <w:r w:rsidRPr="00540422">
              <w:rPr>
                <w:b w:val="0"/>
                <w:bCs/>
                <w:lang w:val="en-AU"/>
              </w:rPr>
              <w:t>dBC2531</w:t>
            </w:r>
          </w:p>
          <w:p w14:paraId="2BDB065C" w14:textId="77777777" w:rsidR="00211D95" w:rsidRPr="00540422" w:rsidRDefault="00211D95" w:rsidP="00BE6C4C">
            <w:pPr>
              <w:pStyle w:val="Tableheadingrow"/>
              <w:widowControl w:val="0"/>
              <w:rPr>
                <w:b w:val="0"/>
                <w:bCs/>
                <w:lang w:val="en-AU"/>
              </w:rPr>
            </w:pPr>
            <w:r w:rsidRPr="00540422">
              <w:rPr>
                <w:b w:val="0"/>
                <w:bCs/>
                <w:lang w:val="en-AU"/>
              </w:rPr>
              <w:t>(UNLOC-T)</w:t>
            </w:r>
          </w:p>
        </w:tc>
        <w:tc>
          <w:tcPr>
            <w:tcW w:w="3302" w:type="pct"/>
            <w:tcBorders>
              <w:top w:val="single" w:sz="4" w:space="0" w:color="auto"/>
              <w:left w:val="single" w:sz="4" w:space="0" w:color="auto"/>
              <w:bottom w:val="nil"/>
              <w:right w:val="single" w:sz="4" w:space="0" w:color="auto"/>
            </w:tcBorders>
            <w:vAlign w:val="center"/>
          </w:tcPr>
          <w:p w14:paraId="0C8FC0EE" w14:textId="77777777" w:rsidR="00E575DA" w:rsidRPr="00540422" w:rsidRDefault="00E575DA" w:rsidP="00BE6C4C">
            <w:pPr>
              <w:pStyle w:val="Tableheadingrow"/>
              <w:widowControl w:val="0"/>
              <w:rPr>
                <w:b w:val="0"/>
                <w:bCs/>
                <w:lang w:val="en-AU"/>
              </w:rPr>
            </w:pPr>
            <w:r w:rsidRPr="00540422">
              <w:rPr>
                <w:b w:val="0"/>
                <w:bCs/>
                <w:lang w:val="en-AU"/>
              </w:rPr>
              <w:t>Assessing the safety and feasibility of long-acting depot of buprenorphine in adults requiring treatment for opioid use disorder in NSW custodial settings (protocol).</w:t>
            </w:r>
          </w:p>
        </w:tc>
        <w:tc>
          <w:tcPr>
            <w:tcW w:w="1072" w:type="pct"/>
            <w:tcBorders>
              <w:top w:val="single" w:sz="4" w:space="0" w:color="auto"/>
              <w:left w:val="single" w:sz="4" w:space="0" w:color="auto"/>
              <w:bottom w:val="nil"/>
              <w:right w:val="single" w:sz="4" w:space="0" w:color="auto"/>
            </w:tcBorders>
          </w:tcPr>
          <w:p w14:paraId="01E92535" w14:textId="77777777" w:rsidR="00E575DA" w:rsidRPr="00540422" w:rsidRDefault="00E575DA" w:rsidP="00BE6C4C">
            <w:pPr>
              <w:pStyle w:val="Tableheadingrow"/>
              <w:widowControl w:val="0"/>
              <w:rPr>
                <w:b w:val="0"/>
                <w:bCs/>
                <w:lang w:val="en-AU"/>
              </w:rPr>
            </w:pPr>
            <w:r w:rsidRPr="00540422">
              <w:rPr>
                <w:b w:val="0"/>
                <w:bCs/>
                <w:lang w:val="en-AU"/>
              </w:rPr>
              <w:t>November 2019</w:t>
            </w:r>
          </w:p>
        </w:tc>
      </w:tr>
      <w:tr w:rsidR="00E575DA" w:rsidRPr="00540422" w14:paraId="4A79428D" w14:textId="77777777" w:rsidTr="00D46462">
        <w:trPr>
          <w:cantSplit/>
        </w:trPr>
        <w:tc>
          <w:tcPr>
            <w:tcW w:w="626" w:type="pct"/>
            <w:vMerge/>
            <w:tcBorders>
              <w:left w:val="single" w:sz="4" w:space="0" w:color="auto"/>
              <w:bottom w:val="single" w:sz="4" w:space="0" w:color="auto"/>
              <w:right w:val="single" w:sz="4" w:space="0" w:color="auto"/>
            </w:tcBorders>
          </w:tcPr>
          <w:p w14:paraId="3FB55DB5" w14:textId="77777777" w:rsidR="00E575DA" w:rsidRPr="00540422" w:rsidRDefault="00E575DA" w:rsidP="00AC3569">
            <w:pPr>
              <w:pStyle w:val="Tableheadingrow"/>
              <w:keepNext w:val="0"/>
              <w:widowControl w:val="0"/>
              <w:rPr>
                <w:b w:val="0"/>
                <w:bCs/>
                <w:lang w:val="en-AU"/>
              </w:rPr>
            </w:pPr>
          </w:p>
        </w:tc>
        <w:tc>
          <w:tcPr>
            <w:tcW w:w="3302" w:type="pct"/>
            <w:tcBorders>
              <w:top w:val="nil"/>
              <w:left w:val="single" w:sz="4" w:space="0" w:color="auto"/>
              <w:bottom w:val="single" w:sz="4" w:space="0" w:color="auto"/>
              <w:right w:val="single" w:sz="4" w:space="0" w:color="auto"/>
            </w:tcBorders>
            <w:vAlign w:val="center"/>
          </w:tcPr>
          <w:p w14:paraId="2BD8CBF6" w14:textId="77777777" w:rsidR="00E575DA" w:rsidRPr="00540422" w:rsidRDefault="00E575DA" w:rsidP="00AC3569">
            <w:pPr>
              <w:pStyle w:val="Tableheadingrow"/>
              <w:keepNext w:val="0"/>
              <w:widowControl w:val="0"/>
              <w:rPr>
                <w:b w:val="0"/>
                <w:bCs/>
                <w:i/>
                <w:iCs/>
                <w:lang w:val="en-AU"/>
              </w:rPr>
            </w:pPr>
            <w:r w:rsidRPr="00540422">
              <w:rPr>
                <w:b w:val="0"/>
                <w:bCs/>
                <w:i/>
                <w:iCs/>
                <w:lang w:val="en-AU"/>
              </w:rPr>
              <w:t>Dunlop AJ, White B, Roberts J, et al. Treatment of opioid dependence with depot buprenorphine (CAM2038) in custodial settings.</w:t>
            </w:r>
          </w:p>
        </w:tc>
        <w:tc>
          <w:tcPr>
            <w:tcW w:w="1072" w:type="pct"/>
            <w:tcBorders>
              <w:top w:val="nil"/>
              <w:left w:val="single" w:sz="4" w:space="0" w:color="auto"/>
              <w:bottom w:val="single" w:sz="4" w:space="0" w:color="auto"/>
              <w:right w:val="single" w:sz="4" w:space="0" w:color="auto"/>
            </w:tcBorders>
          </w:tcPr>
          <w:p w14:paraId="371562BA" w14:textId="77777777" w:rsidR="00E575DA" w:rsidRPr="00540422" w:rsidRDefault="00E575DA" w:rsidP="00AC3569">
            <w:pPr>
              <w:pStyle w:val="Tableheadingrow"/>
              <w:keepNext w:val="0"/>
              <w:widowControl w:val="0"/>
              <w:rPr>
                <w:b w:val="0"/>
                <w:bCs/>
                <w:i/>
                <w:iCs/>
                <w:lang w:val="en-AU"/>
              </w:rPr>
            </w:pPr>
            <w:r w:rsidRPr="00540422">
              <w:rPr>
                <w:b w:val="0"/>
                <w:bCs/>
                <w:i/>
                <w:iCs/>
                <w:lang w:val="en-AU"/>
              </w:rPr>
              <w:t>Addiction 2021; epub ahead of print</w:t>
            </w:r>
          </w:p>
        </w:tc>
      </w:tr>
    </w:tbl>
    <w:p w14:paraId="28FAF1EB" w14:textId="77777777" w:rsidR="00EA526A" w:rsidRPr="00540422" w:rsidRDefault="008E0D3C" w:rsidP="00AC3569">
      <w:pPr>
        <w:pStyle w:val="TableFigureFooter"/>
        <w:widowControl w:val="0"/>
      </w:pPr>
      <w:r w:rsidRPr="00540422">
        <w:t>Source:</w:t>
      </w:r>
      <w:r w:rsidR="00EA526A" w:rsidRPr="00540422">
        <w:t xml:space="preserve"> Constructed during the evaluation</w:t>
      </w:r>
    </w:p>
    <w:p w14:paraId="3E1F7DEB" w14:textId="77777777" w:rsidR="00EA526A" w:rsidRPr="00540422" w:rsidRDefault="00EA526A" w:rsidP="00AC3569">
      <w:pPr>
        <w:pStyle w:val="TableFigureFooter"/>
        <w:widowControl w:val="0"/>
        <w:rPr>
          <w:i/>
          <w:iCs/>
        </w:rPr>
      </w:pPr>
      <w:r w:rsidRPr="00540422">
        <w:rPr>
          <w:i/>
          <w:iCs/>
        </w:rPr>
        <w:t>Italicised study was identified during the evaluation.</w:t>
      </w:r>
    </w:p>
    <w:p w14:paraId="592E6707" w14:textId="77777777" w:rsidR="00EA526A" w:rsidRPr="00540422" w:rsidRDefault="001C6F9A" w:rsidP="00AC3569">
      <w:pPr>
        <w:pStyle w:val="TableFigureFooter"/>
        <w:widowControl w:val="0"/>
        <w:rPr>
          <w:szCs w:val="18"/>
        </w:rPr>
      </w:pPr>
      <w:r w:rsidRPr="00540422">
        <w:rPr>
          <w:szCs w:val="18"/>
        </w:rPr>
        <w:t xml:space="preserve">Patients from </w:t>
      </w:r>
      <w:r w:rsidR="00EA526A" w:rsidRPr="00540422">
        <w:rPr>
          <w:szCs w:val="18"/>
        </w:rPr>
        <w:t xml:space="preserve">HS-15-549 </w:t>
      </w:r>
      <w:r w:rsidR="005F525C" w:rsidRPr="00540422">
        <w:rPr>
          <w:szCs w:val="18"/>
        </w:rPr>
        <w:t>w</w:t>
      </w:r>
      <w:r w:rsidRPr="00540422">
        <w:rPr>
          <w:szCs w:val="18"/>
        </w:rPr>
        <w:t>ere</w:t>
      </w:r>
      <w:r w:rsidR="005F525C" w:rsidRPr="00540422">
        <w:rPr>
          <w:szCs w:val="18"/>
        </w:rPr>
        <w:t xml:space="preserve"> </w:t>
      </w:r>
      <w:r w:rsidR="00EA526A" w:rsidRPr="00540422">
        <w:rPr>
          <w:szCs w:val="18"/>
        </w:rPr>
        <w:t xml:space="preserve">included in pooled demographic data for the 160 mg formulation but did not contribute efficacy or safety data to the submission and were not considered further </w:t>
      </w:r>
      <w:r w:rsidR="00DF3C8C" w:rsidRPr="00540422">
        <w:rPr>
          <w:szCs w:val="18"/>
        </w:rPr>
        <w:t>during the evaluation</w:t>
      </w:r>
      <w:r w:rsidR="00EA526A" w:rsidRPr="00540422">
        <w:rPr>
          <w:szCs w:val="18"/>
        </w:rPr>
        <w:t>.</w:t>
      </w:r>
    </w:p>
    <w:p w14:paraId="64335C65" w14:textId="77777777" w:rsidR="00D72510" w:rsidRPr="00540422" w:rsidRDefault="008F120A" w:rsidP="00211436">
      <w:pPr>
        <w:pStyle w:val="ExecSumBodyText"/>
      </w:pPr>
      <w:r w:rsidRPr="00540422">
        <w:t xml:space="preserve">The key features of the </w:t>
      </w:r>
      <w:r w:rsidR="007170DA" w:rsidRPr="00540422">
        <w:t>studies</w:t>
      </w:r>
      <w:r w:rsidRPr="00540422">
        <w:t xml:space="preserve"> are summarised in the table below.</w:t>
      </w:r>
    </w:p>
    <w:p w14:paraId="216C7B44" w14:textId="77777777" w:rsidR="007F1017" w:rsidRPr="00540422" w:rsidRDefault="007F1017" w:rsidP="00DF56D2">
      <w:pPr>
        <w:pStyle w:val="TableFigureCaption"/>
        <w:keepLines/>
      </w:pPr>
      <w:r w:rsidRPr="00540422">
        <w:t xml:space="preserve">Table </w:t>
      </w:r>
      <w:r w:rsidR="007478D0" w:rsidRPr="00540422">
        <w:t>2</w:t>
      </w:r>
      <w:r w:rsidRPr="00540422">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 Key features of the included evidence"/>
      </w:tblPr>
      <w:tblGrid>
        <w:gridCol w:w="988"/>
        <w:gridCol w:w="566"/>
        <w:gridCol w:w="2126"/>
        <w:gridCol w:w="992"/>
        <w:gridCol w:w="1986"/>
        <w:gridCol w:w="2359"/>
      </w:tblGrid>
      <w:tr w:rsidR="001D0EEF" w:rsidRPr="00540422" w14:paraId="5A44A1A2" w14:textId="77777777" w:rsidTr="00FE652B">
        <w:trPr>
          <w:cantSplit/>
          <w:tblHeader/>
        </w:trPr>
        <w:tc>
          <w:tcPr>
            <w:tcW w:w="548" w:type="pct"/>
            <w:shd w:val="clear" w:color="auto" w:fill="auto"/>
            <w:vAlign w:val="center"/>
          </w:tcPr>
          <w:p w14:paraId="59C19ABF" w14:textId="77777777" w:rsidR="003A4A72" w:rsidRPr="00540422" w:rsidRDefault="003A4A72" w:rsidP="00DF56D2">
            <w:pPr>
              <w:pStyle w:val="Tableheadingrow"/>
              <w:keepLines/>
              <w:rPr>
                <w:lang w:val="en-AU"/>
              </w:rPr>
            </w:pPr>
            <w:r w:rsidRPr="00540422">
              <w:rPr>
                <w:lang w:val="en-AU"/>
              </w:rPr>
              <w:t>Trial</w:t>
            </w:r>
          </w:p>
        </w:tc>
        <w:tc>
          <w:tcPr>
            <w:tcW w:w="314" w:type="pct"/>
            <w:shd w:val="clear" w:color="auto" w:fill="auto"/>
            <w:vAlign w:val="center"/>
          </w:tcPr>
          <w:p w14:paraId="735A7051" w14:textId="77777777" w:rsidR="003A4A72" w:rsidRPr="00540422" w:rsidRDefault="003A4A72" w:rsidP="00DF56D2">
            <w:pPr>
              <w:pStyle w:val="Tableheadingrow"/>
              <w:keepLines/>
              <w:jc w:val="center"/>
              <w:rPr>
                <w:lang w:val="en-AU"/>
              </w:rPr>
            </w:pPr>
            <w:r w:rsidRPr="00540422">
              <w:rPr>
                <w:lang w:val="en-AU"/>
              </w:rPr>
              <w:t>N</w:t>
            </w:r>
          </w:p>
        </w:tc>
        <w:tc>
          <w:tcPr>
            <w:tcW w:w="1179" w:type="pct"/>
            <w:shd w:val="clear" w:color="auto" w:fill="auto"/>
            <w:vAlign w:val="center"/>
          </w:tcPr>
          <w:p w14:paraId="6F93D8F2" w14:textId="77777777" w:rsidR="003A4A72" w:rsidRPr="00540422" w:rsidRDefault="003A4A72" w:rsidP="00DF56D2">
            <w:pPr>
              <w:pStyle w:val="Tableheadingrow"/>
              <w:keepLines/>
              <w:jc w:val="center"/>
              <w:rPr>
                <w:lang w:val="en-AU"/>
              </w:rPr>
            </w:pPr>
            <w:r w:rsidRPr="00540422">
              <w:rPr>
                <w:lang w:val="en-AU"/>
              </w:rPr>
              <w:t>Design/duration</w:t>
            </w:r>
          </w:p>
        </w:tc>
        <w:tc>
          <w:tcPr>
            <w:tcW w:w="550" w:type="pct"/>
            <w:shd w:val="clear" w:color="auto" w:fill="auto"/>
            <w:vAlign w:val="center"/>
          </w:tcPr>
          <w:p w14:paraId="15F6B021" w14:textId="77777777" w:rsidR="003A4A72" w:rsidRPr="00540422" w:rsidRDefault="003A4A72" w:rsidP="00DF56D2">
            <w:pPr>
              <w:pStyle w:val="Tableheadingrow"/>
              <w:keepLines/>
              <w:jc w:val="center"/>
              <w:rPr>
                <w:lang w:val="en-AU"/>
              </w:rPr>
            </w:pPr>
            <w:r w:rsidRPr="00540422">
              <w:rPr>
                <w:lang w:val="en-AU"/>
              </w:rPr>
              <w:t>Risk of bias</w:t>
            </w:r>
          </w:p>
        </w:tc>
        <w:tc>
          <w:tcPr>
            <w:tcW w:w="1101" w:type="pct"/>
            <w:shd w:val="clear" w:color="auto" w:fill="auto"/>
            <w:vAlign w:val="center"/>
          </w:tcPr>
          <w:p w14:paraId="33CFB157" w14:textId="77777777" w:rsidR="003A4A72" w:rsidRPr="00540422" w:rsidRDefault="003A4A72" w:rsidP="00DF56D2">
            <w:pPr>
              <w:pStyle w:val="Tableheadingrow"/>
              <w:keepLines/>
              <w:jc w:val="center"/>
              <w:rPr>
                <w:lang w:val="en-AU"/>
              </w:rPr>
            </w:pPr>
            <w:r w:rsidRPr="00540422">
              <w:rPr>
                <w:lang w:val="en-AU"/>
              </w:rPr>
              <w:t>Patient population</w:t>
            </w:r>
          </w:p>
        </w:tc>
        <w:tc>
          <w:tcPr>
            <w:tcW w:w="1308" w:type="pct"/>
            <w:shd w:val="clear" w:color="auto" w:fill="auto"/>
            <w:vAlign w:val="center"/>
          </w:tcPr>
          <w:p w14:paraId="41D317CB" w14:textId="77777777" w:rsidR="003A4A72" w:rsidRPr="00540422" w:rsidRDefault="003A4A72" w:rsidP="00DF56D2">
            <w:pPr>
              <w:pStyle w:val="Tableheadingrow"/>
              <w:keepLines/>
              <w:jc w:val="center"/>
              <w:rPr>
                <w:lang w:val="en-AU"/>
              </w:rPr>
            </w:pPr>
            <w:r w:rsidRPr="00540422">
              <w:rPr>
                <w:lang w:val="en-AU"/>
              </w:rPr>
              <w:t>Outcomes</w:t>
            </w:r>
          </w:p>
        </w:tc>
      </w:tr>
      <w:tr w:rsidR="001D0EEF" w:rsidRPr="00540422" w14:paraId="5AFB18A2" w14:textId="77777777" w:rsidTr="00FE652B">
        <w:trPr>
          <w:cantSplit/>
        </w:trPr>
        <w:tc>
          <w:tcPr>
            <w:tcW w:w="548" w:type="pct"/>
            <w:vAlign w:val="center"/>
          </w:tcPr>
          <w:p w14:paraId="15F9AA5B" w14:textId="77777777" w:rsidR="00E575DA" w:rsidRPr="00540422" w:rsidRDefault="00E575DA" w:rsidP="00DF56D2">
            <w:pPr>
              <w:pStyle w:val="TableText"/>
              <w:keepLines/>
            </w:pPr>
            <w:r w:rsidRPr="00540422">
              <w:rPr>
                <w:szCs w:val="20"/>
              </w:rPr>
              <w:t>HS-11-421</w:t>
            </w:r>
          </w:p>
        </w:tc>
        <w:tc>
          <w:tcPr>
            <w:tcW w:w="314" w:type="pct"/>
            <w:shd w:val="clear" w:color="auto" w:fill="auto"/>
            <w:vAlign w:val="center"/>
          </w:tcPr>
          <w:p w14:paraId="26092B1E" w14:textId="77777777" w:rsidR="00E575DA" w:rsidRPr="00540422" w:rsidRDefault="00FD2F10" w:rsidP="00DF56D2">
            <w:pPr>
              <w:pStyle w:val="TableText"/>
              <w:keepLines/>
              <w:jc w:val="center"/>
            </w:pPr>
            <w:r w:rsidRPr="00540422">
              <w:t>428</w:t>
            </w:r>
          </w:p>
        </w:tc>
        <w:tc>
          <w:tcPr>
            <w:tcW w:w="1179" w:type="pct"/>
            <w:shd w:val="clear" w:color="auto" w:fill="auto"/>
            <w:vAlign w:val="center"/>
          </w:tcPr>
          <w:p w14:paraId="48C7F15E" w14:textId="77777777" w:rsidR="005515E6" w:rsidRPr="00540422" w:rsidRDefault="00F32306" w:rsidP="00DF56D2">
            <w:pPr>
              <w:pStyle w:val="TableText"/>
              <w:keepLines/>
              <w:jc w:val="center"/>
            </w:pPr>
            <w:r w:rsidRPr="00540422">
              <w:t xml:space="preserve">Randomised, </w:t>
            </w:r>
            <w:r w:rsidR="005515E6" w:rsidRPr="00540422">
              <w:t>double-blind, active control</w:t>
            </w:r>
            <w:r w:rsidR="004A4781" w:rsidRPr="00540422">
              <w:t>led</w:t>
            </w:r>
            <w:r w:rsidR="00FD04FF" w:rsidRPr="00540422">
              <w:t>, multicentre study</w:t>
            </w:r>
            <w:r w:rsidR="001D0EEF" w:rsidRPr="00540422">
              <w:t xml:space="preserve">; </w:t>
            </w:r>
            <w:r w:rsidR="005515E6" w:rsidRPr="00540422">
              <w:t>24 weeks</w:t>
            </w:r>
          </w:p>
        </w:tc>
        <w:tc>
          <w:tcPr>
            <w:tcW w:w="550" w:type="pct"/>
            <w:shd w:val="clear" w:color="auto" w:fill="auto"/>
            <w:vAlign w:val="center"/>
          </w:tcPr>
          <w:p w14:paraId="39838A53" w14:textId="77777777" w:rsidR="00E575DA" w:rsidRPr="00540422" w:rsidRDefault="0015311A" w:rsidP="00DF56D2">
            <w:pPr>
              <w:pStyle w:val="TableText"/>
              <w:keepLines/>
              <w:jc w:val="center"/>
            </w:pPr>
            <w:r w:rsidRPr="00540422">
              <w:t>Low</w:t>
            </w:r>
          </w:p>
        </w:tc>
        <w:tc>
          <w:tcPr>
            <w:tcW w:w="1101" w:type="pct"/>
            <w:shd w:val="clear" w:color="auto" w:fill="auto"/>
            <w:vAlign w:val="center"/>
          </w:tcPr>
          <w:p w14:paraId="065E7091" w14:textId="77777777" w:rsidR="00E575DA" w:rsidRPr="00540422" w:rsidRDefault="00CA178F" w:rsidP="00DF56D2">
            <w:pPr>
              <w:pStyle w:val="TableText"/>
              <w:keepLines/>
              <w:jc w:val="center"/>
            </w:pPr>
            <w:r w:rsidRPr="00540422">
              <w:t>Adults with moderate</w:t>
            </w:r>
            <w:r w:rsidR="00353162" w:rsidRPr="00540422">
              <w:t>-</w:t>
            </w:r>
            <w:r w:rsidRPr="00540422">
              <w:t xml:space="preserve"> severe </w:t>
            </w:r>
            <w:r w:rsidR="00353162" w:rsidRPr="00540422">
              <w:t>OUD</w:t>
            </w:r>
            <w:r w:rsidR="000F35F0" w:rsidRPr="00540422">
              <w:t xml:space="preserve"> with no </w:t>
            </w:r>
            <w:r w:rsidR="00625AC4" w:rsidRPr="00540422">
              <w:t>OST</w:t>
            </w:r>
            <w:r w:rsidR="000F35F0" w:rsidRPr="00540422">
              <w:t xml:space="preserve"> in the past 60 days</w:t>
            </w:r>
          </w:p>
        </w:tc>
        <w:tc>
          <w:tcPr>
            <w:tcW w:w="1308" w:type="pct"/>
            <w:shd w:val="clear" w:color="auto" w:fill="auto"/>
            <w:vAlign w:val="center"/>
          </w:tcPr>
          <w:p w14:paraId="7011190E" w14:textId="77777777" w:rsidR="00E575DA" w:rsidRPr="00540422" w:rsidRDefault="000540E0" w:rsidP="00DF56D2">
            <w:pPr>
              <w:pStyle w:val="TableText"/>
              <w:keepLines/>
              <w:jc w:val="center"/>
            </w:pPr>
            <w:r w:rsidRPr="00540422">
              <w:t xml:space="preserve">% urine </w:t>
            </w:r>
            <w:r w:rsidR="00EE49B1" w:rsidRPr="00540422">
              <w:t xml:space="preserve">samples </w:t>
            </w:r>
            <w:r w:rsidRPr="00540422">
              <w:t>negative for illicit opioids</w:t>
            </w:r>
            <w:r w:rsidR="00E072F5" w:rsidRPr="00540422">
              <w:t xml:space="preserve">, </w:t>
            </w:r>
            <w:r w:rsidR="00FE652B" w:rsidRPr="00540422">
              <w:t xml:space="preserve">time to sustained abstinence, </w:t>
            </w:r>
            <w:r w:rsidR="00E072F5" w:rsidRPr="00540422">
              <w:t>retention</w:t>
            </w:r>
            <w:r w:rsidR="0031234F" w:rsidRPr="00540422">
              <w:t>, safety</w:t>
            </w:r>
          </w:p>
        </w:tc>
      </w:tr>
      <w:tr w:rsidR="001D0EEF" w:rsidRPr="00540422" w14:paraId="198CC7C0" w14:textId="77777777" w:rsidTr="00FE652B">
        <w:trPr>
          <w:cantSplit/>
        </w:trPr>
        <w:tc>
          <w:tcPr>
            <w:tcW w:w="548" w:type="pct"/>
            <w:vAlign w:val="center"/>
          </w:tcPr>
          <w:p w14:paraId="6DECE414" w14:textId="77777777" w:rsidR="001305CF" w:rsidRPr="00540422" w:rsidRDefault="001305CF" w:rsidP="00DF56D2">
            <w:pPr>
              <w:pStyle w:val="TableText"/>
              <w:keepLines/>
            </w:pPr>
            <w:r w:rsidRPr="00540422">
              <w:rPr>
                <w:szCs w:val="20"/>
              </w:rPr>
              <w:t>HS-14-499</w:t>
            </w:r>
          </w:p>
        </w:tc>
        <w:tc>
          <w:tcPr>
            <w:tcW w:w="314" w:type="pct"/>
            <w:shd w:val="clear" w:color="auto" w:fill="auto"/>
            <w:vAlign w:val="center"/>
          </w:tcPr>
          <w:p w14:paraId="33F6BC51" w14:textId="77777777" w:rsidR="001305CF" w:rsidRPr="00540422" w:rsidRDefault="001305CF" w:rsidP="00DF56D2">
            <w:pPr>
              <w:pStyle w:val="TableText"/>
              <w:keepLines/>
              <w:jc w:val="center"/>
            </w:pPr>
            <w:r w:rsidRPr="00540422">
              <w:t>227</w:t>
            </w:r>
          </w:p>
        </w:tc>
        <w:tc>
          <w:tcPr>
            <w:tcW w:w="1179" w:type="pct"/>
            <w:shd w:val="clear" w:color="auto" w:fill="auto"/>
            <w:vAlign w:val="center"/>
          </w:tcPr>
          <w:p w14:paraId="1BA33C61" w14:textId="77777777" w:rsidR="001305CF" w:rsidRPr="00540422" w:rsidRDefault="001305CF" w:rsidP="00DF56D2">
            <w:pPr>
              <w:pStyle w:val="TableText"/>
              <w:keepLines/>
              <w:jc w:val="center"/>
            </w:pPr>
            <w:r w:rsidRPr="00540422">
              <w:t>Single arm, open label, multicentre, international study</w:t>
            </w:r>
            <w:r w:rsidR="001D0EEF" w:rsidRPr="00540422">
              <w:t xml:space="preserve">; </w:t>
            </w:r>
            <w:r w:rsidR="00337924" w:rsidRPr="00540422">
              <w:t>48 weeks</w:t>
            </w:r>
          </w:p>
        </w:tc>
        <w:tc>
          <w:tcPr>
            <w:tcW w:w="550" w:type="pct"/>
            <w:shd w:val="clear" w:color="auto" w:fill="auto"/>
            <w:vAlign w:val="center"/>
          </w:tcPr>
          <w:p w14:paraId="60501D9E" w14:textId="77777777" w:rsidR="001305CF" w:rsidRPr="00540422" w:rsidRDefault="001305CF" w:rsidP="00DF56D2">
            <w:pPr>
              <w:pStyle w:val="TableText"/>
              <w:keepLines/>
              <w:jc w:val="center"/>
            </w:pPr>
            <w:r w:rsidRPr="00540422">
              <w:t>High</w:t>
            </w:r>
          </w:p>
        </w:tc>
        <w:tc>
          <w:tcPr>
            <w:tcW w:w="1101" w:type="pct"/>
            <w:shd w:val="clear" w:color="auto" w:fill="auto"/>
            <w:vAlign w:val="center"/>
          </w:tcPr>
          <w:p w14:paraId="7C8D2211" w14:textId="77777777" w:rsidR="001305CF" w:rsidRPr="00540422" w:rsidRDefault="006732F2" w:rsidP="00DF56D2">
            <w:pPr>
              <w:pStyle w:val="TableText"/>
              <w:keepLines/>
              <w:jc w:val="center"/>
            </w:pPr>
            <w:r w:rsidRPr="00540422">
              <w:t>Adults with moderate- severe OUD</w:t>
            </w:r>
            <w:r w:rsidR="00BE51AE" w:rsidRPr="00540422">
              <w:t xml:space="preserve">, seeking treatment or </w:t>
            </w:r>
            <w:r w:rsidR="005D5426" w:rsidRPr="00540422">
              <w:t>on SL BPN</w:t>
            </w:r>
          </w:p>
        </w:tc>
        <w:tc>
          <w:tcPr>
            <w:tcW w:w="1308" w:type="pct"/>
            <w:shd w:val="clear" w:color="auto" w:fill="auto"/>
            <w:vAlign w:val="center"/>
          </w:tcPr>
          <w:p w14:paraId="4D60E70D" w14:textId="77777777" w:rsidR="001305CF" w:rsidRPr="00540422" w:rsidRDefault="0031234F" w:rsidP="00DF56D2">
            <w:pPr>
              <w:pStyle w:val="TableText"/>
              <w:keepLines/>
              <w:jc w:val="center"/>
            </w:pPr>
            <w:r w:rsidRPr="00540422">
              <w:t xml:space="preserve">Safety, </w:t>
            </w:r>
            <w:r w:rsidR="001305CF" w:rsidRPr="00540422">
              <w:t>% urine samples negative for illicit opioids</w:t>
            </w:r>
            <w:r w:rsidR="00E072F5" w:rsidRPr="00540422">
              <w:t>, quality of life</w:t>
            </w:r>
          </w:p>
        </w:tc>
      </w:tr>
      <w:tr w:rsidR="00B756E3" w:rsidRPr="00540422" w14:paraId="0C60535A" w14:textId="77777777" w:rsidTr="00FE652B">
        <w:trPr>
          <w:cantSplit/>
        </w:trPr>
        <w:tc>
          <w:tcPr>
            <w:tcW w:w="548" w:type="pct"/>
            <w:vAlign w:val="center"/>
          </w:tcPr>
          <w:p w14:paraId="48D7C50D" w14:textId="77777777" w:rsidR="00B756E3" w:rsidRPr="00540422" w:rsidRDefault="00B756E3" w:rsidP="00DF56D2">
            <w:pPr>
              <w:pStyle w:val="TableText"/>
              <w:keepLines/>
            </w:pPr>
            <w:r w:rsidRPr="00540422">
              <w:rPr>
                <w:szCs w:val="20"/>
              </w:rPr>
              <w:t>HS-17-585</w:t>
            </w:r>
          </w:p>
        </w:tc>
        <w:tc>
          <w:tcPr>
            <w:tcW w:w="314" w:type="pct"/>
            <w:shd w:val="clear" w:color="auto" w:fill="auto"/>
            <w:vAlign w:val="center"/>
          </w:tcPr>
          <w:p w14:paraId="18AF5553" w14:textId="77777777" w:rsidR="00B756E3" w:rsidRPr="00540422" w:rsidRDefault="00B756E3" w:rsidP="00DF56D2">
            <w:pPr>
              <w:pStyle w:val="TableText"/>
              <w:keepLines/>
              <w:jc w:val="center"/>
            </w:pPr>
            <w:r w:rsidRPr="00540422">
              <w:t>120</w:t>
            </w:r>
          </w:p>
        </w:tc>
        <w:tc>
          <w:tcPr>
            <w:tcW w:w="1179" w:type="pct"/>
            <w:shd w:val="clear" w:color="auto" w:fill="auto"/>
            <w:vAlign w:val="center"/>
          </w:tcPr>
          <w:p w14:paraId="1968FD36" w14:textId="77777777" w:rsidR="00B756E3" w:rsidRPr="00540422" w:rsidRDefault="00B756E3" w:rsidP="00DF56D2">
            <w:pPr>
              <w:pStyle w:val="TableText"/>
              <w:keepLines/>
              <w:jc w:val="center"/>
            </w:pPr>
            <w:r w:rsidRPr="00540422">
              <w:t>Randomised, open-label, active controlled, multicentre study; 24 weeks</w:t>
            </w:r>
          </w:p>
        </w:tc>
        <w:tc>
          <w:tcPr>
            <w:tcW w:w="550" w:type="pct"/>
            <w:shd w:val="clear" w:color="auto" w:fill="auto"/>
            <w:vAlign w:val="center"/>
          </w:tcPr>
          <w:p w14:paraId="6BC6D2F6" w14:textId="77777777" w:rsidR="00B756E3" w:rsidRPr="00540422" w:rsidRDefault="001C063C" w:rsidP="00DF56D2">
            <w:pPr>
              <w:pStyle w:val="TableText"/>
              <w:keepLines/>
              <w:jc w:val="center"/>
            </w:pPr>
            <w:r w:rsidRPr="00540422">
              <w:t>High</w:t>
            </w:r>
          </w:p>
        </w:tc>
        <w:tc>
          <w:tcPr>
            <w:tcW w:w="1101" w:type="pct"/>
            <w:shd w:val="clear" w:color="auto" w:fill="auto"/>
            <w:vAlign w:val="center"/>
          </w:tcPr>
          <w:p w14:paraId="4598191C" w14:textId="77777777" w:rsidR="00B756E3" w:rsidRPr="00540422" w:rsidRDefault="00B756E3" w:rsidP="00DF56D2">
            <w:pPr>
              <w:pStyle w:val="TableText"/>
              <w:keepLines/>
              <w:jc w:val="center"/>
            </w:pPr>
            <w:r w:rsidRPr="00540422">
              <w:t>Adults with moderate- severe OUD, seeking treatment or on SL BPN</w:t>
            </w:r>
            <w:r w:rsidRPr="00540422">
              <w:rPr>
                <w:vertAlign w:val="superscript"/>
              </w:rPr>
              <w:t>1</w:t>
            </w:r>
          </w:p>
        </w:tc>
        <w:tc>
          <w:tcPr>
            <w:tcW w:w="1308" w:type="pct"/>
            <w:shd w:val="clear" w:color="auto" w:fill="auto"/>
            <w:vAlign w:val="center"/>
          </w:tcPr>
          <w:p w14:paraId="770816D1" w14:textId="77777777" w:rsidR="00B756E3" w:rsidRPr="00540422" w:rsidRDefault="00B756E3" w:rsidP="00DF56D2">
            <w:pPr>
              <w:pStyle w:val="TableText"/>
              <w:keepLines/>
              <w:jc w:val="center"/>
            </w:pPr>
            <w:r w:rsidRPr="00540422">
              <w:t>Patient reported outcomes, % urine samples negative for illicit opioids, safety</w:t>
            </w:r>
          </w:p>
        </w:tc>
      </w:tr>
      <w:tr w:rsidR="00B756E3" w:rsidRPr="00540422" w14:paraId="01DC7B1F" w14:textId="77777777" w:rsidTr="00FE652B">
        <w:trPr>
          <w:cantSplit/>
        </w:trPr>
        <w:tc>
          <w:tcPr>
            <w:tcW w:w="548" w:type="pct"/>
            <w:vAlign w:val="center"/>
          </w:tcPr>
          <w:p w14:paraId="666A6E3F" w14:textId="77777777" w:rsidR="00B756E3" w:rsidRPr="00540422" w:rsidRDefault="00B756E3" w:rsidP="00DF56D2">
            <w:pPr>
              <w:pStyle w:val="TableText"/>
              <w:keepLines/>
            </w:pPr>
            <w:r w:rsidRPr="00540422">
              <w:rPr>
                <w:szCs w:val="20"/>
              </w:rPr>
              <w:t>dBC2531</w:t>
            </w:r>
          </w:p>
        </w:tc>
        <w:tc>
          <w:tcPr>
            <w:tcW w:w="314" w:type="pct"/>
            <w:shd w:val="clear" w:color="auto" w:fill="auto"/>
            <w:vAlign w:val="center"/>
          </w:tcPr>
          <w:p w14:paraId="1C145CD4" w14:textId="77777777" w:rsidR="00B756E3" w:rsidRPr="00540422" w:rsidRDefault="00B756E3" w:rsidP="00DF56D2">
            <w:pPr>
              <w:pStyle w:val="TableText"/>
              <w:keepLines/>
              <w:jc w:val="center"/>
            </w:pPr>
            <w:r w:rsidRPr="00540422">
              <w:t>129</w:t>
            </w:r>
          </w:p>
        </w:tc>
        <w:tc>
          <w:tcPr>
            <w:tcW w:w="1179" w:type="pct"/>
            <w:shd w:val="clear" w:color="auto" w:fill="auto"/>
            <w:vAlign w:val="center"/>
          </w:tcPr>
          <w:p w14:paraId="5439E0BE" w14:textId="77777777" w:rsidR="00B756E3" w:rsidRPr="00540422" w:rsidRDefault="00B756E3" w:rsidP="00DF56D2">
            <w:pPr>
              <w:pStyle w:val="TableText"/>
              <w:keepLines/>
              <w:jc w:val="center"/>
            </w:pPr>
            <w:r w:rsidRPr="00540422">
              <w:t>Non-randomised, active controlled, open label study; 16 weeks</w:t>
            </w:r>
          </w:p>
        </w:tc>
        <w:tc>
          <w:tcPr>
            <w:tcW w:w="550" w:type="pct"/>
            <w:shd w:val="clear" w:color="auto" w:fill="auto"/>
            <w:vAlign w:val="center"/>
          </w:tcPr>
          <w:p w14:paraId="4B6FCDE9" w14:textId="77777777" w:rsidR="00B756E3" w:rsidRPr="00540422" w:rsidRDefault="00B756E3" w:rsidP="00DF56D2">
            <w:pPr>
              <w:pStyle w:val="TableText"/>
              <w:keepLines/>
              <w:jc w:val="center"/>
              <w:rPr>
                <w:iCs/>
              </w:rPr>
            </w:pPr>
            <w:r w:rsidRPr="00540422">
              <w:rPr>
                <w:iCs/>
              </w:rPr>
              <w:t>High</w:t>
            </w:r>
          </w:p>
        </w:tc>
        <w:tc>
          <w:tcPr>
            <w:tcW w:w="1101" w:type="pct"/>
            <w:shd w:val="clear" w:color="auto" w:fill="auto"/>
            <w:vAlign w:val="center"/>
          </w:tcPr>
          <w:p w14:paraId="1B3B4B46" w14:textId="77777777" w:rsidR="00B756E3" w:rsidRPr="00540422" w:rsidRDefault="007802E9" w:rsidP="00DF56D2">
            <w:pPr>
              <w:pStyle w:val="TableText"/>
              <w:keepLines/>
              <w:jc w:val="center"/>
            </w:pPr>
            <w:r w:rsidRPr="00540422">
              <w:t xml:space="preserve">Adult prisoners with moderate-severe OUD, </w:t>
            </w:r>
            <w:r w:rsidR="00F964A1" w:rsidRPr="00540422">
              <w:t xml:space="preserve">seeking treatment or </w:t>
            </w:r>
            <w:r w:rsidRPr="00540422">
              <w:t>on methadone</w:t>
            </w:r>
          </w:p>
        </w:tc>
        <w:tc>
          <w:tcPr>
            <w:tcW w:w="1308" w:type="pct"/>
            <w:shd w:val="clear" w:color="auto" w:fill="auto"/>
            <w:vAlign w:val="center"/>
          </w:tcPr>
          <w:p w14:paraId="4CC377EC" w14:textId="77777777" w:rsidR="00B756E3" w:rsidRPr="00540422" w:rsidRDefault="00763791" w:rsidP="00DF56D2">
            <w:pPr>
              <w:pStyle w:val="TableText"/>
              <w:keepLines/>
              <w:jc w:val="center"/>
            </w:pPr>
            <w:r w:rsidRPr="00540422">
              <w:t xml:space="preserve">Safety, retention, </w:t>
            </w:r>
            <w:r w:rsidR="00AF0D38" w:rsidRPr="00540422">
              <w:t>self-reported non-prescribed opioid use</w:t>
            </w:r>
            <w:r w:rsidR="00C22FC8" w:rsidRPr="00540422">
              <w:t>, patient reported outcomes</w:t>
            </w:r>
          </w:p>
        </w:tc>
      </w:tr>
    </w:tbl>
    <w:p w14:paraId="026BF456" w14:textId="77777777" w:rsidR="00A63656" w:rsidRPr="00540422" w:rsidRDefault="00A63656" w:rsidP="00DF56D2">
      <w:pPr>
        <w:pStyle w:val="TableFigureFooter"/>
        <w:keepNext/>
        <w:keepLines/>
      </w:pPr>
      <w:r w:rsidRPr="00540422">
        <w:t>Source: November 2018 PBAC meeting; Table 24, pp51-52; Table 26, pp56-57; Table 28, pp59-61; Table 29, pp62-63 of the submission.</w:t>
      </w:r>
    </w:p>
    <w:p w14:paraId="028930D5" w14:textId="77777777" w:rsidR="00A63656" w:rsidRPr="00540422" w:rsidRDefault="00353162" w:rsidP="00DF56D2">
      <w:pPr>
        <w:pStyle w:val="TableFigureFooter"/>
        <w:keepNext/>
        <w:keepLines/>
      </w:pPr>
      <w:r w:rsidRPr="00540422">
        <w:t xml:space="preserve">Abbreviations: </w:t>
      </w:r>
      <w:r w:rsidR="005D5426" w:rsidRPr="00540422">
        <w:t xml:space="preserve">BPN, buprenorphine; </w:t>
      </w:r>
      <w:r w:rsidR="00625AC4" w:rsidRPr="00540422">
        <w:t>OST, opioid substitution therapy</w:t>
      </w:r>
      <w:r w:rsidR="005D5426" w:rsidRPr="00540422">
        <w:t xml:space="preserve">; </w:t>
      </w:r>
      <w:r w:rsidRPr="00540422">
        <w:t>OUD, opioid use disorder</w:t>
      </w:r>
      <w:r w:rsidR="005D5426" w:rsidRPr="00540422">
        <w:t>; SL, sublingual</w:t>
      </w:r>
      <w:r w:rsidRPr="00540422">
        <w:t>.</w:t>
      </w:r>
    </w:p>
    <w:p w14:paraId="64231E95" w14:textId="77777777" w:rsidR="00B756E3" w:rsidRPr="00540422" w:rsidRDefault="00B756E3" w:rsidP="00DF56D2">
      <w:pPr>
        <w:pStyle w:val="TableFigureFooter"/>
        <w:keepNext/>
        <w:keepLines/>
      </w:pPr>
      <w:r w:rsidRPr="00540422">
        <w:rPr>
          <w:vertAlign w:val="superscript"/>
        </w:rPr>
        <w:t>1</w:t>
      </w:r>
      <w:r w:rsidR="007C1F3F" w:rsidRPr="00540422">
        <w:t xml:space="preserve"> All of the participants enrolled in HS-17-585 were receiving </w:t>
      </w:r>
      <w:r w:rsidR="00FC2CFA" w:rsidRPr="00540422">
        <w:t xml:space="preserve">sublingual buprenorphine or sublingual buprenorphine/naloxone at study entry; although the study allowed patients who were </w:t>
      </w:r>
      <w:r w:rsidR="00246F94" w:rsidRPr="00540422">
        <w:t>not currently receiving treatment</w:t>
      </w:r>
      <w:r w:rsidR="007C1F3F" w:rsidRPr="00540422">
        <w:t>.</w:t>
      </w:r>
    </w:p>
    <w:p w14:paraId="32593015" w14:textId="77777777" w:rsidR="009A0817" w:rsidRPr="00540422" w:rsidRDefault="009A0817" w:rsidP="009A0817">
      <w:pPr>
        <w:pStyle w:val="ExecSumBodyText"/>
      </w:pPr>
      <w:r w:rsidRPr="00540422">
        <w:t>The submission did not present any differences between the study settings and the proposed Australian PBS setting/population. However, the additional evidence provided in the submission, not previously considered by the PBAC, HS-17-585 and dBC2531 were both conducted in Australia.</w:t>
      </w:r>
    </w:p>
    <w:p w14:paraId="22967337" w14:textId="77777777" w:rsidR="007923A4" w:rsidRPr="00540422" w:rsidRDefault="007923A4" w:rsidP="009A0817">
      <w:pPr>
        <w:pStyle w:val="ExecSumBodyText"/>
        <w:rPr>
          <w:i/>
          <w:iCs/>
        </w:rPr>
      </w:pPr>
      <w:r w:rsidRPr="00540422">
        <w:t xml:space="preserve">Recent Australian treatment guidelines recommend direct initiation onto the weekly formulation of prolonged release buprenorphine, consistent with the updated product information (Lintzeris 2019 NSW Clinical guidelines for use of depot in the treatment of opioid dependence; Lintzeris 2020 Interim guidance for the delivery of medication assisted treatment of opioid dependence in response to COVID-19: a national response). </w:t>
      </w:r>
      <w:r w:rsidRPr="00540422">
        <w:rPr>
          <w:iCs/>
        </w:rPr>
        <w:t>However, the requested</w:t>
      </w:r>
      <w:r w:rsidR="00F33796">
        <w:rPr>
          <w:iCs/>
        </w:rPr>
        <w:t xml:space="preserve"> </w:t>
      </w:r>
      <w:r w:rsidRPr="00540422">
        <w:rPr>
          <w:iCs/>
        </w:rPr>
        <w:t>restriction would also allow patients to be directly initiated onto the monthly formulation, which is inconsistent with the TGA indication and Australian treatment Guidelines.</w:t>
      </w:r>
    </w:p>
    <w:p w14:paraId="00CED9CE" w14:textId="77777777" w:rsidR="00E1485C" w:rsidRPr="00540422" w:rsidRDefault="00C0505E" w:rsidP="00395CD4">
      <w:pPr>
        <w:pStyle w:val="ExecSumBodyText"/>
      </w:pPr>
      <w:r w:rsidRPr="00540422">
        <w:t>Expert opinion provided in a letter to the TGA in support of listing the 160 mg monthly dose stated that there was a role for this dosage strength in clinical practice in Australia. The letter stated that this dose may need to be prescribed for approximately 10-15% of patients on monthly doses who do not respond adequately to lower monthly doses. The clinical characteristics of the patient group likely to require a higher dose includes patients with higher than average neuroadaptation to opioids and/or with higher than typical access to illicit opioids (for example, people engaged in sex work; some people in custody). The advice stated</w:t>
      </w:r>
      <w:r w:rsidR="00540422" w:rsidRPr="00540422">
        <w:t xml:space="preserve"> that the availability of a 160 </w:t>
      </w:r>
      <w:r w:rsidRPr="00540422">
        <w:t>mg monthly dose adds to the clinical response for treatment-resistant patients and other complex patients (Attachment 1 to the submission: Investigator statement to TGA 10 March 2020).</w:t>
      </w:r>
    </w:p>
    <w:p w14:paraId="1A8658A1" w14:textId="77777777" w:rsidR="00B60939" w:rsidRPr="00540422" w:rsidRDefault="00B60939" w:rsidP="00EC5836">
      <w:pPr>
        <w:pStyle w:val="3-SubsectionHeading"/>
      </w:pPr>
      <w:bookmarkStart w:id="12" w:name="_Toc22897641"/>
      <w:bookmarkStart w:id="13" w:name="_Toc82522442"/>
      <w:r w:rsidRPr="00540422">
        <w:t>Comparative effectiveness</w:t>
      </w:r>
      <w:bookmarkEnd w:id="12"/>
      <w:bookmarkEnd w:id="13"/>
    </w:p>
    <w:p w14:paraId="2F02D316" w14:textId="77777777" w:rsidR="005205BD" w:rsidRPr="00540422" w:rsidRDefault="00030D12" w:rsidP="00181CFA">
      <w:pPr>
        <w:pStyle w:val="5-SubSubSubHead"/>
      </w:pPr>
      <w:r w:rsidRPr="00540422">
        <w:t>Efficacy d</w:t>
      </w:r>
      <w:r w:rsidR="00E24878" w:rsidRPr="00540422">
        <w:t>ata supporting direct initiation and maintenance treatment with prolonged release buprenorphine</w:t>
      </w:r>
    </w:p>
    <w:p w14:paraId="1A68B39F" w14:textId="77777777" w:rsidR="00F23B14" w:rsidRPr="00540422" w:rsidRDefault="00181CFA" w:rsidP="00EC5836">
      <w:pPr>
        <w:pStyle w:val="ExecSumBodyText"/>
      </w:pPr>
      <w:r w:rsidRPr="00540422">
        <w:rPr>
          <w:snapToGrid/>
        </w:rPr>
        <w:t>Table 3 summarises the key efficacy outcomes in HS-11-421, the key trial considered by the PBAC at its November 2018 and March 2019 meetings. Patients in trial HS-11-421 had received no medication assisted treatment for opioid use disorder within 60 days of randomisation</w:t>
      </w:r>
      <w:r w:rsidR="00F23B14" w:rsidRPr="00540422">
        <w:rPr>
          <w:snapToGrid/>
        </w:rPr>
        <w:t xml:space="preserve"> and were directly initiated onto their randomised treatment (sublingual buprenorphine/naloxone or prolonged release buprenorphine</w:t>
      </w:r>
      <w:r w:rsidR="00F80A10" w:rsidRPr="00540422">
        <w:rPr>
          <w:snapToGrid/>
        </w:rPr>
        <w:t>)</w:t>
      </w:r>
      <w:r w:rsidRPr="00540422">
        <w:rPr>
          <w:snapToGrid/>
        </w:rPr>
        <w:t xml:space="preserve"> </w:t>
      </w:r>
      <w:r w:rsidR="00F23B14" w:rsidRPr="00540422">
        <w:rPr>
          <w:snapToGrid/>
        </w:rPr>
        <w:t>a</w:t>
      </w:r>
      <w:r w:rsidRPr="00540422">
        <w:rPr>
          <w:snapToGrid/>
        </w:rPr>
        <w:t>fter a test dose of open-label 4 mg sublingual buprenorphine/naloxone to assess tolerability</w:t>
      </w:r>
      <w:r w:rsidR="00F23B14" w:rsidRPr="00540422">
        <w:rPr>
          <w:snapToGrid/>
        </w:rPr>
        <w:t>.</w:t>
      </w:r>
    </w:p>
    <w:p w14:paraId="3DBF9492" w14:textId="77777777" w:rsidR="00E51631" w:rsidRPr="00540422" w:rsidRDefault="00E51631" w:rsidP="00E51631">
      <w:pPr>
        <w:pStyle w:val="Tableheadingrow"/>
        <w:rPr>
          <w:bCs/>
          <w:sz w:val="22"/>
          <w:szCs w:val="22"/>
          <w:lang w:val="en-AU"/>
        </w:rPr>
      </w:pPr>
      <w:r w:rsidRPr="00540422">
        <w:rPr>
          <w:lang w:val="en-AU"/>
        </w:rPr>
        <w:t>Table 3: Summary of key efficacy outcomes in HS-11-421 (ITT population)</w:t>
      </w:r>
    </w:p>
    <w:tbl>
      <w:tblPr>
        <w:tblStyle w:val="TableGrid"/>
        <w:tblW w:w="5000" w:type="pct"/>
        <w:tblCellMar>
          <w:left w:w="57" w:type="dxa"/>
          <w:right w:w="57" w:type="dxa"/>
        </w:tblCellMar>
        <w:tblLook w:val="04A0" w:firstRow="1" w:lastRow="0" w:firstColumn="1" w:lastColumn="0" w:noHBand="0" w:noVBand="1"/>
        <w:tblCaption w:val="Table 3: Summary of key efficacy outcomes in HS-11-421 (ITT population)"/>
      </w:tblPr>
      <w:tblGrid>
        <w:gridCol w:w="2547"/>
        <w:gridCol w:w="1559"/>
        <w:gridCol w:w="1559"/>
        <w:gridCol w:w="1560"/>
        <w:gridCol w:w="1792"/>
      </w:tblGrid>
      <w:tr w:rsidR="00E51631" w:rsidRPr="00540422" w14:paraId="26795FCF" w14:textId="77777777" w:rsidTr="00A11AE5">
        <w:trPr>
          <w:tblHeader/>
        </w:trPr>
        <w:tc>
          <w:tcPr>
            <w:tcW w:w="2547" w:type="dxa"/>
            <w:vAlign w:val="center"/>
          </w:tcPr>
          <w:p w14:paraId="79B370E7" w14:textId="77777777" w:rsidR="00E51631" w:rsidRPr="00540422" w:rsidRDefault="00E51631" w:rsidP="00395CD4">
            <w:pPr>
              <w:pStyle w:val="Tabletext0"/>
              <w:keepNext/>
              <w:keepLines/>
              <w:rPr>
                <w:b/>
                <w:bCs/>
              </w:rPr>
            </w:pPr>
            <w:r w:rsidRPr="00540422">
              <w:rPr>
                <w:b/>
                <w:bCs/>
              </w:rPr>
              <w:t>Outcome</w:t>
            </w:r>
          </w:p>
        </w:tc>
        <w:tc>
          <w:tcPr>
            <w:tcW w:w="1559" w:type="dxa"/>
            <w:vAlign w:val="center"/>
          </w:tcPr>
          <w:p w14:paraId="73FF3790" w14:textId="77777777" w:rsidR="00E51631" w:rsidRPr="00540422" w:rsidRDefault="00E51631" w:rsidP="00395CD4">
            <w:pPr>
              <w:pStyle w:val="Tabletext0"/>
              <w:keepNext/>
              <w:keepLines/>
              <w:jc w:val="center"/>
              <w:rPr>
                <w:b/>
                <w:bCs/>
              </w:rPr>
            </w:pPr>
            <w:r w:rsidRPr="00540422">
              <w:rPr>
                <w:b/>
                <w:bCs/>
              </w:rPr>
              <w:t>Prolonged release BPN (N=213)</w:t>
            </w:r>
          </w:p>
        </w:tc>
        <w:tc>
          <w:tcPr>
            <w:tcW w:w="1559" w:type="dxa"/>
            <w:vAlign w:val="center"/>
          </w:tcPr>
          <w:p w14:paraId="21039403" w14:textId="77777777" w:rsidR="00E51631" w:rsidRPr="00540422" w:rsidRDefault="00E51631" w:rsidP="00395CD4">
            <w:pPr>
              <w:pStyle w:val="Tabletext0"/>
              <w:keepNext/>
              <w:keepLines/>
              <w:jc w:val="center"/>
              <w:rPr>
                <w:b/>
                <w:bCs/>
              </w:rPr>
            </w:pPr>
            <w:r w:rsidRPr="00540422">
              <w:rPr>
                <w:b/>
                <w:bCs/>
              </w:rPr>
              <w:t>Sublingual BPN/NX (N=215)</w:t>
            </w:r>
          </w:p>
        </w:tc>
        <w:tc>
          <w:tcPr>
            <w:tcW w:w="1560" w:type="dxa"/>
            <w:vAlign w:val="center"/>
          </w:tcPr>
          <w:p w14:paraId="215204F1" w14:textId="77777777" w:rsidR="00E51631" w:rsidRPr="00540422" w:rsidRDefault="00E51631" w:rsidP="00395CD4">
            <w:pPr>
              <w:pStyle w:val="Tabletext0"/>
              <w:keepNext/>
              <w:keepLines/>
              <w:jc w:val="center"/>
              <w:rPr>
                <w:b/>
                <w:bCs/>
              </w:rPr>
            </w:pPr>
            <w:r w:rsidRPr="00540422">
              <w:rPr>
                <w:b/>
                <w:bCs/>
              </w:rPr>
              <w:t>Treatment difference</w:t>
            </w:r>
          </w:p>
          <w:p w14:paraId="629460D3" w14:textId="77777777" w:rsidR="00E51631" w:rsidRPr="00540422" w:rsidRDefault="00E51631" w:rsidP="00395CD4">
            <w:pPr>
              <w:pStyle w:val="Tabletext0"/>
              <w:keepNext/>
              <w:keepLines/>
              <w:jc w:val="center"/>
              <w:rPr>
                <w:b/>
                <w:bCs/>
              </w:rPr>
            </w:pPr>
            <w:r w:rsidRPr="00540422">
              <w:rPr>
                <w:b/>
                <w:bCs/>
              </w:rPr>
              <w:t>(95% CI)</w:t>
            </w:r>
          </w:p>
        </w:tc>
        <w:tc>
          <w:tcPr>
            <w:tcW w:w="1792" w:type="dxa"/>
            <w:vAlign w:val="center"/>
          </w:tcPr>
          <w:p w14:paraId="71535F3B" w14:textId="77777777" w:rsidR="00E51631" w:rsidRPr="00540422" w:rsidRDefault="00E51631" w:rsidP="00395CD4">
            <w:pPr>
              <w:pStyle w:val="Tabletext0"/>
              <w:keepNext/>
              <w:keepLines/>
              <w:jc w:val="center"/>
              <w:rPr>
                <w:b/>
                <w:bCs/>
              </w:rPr>
            </w:pPr>
            <w:r w:rsidRPr="00540422">
              <w:rPr>
                <w:b/>
                <w:bCs/>
              </w:rPr>
              <w:t>p-value</w:t>
            </w:r>
          </w:p>
        </w:tc>
      </w:tr>
      <w:tr w:rsidR="00E51631" w:rsidRPr="00540422" w14:paraId="2A9E9850" w14:textId="77777777" w:rsidTr="00395CD4">
        <w:tc>
          <w:tcPr>
            <w:tcW w:w="9017" w:type="dxa"/>
            <w:gridSpan w:val="5"/>
            <w:vAlign w:val="center"/>
          </w:tcPr>
          <w:p w14:paraId="195D47F7" w14:textId="77777777" w:rsidR="00E51631" w:rsidRPr="00540422" w:rsidRDefault="00E51631" w:rsidP="00395CD4">
            <w:pPr>
              <w:pStyle w:val="Tabletext0"/>
              <w:keepNext/>
              <w:keepLines/>
              <w:rPr>
                <w:b/>
                <w:bCs/>
              </w:rPr>
            </w:pPr>
            <w:r w:rsidRPr="00540422">
              <w:rPr>
                <w:b/>
                <w:bCs/>
              </w:rPr>
              <w:t>Primary outcomes</w:t>
            </w:r>
          </w:p>
        </w:tc>
      </w:tr>
      <w:tr w:rsidR="00E51631" w:rsidRPr="00540422" w14:paraId="558B3CFC" w14:textId="77777777" w:rsidTr="00395CD4">
        <w:tc>
          <w:tcPr>
            <w:tcW w:w="2547" w:type="dxa"/>
          </w:tcPr>
          <w:p w14:paraId="2145F6C7" w14:textId="77777777" w:rsidR="00E51631" w:rsidRPr="00540422" w:rsidRDefault="00E51631" w:rsidP="00395CD4">
            <w:pPr>
              <w:pStyle w:val="Tabletext0"/>
              <w:keepNext/>
              <w:keepLines/>
            </w:pPr>
            <w:r w:rsidRPr="00540422">
              <w:t>n (%) responders</w:t>
            </w:r>
            <w:r w:rsidR="00BA1D4B" w:rsidRPr="00540422">
              <w:rPr>
                <w:vertAlign w:val="superscript"/>
              </w:rPr>
              <w:t>1</w:t>
            </w:r>
          </w:p>
        </w:tc>
        <w:tc>
          <w:tcPr>
            <w:tcW w:w="1559" w:type="dxa"/>
            <w:vAlign w:val="center"/>
          </w:tcPr>
          <w:p w14:paraId="1418EF3C" w14:textId="77777777" w:rsidR="00E51631" w:rsidRPr="00540422" w:rsidRDefault="00E51631" w:rsidP="00395CD4">
            <w:pPr>
              <w:pStyle w:val="Tabletext0"/>
              <w:keepNext/>
              <w:keepLines/>
              <w:jc w:val="center"/>
            </w:pPr>
            <w:r w:rsidRPr="00540422">
              <w:t>37 (17.4%)</w:t>
            </w:r>
          </w:p>
        </w:tc>
        <w:tc>
          <w:tcPr>
            <w:tcW w:w="1559" w:type="dxa"/>
            <w:vAlign w:val="center"/>
          </w:tcPr>
          <w:p w14:paraId="1B9E9A74" w14:textId="77777777" w:rsidR="00E51631" w:rsidRPr="00540422" w:rsidRDefault="00E51631" w:rsidP="00395CD4">
            <w:pPr>
              <w:pStyle w:val="Tabletext0"/>
              <w:keepNext/>
              <w:keepLines/>
              <w:jc w:val="center"/>
            </w:pPr>
            <w:r w:rsidRPr="00540422">
              <w:t>31 (14.4%)</w:t>
            </w:r>
          </w:p>
        </w:tc>
        <w:tc>
          <w:tcPr>
            <w:tcW w:w="1560" w:type="dxa"/>
            <w:vAlign w:val="center"/>
          </w:tcPr>
          <w:p w14:paraId="2E981CD3" w14:textId="77777777" w:rsidR="00E51631" w:rsidRPr="00540422" w:rsidRDefault="00E51631" w:rsidP="00395CD4">
            <w:pPr>
              <w:pStyle w:val="Tabletext0"/>
              <w:keepNext/>
              <w:keepLines/>
              <w:jc w:val="center"/>
            </w:pPr>
            <w:r w:rsidRPr="00540422">
              <w:t>3.0 (-4.0, 9.9)</w:t>
            </w:r>
          </w:p>
        </w:tc>
        <w:tc>
          <w:tcPr>
            <w:tcW w:w="1792" w:type="dxa"/>
            <w:vAlign w:val="center"/>
          </w:tcPr>
          <w:p w14:paraId="1C968579" w14:textId="77777777" w:rsidR="00E51631" w:rsidRPr="00540422" w:rsidRDefault="00E51631" w:rsidP="00395CD4">
            <w:pPr>
              <w:pStyle w:val="Tabletext0"/>
              <w:keepNext/>
              <w:keepLines/>
              <w:jc w:val="center"/>
            </w:pPr>
            <w:r w:rsidRPr="00540422">
              <w:t>0.001 (non</w:t>
            </w:r>
            <w:r w:rsidR="008722AF" w:rsidRPr="00540422">
              <w:t>-</w:t>
            </w:r>
            <w:r w:rsidRPr="00540422">
              <w:t>inferiority)</w:t>
            </w:r>
          </w:p>
        </w:tc>
      </w:tr>
      <w:tr w:rsidR="00E51631" w:rsidRPr="00540422" w14:paraId="38B4E794" w14:textId="77777777" w:rsidTr="00395CD4">
        <w:tc>
          <w:tcPr>
            <w:tcW w:w="2547" w:type="dxa"/>
          </w:tcPr>
          <w:p w14:paraId="59AF7B11" w14:textId="77777777" w:rsidR="00E51631" w:rsidRPr="00540422" w:rsidRDefault="00E51631" w:rsidP="00395CD4">
            <w:pPr>
              <w:pStyle w:val="Tabletext0"/>
            </w:pPr>
            <w:r w:rsidRPr="00540422">
              <w:t>% opioid-negative urine samples, LS mean (SD)</w:t>
            </w:r>
          </w:p>
        </w:tc>
        <w:tc>
          <w:tcPr>
            <w:tcW w:w="1559" w:type="dxa"/>
            <w:vAlign w:val="center"/>
          </w:tcPr>
          <w:p w14:paraId="3C112E1E" w14:textId="77777777" w:rsidR="00E51631" w:rsidRPr="00540422" w:rsidRDefault="00E51631" w:rsidP="00395CD4">
            <w:pPr>
              <w:pStyle w:val="Tabletext0"/>
              <w:jc w:val="center"/>
            </w:pPr>
            <w:r w:rsidRPr="00540422">
              <w:t>35.1 (36.00)</w:t>
            </w:r>
          </w:p>
        </w:tc>
        <w:tc>
          <w:tcPr>
            <w:tcW w:w="1559" w:type="dxa"/>
            <w:vAlign w:val="center"/>
          </w:tcPr>
          <w:p w14:paraId="7A2300CC" w14:textId="77777777" w:rsidR="00E51631" w:rsidRPr="00540422" w:rsidRDefault="00E51631" w:rsidP="00395CD4">
            <w:pPr>
              <w:pStyle w:val="Tabletext0"/>
              <w:jc w:val="center"/>
            </w:pPr>
            <w:r w:rsidRPr="00540422">
              <w:t>28.4 (36.46)</w:t>
            </w:r>
          </w:p>
        </w:tc>
        <w:tc>
          <w:tcPr>
            <w:tcW w:w="1560" w:type="dxa"/>
            <w:vAlign w:val="center"/>
          </w:tcPr>
          <w:p w14:paraId="2BE29263" w14:textId="77777777" w:rsidR="00E51631" w:rsidRPr="00540422" w:rsidRDefault="00E51631" w:rsidP="00395CD4">
            <w:pPr>
              <w:pStyle w:val="Tabletext0"/>
              <w:jc w:val="center"/>
            </w:pPr>
            <w:r w:rsidRPr="00540422">
              <w:t>6.7 (-0.1, 13.6)</w:t>
            </w:r>
          </w:p>
        </w:tc>
        <w:tc>
          <w:tcPr>
            <w:tcW w:w="1792" w:type="dxa"/>
            <w:vAlign w:val="center"/>
          </w:tcPr>
          <w:p w14:paraId="2E16B89B" w14:textId="77777777" w:rsidR="00E51631" w:rsidRPr="00540422" w:rsidRDefault="00E51631" w:rsidP="00395CD4">
            <w:pPr>
              <w:pStyle w:val="Tabletext0"/>
              <w:jc w:val="center"/>
            </w:pPr>
            <w:r w:rsidRPr="00540422">
              <w:t>&lt;0.001 (non</w:t>
            </w:r>
            <w:r w:rsidR="008722AF" w:rsidRPr="00540422">
              <w:t>-</w:t>
            </w:r>
            <w:r w:rsidRPr="00540422">
              <w:t>inferiority)</w:t>
            </w:r>
          </w:p>
        </w:tc>
      </w:tr>
      <w:tr w:rsidR="00E51631" w:rsidRPr="00540422" w14:paraId="15CCC962" w14:textId="77777777" w:rsidTr="00395CD4">
        <w:tc>
          <w:tcPr>
            <w:tcW w:w="9017" w:type="dxa"/>
            <w:gridSpan w:val="5"/>
          </w:tcPr>
          <w:p w14:paraId="0F24E75E" w14:textId="77777777" w:rsidR="00E51631" w:rsidRPr="00540422" w:rsidRDefault="00E51631" w:rsidP="00395CD4">
            <w:pPr>
              <w:pStyle w:val="Tabletext0"/>
              <w:rPr>
                <w:b/>
                <w:bCs/>
              </w:rPr>
            </w:pPr>
            <w:r w:rsidRPr="00540422">
              <w:rPr>
                <w:b/>
                <w:bCs/>
              </w:rPr>
              <w:t>Secondary outcomes</w:t>
            </w:r>
          </w:p>
        </w:tc>
      </w:tr>
      <w:tr w:rsidR="00E51631" w:rsidRPr="00540422" w14:paraId="4A791236" w14:textId="77777777" w:rsidTr="00395CD4">
        <w:tc>
          <w:tcPr>
            <w:tcW w:w="9017" w:type="dxa"/>
            <w:gridSpan w:val="5"/>
          </w:tcPr>
          <w:p w14:paraId="6C566BF9" w14:textId="77777777" w:rsidR="00E51631" w:rsidRPr="00540422" w:rsidRDefault="00E51631" w:rsidP="00395CD4">
            <w:pPr>
              <w:pStyle w:val="Tabletext0"/>
            </w:pPr>
            <w:r w:rsidRPr="00540422">
              <w:t>% opioid-negative urine samples, with self-report, CDF Week 5-25</w:t>
            </w:r>
          </w:p>
        </w:tc>
      </w:tr>
      <w:tr w:rsidR="00E51631" w:rsidRPr="00540422" w14:paraId="752088DC" w14:textId="77777777" w:rsidTr="00395CD4">
        <w:tc>
          <w:tcPr>
            <w:tcW w:w="2547" w:type="dxa"/>
          </w:tcPr>
          <w:p w14:paraId="21BC8B0B" w14:textId="77777777" w:rsidR="00E51631" w:rsidRPr="00540422" w:rsidRDefault="00E51631" w:rsidP="00395CD4">
            <w:pPr>
              <w:pStyle w:val="Tabletext0"/>
            </w:pPr>
            <w:r w:rsidRPr="00540422">
              <w:t>- Mean (SD)</w:t>
            </w:r>
          </w:p>
        </w:tc>
        <w:tc>
          <w:tcPr>
            <w:tcW w:w="1559" w:type="dxa"/>
            <w:vAlign w:val="center"/>
          </w:tcPr>
          <w:p w14:paraId="592EEE46" w14:textId="77777777" w:rsidR="00E51631" w:rsidRPr="00540422" w:rsidRDefault="00E51631" w:rsidP="00395CD4">
            <w:pPr>
              <w:pStyle w:val="Tabletext0"/>
              <w:jc w:val="center"/>
            </w:pPr>
            <w:r w:rsidRPr="00540422">
              <w:t>35.1 (37.17)</w:t>
            </w:r>
          </w:p>
        </w:tc>
        <w:tc>
          <w:tcPr>
            <w:tcW w:w="1559" w:type="dxa"/>
            <w:vAlign w:val="center"/>
          </w:tcPr>
          <w:p w14:paraId="7877E5FE" w14:textId="77777777" w:rsidR="00E51631" w:rsidRPr="00540422" w:rsidRDefault="00E51631" w:rsidP="00395CD4">
            <w:pPr>
              <w:pStyle w:val="Tabletext0"/>
              <w:jc w:val="center"/>
            </w:pPr>
            <w:r w:rsidRPr="00540422">
              <w:t>26.7 (37.15)</w:t>
            </w:r>
          </w:p>
        </w:tc>
        <w:tc>
          <w:tcPr>
            <w:tcW w:w="1560" w:type="dxa"/>
            <w:vAlign w:val="center"/>
          </w:tcPr>
          <w:p w14:paraId="2ABF3710" w14:textId="77777777" w:rsidR="00E51631" w:rsidRPr="00540422" w:rsidRDefault="00E51631" w:rsidP="00395CD4">
            <w:pPr>
              <w:pStyle w:val="Tabletext0"/>
              <w:jc w:val="center"/>
            </w:pPr>
            <w:r w:rsidRPr="00540422">
              <w:t>-</w:t>
            </w:r>
          </w:p>
        </w:tc>
        <w:tc>
          <w:tcPr>
            <w:tcW w:w="1792" w:type="dxa"/>
            <w:vMerge w:val="restart"/>
            <w:vAlign w:val="center"/>
          </w:tcPr>
          <w:p w14:paraId="04B028F9" w14:textId="77777777" w:rsidR="00E51631" w:rsidRPr="00540422" w:rsidRDefault="00E51631" w:rsidP="00395CD4">
            <w:pPr>
              <w:pStyle w:val="Tabletext0"/>
              <w:jc w:val="center"/>
            </w:pPr>
            <w:r w:rsidRPr="00540422">
              <w:t>0.004</w:t>
            </w:r>
          </w:p>
        </w:tc>
      </w:tr>
      <w:tr w:rsidR="00E51631" w:rsidRPr="00540422" w14:paraId="087843D4" w14:textId="77777777" w:rsidTr="00395CD4">
        <w:tc>
          <w:tcPr>
            <w:tcW w:w="2547" w:type="dxa"/>
          </w:tcPr>
          <w:p w14:paraId="7C2F46CC" w14:textId="77777777" w:rsidR="00E51631" w:rsidRPr="00540422" w:rsidRDefault="00E51631" w:rsidP="00395CD4">
            <w:pPr>
              <w:pStyle w:val="Tabletext0"/>
            </w:pPr>
            <w:r w:rsidRPr="00540422">
              <w:t>- Median (range)</w:t>
            </w:r>
          </w:p>
        </w:tc>
        <w:tc>
          <w:tcPr>
            <w:tcW w:w="1559" w:type="dxa"/>
            <w:vAlign w:val="center"/>
          </w:tcPr>
          <w:p w14:paraId="3CBBE916" w14:textId="77777777" w:rsidR="00E51631" w:rsidRPr="00540422" w:rsidRDefault="00E51631" w:rsidP="00395CD4">
            <w:pPr>
              <w:pStyle w:val="Tabletext0"/>
              <w:jc w:val="center"/>
            </w:pPr>
            <w:r w:rsidRPr="00540422">
              <w:t>26.7 (0-100)</w:t>
            </w:r>
          </w:p>
        </w:tc>
        <w:tc>
          <w:tcPr>
            <w:tcW w:w="1559" w:type="dxa"/>
            <w:vAlign w:val="center"/>
          </w:tcPr>
          <w:p w14:paraId="0FE9B6E7" w14:textId="77777777" w:rsidR="00E51631" w:rsidRPr="00540422" w:rsidRDefault="00E51631" w:rsidP="00395CD4">
            <w:pPr>
              <w:pStyle w:val="Tabletext0"/>
              <w:jc w:val="center"/>
            </w:pPr>
            <w:r w:rsidRPr="00540422">
              <w:t>0 (0-100)</w:t>
            </w:r>
          </w:p>
        </w:tc>
        <w:tc>
          <w:tcPr>
            <w:tcW w:w="1560" w:type="dxa"/>
            <w:vAlign w:val="center"/>
          </w:tcPr>
          <w:p w14:paraId="141A8174" w14:textId="77777777" w:rsidR="00E51631" w:rsidRPr="00540422" w:rsidRDefault="00E51631" w:rsidP="00395CD4">
            <w:pPr>
              <w:pStyle w:val="Tabletext0"/>
              <w:jc w:val="center"/>
            </w:pPr>
            <w:r w:rsidRPr="00540422">
              <w:t>-</w:t>
            </w:r>
          </w:p>
        </w:tc>
        <w:tc>
          <w:tcPr>
            <w:tcW w:w="1792" w:type="dxa"/>
            <w:vMerge/>
            <w:vAlign w:val="center"/>
          </w:tcPr>
          <w:p w14:paraId="57E50832" w14:textId="77777777" w:rsidR="00E51631" w:rsidRPr="00540422" w:rsidRDefault="00E51631" w:rsidP="00395CD4">
            <w:pPr>
              <w:pStyle w:val="Tabletext0"/>
              <w:jc w:val="center"/>
            </w:pPr>
          </w:p>
        </w:tc>
      </w:tr>
      <w:tr w:rsidR="00E51631" w:rsidRPr="00540422" w14:paraId="0145A316" w14:textId="77777777" w:rsidTr="00395CD4">
        <w:tc>
          <w:tcPr>
            <w:tcW w:w="9017" w:type="dxa"/>
            <w:gridSpan w:val="5"/>
          </w:tcPr>
          <w:p w14:paraId="08CED171" w14:textId="77777777" w:rsidR="00E51631" w:rsidRPr="00540422" w:rsidRDefault="00E51631" w:rsidP="00395CD4">
            <w:pPr>
              <w:pStyle w:val="Tabletext0"/>
            </w:pPr>
            <w:r w:rsidRPr="00540422">
              <w:t>% opioid-negative urine samples, without self-report, CDF Week 5-25</w:t>
            </w:r>
          </w:p>
        </w:tc>
      </w:tr>
      <w:tr w:rsidR="00E51631" w:rsidRPr="00540422" w14:paraId="6A2293C3" w14:textId="77777777" w:rsidTr="00395CD4">
        <w:tc>
          <w:tcPr>
            <w:tcW w:w="2547" w:type="dxa"/>
          </w:tcPr>
          <w:p w14:paraId="678E3DF5" w14:textId="77777777" w:rsidR="00E51631" w:rsidRPr="00540422" w:rsidRDefault="00E51631" w:rsidP="00395CD4">
            <w:pPr>
              <w:pStyle w:val="Tabletext0"/>
            </w:pPr>
            <w:r w:rsidRPr="00540422">
              <w:t>- Mean (SD)</w:t>
            </w:r>
          </w:p>
        </w:tc>
        <w:tc>
          <w:tcPr>
            <w:tcW w:w="1559" w:type="dxa"/>
            <w:vAlign w:val="center"/>
          </w:tcPr>
          <w:p w14:paraId="56EBDE55" w14:textId="77777777" w:rsidR="00E51631" w:rsidRPr="00540422" w:rsidRDefault="00E51631" w:rsidP="00395CD4">
            <w:pPr>
              <w:pStyle w:val="Tabletext0"/>
              <w:jc w:val="center"/>
            </w:pPr>
            <w:r w:rsidRPr="00540422">
              <w:t>35.8 (37.41)</w:t>
            </w:r>
          </w:p>
        </w:tc>
        <w:tc>
          <w:tcPr>
            <w:tcW w:w="1559" w:type="dxa"/>
            <w:vAlign w:val="center"/>
          </w:tcPr>
          <w:p w14:paraId="31BD51A0" w14:textId="77777777" w:rsidR="00E51631" w:rsidRPr="00540422" w:rsidRDefault="00E51631" w:rsidP="00395CD4">
            <w:pPr>
              <w:pStyle w:val="Tabletext0"/>
              <w:jc w:val="center"/>
            </w:pPr>
            <w:r w:rsidRPr="00540422">
              <w:t>27.7 (37.40)</w:t>
            </w:r>
          </w:p>
        </w:tc>
        <w:tc>
          <w:tcPr>
            <w:tcW w:w="1560" w:type="dxa"/>
            <w:vAlign w:val="center"/>
          </w:tcPr>
          <w:p w14:paraId="46F12C6F" w14:textId="77777777" w:rsidR="00E51631" w:rsidRPr="00540422" w:rsidRDefault="00E51631" w:rsidP="00395CD4">
            <w:pPr>
              <w:pStyle w:val="Tabletext0"/>
              <w:jc w:val="center"/>
            </w:pPr>
            <w:r w:rsidRPr="00540422">
              <w:t>-</w:t>
            </w:r>
          </w:p>
        </w:tc>
        <w:tc>
          <w:tcPr>
            <w:tcW w:w="1792" w:type="dxa"/>
            <w:vMerge w:val="restart"/>
            <w:vAlign w:val="center"/>
          </w:tcPr>
          <w:p w14:paraId="2D4278D7" w14:textId="77777777" w:rsidR="00E51631" w:rsidRPr="00540422" w:rsidRDefault="00E51631" w:rsidP="00395CD4">
            <w:pPr>
              <w:pStyle w:val="Tabletext0"/>
              <w:jc w:val="center"/>
            </w:pPr>
            <w:r w:rsidRPr="00540422">
              <w:t>0.008</w:t>
            </w:r>
          </w:p>
        </w:tc>
      </w:tr>
      <w:tr w:rsidR="00E51631" w:rsidRPr="00540422" w14:paraId="06061350" w14:textId="77777777" w:rsidTr="00395CD4">
        <w:tc>
          <w:tcPr>
            <w:tcW w:w="2547" w:type="dxa"/>
          </w:tcPr>
          <w:p w14:paraId="4B8BA0DE" w14:textId="77777777" w:rsidR="00E51631" w:rsidRPr="00540422" w:rsidRDefault="00E51631" w:rsidP="00395CD4">
            <w:pPr>
              <w:pStyle w:val="Tabletext0"/>
            </w:pPr>
            <w:r w:rsidRPr="00540422">
              <w:t>- Median (range)</w:t>
            </w:r>
          </w:p>
        </w:tc>
        <w:tc>
          <w:tcPr>
            <w:tcW w:w="1559" w:type="dxa"/>
            <w:vAlign w:val="center"/>
          </w:tcPr>
          <w:p w14:paraId="46A7363F" w14:textId="77777777" w:rsidR="00E51631" w:rsidRPr="00540422" w:rsidRDefault="00E51631" w:rsidP="00395CD4">
            <w:pPr>
              <w:pStyle w:val="Tabletext0"/>
              <w:jc w:val="center"/>
            </w:pPr>
            <w:r w:rsidRPr="00540422">
              <w:t>26.7 (0-100)</w:t>
            </w:r>
          </w:p>
        </w:tc>
        <w:tc>
          <w:tcPr>
            <w:tcW w:w="1559" w:type="dxa"/>
            <w:vAlign w:val="center"/>
          </w:tcPr>
          <w:p w14:paraId="17D8E150" w14:textId="77777777" w:rsidR="00E51631" w:rsidRPr="00540422" w:rsidRDefault="00E51631" w:rsidP="00395CD4">
            <w:pPr>
              <w:pStyle w:val="Tabletext0"/>
              <w:jc w:val="center"/>
            </w:pPr>
            <w:r w:rsidRPr="00540422">
              <w:t>6.7 (0-100)</w:t>
            </w:r>
          </w:p>
        </w:tc>
        <w:tc>
          <w:tcPr>
            <w:tcW w:w="1560" w:type="dxa"/>
            <w:vAlign w:val="center"/>
          </w:tcPr>
          <w:p w14:paraId="7648660B" w14:textId="77777777" w:rsidR="00E51631" w:rsidRPr="00540422" w:rsidRDefault="00E51631" w:rsidP="00395CD4">
            <w:pPr>
              <w:pStyle w:val="Tabletext0"/>
              <w:jc w:val="center"/>
            </w:pPr>
            <w:r w:rsidRPr="00540422">
              <w:t>-</w:t>
            </w:r>
          </w:p>
        </w:tc>
        <w:tc>
          <w:tcPr>
            <w:tcW w:w="1792" w:type="dxa"/>
            <w:vMerge/>
            <w:vAlign w:val="center"/>
          </w:tcPr>
          <w:p w14:paraId="527FA5BD" w14:textId="77777777" w:rsidR="00E51631" w:rsidRPr="00540422" w:rsidRDefault="00E51631" w:rsidP="00395CD4">
            <w:pPr>
              <w:pStyle w:val="Tabletext0"/>
              <w:jc w:val="center"/>
            </w:pPr>
          </w:p>
        </w:tc>
      </w:tr>
      <w:tr w:rsidR="00E51631" w:rsidRPr="00540422" w14:paraId="0180F53F" w14:textId="77777777" w:rsidTr="00395CD4">
        <w:tc>
          <w:tcPr>
            <w:tcW w:w="9017" w:type="dxa"/>
            <w:gridSpan w:val="5"/>
          </w:tcPr>
          <w:p w14:paraId="321F9AC3" w14:textId="77777777" w:rsidR="00E51631" w:rsidRPr="00540422" w:rsidRDefault="00E51631" w:rsidP="00395CD4">
            <w:pPr>
              <w:pStyle w:val="Tabletext0"/>
            </w:pPr>
            <w:r w:rsidRPr="00540422">
              <w:t>Time to sustained abstinence of opioid use</w:t>
            </w:r>
          </w:p>
        </w:tc>
      </w:tr>
      <w:tr w:rsidR="00E51631" w:rsidRPr="00540422" w14:paraId="17CF9656" w14:textId="77777777" w:rsidTr="00395CD4">
        <w:tc>
          <w:tcPr>
            <w:tcW w:w="2547" w:type="dxa"/>
          </w:tcPr>
          <w:p w14:paraId="4B4D3386" w14:textId="77777777" w:rsidR="00E51631" w:rsidRPr="00540422" w:rsidRDefault="00E51631" w:rsidP="00395CD4">
            <w:pPr>
              <w:pStyle w:val="Tabletext0"/>
            </w:pPr>
            <w:r w:rsidRPr="00540422">
              <w:t>- n (%) with sustained abstinence</w:t>
            </w:r>
          </w:p>
        </w:tc>
        <w:tc>
          <w:tcPr>
            <w:tcW w:w="1559" w:type="dxa"/>
            <w:vAlign w:val="center"/>
          </w:tcPr>
          <w:p w14:paraId="6BBE7A03" w14:textId="77777777" w:rsidR="00E51631" w:rsidRPr="00540422" w:rsidRDefault="00E51631" w:rsidP="00395CD4">
            <w:pPr>
              <w:pStyle w:val="Tabletext0"/>
              <w:jc w:val="center"/>
            </w:pPr>
            <w:r w:rsidRPr="00540422">
              <w:t>39 (18.3%)</w:t>
            </w:r>
          </w:p>
        </w:tc>
        <w:tc>
          <w:tcPr>
            <w:tcW w:w="1559" w:type="dxa"/>
            <w:vAlign w:val="center"/>
          </w:tcPr>
          <w:p w14:paraId="055BC4B2" w14:textId="77777777" w:rsidR="00E51631" w:rsidRPr="00540422" w:rsidRDefault="00E51631" w:rsidP="00395CD4">
            <w:pPr>
              <w:pStyle w:val="Tabletext0"/>
              <w:jc w:val="center"/>
            </w:pPr>
            <w:r w:rsidRPr="00540422">
              <w:t>30 (14.0%)</w:t>
            </w:r>
          </w:p>
        </w:tc>
        <w:tc>
          <w:tcPr>
            <w:tcW w:w="1560" w:type="dxa"/>
            <w:vAlign w:val="center"/>
          </w:tcPr>
          <w:p w14:paraId="2C95A107" w14:textId="77777777" w:rsidR="00E51631" w:rsidRPr="00540422" w:rsidRDefault="00E51631" w:rsidP="00395CD4">
            <w:pPr>
              <w:pStyle w:val="Tabletext0"/>
              <w:jc w:val="center"/>
            </w:pPr>
            <w:r w:rsidRPr="00540422">
              <w:t>-</w:t>
            </w:r>
          </w:p>
        </w:tc>
        <w:tc>
          <w:tcPr>
            <w:tcW w:w="1792" w:type="dxa"/>
            <w:vMerge w:val="restart"/>
            <w:vAlign w:val="center"/>
          </w:tcPr>
          <w:p w14:paraId="034F6483" w14:textId="77777777" w:rsidR="00E51631" w:rsidRPr="00540422" w:rsidRDefault="00E51631" w:rsidP="00395CD4">
            <w:pPr>
              <w:pStyle w:val="Tabletext0"/>
              <w:jc w:val="center"/>
            </w:pPr>
            <w:r w:rsidRPr="00540422">
              <w:t>0.221</w:t>
            </w:r>
          </w:p>
        </w:tc>
      </w:tr>
      <w:tr w:rsidR="00E51631" w:rsidRPr="00540422" w14:paraId="5AEBFA92" w14:textId="77777777" w:rsidTr="00395CD4">
        <w:tc>
          <w:tcPr>
            <w:tcW w:w="2547" w:type="dxa"/>
          </w:tcPr>
          <w:p w14:paraId="11C7232F" w14:textId="77777777" w:rsidR="00E51631" w:rsidRPr="00540422" w:rsidRDefault="00E51631" w:rsidP="00395CD4">
            <w:pPr>
              <w:pStyle w:val="Tabletext0"/>
            </w:pPr>
            <w:r w:rsidRPr="00540422">
              <w:t>- Median time to event</w:t>
            </w:r>
          </w:p>
        </w:tc>
        <w:tc>
          <w:tcPr>
            <w:tcW w:w="1559" w:type="dxa"/>
            <w:vAlign w:val="center"/>
          </w:tcPr>
          <w:p w14:paraId="1F9D8690" w14:textId="77777777" w:rsidR="00E51631" w:rsidRPr="00540422" w:rsidRDefault="00E51631" w:rsidP="00395CD4">
            <w:pPr>
              <w:pStyle w:val="Tabletext0"/>
              <w:jc w:val="center"/>
            </w:pPr>
            <w:r w:rsidRPr="00540422">
              <w:t>Not reached</w:t>
            </w:r>
          </w:p>
        </w:tc>
        <w:tc>
          <w:tcPr>
            <w:tcW w:w="1559" w:type="dxa"/>
            <w:vAlign w:val="center"/>
          </w:tcPr>
          <w:p w14:paraId="793FF689" w14:textId="77777777" w:rsidR="00E51631" w:rsidRPr="00540422" w:rsidRDefault="00E51631" w:rsidP="00395CD4">
            <w:pPr>
              <w:pStyle w:val="Tabletext0"/>
              <w:jc w:val="center"/>
            </w:pPr>
            <w:r w:rsidRPr="00540422">
              <w:t>Not reached</w:t>
            </w:r>
          </w:p>
        </w:tc>
        <w:tc>
          <w:tcPr>
            <w:tcW w:w="1560" w:type="dxa"/>
            <w:vAlign w:val="center"/>
          </w:tcPr>
          <w:p w14:paraId="25E1D6C3" w14:textId="77777777" w:rsidR="00E51631" w:rsidRPr="00540422" w:rsidRDefault="00E51631" w:rsidP="00395CD4">
            <w:pPr>
              <w:pStyle w:val="Tabletext0"/>
              <w:jc w:val="center"/>
            </w:pPr>
            <w:r w:rsidRPr="00540422">
              <w:t>-</w:t>
            </w:r>
          </w:p>
        </w:tc>
        <w:tc>
          <w:tcPr>
            <w:tcW w:w="1792" w:type="dxa"/>
            <w:vMerge/>
            <w:vAlign w:val="center"/>
          </w:tcPr>
          <w:p w14:paraId="63F8CD61" w14:textId="77777777" w:rsidR="00E51631" w:rsidRPr="00540422" w:rsidRDefault="00E51631" w:rsidP="00395CD4">
            <w:pPr>
              <w:pStyle w:val="Tabletext0"/>
              <w:jc w:val="center"/>
            </w:pPr>
          </w:p>
        </w:tc>
      </w:tr>
      <w:tr w:rsidR="00E51631" w:rsidRPr="00540422" w14:paraId="241304CE" w14:textId="77777777" w:rsidTr="00395CD4">
        <w:tc>
          <w:tcPr>
            <w:tcW w:w="2547" w:type="dxa"/>
          </w:tcPr>
          <w:p w14:paraId="29F8A84E" w14:textId="77777777" w:rsidR="00E51631" w:rsidRPr="00540422" w:rsidRDefault="00E51631" w:rsidP="00395CD4">
            <w:pPr>
              <w:pStyle w:val="Tabletext0"/>
            </w:pPr>
            <w:r w:rsidRPr="00540422">
              <w:t>Retention rate, n (%)</w:t>
            </w:r>
          </w:p>
        </w:tc>
        <w:tc>
          <w:tcPr>
            <w:tcW w:w="1559" w:type="dxa"/>
            <w:vAlign w:val="center"/>
          </w:tcPr>
          <w:p w14:paraId="435D7614" w14:textId="77777777" w:rsidR="00E51631" w:rsidRPr="00540422" w:rsidRDefault="00E51631" w:rsidP="00395CD4">
            <w:pPr>
              <w:pStyle w:val="Tabletext0"/>
              <w:jc w:val="center"/>
            </w:pPr>
            <w:r w:rsidRPr="00540422">
              <w:t>121 (56.8%)</w:t>
            </w:r>
          </w:p>
        </w:tc>
        <w:tc>
          <w:tcPr>
            <w:tcW w:w="1559" w:type="dxa"/>
            <w:vAlign w:val="center"/>
          </w:tcPr>
          <w:p w14:paraId="7387AA84" w14:textId="77777777" w:rsidR="00E51631" w:rsidRPr="00540422" w:rsidRDefault="00E51631" w:rsidP="00395CD4">
            <w:pPr>
              <w:pStyle w:val="Tabletext0"/>
              <w:jc w:val="center"/>
            </w:pPr>
            <w:r w:rsidRPr="00540422">
              <w:t>126 (58.6%)</w:t>
            </w:r>
          </w:p>
        </w:tc>
        <w:tc>
          <w:tcPr>
            <w:tcW w:w="1560" w:type="dxa"/>
            <w:vAlign w:val="center"/>
          </w:tcPr>
          <w:p w14:paraId="36A56E35" w14:textId="77777777" w:rsidR="00E51631" w:rsidRPr="00540422" w:rsidRDefault="00E51631" w:rsidP="00395CD4">
            <w:pPr>
              <w:pStyle w:val="Tabletext0"/>
              <w:jc w:val="center"/>
            </w:pPr>
            <w:r w:rsidRPr="00540422">
              <w:t>-1.8 (-11.2, 7.6)</w:t>
            </w:r>
          </w:p>
        </w:tc>
        <w:tc>
          <w:tcPr>
            <w:tcW w:w="1792" w:type="dxa"/>
            <w:vAlign w:val="center"/>
          </w:tcPr>
          <w:p w14:paraId="0381C298" w14:textId="77777777" w:rsidR="00E51631" w:rsidRPr="00540422" w:rsidRDefault="00E51631" w:rsidP="00395CD4">
            <w:pPr>
              <w:pStyle w:val="Tabletext0"/>
              <w:jc w:val="center"/>
            </w:pPr>
            <w:r w:rsidRPr="00540422">
              <w:t>0.006 (non</w:t>
            </w:r>
            <w:r w:rsidR="008722AF" w:rsidRPr="00540422">
              <w:t>-</w:t>
            </w:r>
            <w:r w:rsidRPr="00540422">
              <w:t>inferiority)</w:t>
            </w:r>
          </w:p>
        </w:tc>
      </w:tr>
    </w:tbl>
    <w:p w14:paraId="08AC2689" w14:textId="77777777" w:rsidR="00E51631" w:rsidRPr="00540422" w:rsidRDefault="00E51631" w:rsidP="00E51631">
      <w:pPr>
        <w:pStyle w:val="TableFigureFooter"/>
      </w:pPr>
      <w:r w:rsidRPr="00540422">
        <w:t>Source: Table 17, p25 of the submission</w:t>
      </w:r>
    </w:p>
    <w:p w14:paraId="4F4F0520" w14:textId="77777777" w:rsidR="00F23B14" w:rsidRPr="00540422" w:rsidRDefault="00E51631" w:rsidP="006F0383">
      <w:pPr>
        <w:pStyle w:val="TableFigureFooter"/>
      </w:pPr>
      <w:r w:rsidRPr="00540422">
        <w:t>Abbreviations: BPN, buprenorphine; CDF, cumulative distribution function; CI, confidence interval; LS, least squares NX, naloxone; SD, standard deviation</w:t>
      </w:r>
    </w:p>
    <w:p w14:paraId="25846EAC" w14:textId="77777777" w:rsidR="00BA1D4B" w:rsidRPr="00540422" w:rsidRDefault="00BA1D4B" w:rsidP="006F0383">
      <w:pPr>
        <w:pStyle w:val="TableFigureFooter"/>
      </w:pPr>
      <w:r w:rsidRPr="00540422">
        <w:rPr>
          <w:vertAlign w:val="superscript"/>
        </w:rPr>
        <w:t>1</w:t>
      </w:r>
      <w:r w:rsidRPr="00540422">
        <w:t xml:space="preserve"> A responder was defined as having no evidence of illicit opioid use for at least 8 of 10 prespecified points during weeks 9 to 24, with 2 of these at week 12 and during month 6 (weeks 21-24).</w:t>
      </w:r>
    </w:p>
    <w:p w14:paraId="6496925A" w14:textId="77777777" w:rsidR="006D62CD" w:rsidRPr="00540422" w:rsidRDefault="006F0383" w:rsidP="006F0383">
      <w:pPr>
        <w:pStyle w:val="ExecSumBodyText"/>
        <w:rPr>
          <w:iCs/>
        </w:rPr>
      </w:pPr>
      <w:r w:rsidRPr="00540422">
        <w:rPr>
          <w:iCs/>
        </w:rPr>
        <w:t>In November 2018, the PBAC considered that the results of Trial HS-11-421 showed no significant difference in efficacy for prolonged release buprenorphine compared to sublingual buprenorphine/naloxone in terms of percentage urine samples negative for illicit opioids (with and without self-reported illicit opioid use), proportion of patients abstaining from opioid use, or percentage of patients remaining on treatment (para 7.4, Buprenorphine PSD, November 2018 PBAC meeting).</w:t>
      </w:r>
    </w:p>
    <w:p w14:paraId="7F7966AD" w14:textId="77777777" w:rsidR="006F0383" w:rsidRPr="00540422" w:rsidRDefault="006D62CD" w:rsidP="006F0383">
      <w:pPr>
        <w:pStyle w:val="ExecSumBodyText"/>
        <w:rPr>
          <w:iCs/>
        </w:rPr>
      </w:pPr>
      <w:r w:rsidRPr="00540422">
        <w:rPr>
          <w:iCs/>
        </w:rPr>
        <w:t>In November 2018, t</w:t>
      </w:r>
      <w:r w:rsidR="00341786" w:rsidRPr="00540422">
        <w:rPr>
          <w:iCs/>
        </w:rPr>
        <w:t>he PBAC considered that, despite a statistically significant benefit of prolonged release buprenorphine over sublingual buprenorphine/naloxone for the cumulative distribution function of proportion of negative urine samples, the measure was difficult to interpret and was of unclear clinical importance, and was therefore not sufficient to support a claim of superior efficacy given all other clinical measures demonstrated non</w:t>
      </w:r>
      <w:r w:rsidR="008722AF" w:rsidRPr="00540422">
        <w:rPr>
          <w:iCs/>
        </w:rPr>
        <w:t>-</w:t>
      </w:r>
      <w:r w:rsidR="00341786" w:rsidRPr="00540422">
        <w:rPr>
          <w:iCs/>
        </w:rPr>
        <w:t>inferiority (para 7.5, Buprenorphine PSD, November 2018 PBAC meeting).</w:t>
      </w:r>
    </w:p>
    <w:p w14:paraId="6F64EED6" w14:textId="77777777" w:rsidR="00FD0E5E" w:rsidRPr="00540422" w:rsidRDefault="00FD0E5E" w:rsidP="006F0383">
      <w:pPr>
        <w:pStyle w:val="ExecSumBodyText"/>
      </w:pPr>
      <w:r w:rsidRPr="00540422">
        <w:t>An analysis of the proportion of subjects with negative urine samples by time point</w:t>
      </w:r>
      <w:r w:rsidR="00E243C2" w:rsidRPr="00540422">
        <w:t xml:space="preserve"> showed that, i</w:t>
      </w:r>
      <w:r w:rsidRPr="00540422">
        <w:t xml:space="preserve">n both treatment arms, approximately 29% of subjects had no evidence of illicit opioid use </w:t>
      </w:r>
      <w:r w:rsidR="00DC0217" w:rsidRPr="00540422">
        <w:t>by</w:t>
      </w:r>
      <w:r w:rsidRPr="00540422">
        <w:t xml:space="preserve"> Week 2</w:t>
      </w:r>
      <w:r w:rsidR="00E243C2" w:rsidRPr="00540422">
        <w:t>, which</w:t>
      </w:r>
      <w:r w:rsidRPr="00540422">
        <w:t xml:space="preserve"> increased to a maximum of 40.8% at Week 10 in the prolonged release buprenorphine arm, and to 31.6% at Week 8 in the sublingual buprenorphine/naloxone arm.</w:t>
      </w:r>
    </w:p>
    <w:p w14:paraId="0E2B687A" w14:textId="77777777" w:rsidR="008E49EF" w:rsidRPr="00540422" w:rsidRDefault="008E49EF" w:rsidP="006F0383">
      <w:pPr>
        <w:pStyle w:val="ExecSumBodyText"/>
      </w:pPr>
      <w:r w:rsidRPr="00540422">
        <w:t>HS-14-499, the long-term single-arm safety study considered by the PBAC at its November 2018 and March 2019 meetings</w:t>
      </w:r>
      <w:r w:rsidR="00373B30" w:rsidRPr="00540422">
        <w:t>, pr</w:t>
      </w:r>
      <w:r w:rsidR="00B60206" w:rsidRPr="00540422">
        <w:t xml:space="preserve">esented results </w:t>
      </w:r>
      <w:r w:rsidRPr="00540422">
        <w:t>for the overall population, as well as subgroups newly initiating prolonged release buprenorphine or switching to prolonged release buprenorphine from sublingual buprenorphine.</w:t>
      </w:r>
      <w:r w:rsidR="00AD2C95" w:rsidRPr="00540422">
        <w:t xml:space="preserve"> Subjects who were receiving sublingual buprenorphine at study entry and switched to prolonged release buprenorphine had a high percentage of negative urine samples from Month 1 (72.8%) through to Month 12 (78.3%; range: 75.0% to 83.6%). Subjects who were new to buprenorphine treatment had a low percentage of negative urine samples at Month 1 (2.7%), which increased through to Month 12 (48.3%; range: 22.9% to 48.3%).</w:t>
      </w:r>
    </w:p>
    <w:p w14:paraId="3253D6FB" w14:textId="77777777" w:rsidR="00421E18" w:rsidRPr="00540422" w:rsidRDefault="006171BA" w:rsidP="00395CD4">
      <w:pPr>
        <w:pStyle w:val="ExecSumBodyText"/>
      </w:pPr>
      <w:r w:rsidRPr="00540422">
        <w:t>Table 4 summarises the key efficacy outcomes in</w:t>
      </w:r>
      <w:r w:rsidR="00DF74B3" w:rsidRPr="00540422">
        <w:t xml:space="preserve"> study</w:t>
      </w:r>
      <w:r w:rsidRPr="00540422">
        <w:t xml:space="preserve"> dBC2531, an open-label, non-randomised study </w:t>
      </w:r>
      <w:r w:rsidR="001467C7" w:rsidRPr="00540422">
        <w:t>of patients</w:t>
      </w:r>
      <w:r w:rsidR="009E7B1C" w:rsidRPr="00540422">
        <w:t xml:space="preserve"> with opioid use disorder</w:t>
      </w:r>
      <w:r w:rsidR="001467C7" w:rsidRPr="00540422">
        <w:t xml:space="preserve"> in custody in New South Wales</w:t>
      </w:r>
      <w:r w:rsidR="009E7B1C" w:rsidRPr="00540422">
        <w:t xml:space="preserve">. </w:t>
      </w:r>
      <w:r w:rsidR="00DF74B3" w:rsidRPr="00540422">
        <w:t>P</w:t>
      </w:r>
      <w:r w:rsidR="009E7B1C" w:rsidRPr="00540422">
        <w:t xml:space="preserve">atients who were not in opioid agonist treatment at recruitment commenced </w:t>
      </w:r>
      <w:r w:rsidR="002E17E5" w:rsidRPr="00540422">
        <w:t xml:space="preserve">on </w:t>
      </w:r>
      <w:r w:rsidR="009E7B1C" w:rsidRPr="00540422">
        <w:t>prolonged release buprenorphine, and patients already stable on oral methadone treatment were recruited to the comparator arm and continued on methadone.</w:t>
      </w:r>
      <w:r w:rsidR="00D21C78" w:rsidRPr="00540422">
        <w:t xml:space="preserve"> Study dBC2531 has </w:t>
      </w:r>
      <w:r w:rsidRPr="00540422">
        <w:t xml:space="preserve">not </w:t>
      </w:r>
      <w:r w:rsidR="00D21C78" w:rsidRPr="00540422">
        <w:t>been</w:t>
      </w:r>
      <w:r w:rsidRPr="00540422">
        <w:t xml:space="preserve"> considered by the PBAC</w:t>
      </w:r>
      <w:r w:rsidR="00D21C78" w:rsidRPr="00540422">
        <w:t xml:space="preserve"> previously</w:t>
      </w:r>
      <w:r w:rsidRPr="00540422">
        <w:t>.</w:t>
      </w:r>
    </w:p>
    <w:p w14:paraId="556B19AC" w14:textId="77777777" w:rsidR="00D72510" w:rsidRPr="00A9221A" w:rsidRDefault="008B6A0C" w:rsidP="00A9221A">
      <w:pPr>
        <w:pStyle w:val="ExecSumBodyText"/>
      </w:pPr>
      <w:r w:rsidRPr="00540422">
        <w:t>In study dBC2531, illicit drug use was measured by self-report, rather than urine toxicology. In the study publication (Dunlop 2021), it is noted that self-report was used to monitor drug use to address patient confidentiality concerns in custodial settings, noting that self-reported drug use is generally valid, particularly when independent of treatment process or potential adverse consequences. Custodial settings often employ urine drug screening to monitor drug use in prisons with sanctions (e.g. loss of visits or other punishments) when positive drug tests are returned, making it unlikely that a participant who is likely to yield a positive result would voluntarily submit to this testing.</w:t>
      </w:r>
    </w:p>
    <w:p w14:paraId="08C4C80F" w14:textId="77777777" w:rsidR="007F630E" w:rsidRPr="00540422" w:rsidRDefault="007F630E" w:rsidP="00DF56D2">
      <w:pPr>
        <w:pStyle w:val="Tableheadingrow"/>
        <w:keepLines/>
        <w:jc w:val="both"/>
        <w:rPr>
          <w:b w:val="0"/>
          <w:bCs/>
          <w:sz w:val="22"/>
          <w:szCs w:val="22"/>
          <w:lang w:val="en-AU"/>
        </w:rPr>
      </w:pPr>
      <w:r w:rsidRPr="00540422">
        <w:rPr>
          <w:lang w:val="en-AU"/>
        </w:rPr>
        <w:t>Table 4: Summary of key efficacy outcomes in dBC2531 (ITT population)</w:t>
      </w:r>
    </w:p>
    <w:tbl>
      <w:tblPr>
        <w:tblStyle w:val="TableGrid"/>
        <w:tblW w:w="0" w:type="auto"/>
        <w:tblLook w:val="04A0" w:firstRow="1" w:lastRow="0" w:firstColumn="1" w:lastColumn="0" w:noHBand="0" w:noVBand="1"/>
        <w:tblCaption w:val="Table 4: Summary of key efficacy outcomes in dBC2531 (ITT population)"/>
      </w:tblPr>
      <w:tblGrid>
        <w:gridCol w:w="5098"/>
        <w:gridCol w:w="1959"/>
        <w:gridCol w:w="1960"/>
      </w:tblGrid>
      <w:tr w:rsidR="007F630E" w:rsidRPr="00540422" w14:paraId="02D31D17" w14:textId="77777777" w:rsidTr="00395CD4">
        <w:trPr>
          <w:tblHeader/>
        </w:trPr>
        <w:tc>
          <w:tcPr>
            <w:tcW w:w="5098" w:type="dxa"/>
            <w:vAlign w:val="center"/>
          </w:tcPr>
          <w:p w14:paraId="003BA27F" w14:textId="77777777" w:rsidR="007F630E" w:rsidRPr="00540422" w:rsidRDefault="007F630E" w:rsidP="00DF56D2">
            <w:pPr>
              <w:pStyle w:val="Tabletext0"/>
              <w:keepNext/>
              <w:keepLines/>
            </w:pPr>
            <w:r w:rsidRPr="00540422">
              <w:rPr>
                <w:b/>
                <w:bCs/>
              </w:rPr>
              <w:t>Outcome</w:t>
            </w:r>
          </w:p>
        </w:tc>
        <w:tc>
          <w:tcPr>
            <w:tcW w:w="1959" w:type="dxa"/>
            <w:vAlign w:val="center"/>
          </w:tcPr>
          <w:p w14:paraId="0AD59AB6" w14:textId="77777777" w:rsidR="007F630E" w:rsidRPr="00540422" w:rsidRDefault="007F630E" w:rsidP="00DF56D2">
            <w:pPr>
              <w:pStyle w:val="Tabletext0"/>
              <w:keepNext/>
              <w:keepLines/>
              <w:jc w:val="center"/>
              <w:rPr>
                <w:b/>
                <w:bCs/>
              </w:rPr>
            </w:pPr>
            <w:r w:rsidRPr="00540422">
              <w:rPr>
                <w:b/>
                <w:bCs/>
              </w:rPr>
              <w:t>Prolonged release BPN (N=67)</w:t>
            </w:r>
          </w:p>
        </w:tc>
        <w:tc>
          <w:tcPr>
            <w:tcW w:w="1960" w:type="dxa"/>
            <w:vAlign w:val="center"/>
          </w:tcPr>
          <w:p w14:paraId="3F9CF0EA" w14:textId="77777777" w:rsidR="007F630E" w:rsidRPr="00540422" w:rsidRDefault="007F630E" w:rsidP="00DF56D2">
            <w:pPr>
              <w:pStyle w:val="Tabletext0"/>
              <w:keepNext/>
              <w:keepLines/>
              <w:jc w:val="center"/>
              <w:rPr>
                <w:b/>
                <w:bCs/>
              </w:rPr>
            </w:pPr>
            <w:r w:rsidRPr="00540422">
              <w:rPr>
                <w:b/>
                <w:bCs/>
              </w:rPr>
              <w:t>Oral methadone (N=62)</w:t>
            </w:r>
          </w:p>
        </w:tc>
      </w:tr>
      <w:tr w:rsidR="007F630E" w:rsidRPr="00540422" w14:paraId="0BC45DCA" w14:textId="77777777" w:rsidTr="00395CD4">
        <w:tc>
          <w:tcPr>
            <w:tcW w:w="9017" w:type="dxa"/>
            <w:gridSpan w:val="3"/>
          </w:tcPr>
          <w:p w14:paraId="780FA89C" w14:textId="77777777" w:rsidR="007F630E" w:rsidRPr="00540422" w:rsidRDefault="007F630E" w:rsidP="00DF56D2">
            <w:pPr>
              <w:pStyle w:val="Tabletext0"/>
              <w:keepNext/>
              <w:keepLines/>
            </w:pPr>
            <w:r w:rsidRPr="00540422">
              <w:rPr>
                <w:b/>
                <w:bCs/>
              </w:rPr>
              <w:t>Self-reported non-prescribed opioid use; n (%)</w:t>
            </w:r>
          </w:p>
        </w:tc>
      </w:tr>
      <w:tr w:rsidR="007F630E" w:rsidRPr="00540422" w14:paraId="6D67B949" w14:textId="77777777" w:rsidTr="00395CD4">
        <w:tc>
          <w:tcPr>
            <w:tcW w:w="5098" w:type="dxa"/>
          </w:tcPr>
          <w:p w14:paraId="074ED532" w14:textId="77777777" w:rsidR="007F630E" w:rsidRPr="00540422" w:rsidRDefault="007F630E" w:rsidP="00DF56D2">
            <w:pPr>
              <w:pStyle w:val="Tabletext0"/>
              <w:keepNext/>
              <w:keepLines/>
            </w:pPr>
            <w:r w:rsidRPr="00540422">
              <w:t>Baseline</w:t>
            </w:r>
          </w:p>
        </w:tc>
        <w:tc>
          <w:tcPr>
            <w:tcW w:w="1959" w:type="dxa"/>
            <w:vAlign w:val="center"/>
          </w:tcPr>
          <w:p w14:paraId="7655853A" w14:textId="77777777" w:rsidR="007F630E" w:rsidRPr="00540422" w:rsidRDefault="007F630E" w:rsidP="00DF56D2">
            <w:pPr>
              <w:pStyle w:val="Tabletext0"/>
              <w:keepNext/>
              <w:keepLines/>
              <w:jc w:val="center"/>
            </w:pPr>
            <w:r w:rsidRPr="00540422">
              <w:t>65 (97.0%)</w:t>
            </w:r>
          </w:p>
        </w:tc>
        <w:tc>
          <w:tcPr>
            <w:tcW w:w="1960" w:type="dxa"/>
            <w:vAlign w:val="center"/>
          </w:tcPr>
          <w:p w14:paraId="49E4E666" w14:textId="77777777" w:rsidR="007F630E" w:rsidRPr="00540422" w:rsidRDefault="007F630E" w:rsidP="00DF56D2">
            <w:pPr>
              <w:pStyle w:val="Tabletext0"/>
              <w:keepNext/>
              <w:keepLines/>
              <w:jc w:val="center"/>
            </w:pPr>
            <w:r w:rsidRPr="00540422">
              <w:t>1 (1.6%)</w:t>
            </w:r>
          </w:p>
        </w:tc>
      </w:tr>
      <w:tr w:rsidR="007F630E" w:rsidRPr="00540422" w14:paraId="7432E9E9" w14:textId="77777777" w:rsidTr="00395CD4">
        <w:tc>
          <w:tcPr>
            <w:tcW w:w="5098" w:type="dxa"/>
          </w:tcPr>
          <w:p w14:paraId="3F3C0461" w14:textId="77777777" w:rsidR="007F630E" w:rsidRPr="00540422" w:rsidRDefault="007F630E" w:rsidP="00DF56D2">
            <w:pPr>
              <w:pStyle w:val="Tabletext0"/>
              <w:keepNext/>
              <w:keepLines/>
            </w:pPr>
            <w:r w:rsidRPr="00540422">
              <w:t>4 weeks</w:t>
            </w:r>
          </w:p>
        </w:tc>
        <w:tc>
          <w:tcPr>
            <w:tcW w:w="1959" w:type="dxa"/>
            <w:vAlign w:val="center"/>
          </w:tcPr>
          <w:p w14:paraId="7C80D593" w14:textId="77777777" w:rsidR="007F630E" w:rsidRPr="00540422" w:rsidRDefault="007F630E" w:rsidP="00DF56D2">
            <w:pPr>
              <w:pStyle w:val="Tabletext0"/>
              <w:keepNext/>
              <w:keepLines/>
              <w:jc w:val="center"/>
            </w:pPr>
            <w:r w:rsidRPr="00540422">
              <w:t>41 (61.2%)</w:t>
            </w:r>
          </w:p>
        </w:tc>
        <w:tc>
          <w:tcPr>
            <w:tcW w:w="1960" w:type="dxa"/>
            <w:vAlign w:val="center"/>
          </w:tcPr>
          <w:p w14:paraId="758E6E85" w14:textId="77777777" w:rsidR="007F630E" w:rsidRPr="00540422" w:rsidRDefault="007F630E" w:rsidP="00DF56D2">
            <w:pPr>
              <w:pStyle w:val="Tabletext0"/>
              <w:keepNext/>
              <w:keepLines/>
              <w:jc w:val="center"/>
            </w:pPr>
            <w:r w:rsidRPr="00540422">
              <w:t>1 (1.6%)</w:t>
            </w:r>
          </w:p>
        </w:tc>
      </w:tr>
      <w:tr w:rsidR="007F630E" w:rsidRPr="00540422" w14:paraId="11C1AEF2" w14:textId="77777777" w:rsidTr="00395CD4">
        <w:tc>
          <w:tcPr>
            <w:tcW w:w="5098" w:type="dxa"/>
          </w:tcPr>
          <w:p w14:paraId="60448AC0" w14:textId="77777777" w:rsidR="007F630E" w:rsidRPr="00540422" w:rsidRDefault="007F630E" w:rsidP="00DF56D2">
            <w:pPr>
              <w:pStyle w:val="Tabletext0"/>
              <w:keepNext/>
              <w:keepLines/>
            </w:pPr>
            <w:r w:rsidRPr="00540422">
              <w:t>16 weeks</w:t>
            </w:r>
          </w:p>
        </w:tc>
        <w:tc>
          <w:tcPr>
            <w:tcW w:w="1959" w:type="dxa"/>
            <w:vAlign w:val="center"/>
          </w:tcPr>
          <w:p w14:paraId="408BD260" w14:textId="77777777" w:rsidR="007F630E" w:rsidRPr="00540422" w:rsidRDefault="007F630E" w:rsidP="00DF56D2">
            <w:pPr>
              <w:pStyle w:val="Tabletext0"/>
              <w:keepNext/>
              <w:keepLines/>
              <w:jc w:val="center"/>
            </w:pPr>
            <w:r w:rsidRPr="00540422">
              <w:t>8 (12.3%)</w:t>
            </w:r>
          </w:p>
        </w:tc>
        <w:tc>
          <w:tcPr>
            <w:tcW w:w="1960" w:type="dxa"/>
            <w:vAlign w:val="center"/>
          </w:tcPr>
          <w:p w14:paraId="4F12728F" w14:textId="77777777" w:rsidR="007F630E" w:rsidRPr="00540422" w:rsidRDefault="007F630E" w:rsidP="00DF56D2">
            <w:pPr>
              <w:pStyle w:val="Tabletext0"/>
              <w:keepNext/>
              <w:keepLines/>
              <w:jc w:val="center"/>
            </w:pPr>
            <w:r w:rsidRPr="00540422">
              <w:t>0 (0%)</w:t>
            </w:r>
          </w:p>
        </w:tc>
      </w:tr>
      <w:tr w:rsidR="007F630E" w:rsidRPr="00540422" w14:paraId="205EC298" w14:textId="77777777" w:rsidTr="00395CD4">
        <w:tc>
          <w:tcPr>
            <w:tcW w:w="5098" w:type="dxa"/>
          </w:tcPr>
          <w:p w14:paraId="4E6128F8" w14:textId="77777777" w:rsidR="007F630E" w:rsidRPr="00540422" w:rsidRDefault="007F630E" w:rsidP="00DF56D2">
            <w:pPr>
              <w:pStyle w:val="Tabletext0"/>
              <w:keepNext/>
              <w:keepLines/>
            </w:pPr>
            <w:r w:rsidRPr="00540422">
              <w:t>Change from baseline to 4 weeks; OR (95% CI)</w:t>
            </w:r>
          </w:p>
        </w:tc>
        <w:tc>
          <w:tcPr>
            <w:tcW w:w="1959" w:type="dxa"/>
            <w:vAlign w:val="center"/>
          </w:tcPr>
          <w:p w14:paraId="006D8EA2" w14:textId="77777777" w:rsidR="007F630E" w:rsidRPr="00540422" w:rsidRDefault="007F630E" w:rsidP="00DF56D2">
            <w:pPr>
              <w:pStyle w:val="Tabletext0"/>
              <w:keepNext/>
              <w:keepLines/>
              <w:jc w:val="center"/>
            </w:pPr>
            <w:r w:rsidRPr="00540422">
              <w:t>0.048 (0.010, 0.221)</w:t>
            </w:r>
          </w:p>
        </w:tc>
        <w:tc>
          <w:tcPr>
            <w:tcW w:w="1960" w:type="dxa"/>
            <w:vAlign w:val="center"/>
          </w:tcPr>
          <w:p w14:paraId="06059CD8" w14:textId="77777777" w:rsidR="007F630E" w:rsidRPr="00540422" w:rsidRDefault="007F630E" w:rsidP="00DF56D2">
            <w:pPr>
              <w:pStyle w:val="Tabletext0"/>
              <w:keepNext/>
              <w:keepLines/>
              <w:jc w:val="center"/>
            </w:pPr>
            <w:r w:rsidRPr="00540422">
              <w:t>NR</w:t>
            </w:r>
          </w:p>
        </w:tc>
      </w:tr>
      <w:tr w:rsidR="007F630E" w:rsidRPr="00540422" w14:paraId="6BB25635" w14:textId="77777777" w:rsidTr="00395CD4">
        <w:tc>
          <w:tcPr>
            <w:tcW w:w="5098" w:type="dxa"/>
          </w:tcPr>
          <w:p w14:paraId="6E5C0210" w14:textId="77777777" w:rsidR="007F630E" w:rsidRPr="00540422" w:rsidRDefault="007F630E" w:rsidP="00DF56D2">
            <w:pPr>
              <w:pStyle w:val="Tabletext0"/>
              <w:keepNext/>
              <w:keepLines/>
            </w:pPr>
            <w:r w:rsidRPr="00540422">
              <w:t>Change from baseline to 16 weeks; OR (95% CI)</w:t>
            </w:r>
          </w:p>
        </w:tc>
        <w:tc>
          <w:tcPr>
            <w:tcW w:w="1959" w:type="dxa"/>
            <w:vAlign w:val="center"/>
          </w:tcPr>
          <w:p w14:paraId="5AC80D3E" w14:textId="77777777" w:rsidR="007F630E" w:rsidRPr="00540422" w:rsidRDefault="007F630E" w:rsidP="00DF56D2">
            <w:pPr>
              <w:pStyle w:val="Tabletext0"/>
              <w:keepNext/>
              <w:keepLines/>
              <w:jc w:val="center"/>
            </w:pPr>
            <w:r w:rsidRPr="00540422">
              <w:t>0.0035 (0.001, 0.018)</w:t>
            </w:r>
          </w:p>
        </w:tc>
        <w:tc>
          <w:tcPr>
            <w:tcW w:w="1960" w:type="dxa"/>
            <w:vAlign w:val="center"/>
          </w:tcPr>
          <w:p w14:paraId="47B0FBA2" w14:textId="77777777" w:rsidR="007F630E" w:rsidRPr="00540422" w:rsidRDefault="007F630E" w:rsidP="00DF56D2">
            <w:pPr>
              <w:pStyle w:val="Tabletext0"/>
              <w:keepNext/>
              <w:keepLines/>
              <w:jc w:val="center"/>
            </w:pPr>
            <w:r w:rsidRPr="00540422">
              <w:t>NR</w:t>
            </w:r>
          </w:p>
        </w:tc>
      </w:tr>
      <w:tr w:rsidR="007F630E" w:rsidRPr="00540422" w14:paraId="6DA7C868" w14:textId="77777777" w:rsidTr="00395CD4">
        <w:tc>
          <w:tcPr>
            <w:tcW w:w="9017" w:type="dxa"/>
            <w:gridSpan w:val="3"/>
          </w:tcPr>
          <w:p w14:paraId="33A21FB9" w14:textId="77777777" w:rsidR="007F630E" w:rsidRPr="00540422" w:rsidRDefault="007F630E" w:rsidP="00DF56D2">
            <w:pPr>
              <w:pStyle w:val="Tabletext0"/>
              <w:keepNext/>
              <w:keepLines/>
            </w:pPr>
            <w:r w:rsidRPr="00540422">
              <w:rPr>
                <w:b/>
                <w:bCs/>
              </w:rPr>
              <w:t>Self-reported days of non-prescribed opioid use; mean (SD)</w:t>
            </w:r>
          </w:p>
        </w:tc>
      </w:tr>
      <w:tr w:rsidR="007F630E" w:rsidRPr="00540422" w14:paraId="5E9FC556" w14:textId="77777777" w:rsidTr="00395CD4">
        <w:tc>
          <w:tcPr>
            <w:tcW w:w="5098" w:type="dxa"/>
          </w:tcPr>
          <w:p w14:paraId="58C03391" w14:textId="77777777" w:rsidR="007F630E" w:rsidRPr="00540422" w:rsidRDefault="007F630E" w:rsidP="00DF56D2">
            <w:pPr>
              <w:pStyle w:val="Tabletext0"/>
              <w:keepNext/>
              <w:keepLines/>
            </w:pPr>
            <w:r w:rsidRPr="00540422">
              <w:t>Baseline</w:t>
            </w:r>
          </w:p>
        </w:tc>
        <w:tc>
          <w:tcPr>
            <w:tcW w:w="1959" w:type="dxa"/>
            <w:vAlign w:val="center"/>
          </w:tcPr>
          <w:p w14:paraId="60873031" w14:textId="77777777" w:rsidR="007F630E" w:rsidRPr="00540422" w:rsidRDefault="007F630E" w:rsidP="00DF56D2">
            <w:pPr>
              <w:pStyle w:val="Tabletext0"/>
              <w:keepNext/>
              <w:keepLines/>
              <w:jc w:val="center"/>
            </w:pPr>
            <w:r w:rsidRPr="00540422">
              <w:t>22.51 (9.67)</w:t>
            </w:r>
          </w:p>
        </w:tc>
        <w:tc>
          <w:tcPr>
            <w:tcW w:w="1960" w:type="dxa"/>
            <w:vAlign w:val="center"/>
          </w:tcPr>
          <w:p w14:paraId="3D50C4EE" w14:textId="77777777" w:rsidR="007F630E" w:rsidRPr="00540422" w:rsidRDefault="007F630E" w:rsidP="00DF56D2">
            <w:pPr>
              <w:pStyle w:val="Tabletext0"/>
              <w:keepNext/>
              <w:keepLines/>
              <w:jc w:val="center"/>
            </w:pPr>
            <w:r w:rsidRPr="00540422">
              <w:t>0.02 (0.13)</w:t>
            </w:r>
          </w:p>
        </w:tc>
      </w:tr>
      <w:tr w:rsidR="007F630E" w:rsidRPr="00540422" w14:paraId="0D5322C6" w14:textId="77777777" w:rsidTr="00395CD4">
        <w:tc>
          <w:tcPr>
            <w:tcW w:w="5098" w:type="dxa"/>
          </w:tcPr>
          <w:p w14:paraId="32625D25" w14:textId="77777777" w:rsidR="007F630E" w:rsidRPr="00540422" w:rsidRDefault="007F630E" w:rsidP="00DF56D2">
            <w:pPr>
              <w:pStyle w:val="Tabletext0"/>
              <w:keepNext/>
              <w:keepLines/>
            </w:pPr>
            <w:r w:rsidRPr="00540422">
              <w:t>4 weeks</w:t>
            </w:r>
          </w:p>
        </w:tc>
        <w:tc>
          <w:tcPr>
            <w:tcW w:w="1959" w:type="dxa"/>
            <w:vAlign w:val="center"/>
          </w:tcPr>
          <w:p w14:paraId="029C134F" w14:textId="77777777" w:rsidR="007F630E" w:rsidRPr="00540422" w:rsidRDefault="007F630E" w:rsidP="00DF56D2">
            <w:pPr>
              <w:pStyle w:val="Tabletext0"/>
              <w:keepNext/>
              <w:keepLines/>
              <w:jc w:val="center"/>
            </w:pPr>
            <w:r w:rsidRPr="00540422">
              <w:t>5.41 (7.70)</w:t>
            </w:r>
          </w:p>
        </w:tc>
        <w:tc>
          <w:tcPr>
            <w:tcW w:w="1960" w:type="dxa"/>
            <w:vAlign w:val="center"/>
          </w:tcPr>
          <w:p w14:paraId="389D8063" w14:textId="77777777" w:rsidR="007F630E" w:rsidRPr="00540422" w:rsidRDefault="007F630E" w:rsidP="00DF56D2">
            <w:pPr>
              <w:pStyle w:val="Tabletext0"/>
              <w:keepNext/>
              <w:keepLines/>
              <w:jc w:val="center"/>
            </w:pPr>
            <w:r w:rsidRPr="00540422">
              <w:t>0.02 (0.13)</w:t>
            </w:r>
          </w:p>
        </w:tc>
      </w:tr>
      <w:tr w:rsidR="007F630E" w:rsidRPr="00540422" w14:paraId="1D6C0400" w14:textId="77777777" w:rsidTr="00395CD4">
        <w:tc>
          <w:tcPr>
            <w:tcW w:w="5098" w:type="dxa"/>
          </w:tcPr>
          <w:p w14:paraId="4969B103" w14:textId="77777777" w:rsidR="007F630E" w:rsidRPr="00540422" w:rsidRDefault="007F630E" w:rsidP="00DF56D2">
            <w:pPr>
              <w:pStyle w:val="Tabletext0"/>
              <w:keepNext/>
              <w:keepLines/>
            </w:pPr>
            <w:r w:rsidRPr="00540422">
              <w:t>16 weeks</w:t>
            </w:r>
          </w:p>
        </w:tc>
        <w:tc>
          <w:tcPr>
            <w:tcW w:w="1959" w:type="dxa"/>
            <w:vAlign w:val="center"/>
          </w:tcPr>
          <w:p w14:paraId="76B8AAEF" w14:textId="77777777" w:rsidR="007F630E" w:rsidRPr="00540422" w:rsidRDefault="007F630E" w:rsidP="00DF56D2">
            <w:pPr>
              <w:pStyle w:val="Tabletext0"/>
              <w:keepNext/>
              <w:keepLines/>
              <w:jc w:val="center"/>
            </w:pPr>
            <w:r w:rsidRPr="00540422">
              <w:t>2.14 (6.61)</w:t>
            </w:r>
          </w:p>
        </w:tc>
        <w:tc>
          <w:tcPr>
            <w:tcW w:w="1960" w:type="dxa"/>
            <w:vAlign w:val="center"/>
          </w:tcPr>
          <w:p w14:paraId="258293C7" w14:textId="77777777" w:rsidR="007F630E" w:rsidRPr="00540422" w:rsidRDefault="007F630E" w:rsidP="00DF56D2">
            <w:pPr>
              <w:pStyle w:val="Tabletext0"/>
              <w:keepNext/>
              <w:keepLines/>
              <w:jc w:val="center"/>
            </w:pPr>
            <w:r w:rsidRPr="00540422">
              <w:t>0.00 (0.00)</w:t>
            </w:r>
          </w:p>
        </w:tc>
      </w:tr>
      <w:tr w:rsidR="007F630E" w:rsidRPr="00540422" w14:paraId="0B98AAEC" w14:textId="77777777" w:rsidTr="00395CD4">
        <w:tc>
          <w:tcPr>
            <w:tcW w:w="5098" w:type="dxa"/>
          </w:tcPr>
          <w:p w14:paraId="53E22B25" w14:textId="77777777" w:rsidR="007F630E" w:rsidRPr="00540422" w:rsidRDefault="007F630E" w:rsidP="00DF56D2">
            <w:pPr>
              <w:pStyle w:val="Tabletext0"/>
              <w:keepNext/>
              <w:keepLines/>
            </w:pPr>
            <w:r w:rsidRPr="00540422">
              <w:t>Change from baseline to 4 weeks; CCR (95% CI)</w:t>
            </w:r>
          </w:p>
        </w:tc>
        <w:tc>
          <w:tcPr>
            <w:tcW w:w="1959" w:type="dxa"/>
            <w:vAlign w:val="center"/>
          </w:tcPr>
          <w:p w14:paraId="269E1EA8" w14:textId="77777777" w:rsidR="007F630E" w:rsidRPr="00540422" w:rsidRDefault="007F630E" w:rsidP="00DF56D2">
            <w:pPr>
              <w:pStyle w:val="Tabletext0"/>
              <w:keepNext/>
              <w:keepLines/>
              <w:jc w:val="center"/>
            </w:pPr>
            <w:r w:rsidRPr="00540422">
              <w:t>0.35 (0.26, 0.48)</w:t>
            </w:r>
          </w:p>
        </w:tc>
        <w:tc>
          <w:tcPr>
            <w:tcW w:w="1960" w:type="dxa"/>
            <w:vAlign w:val="center"/>
          </w:tcPr>
          <w:p w14:paraId="1B0AE24F" w14:textId="77777777" w:rsidR="007F630E" w:rsidRPr="00540422" w:rsidRDefault="007F630E" w:rsidP="00DF56D2">
            <w:pPr>
              <w:pStyle w:val="Tabletext0"/>
              <w:keepNext/>
              <w:keepLines/>
              <w:jc w:val="center"/>
            </w:pPr>
            <w:r w:rsidRPr="00540422">
              <w:t>NR</w:t>
            </w:r>
          </w:p>
        </w:tc>
      </w:tr>
      <w:tr w:rsidR="007F630E" w:rsidRPr="00540422" w14:paraId="2AAF0985" w14:textId="77777777" w:rsidTr="00395CD4">
        <w:tc>
          <w:tcPr>
            <w:tcW w:w="5098" w:type="dxa"/>
          </w:tcPr>
          <w:p w14:paraId="7AE1D860" w14:textId="77777777" w:rsidR="007F630E" w:rsidRPr="00540422" w:rsidRDefault="007F630E" w:rsidP="00DF56D2">
            <w:pPr>
              <w:pStyle w:val="Tabletext0"/>
              <w:keepNext/>
              <w:keepLines/>
            </w:pPr>
            <w:r w:rsidRPr="00540422">
              <w:t>Change from 4 weeks to 16 weeks; CCR (95% CI)</w:t>
            </w:r>
          </w:p>
        </w:tc>
        <w:tc>
          <w:tcPr>
            <w:tcW w:w="1959" w:type="dxa"/>
            <w:vAlign w:val="center"/>
          </w:tcPr>
          <w:p w14:paraId="4536E75E" w14:textId="77777777" w:rsidR="007F630E" w:rsidRPr="00540422" w:rsidRDefault="007F630E" w:rsidP="00DF56D2">
            <w:pPr>
              <w:pStyle w:val="Tabletext0"/>
              <w:keepNext/>
              <w:keepLines/>
              <w:jc w:val="center"/>
            </w:pPr>
            <w:r w:rsidRPr="00540422">
              <w:t>0.67 (0.39, 1.17)</w:t>
            </w:r>
          </w:p>
        </w:tc>
        <w:tc>
          <w:tcPr>
            <w:tcW w:w="1960" w:type="dxa"/>
            <w:vAlign w:val="center"/>
          </w:tcPr>
          <w:p w14:paraId="6656CACD" w14:textId="77777777" w:rsidR="007F630E" w:rsidRPr="00540422" w:rsidRDefault="007F630E" w:rsidP="00DF56D2">
            <w:pPr>
              <w:pStyle w:val="Tabletext0"/>
              <w:keepNext/>
              <w:keepLines/>
              <w:jc w:val="center"/>
            </w:pPr>
            <w:r w:rsidRPr="00540422">
              <w:t>NR</w:t>
            </w:r>
          </w:p>
        </w:tc>
      </w:tr>
    </w:tbl>
    <w:p w14:paraId="180CEE23" w14:textId="77777777" w:rsidR="007F630E" w:rsidRPr="00540422" w:rsidRDefault="007F630E" w:rsidP="00DF56D2">
      <w:pPr>
        <w:pStyle w:val="TableFigureFooter"/>
        <w:keepNext/>
        <w:keepLines/>
      </w:pPr>
      <w:r w:rsidRPr="00540422">
        <w:t>Source: Table 4, p6 Dunlop 2021</w:t>
      </w:r>
    </w:p>
    <w:p w14:paraId="43187EBE" w14:textId="77777777" w:rsidR="007F630E" w:rsidRPr="00540422" w:rsidRDefault="007F630E" w:rsidP="00DF56D2">
      <w:pPr>
        <w:pStyle w:val="TableFigureFooter"/>
        <w:keepNext/>
        <w:keepLines/>
      </w:pPr>
      <w:r w:rsidRPr="00540422">
        <w:t>Abbreviations: BPN, buprenorphine; CCR, conditional count ratio; NR, not reported</w:t>
      </w:r>
    </w:p>
    <w:p w14:paraId="1DC32A8C" w14:textId="77777777" w:rsidR="00255FE3" w:rsidRPr="00540422" w:rsidRDefault="00255FE3" w:rsidP="00255FE3">
      <w:pPr>
        <w:pStyle w:val="ExecSumBodyText"/>
      </w:pPr>
      <w:r w:rsidRPr="00540422">
        <w:t xml:space="preserve">The prevalence of </w:t>
      </w:r>
      <w:r w:rsidR="00FF602E" w:rsidRPr="00540422">
        <w:t xml:space="preserve">self-reported </w:t>
      </w:r>
      <w:r w:rsidRPr="00540422">
        <w:t>non-prescribed opioid use in the prolonged release buprenorphine arm</w:t>
      </w:r>
      <w:r w:rsidR="00E17E29" w:rsidRPr="00540422">
        <w:t xml:space="preserve"> statistically</w:t>
      </w:r>
      <w:r w:rsidRPr="00540422">
        <w:t xml:space="preserve"> signi</w:t>
      </w:r>
      <w:r w:rsidRPr="00540422">
        <w:rPr>
          <w:rFonts w:ascii="PhotinaMTStd+fb" w:hAnsi="PhotinaMTStd+fb" w:cs="PhotinaMTStd+fb"/>
        </w:rPr>
        <w:t>fi</w:t>
      </w:r>
      <w:r w:rsidRPr="00540422">
        <w:t xml:space="preserve">cantly decreased between baseline (97%) and week 4 (61%; OR 0.048, 95% CI 0.010, 0.221) and week 16 (12%; OR 0.0035, 95% CI 0.0007, 0.018). The frequency of </w:t>
      </w:r>
      <w:r w:rsidR="00E309CE" w:rsidRPr="00540422">
        <w:t xml:space="preserve">self-reported </w:t>
      </w:r>
      <w:r w:rsidRPr="00540422">
        <w:t>non-prescribed opioid</w:t>
      </w:r>
      <w:r w:rsidR="00E309CE" w:rsidRPr="00540422">
        <w:t xml:space="preserve"> u</w:t>
      </w:r>
      <w:r w:rsidRPr="00540422">
        <w:t>s</w:t>
      </w:r>
      <w:r w:rsidR="00E309CE" w:rsidRPr="00540422">
        <w:t>e</w:t>
      </w:r>
      <w:r w:rsidRPr="00540422">
        <w:t xml:space="preserve"> also decreased </w:t>
      </w:r>
      <w:r w:rsidR="00E17E29" w:rsidRPr="00540422">
        <w:t xml:space="preserve">statistically </w:t>
      </w:r>
      <w:r w:rsidRPr="00540422">
        <w:t>signi</w:t>
      </w:r>
      <w:r w:rsidRPr="00540422">
        <w:rPr>
          <w:rFonts w:ascii="PhotinaMTStd+fb" w:hAnsi="PhotinaMTStd+fb" w:cs="PhotinaMTStd+fb"/>
        </w:rPr>
        <w:t>fi</w:t>
      </w:r>
      <w:r w:rsidRPr="00540422">
        <w:t>cantly between baseline and week 4 (22.51 to 5.41 days; conditional count ratio (CCR) 0.35, 95% CI 0.26, 0.48), but not between weeks 4 and 16 (</w:t>
      </w:r>
      <w:r w:rsidR="00F04FC4" w:rsidRPr="00540422">
        <w:t xml:space="preserve">5.41 to </w:t>
      </w:r>
      <w:r w:rsidRPr="00540422">
        <w:t>2.14 days; CCR 0.67, 95% CI 0.39, 1.17). Among methadone patients, the prevalence of non-prescribed opioid use was low at baseline (1.6%) and remained low at weeks 4 (1.6%) and 16 (0%). Retention in treatment for patients receiving prolonged release buprenorphine was 92.3%.</w:t>
      </w:r>
    </w:p>
    <w:p w14:paraId="6344096F" w14:textId="77777777" w:rsidR="00C828D1" w:rsidRPr="00540422" w:rsidRDefault="0073598F" w:rsidP="00C828D1">
      <w:pPr>
        <w:pStyle w:val="5-SubSubSubHead"/>
      </w:pPr>
      <w:r w:rsidRPr="00540422">
        <w:t xml:space="preserve">New </w:t>
      </w:r>
      <w:r w:rsidR="00030D12" w:rsidRPr="00540422">
        <w:t xml:space="preserve">efficacy </w:t>
      </w:r>
      <w:r w:rsidRPr="00540422">
        <w:t>d</w:t>
      </w:r>
      <w:r w:rsidR="00C828D1" w:rsidRPr="00540422">
        <w:t>ata supporting maintenance treatment with prolonged release buprenorphine</w:t>
      </w:r>
    </w:p>
    <w:p w14:paraId="442AD997" w14:textId="77777777" w:rsidR="00A95E70" w:rsidRPr="00540422" w:rsidRDefault="004129E2" w:rsidP="00395CD4">
      <w:pPr>
        <w:pStyle w:val="ExecSumBodyText"/>
      </w:pPr>
      <w:r w:rsidRPr="00540422">
        <w:t>HS-17-585 was a randomised, open-label, multicentre (6 Australian sites) trial conducted under naturalistic conditions to compare patient reported outcomes associated with prolonged release buprenorphine versus sublingual buprenorphine</w:t>
      </w:r>
      <w:r w:rsidR="007222C2" w:rsidRPr="00540422">
        <w:t xml:space="preserve"> standard of care </w:t>
      </w:r>
      <w:r w:rsidRPr="00540422">
        <w:t>in adult patients with opioid use disorder.</w:t>
      </w:r>
      <w:r w:rsidR="00A95E70" w:rsidRPr="00540422">
        <w:t xml:space="preserve"> None of the participants in HS-17-585 were directly initiated on prolonged release buprenorphine, although this was allowed according to the trial </w:t>
      </w:r>
      <w:r w:rsidR="00647E72" w:rsidRPr="00540422">
        <w:t>protocol</w:t>
      </w:r>
      <w:r w:rsidR="00A95E70" w:rsidRPr="00540422">
        <w:t xml:space="preserve">. </w:t>
      </w:r>
      <w:r w:rsidR="00C828D1" w:rsidRPr="00540422">
        <w:t>Trial HS-17-585 has not been considered by the PBAC</w:t>
      </w:r>
      <w:r w:rsidR="00A8005B" w:rsidRPr="00540422">
        <w:t xml:space="preserve"> previously</w:t>
      </w:r>
      <w:r w:rsidR="00C828D1" w:rsidRPr="00540422">
        <w:t>.</w:t>
      </w:r>
    </w:p>
    <w:p w14:paraId="3AEA4FC5" w14:textId="77777777" w:rsidR="00C828D1" w:rsidRPr="00540422" w:rsidRDefault="00A95E70" w:rsidP="00395CD4">
      <w:pPr>
        <w:pStyle w:val="ExecSumBodyText"/>
      </w:pPr>
      <w:r w:rsidRPr="00540422">
        <w:t>In trial HS-17-585, t</w:t>
      </w:r>
      <w:r w:rsidR="00014008" w:rsidRPr="00540422">
        <w:t xml:space="preserve">here were no statistically significant differences </w:t>
      </w:r>
      <w:r w:rsidR="00CB1DA8" w:rsidRPr="00540422">
        <w:t xml:space="preserve">in illicit opioid use </w:t>
      </w:r>
      <w:r w:rsidR="00014008" w:rsidRPr="00540422">
        <w:t>between prolonged release buprenorphine</w:t>
      </w:r>
      <w:r w:rsidRPr="00540422">
        <w:t xml:space="preserve"> and </w:t>
      </w:r>
      <w:r w:rsidR="007222C2" w:rsidRPr="00540422">
        <w:t>sublingual</w:t>
      </w:r>
      <w:r w:rsidRPr="00540422">
        <w:t xml:space="preserve"> buprenorphine</w:t>
      </w:r>
      <w:r w:rsidR="007222C2" w:rsidRPr="00540422">
        <w:t xml:space="preserve"> standard of care</w:t>
      </w:r>
      <w:r w:rsidR="0073740E" w:rsidRPr="00540422">
        <w:t xml:space="preserve"> treatment </w:t>
      </w:r>
      <w:r w:rsidR="003D6952" w:rsidRPr="00540422">
        <w:t>arms</w:t>
      </w:r>
      <w:r w:rsidR="0073740E" w:rsidRPr="00540422">
        <w:t xml:space="preserve"> at any time point.</w:t>
      </w:r>
      <w:r w:rsidR="00D0744D" w:rsidRPr="00540422">
        <w:t xml:space="preserve"> </w:t>
      </w:r>
      <w:r w:rsidR="00AF029D" w:rsidRPr="00540422">
        <w:t>The primary outcome of the trial, mean Treatment Satisfaction Questionnaire for Medication global satisfaction score, was significantly higher for the prolonged release buprenorphine arm compared with the sublingual buprenorphine arm at week 24</w:t>
      </w:r>
      <w:r w:rsidR="0073598F" w:rsidRPr="00540422">
        <w:t>.</w:t>
      </w:r>
      <w:r w:rsidR="00AF029D" w:rsidRPr="00540422">
        <w:t xml:space="preserve"> Improved outcomes for patients treated with prolonged release buprenorphine were also observed for several secondary </w:t>
      </w:r>
      <w:r w:rsidR="0073598F" w:rsidRPr="00540422">
        <w:t>patient reported outcomes</w:t>
      </w:r>
      <w:r w:rsidR="00AF029D" w:rsidRPr="00540422">
        <w:t>.</w:t>
      </w:r>
    </w:p>
    <w:p w14:paraId="4A031135" w14:textId="77777777" w:rsidR="0073598F" w:rsidRPr="00540422" w:rsidRDefault="00030D12" w:rsidP="002D45FA">
      <w:pPr>
        <w:pStyle w:val="5-SubSubSubHead"/>
      </w:pPr>
      <w:r w:rsidRPr="00540422">
        <w:t>Efficacy d</w:t>
      </w:r>
      <w:r w:rsidR="0073598F" w:rsidRPr="00540422">
        <w:t xml:space="preserve">ata supporting </w:t>
      </w:r>
      <w:r w:rsidR="009A0D78" w:rsidRPr="00540422">
        <w:t>the 160 mg monthly dose of prolonged release buprenorphine</w:t>
      </w:r>
    </w:p>
    <w:p w14:paraId="72B7F385" w14:textId="77777777" w:rsidR="0015287D" w:rsidRPr="00540422" w:rsidRDefault="0015287D" w:rsidP="00C9347D">
      <w:pPr>
        <w:pStyle w:val="ExecSumBodyText"/>
        <w:rPr>
          <w:snapToGrid/>
        </w:rPr>
      </w:pPr>
      <w:r w:rsidRPr="00540422">
        <w:rPr>
          <w:snapToGrid/>
        </w:rPr>
        <w:t>No formal analysis of efficacy data was presented in the submission in support of the treatment benefit of the 160 mg monthly dose of prolonged release buprenorphine.</w:t>
      </w:r>
    </w:p>
    <w:p w14:paraId="16062A48" w14:textId="77777777" w:rsidR="00C9347D" w:rsidRPr="00540422" w:rsidRDefault="0015287D" w:rsidP="0015287D">
      <w:pPr>
        <w:pStyle w:val="ExecSumBodyText"/>
      </w:pPr>
      <w:r w:rsidRPr="00540422">
        <w:rPr>
          <w:snapToGrid/>
        </w:rPr>
        <w:t>The submission instead presented subgroup analyses</w:t>
      </w:r>
      <w:r w:rsidR="007A19D7" w:rsidRPr="00540422">
        <w:rPr>
          <w:snapToGrid/>
        </w:rPr>
        <w:t xml:space="preserve"> of trial HS-11-421</w:t>
      </w:r>
      <w:r w:rsidRPr="00540422">
        <w:rPr>
          <w:snapToGrid/>
        </w:rPr>
        <w:t xml:space="preserve"> excluding patients who received either the 160 mg monthly dose of prolonged release buprenorphine or the 32 mg daily dose of sublingual buprenorphine/naloxone (the 32 mg sublingual buprenorphine/naloxone dose was included in HS-11-421 as a reference product dose corresponding to 160 mg monthly prolonged release buprenorphine in those cases where higher doses were needed). Results for the complement subgroup who received 160 mg monthly prolonged release buprenorphine or 32 mg daily sublingual buprenorphine/naloxone were not presented, although the numbers of patients were small (9 in each arm).</w:t>
      </w:r>
    </w:p>
    <w:p w14:paraId="0590D477" w14:textId="77777777" w:rsidR="00B50F45" w:rsidRPr="00540422" w:rsidRDefault="00B50F45" w:rsidP="00B50F45">
      <w:pPr>
        <w:pStyle w:val="ExecSumBodyText"/>
        <w:rPr>
          <w:i/>
          <w:iCs/>
          <w:snapToGrid/>
        </w:rPr>
      </w:pPr>
      <w:r w:rsidRPr="00540422">
        <w:rPr>
          <w:snapToGrid/>
        </w:rPr>
        <w:t xml:space="preserve">The results for the subgroup analyses excluding patients who received 160 mg monthly prolonged release buprenorphine or 32 mg sublingual buprenorphine/ naloxone were similar to those for the ITT population for both outcomes. </w:t>
      </w:r>
      <w:r w:rsidRPr="00540422">
        <w:rPr>
          <w:iCs/>
          <w:snapToGrid/>
        </w:rPr>
        <w:t>These results were not unexpected given the small number of patients who received 160 mg monthly prolonged release buprenorphine (N=9) or 32 mg daily sublingual buprenorphine/naloxone (N=9).</w:t>
      </w:r>
    </w:p>
    <w:p w14:paraId="20339793" w14:textId="77777777" w:rsidR="00B50F45" w:rsidRPr="00540422" w:rsidRDefault="00B50F45" w:rsidP="00B50F45">
      <w:pPr>
        <w:pStyle w:val="ExecSumBodyText"/>
      </w:pPr>
      <w:r w:rsidRPr="00540422">
        <w:rPr>
          <w:snapToGrid/>
        </w:rPr>
        <w:t xml:space="preserve">In a letter to the TGA to support the addition of the 160 mg dose of prolonged release buprenorphine, the chief investigator of study dBC2531 stated that a clinical benefit was noted for the patients prescribed the 160 mg dose in the study (Attachment 1 to the submission: Investigator </w:t>
      </w:r>
      <w:r w:rsidRPr="0098148A">
        <w:rPr>
          <w:snapToGrid/>
        </w:rPr>
        <w:t>statement to TGA 10 March 2020). However, the dBC2531 study publication (Dunlop 2021) does not present efficacy data by dose.</w:t>
      </w:r>
      <w:r w:rsidR="001F15B6" w:rsidRPr="0098148A">
        <w:rPr>
          <w:snapToGrid/>
        </w:rPr>
        <w:t xml:space="preserve"> </w:t>
      </w:r>
      <w:r w:rsidR="001F15B6" w:rsidRPr="0098148A">
        <w:rPr>
          <w:iCs/>
          <w:snapToGrid/>
        </w:rPr>
        <w:t>As seen in Table 4 above, the ESC noted that</w:t>
      </w:r>
      <w:r w:rsidR="00415A40" w:rsidRPr="0098148A">
        <w:rPr>
          <w:iCs/>
          <w:snapToGrid/>
        </w:rPr>
        <w:t xml:space="preserve"> the results for dBC2531 showed a significant reduction in self-reported non-prescribed opioid use. The ESC also noted that 40% of patients in dBC2531 received the 160 mg </w:t>
      </w:r>
      <w:r w:rsidR="00D545B4" w:rsidRPr="0098148A">
        <w:rPr>
          <w:iCs/>
          <w:snapToGrid/>
        </w:rPr>
        <w:t xml:space="preserve">monthly </w:t>
      </w:r>
      <w:r w:rsidR="00415A40" w:rsidRPr="0098148A">
        <w:rPr>
          <w:iCs/>
          <w:snapToGrid/>
        </w:rPr>
        <w:t>dose.</w:t>
      </w:r>
      <w:r w:rsidR="00415A40" w:rsidRPr="00540422">
        <w:rPr>
          <w:i/>
          <w:iCs/>
          <w:snapToGrid/>
        </w:rPr>
        <w:t xml:space="preserve"> </w:t>
      </w:r>
    </w:p>
    <w:p w14:paraId="764A9AAC" w14:textId="77777777" w:rsidR="00B60939" w:rsidRPr="00540422" w:rsidRDefault="00B60939" w:rsidP="00D86231">
      <w:pPr>
        <w:pStyle w:val="3-SubsectionHeading"/>
      </w:pPr>
      <w:bookmarkStart w:id="14" w:name="_Toc22897642"/>
      <w:bookmarkStart w:id="15" w:name="_Toc82522443"/>
      <w:r w:rsidRPr="00540422">
        <w:t>Comparative harms</w:t>
      </w:r>
      <w:bookmarkEnd w:id="14"/>
      <w:bookmarkEnd w:id="15"/>
    </w:p>
    <w:p w14:paraId="271CA223" w14:textId="77777777" w:rsidR="004F4EAA" w:rsidRPr="00540422" w:rsidRDefault="00030D12" w:rsidP="004F4EAA">
      <w:pPr>
        <w:pStyle w:val="5-SubSubSubHead"/>
      </w:pPr>
      <w:r w:rsidRPr="00540422">
        <w:t>Safety d</w:t>
      </w:r>
      <w:r w:rsidR="004F4EAA" w:rsidRPr="00540422">
        <w:t>ata supporting direct initiation with prolonged release buprenorphine</w:t>
      </w:r>
    </w:p>
    <w:p w14:paraId="1084D0B1" w14:textId="77777777" w:rsidR="006B6695" w:rsidRPr="00540422" w:rsidRDefault="006B6695" w:rsidP="006B6695">
      <w:pPr>
        <w:pStyle w:val="ExecSumBodyText"/>
      </w:pPr>
      <w:r w:rsidRPr="00540422">
        <w:t>In trial HS-11-421, previously considered by the PBAC, patients had received no medication assisted treatment for opioid use disorder within 60 days of randomisation, and were directly initiated onto their randomised treatment. The incidence of adverse events in the prolonged release buprenorphine arm (60%) was s</w:t>
      </w:r>
      <w:r w:rsidR="00FF1CED" w:rsidRPr="00540422">
        <w:t>lightly higher</w:t>
      </w:r>
      <w:r w:rsidRPr="00540422">
        <w:t xml:space="preserve"> </w:t>
      </w:r>
      <w:r w:rsidR="006A5A3B" w:rsidRPr="00540422">
        <w:t>than the incidence of</w:t>
      </w:r>
      <w:r w:rsidRPr="00540422">
        <w:t xml:space="preserve"> adverse events in the sublingual buprenorphine/naloxone arm (55%), with similar proportions of patients experiencing drug-related adverse events (33% versus 30%). The most common adverse events in the prolonged release buprenorphine arm were injection site pain (8.9%), headache (7.5%), constipation (7.5%), nausea (7.0%), and injection site pruritis (6.1%). Incidences of individual adverse events not related to injection site were generally comparable between prolonged release buprenorphine and sublingual buprenorphine/naloxone arms.</w:t>
      </w:r>
    </w:p>
    <w:p w14:paraId="5246BDB6" w14:textId="77777777" w:rsidR="004F4EAA" w:rsidRPr="00540422" w:rsidRDefault="008C0681" w:rsidP="006B6695">
      <w:pPr>
        <w:pStyle w:val="ExecSumBodyText"/>
      </w:pPr>
      <w:r w:rsidRPr="00540422">
        <w:t xml:space="preserve">In </w:t>
      </w:r>
      <w:r w:rsidR="00D25F6D" w:rsidRPr="00540422">
        <w:t>t</w:t>
      </w:r>
      <w:r w:rsidR="006B6695" w:rsidRPr="00540422">
        <w:t xml:space="preserve">he HS-14-499 study, </w:t>
      </w:r>
      <w:r w:rsidR="00BA4FEC" w:rsidRPr="00540422">
        <w:t xml:space="preserve">previously considered by the PBAC, </w:t>
      </w:r>
      <w:r w:rsidR="00A21EE2" w:rsidRPr="00540422">
        <w:t xml:space="preserve">37 </w:t>
      </w:r>
      <w:r w:rsidR="00143D9D" w:rsidRPr="00540422">
        <w:t>(</w:t>
      </w:r>
      <w:r w:rsidR="004C7AF6" w:rsidRPr="00540422">
        <w:t>16.3</w:t>
      </w:r>
      <w:r w:rsidR="00143D9D" w:rsidRPr="00540422">
        <w:t xml:space="preserve">%) </w:t>
      </w:r>
      <w:r w:rsidR="00A21EE2" w:rsidRPr="00540422">
        <w:t xml:space="preserve">patients </w:t>
      </w:r>
      <w:r w:rsidR="00BA4FEC" w:rsidRPr="00540422">
        <w:t xml:space="preserve">had received no medication assisted treatment for opioid use disorder </w:t>
      </w:r>
      <w:r w:rsidR="00345987" w:rsidRPr="00540422">
        <w:t>within 60 days</w:t>
      </w:r>
      <w:r w:rsidR="00AD409C" w:rsidRPr="00540422">
        <w:t xml:space="preserve"> of study entry</w:t>
      </w:r>
      <w:r w:rsidR="00345987" w:rsidRPr="00540422">
        <w:t xml:space="preserve"> and were directly initiated onto prolonged release buprenorphine, and </w:t>
      </w:r>
      <w:r w:rsidR="00AD409C" w:rsidRPr="00540422">
        <w:t xml:space="preserve">190 </w:t>
      </w:r>
      <w:r w:rsidR="00143D9D" w:rsidRPr="00540422">
        <w:t>(</w:t>
      </w:r>
      <w:r w:rsidR="00083702" w:rsidRPr="00540422">
        <w:t>83.7</w:t>
      </w:r>
      <w:r w:rsidR="00143D9D" w:rsidRPr="00540422">
        <w:t xml:space="preserve">%) </w:t>
      </w:r>
      <w:r w:rsidR="00A21EE2" w:rsidRPr="00540422">
        <w:t xml:space="preserve">were </w:t>
      </w:r>
      <w:r w:rsidR="00143D9D" w:rsidRPr="00540422">
        <w:t xml:space="preserve">receiving sublingual </w:t>
      </w:r>
      <w:r w:rsidR="0072256E" w:rsidRPr="00540422">
        <w:t>buprenorphine</w:t>
      </w:r>
      <w:r w:rsidR="00143D9D" w:rsidRPr="00540422">
        <w:t xml:space="preserve"> </w:t>
      </w:r>
      <w:r w:rsidR="0072256E" w:rsidRPr="00540422">
        <w:t>at study entry and were switched to prolonged release buprenorphine. T</w:t>
      </w:r>
      <w:r w:rsidR="006B6695" w:rsidRPr="00540422">
        <w:t>he most common adverse events were injection site pain (15.4%), injection site swelling (11.9%), injection site erythema (9.3%), headache (7.9%), and nasopharyngitis (7.9%). The incidence of adverse events was higher in subjects who were switched to (69.0%) versus those who were initiated on (32.4%) prolonged release buprenorphine.</w:t>
      </w:r>
    </w:p>
    <w:p w14:paraId="7EE8DDC8" w14:textId="77777777" w:rsidR="008722AF" w:rsidRPr="00540422" w:rsidRDefault="00871D5A" w:rsidP="00D72510">
      <w:pPr>
        <w:pStyle w:val="ExecSumBodyText"/>
      </w:pPr>
      <w:r w:rsidRPr="00540422">
        <w:t xml:space="preserve">Table 5 summarises the adverse events in the dBC2531 study, which has not been considered by the PBAC previously. Patients in the prolonged release buprenorphine arm were not </w:t>
      </w:r>
      <w:r w:rsidR="0096484C" w:rsidRPr="00540422">
        <w:t>receiving</w:t>
      </w:r>
      <w:r w:rsidRPr="00540422">
        <w:t xml:space="preserve"> opioid agonist treatment at recruitment and were directly initiated onto prolonged release buprenorphine. Adverse events were not reported for the oral methadone arm.</w:t>
      </w:r>
    </w:p>
    <w:p w14:paraId="46914CB9" w14:textId="77777777" w:rsidR="0078646B" w:rsidRPr="00540422" w:rsidRDefault="0078646B" w:rsidP="000F45D6">
      <w:pPr>
        <w:pStyle w:val="Tableheadingrow"/>
        <w:rPr>
          <w:lang w:val="en-AU"/>
        </w:rPr>
      </w:pPr>
      <w:r w:rsidRPr="00540422">
        <w:rPr>
          <w:lang w:val="en-AU"/>
        </w:rPr>
        <w:t>Table 5: Summary of adverse events in the prolonged release buprenorphine arm of dBC2531; n (%)</w:t>
      </w:r>
    </w:p>
    <w:tbl>
      <w:tblPr>
        <w:tblStyle w:val="TableGrid"/>
        <w:tblW w:w="5000" w:type="pct"/>
        <w:tblLayout w:type="fixed"/>
        <w:tblCellMar>
          <w:left w:w="57" w:type="dxa"/>
          <w:right w:w="57" w:type="dxa"/>
        </w:tblCellMar>
        <w:tblLook w:val="04A0" w:firstRow="1" w:lastRow="0" w:firstColumn="1" w:lastColumn="0" w:noHBand="0" w:noVBand="1"/>
        <w:tblCaption w:val="Table 5: Summary of adverse events in the prolonged release buprenorphine arm of dBC2531; n (%)"/>
      </w:tblPr>
      <w:tblGrid>
        <w:gridCol w:w="5098"/>
        <w:gridCol w:w="3919"/>
      </w:tblGrid>
      <w:tr w:rsidR="0078646B" w:rsidRPr="00540422" w14:paraId="2904D24D" w14:textId="77777777" w:rsidTr="00395CD4">
        <w:trPr>
          <w:tblHeader/>
        </w:trPr>
        <w:tc>
          <w:tcPr>
            <w:tcW w:w="5098" w:type="dxa"/>
            <w:tcBorders>
              <w:bottom w:val="single" w:sz="4" w:space="0" w:color="auto"/>
            </w:tcBorders>
            <w:vAlign w:val="center"/>
          </w:tcPr>
          <w:p w14:paraId="4F3933D7" w14:textId="77777777" w:rsidR="0078646B" w:rsidRPr="00540422" w:rsidRDefault="0078646B" w:rsidP="00395CD4">
            <w:pPr>
              <w:pStyle w:val="Tabletext0"/>
              <w:keepNext/>
              <w:rPr>
                <w:b/>
                <w:bCs/>
              </w:rPr>
            </w:pPr>
            <w:r w:rsidRPr="00540422">
              <w:rPr>
                <w:b/>
                <w:bCs/>
              </w:rPr>
              <w:t>Category</w:t>
            </w:r>
          </w:p>
        </w:tc>
        <w:tc>
          <w:tcPr>
            <w:tcW w:w="3919" w:type="dxa"/>
            <w:tcBorders>
              <w:bottom w:val="single" w:sz="4" w:space="0" w:color="auto"/>
            </w:tcBorders>
            <w:vAlign w:val="center"/>
          </w:tcPr>
          <w:p w14:paraId="6086A8C1" w14:textId="77777777" w:rsidR="0078646B" w:rsidRPr="00540422" w:rsidRDefault="0078646B" w:rsidP="00395CD4">
            <w:pPr>
              <w:pStyle w:val="Tabletext0"/>
              <w:keepNext/>
              <w:jc w:val="center"/>
              <w:rPr>
                <w:b/>
              </w:rPr>
            </w:pPr>
            <w:r w:rsidRPr="00540422">
              <w:rPr>
                <w:b/>
              </w:rPr>
              <w:t>Prolonged release BPN (N=67)</w:t>
            </w:r>
          </w:p>
        </w:tc>
      </w:tr>
      <w:tr w:rsidR="0078646B" w:rsidRPr="00540422" w14:paraId="53920D20" w14:textId="77777777" w:rsidTr="00395CD4">
        <w:tc>
          <w:tcPr>
            <w:tcW w:w="5098" w:type="dxa"/>
            <w:tcBorders>
              <w:bottom w:val="single" w:sz="4" w:space="0" w:color="auto"/>
            </w:tcBorders>
          </w:tcPr>
          <w:p w14:paraId="390493D0" w14:textId="77777777" w:rsidR="0078646B" w:rsidRPr="00540422" w:rsidRDefault="0078646B" w:rsidP="00395CD4">
            <w:pPr>
              <w:pStyle w:val="Tabletext0"/>
              <w:keepNext/>
            </w:pPr>
            <w:r w:rsidRPr="00540422">
              <w:t>Any adverse event</w:t>
            </w:r>
          </w:p>
        </w:tc>
        <w:tc>
          <w:tcPr>
            <w:tcW w:w="3919" w:type="dxa"/>
            <w:tcBorders>
              <w:top w:val="single" w:sz="4" w:space="0" w:color="auto"/>
              <w:left w:val="nil"/>
              <w:bottom w:val="single" w:sz="4" w:space="0" w:color="auto"/>
              <w:right w:val="single" w:sz="4" w:space="0" w:color="auto"/>
            </w:tcBorders>
            <w:shd w:val="clear" w:color="auto" w:fill="auto"/>
            <w:vAlign w:val="center"/>
          </w:tcPr>
          <w:p w14:paraId="7FA7631B" w14:textId="77777777" w:rsidR="0078646B" w:rsidRPr="00540422" w:rsidRDefault="0078646B" w:rsidP="00395CD4">
            <w:pPr>
              <w:pStyle w:val="Tabletext0"/>
              <w:keepNext/>
              <w:jc w:val="center"/>
            </w:pPr>
            <w:r w:rsidRPr="00540422">
              <w:t>65 (97%)</w:t>
            </w:r>
          </w:p>
        </w:tc>
      </w:tr>
      <w:tr w:rsidR="0078646B" w:rsidRPr="00540422" w14:paraId="43A5C1D0" w14:textId="77777777" w:rsidTr="00395CD4">
        <w:tc>
          <w:tcPr>
            <w:tcW w:w="5098" w:type="dxa"/>
            <w:tcBorders>
              <w:top w:val="single" w:sz="4" w:space="0" w:color="auto"/>
              <w:bottom w:val="nil"/>
            </w:tcBorders>
          </w:tcPr>
          <w:p w14:paraId="250E6A74" w14:textId="77777777" w:rsidR="0078646B" w:rsidRPr="00540422" w:rsidRDefault="0078646B" w:rsidP="00395CD4">
            <w:pPr>
              <w:pStyle w:val="Tabletext0"/>
            </w:pPr>
            <w:r w:rsidRPr="00540422">
              <w:t>Drug-related adverse event</w:t>
            </w:r>
          </w:p>
        </w:tc>
        <w:tc>
          <w:tcPr>
            <w:tcW w:w="3919" w:type="dxa"/>
            <w:tcBorders>
              <w:top w:val="single" w:sz="4" w:space="0" w:color="auto"/>
              <w:left w:val="nil"/>
              <w:bottom w:val="nil"/>
              <w:right w:val="single" w:sz="4" w:space="0" w:color="auto"/>
            </w:tcBorders>
            <w:shd w:val="clear" w:color="auto" w:fill="auto"/>
            <w:vAlign w:val="center"/>
          </w:tcPr>
          <w:p w14:paraId="3516B836" w14:textId="77777777" w:rsidR="0078646B" w:rsidRPr="00540422" w:rsidRDefault="0078646B" w:rsidP="00395CD4">
            <w:pPr>
              <w:pStyle w:val="Tabletext0"/>
              <w:jc w:val="center"/>
            </w:pPr>
            <w:r w:rsidRPr="00540422">
              <w:t>63 (94%)</w:t>
            </w:r>
          </w:p>
        </w:tc>
      </w:tr>
      <w:tr w:rsidR="0078646B" w:rsidRPr="00540422" w14:paraId="64D49E34" w14:textId="77777777" w:rsidTr="00395CD4">
        <w:tc>
          <w:tcPr>
            <w:tcW w:w="5098" w:type="dxa"/>
            <w:tcBorders>
              <w:top w:val="nil"/>
              <w:bottom w:val="nil"/>
            </w:tcBorders>
          </w:tcPr>
          <w:p w14:paraId="49092C5E" w14:textId="77777777" w:rsidR="0078646B" w:rsidRPr="00540422" w:rsidRDefault="0078646B" w:rsidP="00395CD4">
            <w:pPr>
              <w:pStyle w:val="Tabletext0"/>
              <w:ind w:left="170"/>
            </w:pPr>
            <w:r w:rsidRPr="00540422">
              <w:t>Injection site adverse event (≥2 mild or ≥1 moderate)</w:t>
            </w:r>
          </w:p>
        </w:tc>
        <w:tc>
          <w:tcPr>
            <w:tcW w:w="3919" w:type="dxa"/>
            <w:tcBorders>
              <w:top w:val="nil"/>
              <w:left w:val="nil"/>
              <w:bottom w:val="nil"/>
              <w:right w:val="single" w:sz="4" w:space="0" w:color="auto"/>
            </w:tcBorders>
            <w:shd w:val="clear" w:color="auto" w:fill="auto"/>
            <w:vAlign w:val="center"/>
          </w:tcPr>
          <w:p w14:paraId="7FF7E9E3" w14:textId="77777777" w:rsidR="0078646B" w:rsidRPr="00540422" w:rsidRDefault="0078646B" w:rsidP="00395CD4">
            <w:pPr>
              <w:pStyle w:val="Tabletext0"/>
              <w:jc w:val="center"/>
            </w:pPr>
            <w:r w:rsidRPr="00540422">
              <w:t>15 (22%)</w:t>
            </w:r>
          </w:p>
        </w:tc>
      </w:tr>
      <w:tr w:rsidR="0078646B" w:rsidRPr="00540422" w14:paraId="32C408B3" w14:textId="77777777" w:rsidTr="00395CD4">
        <w:tc>
          <w:tcPr>
            <w:tcW w:w="5098" w:type="dxa"/>
            <w:tcBorders>
              <w:top w:val="nil"/>
              <w:bottom w:val="single" w:sz="4" w:space="0" w:color="auto"/>
            </w:tcBorders>
          </w:tcPr>
          <w:p w14:paraId="4BC60ABB" w14:textId="77777777" w:rsidR="0078646B" w:rsidRPr="00540422" w:rsidRDefault="0078646B" w:rsidP="00395CD4">
            <w:pPr>
              <w:pStyle w:val="Tabletext0"/>
              <w:ind w:left="170"/>
            </w:pPr>
            <w:r w:rsidRPr="00540422">
              <w:t>Non-injection site adverse event</w:t>
            </w:r>
          </w:p>
        </w:tc>
        <w:tc>
          <w:tcPr>
            <w:tcW w:w="3919" w:type="dxa"/>
            <w:tcBorders>
              <w:top w:val="nil"/>
              <w:left w:val="nil"/>
              <w:bottom w:val="single" w:sz="4" w:space="0" w:color="auto"/>
              <w:right w:val="single" w:sz="4" w:space="0" w:color="auto"/>
            </w:tcBorders>
            <w:shd w:val="clear" w:color="auto" w:fill="auto"/>
            <w:vAlign w:val="center"/>
          </w:tcPr>
          <w:p w14:paraId="0796799C" w14:textId="77777777" w:rsidR="0078646B" w:rsidRPr="00540422" w:rsidRDefault="0078646B" w:rsidP="00395CD4">
            <w:pPr>
              <w:pStyle w:val="Tabletext0"/>
              <w:jc w:val="center"/>
            </w:pPr>
            <w:r w:rsidRPr="00540422">
              <w:t>56 (84%)</w:t>
            </w:r>
          </w:p>
        </w:tc>
      </w:tr>
      <w:tr w:rsidR="0078646B" w:rsidRPr="00540422" w14:paraId="39AF3820" w14:textId="77777777" w:rsidTr="00395CD4">
        <w:tc>
          <w:tcPr>
            <w:tcW w:w="5098" w:type="dxa"/>
            <w:tcBorders>
              <w:top w:val="single" w:sz="4" w:space="0" w:color="auto"/>
              <w:bottom w:val="single" w:sz="4" w:space="0" w:color="auto"/>
            </w:tcBorders>
          </w:tcPr>
          <w:p w14:paraId="258E8941" w14:textId="77777777" w:rsidR="0078646B" w:rsidRPr="00540422" w:rsidRDefault="0078646B" w:rsidP="00395CD4">
            <w:pPr>
              <w:pStyle w:val="Tabletext0"/>
            </w:pPr>
            <w:r w:rsidRPr="00540422">
              <w:t>Severe adverse event</w:t>
            </w:r>
          </w:p>
        </w:tc>
        <w:tc>
          <w:tcPr>
            <w:tcW w:w="3919" w:type="dxa"/>
            <w:tcBorders>
              <w:top w:val="single" w:sz="4" w:space="0" w:color="auto"/>
              <w:left w:val="nil"/>
              <w:bottom w:val="single" w:sz="4" w:space="0" w:color="auto"/>
              <w:right w:val="single" w:sz="4" w:space="0" w:color="auto"/>
            </w:tcBorders>
            <w:shd w:val="clear" w:color="auto" w:fill="auto"/>
            <w:vAlign w:val="center"/>
          </w:tcPr>
          <w:p w14:paraId="68344E5D" w14:textId="77777777" w:rsidR="0078646B" w:rsidRPr="00540422" w:rsidRDefault="0078646B" w:rsidP="00395CD4">
            <w:pPr>
              <w:pStyle w:val="Tabletext0"/>
              <w:jc w:val="center"/>
            </w:pPr>
            <w:r w:rsidRPr="00540422">
              <w:t>1 (2%)</w:t>
            </w:r>
          </w:p>
        </w:tc>
      </w:tr>
      <w:tr w:rsidR="0078646B" w:rsidRPr="00540422" w14:paraId="0EA84C08" w14:textId="77777777" w:rsidTr="00395CD4">
        <w:tc>
          <w:tcPr>
            <w:tcW w:w="5098" w:type="dxa"/>
            <w:tcBorders>
              <w:top w:val="single" w:sz="4" w:space="0" w:color="auto"/>
              <w:bottom w:val="single" w:sz="4" w:space="0" w:color="auto"/>
            </w:tcBorders>
          </w:tcPr>
          <w:p w14:paraId="12090483" w14:textId="77777777" w:rsidR="0078646B" w:rsidRPr="00540422" w:rsidRDefault="0078646B" w:rsidP="00395CD4">
            <w:pPr>
              <w:pStyle w:val="Tabletext0"/>
            </w:pPr>
            <w:r w:rsidRPr="00540422">
              <w:t>Death</w:t>
            </w:r>
          </w:p>
        </w:tc>
        <w:tc>
          <w:tcPr>
            <w:tcW w:w="3919" w:type="dxa"/>
            <w:tcBorders>
              <w:top w:val="single" w:sz="4" w:space="0" w:color="auto"/>
              <w:left w:val="nil"/>
              <w:bottom w:val="single" w:sz="4" w:space="0" w:color="auto"/>
              <w:right w:val="single" w:sz="4" w:space="0" w:color="auto"/>
            </w:tcBorders>
            <w:shd w:val="clear" w:color="auto" w:fill="auto"/>
            <w:vAlign w:val="center"/>
          </w:tcPr>
          <w:p w14:paraId="7EFEC3BE" w14:textId="77777777" w:rsidR="0078646B" w:rsidRPr="00540422" w:rsidRDefault="0078646B" w:rsidP="00395CD4">
            <w:pPr>
              <w:pStyle w:val="Tabletext0"/>
              <w:jc w:val="center"/>
            </w:pPr>
            <w:r w:rsidRPr="00540422">
              <w:t>0</w:t>
            </w:r>
          </w:p>
        </w:tc>
      </w:tr>
      <w:tr w:rsidR="0078646B" w:rsidRPr="00540422" w14:paraId="2B86FB45" w14:textId="77777777" w:rsidTr="00395CD4">
        <w:tc>
          <w:tcPr>
            <w:tcW w:w="5098" w:type="dxa"/>
            <w:tcBorders>
              <w:top w:val="single" w:sz="4" w:space="0" w:color="auto"/>
              <w:bottom w:val="nil"/>
            </w:tcBorders>
          </w:tcPr>
          <w:p w14:paraId="69799A0F" w14:textId="77777777" w:rsidR="0078646B" w:rsidRPr="00540422" w:rsidRDefault="0078646B" w:rsidP="00395CD4">
            <w:pPr>
              <w:pStyle w:val="Tabletext0"/>
            </w:pPr>
            <w:r w:rsidRPr="00540422">
              <w:t>Serious adverse event</w:t>
            </w:r>
          </w:p>
        </w:tc>
        <w:tc>
          <w:tcPr>
            <w:tcW w:w="3919" w:type="dxa"/>
            <w:tcBorders>
              <w:top w:val="single" w:sz="4" w:space="0" w:color="auto"/>
              <w:left w:val="nil"/>
              <w:bottom w:val="nil"/>
              <w:right w:val="single" w:sz="4" w:space="0" w:color="auto"/>
            </w:tcBorders>
            <w:shd w:val="clear" w:color="auto" w:fill="auto"/>
            <w:vAlign w:val="center"/>
          </w:tcPr>
          <w:p w14:paraId="79181267" w14:textId="77777777" w:rsidR="0078646B" w:rsidRPr="00540422" w:rsidRDefault="0078646B" w:rsidP="00395CD4">
            <w:pPr>
              <w:pStyle w:val="Tabletext0"/>
              <w:jc w:val="center"/>
            </w:pPr>
            <w:r w:rsidRPr="00540422">
              <w:t>2 (3%)</w:t>
            </w:r>
          </w:p>
        </w:tc>
      </w:tr>
      <w:tr w:rsidR="0078646B" w:rsidRPr="00540422" w14:paraId="0BB6A210" w14:textId="77777777" w:rsidTr="00395CD4">
        <w:tc>
          <w:tcPr>
            <w:tcW w:w="5098" w:type="dxa"/>
            <w:tcBorders>
              <w:top w:val="nil"/>
              <w:bottom w:val="nil"/>
            </w:tcBorders>
          </w:tcPr>
          <w:p w14:paraId="746257A9" w14:textId="77777777" w:rsidR="0078646B" w:rsidRPr="00540422" w:rsidRDefault="0078646B" w:rsidP="00395CD4">
            <w:pPr>
              <w:pStyle w:val="Tabletext0"/>
              <w:ind w:left="170"/>
            </w:pPr>
            <w:r w:rsidRPr="00540422">
              <w:t>Hospitalisation due to serious adverse event</w:t>
            </w:r>
          </w:p>
        </w:tc>
        <w:tc>
          <w:tcPr>
            <w:tcW w:w="3919" w:type="dxa"/>
            <w:tcBorders>
              <w:top w:val="nil"/>
              <w:left w:val="nil"/>
              <w:bottom w:val="nil"/>
              <w:right w:val="single" w:sz="4" w:space="0" w:color="auto"/>
            </w:tcBorders>
            <w:shd w:val="clear" w:color="auto" w:fill="auto"/>
            <w:vAlign w:val="center"/>
          </w:tcPr>
          <w:p w14:paraId="7BC9E72D" w14:textId="77777777" w:rsidR="0078646B" w:rsidRPr="00540422" w:rsidRDefault="0078646B" w:rsidP="00395CD4">
            <w:pPr>
              <w:pStyle w:val="Tabletext0"/>
              <w:jc w:val="center"/>
            </w:pPr>
            <w:r w:rsidRPr="00540422">
              <w:t>2 (3%)</w:t>
            </w:r>
          </w:p>
        </w:tc>
      </w:tr>
      <w:tr w:rsidR="0078646B" w:rsidRPr="00540422" w14:paraId="44E2C91E" w14:textId="77777777" w:rsidTr="00395CD4">
        <w:tc>
          <w:tcPr>
            <w:tcW w:w="5098" w:type="dxa"/>
            <w:tcBorders>
              <w:top w:val="nil"/>
              <w:bottom w:val="single" w:sz="4" w:space="0" w:color="auto"/>
            </w:tcBorders>
          </w:tcPr>
          <w:p w14:paraId="7873E4E6" w14:textId="77777777" w:rsidR="0078646B" w:rsidRPr="00540422" w:rsidRDefault="0078646B" w:rsidP="00395CD4">
            <w:pPr>
              <w:pStyle w:val="Tabletext0"/>
              <w:ind w:left="170"/>
            </w:pPr>
            <w:r w:rsidRPr="00540422">
              <w:t>Drug-related serious adverse event</w:t>
            </w:r>
          </w:p>
        </w:tc>
        <w:tc>
          <w:tcPr>
            <w:tcW w:w="3919" w:type="dxa"/>
            <w:tcBorders>
              <w:top w:val="nil"/>
              <w:left w:val="nil"/>
              <w:bottom w:val="single" w:sz="4" w:space="0" w:color="auto"/>
              <w:right w:val="single" w:sz="4" w:space="0" w:color="auto"/>
            </w:tcBorders>
            <w:shd w:val="clear" w:color="auto" w:fill="auto"/>
            <w:vAlign w:val="center"/>
          </w:tcPr>
          <w:p w14:paraId="11214863" w14:textId="77777777" w:rsidR="0078646B" w:rsidRPr="00540422" w:rsidRDefault="0078646B" w:rsidP="00395CD4">
            <w:pPr>
              <w:pStyle w:val="Tabletext0"/>
              <w:jc w:val="center"/>
            </w:pPr>
            <w:r w:rsidRPr="00540422">
              <w:t>0</w:t>
            </w:r>
          </w:p>
        </w:tc>
      </w:tr>
      <w:tr w:rsidR="0078646B" w:rsidRPr="00540422" w14:paraId="6790FAE1" w14:textId="77777777" w:rsidTr="00395CD4">
        <w:tc>
          <w:tcPr>
            <w:tcW w:w="5098" w:type="dxa"/>
            <w:tcBorders>
              <w:bottom w:val="single" w:sz="4" w:space="0" w:color="auto"/>
            </w:tcBorders>
          </w:tcPr>
          <w:p w14:paraId="4B4A64DB" w14:textId="77777777" w:rsidR="0078646B" w:rsidRPr="00540422" w:rsidRDefault="0078646B" w:rsidP="00395CD4">
            <w:pPr>
              <w:pStyle w:val="Tabletext0"/>
            </w:pPr>
            <w:r w:rsidRPr="00540422">
              <w:t>Drug overdose</w:t>
            </w:r>
          </w:p>
        </w:tc>
        <w:tc>
          <w:tcPr>
            <w:tcW w:w="3919" w:type="dxa"/>
            <w:tcBorders>
              <w:top w:val="nil"/>
              <w:left w:val="nil"/>
              <w:bottom w:val="single" w:sz="4" w:space="0" w:color="auto"/>
              <w:right w:val="single" w:sz="4" w:space="0" w:color="auto"/>
            </w:tcBorders>
            <w:shd w:val="clear" w:color="auto" w:fill="auto"/>
            <w:vAlign w:val="center"/>
          </w:tcPr>
          <w:p w14:paraId="000C010D" w14:textId="77777777" w:rsidR="0078646B" w:rsidRPr="00540422" w:rsidRDefault="0078646B" w:rsidP="00395CD4">
            <w:pPr>
              <w:pStyle w:val="Tabletext0"/>
              <w:jc w:val="center"/>
            </w:pPr>
            <w:r w:rsidRPr="00540422">
              <w:t>0</w:t>
            </w:r>
          </w:p>
        </w:tc>
      </w:tr>
      <w:tr w:rsidR="0078646B" w:rsidRPr="00540422" w14:paraId="417F858D" w14:textId="77777777" w:rsidTr="00395CD4">
        <w:tc>
          <w:tcPr>
            <w:tcW w:w="5098" w:type="dxa"/>
            <w:tcBorders>
              <w:top w:val="single" w:sz="4" w:space="0" w:color="auto"/>
              <w:bottom w:val="nil"/>
            </w:tcBorders>
          </w:tcPr>
          <w:p w14:paraId="3FF57B8E" w14:textId="77777777" w:rsidR="0078646B" w:rsidRPr="00540422" w:rsidRDefault="0078646B" w:rsidP="00395CD4">
            <w:pPr>
              <w:pStyle w:val="Tabletext0"/>
            </w:pPr>
            <w:r w:rsidRPr="00540422">
              <w:t>Discontinued study drug due to a drug-related adverse event</w:t>
            </w:r>
          </w:p>
        </w:tc>
        <w:tc>
          <w:tcPr>
            <w:tcW w:w="3919" w:type="dxa"/>
            <w:tcBorders>
              <w:top w:val="single" w:sz="4" w:space="0" w:color="auto"/>
              <w:left w:val="nil"/>
              <w:bottom w:val="nil"/>
              <w:right w:val="single" w:sz="4" w:space="0" w:color="auto"/>
            </w:tcBorders>
            <w:shd w:val="clear" w:color="auto" w:fill="auto"/>
            <w:vAlign w:val="center"/>
          </w:tcPr>
          <w:p w14:paraId="4791DAB1" w14:textId="77777777" w:rsidR="0078646B" w:rsidRPr="00540422" w:rsidRDefault="0078646B" w:rsidP="00395CD4">
            <w:pPr>
              <w:pStyle w:val="Tabletext0"/>
              <w:jc w:val="center"/>
            </w:pPr>
            <w:r w:rsidRPr="00540422">
              <w:t>4 (6%)</w:t>
            </w:r>
          </w:p>
        </w:tc>
      </w:tr>
      <w:tr w:rsidR="0078646B" w:rsidRPr="00540422" w14:paraId="416E943D" w14:textId="77777777" w:rsidTr="00395CD4">
        <w:tc>
          <w:tcPr>
            <w:tcW w:w="5098" w:type="dxa"/>
            <w:tcBorders>
              <w:top w:val="single" w:sz="4" w:space="0" w:color="auto"/>
              <w:bottom w:val="nil"/>
            </w:tcBorders>
          </w:tcPr>
          <w:p w14:paraId="5433567A" w14:textId="77777777" w:rsidR="0078646B" w:rsidRPr="00540422" w:rsidRDefault="0078646B" w:rsidP="00395CD4">
            <w:pPr>
              <w:pStyle w:val="Tabletext0"/>
            </w:pPr>
            <w:r w:rsidRPr="00540422">
              <w:t>Adverse events occurring in ≥10% of subjects</w:t>
            </w:r>
          </w:p>
        </w:tc>
        <w:tc>
          <w:tcPr>
            <w:tcW w:w="3919" w:type="dxa"/>
            <w:tcBorders>
              <w:top w:val="single" w:sz="4" w:space="0" w:color="auto"/>
              <w:left w:val="nil"/>
              <w:bottom w:val="nil"/>
              <w:right w:val="single" w:sz="4" w:space="0" w:color="auto"/>
            </w:tcBorders>
            <w:shd w:val="clear" w:color="auto" w:fill="auto"/>
            <w:vAlign w:val="center"/>
          </w:tcPr>
          <w:p w14:paraId="50896182" w14:textId="77777777" w:rsidR="0078646B" w:rsidRPr="00540422" w:rsidRDefault="0078646B" w:rsidP="00395CD4">
            <w:pPr>
              <w:pStyle w:val="Tabletext0"/>
              <w:jc w:val="center"/>
            </w:pPr>
          </w:p>
        </w:tc>
      </w:tr>
      <w:tr w:rsidR="0078646B" w:rsidRPr="00540422" w14:paraId="0F1B73D1" w14:textId="77777777" w:rsidTr="00395CD4">
        <w:tc>
          <w:tcPr>
            <w:tcW w:w="5098" w:type="dxa"/>
            <w:tcBorders>
              <w:top w:val="nil"/>
              <w:bottom w:val="nil"/>
            </w:tcBorders>
          </w:tcPr>
          <w:p w14:paraId="4A39C419" w14:textId="77777777" w:rsidR="0078646B" w:rsidRPr="00540422" w:rsidRDefault="0078646B" w:rsidP="00395CD4">
            <w:pPr>
              <w:pStyle w:val="Tabletext0"/>
              <w:ind w:left="170"/>
            </w:pPr>
            <w:r w:rsidRPr="00540422">
              <w:t>Injection-site pain</w:t>
            </w:r>
          </w:p>
        </w:tc>
        <w:tc>
          <w:tcPr>
            <w:tcW w:w="3919" w:type="dxa"/>
            <w:tcBorders>
              <w:top w:val="nil"/>
              <w:left w:val="nil"/>
              <w:bottom w:val="nil"/>
              <w:right w:val="single" w:sz="4" w:space="0" w:color="auto"/>
            </w:tcBorders>
            <w:shd w:val="clear" w:color="auto" w:fill="auto"/>
            <w:vAlign w:val="center"/>
          </w:tcPr>
          <w:p w14:paraId="2524C80D" w14:textId="77777777" w:rsidR="0078646B" w:rsidRPr="00540422" w:rsidRDefault="0078646B" w:rsidP="00395CD4">
            <w:pPr>
              <w:pStyle w:val="Tabletext0"/>
              <w:jc w:val="center"/>
            </w:pPr>
            <w:r w:rsidRPr="00540422">
              <w:t>35 (52%)</w:t>
            </w:r>
          </w:p>
        </w:tc>
      </w:tr>
      <w:tr w:rsidR="0078646B" w:rsidRPr="00540422" w14:paraId="467BE063" w14:textId="77777777" w:rsidTr="00395CD4">
        <w:tc>
          <w:tcPr>
            <w:tcW w:w="5098" w:type="dxa"/>
            <w:tcBorders>
              <w:top w:val="nil"/>
              <w:bottom w:val="nil"/>
            </w:tcBorders>
          </w:tcPr>
          <w:p w14:paraId="2B36CB47" w14:textId="77777777" w:rsidR="0078646B" w:rsidRPr="00540422" w:rsidRDefault="0078646B" w:rsidP="00395CD4">
            <w:pPr>
              <w:pStyle w:val="Tabletext0"/>
              <w:ind w:left="170"/>
            </w:pPr>
            <w:r w:rsidRPr="00540422">
              <w:t>Constipation</w:t>
            </w:r>
          </w:p>
        </w:tc>
        <w:tc>
          <w:tcPr>
            <w:tcW w:w="3919" w:type="dxa"/>
            <w:tcBorders>
              <w:top w:val="nil"/>
              <w:left w:val="nil"/>
              <w:bottom w:val="nil"/>
              <w:right w:val="single" w:sz="4" w:space="0" w:color="auto"/>
            </w:tcBorders>
            <w:shd w:val="clear" w:color="auto" w:fill="auto"/>
            <w:vAlign w:val="center"/>
          </w:tcPr>
          <w:p w14:paraId="70213F07" w14:textId="77777777" w:rsidR="0078646B" w:rsidRPr="00540422" w:rsidRDefault="0078646B" w:rsidP="00395CD4">
            <w:pPr>
              <w:pStyle w:val="Tabletext0"/>
              <w:jc w:val="center"/>
            </w:pPr>
            <w:r w:rsidRPr="00540422">
              <w:t>34 (51%)</w:t>
            </w:r>
          </w:p>
        </w:tc>
      </w:tr>
      <w:tr w:rsidR="0078646B" w:rsidRPr="00540422" w14:paraId="50C3BC8B" w14:textId="77777777" w:rsidTr="00395CD4">
        <w:tc>
          <w:tcPr>
            <w:tcW w:w="5098" w:type="dxa"/>
            <w:tcBorders>
              <w:top w:val="nil"/>
              <w:bottom w:val="nil"/>
            </w:tcBorders>
          </w:tcPr>
          <w:p w14:paraId="195BFEB9" w14:textId="77777777" w:rsidR="0078646B" w:rsidRPr="00540422" w:rsidRDefault="0078646B" w:rsidP="00395CD4">
            <w:pPr>
              <w:pStyle w:val="Tabletext0"/>
              <w:ind w:left="170"/>
            </w:pPr>
            <w:r w:rsidRPr="00540422">
              <w:t>Injection site swelling*</w:t>
            </w:r>
          </w:p>
        </w:tc>
        <w:tc>
          <w:tcPr>
            <w:tcW w:w="3919" w:type="dxa"/>
            <w:tcBorders>
              <w:top w:val="nil"/>
              <w:left w:val="nil"/>
              <w:bottom w:val="nil"/>
              <w:right w:val="single" w:sz="4" w:space="0" w:color="auto"/>
            </w:tcBorders>
            <w:shd w:val="clear" w:color="auto" w:fill="auto"/>
            <w:vAlign w:val="center"/>
          </w:tcPr>
          <w:p w14:paraId="7947C0FE" w14:textId="77777777" w:rsidR="0078646B" w:rsidRPr="00540422" w:rsidRDefault="0078646B" w:rsidP="00395CD4">
            <w:pPr>
              <w:pStyle w:val="Tabletext0"/>
              <w:jc w:val="center"/>
            </w:pPr>
            <w:r w:rsidRPr="00540422">
              <w:t>23 (34%)</w:t>
            </w:r>
          </w:p>
        </w:tc>
      </w:tr>
      <w:tr w:rsidR="0078646B" w:rsidRPr="00540422" w14:paraId="7268B1F0" w14:textId="77777777" w:rsidTr="00395CD4">
        <w:tc>
          <w:tcPr>
            <w:tcW w:w="5098" w:type="dxa"/>
            <w:tcBorders>
              <w:top w:val="nil"/>
              <w:bottom w:val="nil"/>
            </w:tcBorders>
          </w:tcPr>
          <w:p w14:paraId="00250C79" w14:textId="77777777" w:rsidR="0078646B" w:rsidRPr="00540422" w:rsidRDefault="0078646B" w:rsidP="00395CD4">
            <w:pPr>
              <w:pStyle w:val="Tabletext0"/>
              <w:ind w:left="170"/>
            </w:pPr>
            <w:r w:rsidRPr="00540422">
              <w:t>Headache</w:t>
            </w:r>
          </w:p>
        </w:tc>
        <w:tc>
          <w:tcPr>
            <w:tcW w:w="3919" w:type="dxa"/>
            <w:tcBorders>
              <w:top w:val="nil"/>
              <w:left w:val="nil"/>
              <w:bottom w:val="nil"/>
              <w:right w:val="single" w:sz="4" w:space="0" w:color="auto"/>
            </w:tcBorders>
            <w:shd w:val="clear" w:color="auto" w:fill="auto"/>
            <w:vAlign w:val="center"/>
          </w:tcPr>
          <w:p w14:paraId="285C279E" w14:textId="77777777" w:rsidR="0078646B" w:rsidRPr="00540422" w:rsidRDefault="0078646B" w:rsidP="00395CD4">
            <w:pPr>
              <w:pStyle w:val="Tabletext0"/>
              <w:jc w:val="center"/>
            </w:pPr>
            <w:r w:rsidRPr="00540422">
              <w:t>19 (28%)</w:t>
            </w:r>
          </w:p>
        </w:tc>
      </w:tr>
      <w:tr w:rsidR="0078646B" w:rsidRPr="00540422" w14:paraId="496348BB" w14:textId="77777777" w:rsidTr="00395CD4">
        <w:tc>
          <w:tcPr>
            <w:tcW w:w="5098" w:type="dxa"/>
            <w:tcBorders>
              <w:top w:val="nil"/>
              <w:bottom w:val="nil"/>
            </w:tcBorders>
          </w:tcPr>
          <w:p w14:paraId="357F2EBD" w14:textId="77777777" w:rsidR="0078646B" w:rsidRPr="00540422" w:rsidRDefault="0078646B" w:rsidP="00395CD4">
            <w:pPr>
              <w:pStyle w:val="Tabletext0"/>
              <w:ind w:left="170"/>
            </w:pPr>
            <w:r w:rsidRPr="00540422">
              <w:t>Injection site erythema</w:t>
            </w:r>
          </w:p>
        </w:tc>
        <w:tc>
          <w:tcPr>
            <w:tcW w:w="3919" w:type="dxa"/>
            <w:tcBorders>
              <w:top w:val="nil"/>
              <w:left w:val="nil"/>
              <w:bottom w:val="nil"/>
              <w:right w:val="single" w:sz="4" w:space="0" w:color="auto"/>
            </w:tcBorders>
            <w:shd w:val="clear" w:color="auto" w:fill="auto"/>
            <w:vAlign w:val="center"/>
          </w:tcPr>
          <w:p w14:paraId="6B30C786" w14:textId="77777777" w:rsidR="0078646B" w:rsidRPr="00540422" w:rsidRDefault="0078646B" w:rsidP="00395CD4">
            <w:pPr>
              <w:pStyle w:val="Tabletext0"/>
              <w:jc w:val="center"/>
            </w:pPr>
            <w:r w:rsidRPr="00540422">
              <w:t>15 (22%)</w:t>
            </w:r>
          </w:p>
        </w:tc>
      </w:tr>
      <w:tr w:rsidR="0078646B" w:rsidRPr="00540422" w14:paraId="68BCB024" w14:textId="77777777" w:rsidTr="00395CD4">
        <w:tc>
          <w:tcPr>
            <w:tcW w:w="5098" w:type="dxa"/>
            <w:tcBorders>
              <w:top w:val="nil"/>
              <w:bottom w:val="nil"/>
            </w:tcBorders>
          </w:tcPr>
          <w:p w14:paraId="00E9FAE4" w14:textId="77777777" w:rsidR="0078646B" w:rsidRPr="00540422" w:rsidRDefault="0078646B" w:rsidP="00395CD4">
            <w:pPr>
              <w:pStyle w:val="Tabletext0"/>
              <w:ind w:left="170"/>
            </w:pPr>
            <w:r w:rsidRPr="00540422">
              <w:t>Nausea</w:t>
            </w:r>
          </w:p>
        </w:tc>
        <w:tc>
          <w:tcPr>
            <w:tcW w:w="3919" w:type="dxa"/>
            <w:tcBorders>
              <w:top w:val="nil"/>
              <w:left w:val="nil"/>
              <w:bottom w:val="nil"/>
              <w:right w:val="single" w:sz="4" w:space="0" w:color="auto"/>
            </w:tcBorders>
            <w:shd w:val="clear" w:color="auto" w:fill="auto"/>
            <w:vAlign w:val="center"/>
          </w:tcPr>
          <w:p w14:paraId="2B4A9ED9" w14:textId="77777777" w:rsidR="0078646B" w:rsidRPr="00540422" w:rsidRDefault="0078646B" w:rsidP="00395CD4">
            <w:pPr>
              <w:pStyle w:val="Tabletext0"/>
              <w:jc w:val="center"/>
            </w:pPr>
            <w:r w:rsidRPr="00540422">
              <w:t>14 (21%)</w:t>
            </w:r>
          </w:p>
        </w:tc>
      </w:tr>
      <w:tr w:rsidR="0078646B" w:rsidRPr="00540422" w14:paraId="1CD0A9AF" w14:textId="77777777" w:rsidTr="00395CD4">
        <w:tc>
          <w:tcPr>
            <w:tcW w:w="5098" w:type="dxa"/>
            <w:tcBorders>
              <w:top w:val="nil"/>
              <w:bottom w:val="nil"/>
            </w:tcBorders>
          </w:tcPr>
          <w:p w14:paraId="29BE3B18" w14:textId="77777777" w:rsidR="0078646B" w:rsidRPr="00540422" w:rsidRDefault="0078646B" w:rsidP="00395CD4">
            <w:pPr>
              <w:pStyle w:val="Tabletext0"/>
              <w:ind w:left="170"/>
            </w:pPr>
            <w:r w:rsidRPr="00540422">
              <w:t>Vomiting</w:t>
            </w:r>
          </w:p>
        </w:tc>
        <w:tc>
          <w:tcPr>
            <w:tcW w:w="3919" w:type="dxa"/>
            <w:tcBorders>
              <w:top w:val="nil"/>
              <w:left w:val="nil"/>
              <w:bottom w:val="nil"/>
              <w:right w:val="single" w:sz="4" w:space="0" w:color="auto"/>
            </w:tcBorders>
            <w:shd w:val="clear" w:color="auto" w:fill="auto"/>
            <w:vAlign w:val="center"/>
          </w:tcPr>
          <w:p w14:paraId="01EDD9FE" w14:textId="77777777" w:rsidR="0078646B" w:rsidRPr="00540422" w:rsidRDefault="0078646B" w:rsidP="00395CD4">
            <w:pPr>
              <w:pStyle w:val="Tabletext0"/>
              <w:jc w:val="center"/>
            </w:pPr>
            <w:r w:rsidRPr="00540422">
              <w:t>13 (19%)</w:t>
            </w:r>
          </w:p>
        </w:tc>
      </w:tr>
      <w:tr w:rsidR="0078646B" w:rsidRPr="00540422" w14:paraId="30A77D79" w14:textId="77777777" w:rsidTr="00395CD4">
        <w:tc>
          <w:tcPr>
            <w:tcW w:w="5098" w:type="dxa"/>
            <w:tcBorders>
              <w:top w:val="nil"/>
              <w:bottom w:val="nil"/>
            </w:tcBorders>
          </w:tcPr>
          <w:p w14:paraId="0C0A7233" w14:textId="77777777" w:rsidR="0078646B" w:rsidRPr="00540422" w:rsidRDefault="0078646B" w:rsidP="00395CD4">
            <w:pPr>
              <w:pStyle w:val="Tabletext0"/>
              <w:ind w:left="170"/>
            </w:pPr>
            <w:r w:rsidRPr="00540422">
              <w:t>Self-reported sedation</w:t>
            </w:r>
          </w:p>
        </w:tc>
        <w:tc>
          <w:tcPr>
            <w:tcW w:w="3919" w:type="dxa"/>
            <w:tcBorders>
              <w:top w:val="nil"/>
              <w:left w:val="nil"/>
              <w:bottom w:val="nil"/>
              <w:right w:val="single" w:sz="4" w:space="0" w:color="auto"/>
            </w:tcBorders>
            <w:shd w:val="clear" w:color="auto" w:fill="auto"/>
            <w:vAlign w:val="center"/>
          </w:tcPr>
          <w:p w14:paraId="07CBCDEC" w14:textId="77777777" w:rsidR="0078646B" w:rsidRPr="00540422" w:rsidRDefault="0078646B" w:rsidP="00395CD4">
            <w:pPr>
              <w:pStyle w:val="Tabletext0"/>
              <w:jc w:val="center"/>
            </w:pPr>
            <w:r w:rsidRPr="00540422">
              <w:t>10 (15%)</w:t>
            </w:r>
          </w:p>
        </w:tc>
      </w:tr>
      <w:tr w:rsidR="0078646B" w:rsidRPr="00540422" w14:paraId="6F41DC2F" w14:textId="77777777" w:rsidTr="00395CD4">
        <w:tc>
          <w:tcPr>
            <w:tcW w:w="5098" w:type="dxa"/>
            <w:tcBorders>
              <w:top w:val="nil"/>
              <w:bottom w:val="nil"/>
            </w:tcBorders>
          </w:tcPr>
          <w:p w14:paraId="24856147" w14:textId="77777777" w:rsidR="0078646B" w:rsidRPr="00540422" w:rsidRDefault="0078646B" w:rsidP="00395CD4">
            <w:pPr>
              <w:pStyle w:val="Tabletext0"/>
              <w:ind w:left="170"/>
            </w:pPr>
            <w:r w:rsidRPr="00540422">
              <w:t>Self-reported urinary hesitancy</w:t>
            </w:r>
          </w:p>
        </w:tc>
        <w:tc>
          <w:tcPr>
            <w:tcW w:w="3919" w:type="dxa"/>
            <w:tcBorders>
              <w:top w:val="nil"/>
              <w:left w:val="nil"/>
              <w:bottom w:val="nil"/>
              <w:right w:val="single" w:sz="4" w:space="0" w:color="auto"/>
            </w:tcBorders>
            <w:shd w:val="clear" w:color="auto" w:fill="auto"/>
            <w:vAlign w:val="center"/>
          </w:tcPr>
          <w:p w14:paraId="2BF19DDC" w14:textId="77777777" w:rsidR="0078646B" w:rsidRPr="00540422" w:rsidRDefault="0078646B" w:rsidP="00395CD4">
            <w:pPr>
              <w:pStyle w:val="Tabletext0"/>
              <w:jc w:val="center"/>
            </w:pPr>
            <w:r w:rsidRPr="00540422">
              <w:t>10 (15%)</w:t>
            </w:r>
          </w:p>
        </w:tc>
      </w:tr>
      <w:tr w:rsidR="0078646B" w:rsidRPr="00540422" w14:paraId="26C4AD22" w14:textId="77777777" w:rsidTr="00395CD4">
        <w:tc>
          <w:tcPr>
            <w:tcW w:w="5098" w:type="dxa"/>
            <w:tcBorders>
              <w:top w:val="nil"/>
              <w:bottom w:val="nil"/>
            </w:tcBorders>
          </w:tcPr>
          <w:p w14:paraId="4CA8DA0E" w14:textId="77777777" w:rsidR="0078646B" w:rsidRPr="00540422" w:rsidRDefault="0078646B" w:rsidP="00395CD4">
            <w:pPr>
              <w:pStyle w:val="Tabletext0"/>
              <w:ind w:left="170"/>
            </w:pPr>
            <w:r w:rsidRPr="00540422">
              <w:t>Pruritis</w:t>
            </w:r>
          </w:p>
        </w:tc>
        <w:tc>
          <w:tcPr>
            <w:tcW w:w="3919" w:type="dxa"/>
            <w:tcBorders>
              <w:top w:val="nil"/>
              <w:left w:val="nil"/>
              <w:bottom w:val="nil"/>
              <w:right w:val="single" w:sz="4" w:space="0" w:color="auto"/>
            </w:tcBorders>
            <w:shd w:val="clear" w:color="auto" w:fill="auto"/>
            <w:vAlign w:val="center"/>
          </w:tcPr>
          <w:p w14:paraId="04C222FB" w14:textId="77777777" w:rsidR="0078646B" w:rsidRPr="00540422" w:rsidRDefault="0078646B" w:rsidP="00395CD4">
            <w:pPr>
              <w:pStyle w:val="Tabletext0"/>
              <w:jc w:val="center"/>
            </w:pPr>
            <w:r w:rsidRPr="00540422">
              <w:t>7 (10%)</w:t>
            </w:r>
          </w:p>
        </w:tc>
      </w:tr>
      <w:tr w:rsidR="0078646B" w:rsidRPr="00540422" w14:paraId="3F79EF98" w14:textId="77777777" w:rsidTr="00395CD4">
        <w:tc>
          <w:tcPr>
            <w:tcW w:w="5098" w:type="dxa"/>
            <w:tcBorders>
              <w:top w:val="nil"/>
              <w:bottom w:val="single" w:sz="4" w:space="0" w:color="auto"/>
            </w:tcBorders>
          </w:tcPr>
          <w:p w14:paraId="6232C2CC" w14:textId="77777777" w:rsidR="0078646B" w:rsidRPr="00540422" w:rsidRDefault="0078646B" w:rsidP="00395CD4">
            <w:pPr>
              <w:pStyle w:val="Tabletext0"/>
              <w:ind w:left="170"/>
            </w:pPr>
            <w:r w:rsidRPr="00540422">
              <w:t>Rash</w:t>
            </w:r>
          </w:p>
        </w:tc>
        <w:tc>
          <w:tcPr>
            <w:tcW w:w="3919" w:type="dxa"/>
            <w:tcBorders>
              <w:top w:val="nil"/>
              <w:left w:val="nil"/>
              <w:bottom w:val="single" w:sz="4" w:space="0" w:color="auto"/>
              <w:right w:val="single" w:sz="4" w:space="0" w:color="auto"/>
            </w:tcBorders>
            <w:shd w:val="clear" w:color="auto" w:fill="auto"/>
            <w:vAlign w:val="center"/>
          </w:tcPr>
          <w:p w14:paraId="5067F6F5" w14:textId="77777777" w:rsidR="0078646B" w:rsidRPr="00540422" w:rsidRDefault="0078646B" w:rsidP="00395CD4">
            <w:pPr>
              <w:pStyle w:val="Tabletext0"/>
              <w:jc w:val="center"/>
            </w:pPr>
            <w:r w:rsidRPr="00540422">
              <w:t>7 (10%)</w:t>
            </w:r>
          </w:p>
        </w:tc>
      </w:tr>
    </w:tbl>
    <w:p w14:paraId="43E964D9" w14:textId="77777777" w:rsidR="000F45D6" w:rsidRPr="00540422" w:rsidRDefault="000F45D6" w:rsidP="000F45D6">
      <w:pPr>
        <w:spacing w:after="120"/>
        <w:contextualSpacing/>
        <w:rPr>
          <w:rFonts w:ascii="Arial Narrow" w:hAnsi="Arial Narrow"/>
          <w:snapToGrid w:val="0"/>
          <w:sz w:val="18"/>
          <w:szCs w:val="22"/>
        </w:rPr>
      </w:pPr>
      <w:r w:rsidRPr="00540422">
        <w:rPr>
          <w:rFonts w:ascii="Arial Narrow" w:hAnsi="Arial Narrow"/>
          <w:snapToGrid w:val="0"/>
          <w:sz w:val="18"/>
          <w:szCs w:val="22"/>
        </w:rPr>
        <w:t>Source: Tables 2 and 3, p5 Dunlop 2021</w:t>
      </w:r>
    </w:p>
    <w:p w14:paraId="6BCEAF5F" w14:textId="77777777" w:rsidR="000F45D6" w:rsidRPr="00540422" w:rsidRDefault="000F45D6" w:rsidP="000F45D6">
      <w:pPr>
        <w:spacing w:after="120"/>
        <w:contextualSpacing/>
        <w:rPr>
          <w:rFonts w:ascii="Arial Narrow" w:hAnsi="Arial Narrow"/>
          <w:snapToGrid w:val="0"/>
          <w:sz w:val="18"/>
          <w:szCs w:val="22"/>
        </w:rPr>
      </w:pPr>
      <w:r w:rsidRPr="00540422">
        <w:rPr>
          <w:rFonts w:ascii="Arial Narrow" w:hAnsi="Arial Narrow"/>
          <w:snapToGrid w:val="0"/>
          <w:sz w:val="18"/>
          <w:szCs w:val="22"/>
        </w:rPr>
        <w:t>Abbreviations: BPN, buprenorphine</w:t>
      </w:r>
    </w:p>
    <w:p w14:paraId="732AC7D8" w14:textId="77777777" w:rsidR="000F45D6" w:rsidRPr="00540422" w:rsidRDefault="000F45D6" w:rsidP="000F45D6">
      <w:pPr>
        <w:spacing w:after="120"/>
        <w:contextualSpacing/>
        <w:rPr>
          <w:rFonts w:ascii="Arial Narrow" w:hAnsi="Arial Narrow"/>
          <w:snapToGrid w:val="0"/>
          <w:sz w:val="18"/>
          <w:szCs w:val="22"/>
        </w:rPr>
      </w:pPr>
      <w:r w:rsidRPr="00540422">
        <w:rPr>
          <w:rFonts w:ascii="Arial Narrow" w:hAnsi="Arial Narrow"/>
          <w:snapToGrid w:val="0"/>
          <w:sz w:val="18"/>
          <w:szCs w:val="22"/>
        </w:rPr>
        <w:t>*Includes injection site mass and induration</w:t>
      </w:r>
    </w:p>
    <w:p w14:paraId="4B419EE2" w14:textId="77777777" w:rsidR="0078646B" w:rsidRPr="00540422" w:rsidRDefault="007D6208" w:rsidP="007D6208">
      <w:pPr>
        <w:pStyle w:val="ExecSumBodyText"/>
      </w:pPr>
      <w:r w:rsidRPr="00540422">
        <w:t xml:space="preserve">The most common adverse events in the study were consistent with those in HS-11-421 and HS-14-499, however the incidence of individual adverse events was </w:t>
      </w:r>
      <w:r w:rsidR="00B120B2" w:rsidRPr="00540422">
        <w:t xml:space="preserve">generally </w:t>
      </w:r>
      <w:r w:rsidRPr="00540422">
        <w:t>higher in dBC2531</w:t>
      </w:r>
      <w:r w:rsidR="00B120B2" w:rsidRPr="00540422">
        <w:t xml:space="preserve"> compared with HS-11-421 and HS-14-499</w:t>
      </w:r>
      <w:r w:rsidRPr="00540422">
        <w:t>. The most common adverse events were injection site pain (52%), constipation (51%), injection site swelling (34%), headache (28%), and injection site erythema (22%).</w:t>
      </w:r>
    </w:p>
    <w:p w14:paraId="2F790FDB" w14:textId="77777777" w:rsidR="001823F5" w:rsidRPr="00540422" w:rsidRDefault="001823F5" w:rsidP="001823F5">
      <w:pPr>
        <w:pStyle w:val="5-SubSubSubHead"/>
      </w:pPr>
      <w:r w:rsidRPr="00540422">
        <w:t>Safety data supporting the 160 mg monthly dose</w:t>
      </w:r>
      <w:r w:rsidR="009535DB" w:rsidRPr="00540422">
        <w:t xml:space="preserve"> of prolonged release buprenorphine</w:t>
      </w:r>
    </w:p>
    <w:p w14:paraId="52621089" w14:textId="77777777" w:rsidR="00161522" w:rsidRPr="00540422" w:rsidRDefault="00E643F8" w:rsidP="00797E16">
      <w:pPr>
        <w:pStyle w:val="ExecSumBodyText"/>
      </w:pPr>
      <w:r w:rsidRPr="00540422">
        <w:t>Prolonged release buprenorphine a</w:t>
      </w:r>
      <w:r w:rsidR="00B172A1" w:rsidRPr="00540422">
        <w:t>dverse event d</w:t>
      </w:r>
      <w:r w:rsidR="00095CBB" w:rsidRPr="00540422">
        <w:t xml:space="preserve">ata by dose </w:t>
      </w:r>
      <w:r w:rsidRPr="00540422">
        <w:t>have not been considered by the PBAC previously</w:t>
      </w:r>
      <w:r w:rsidR="00580FA0" w:rsidRPr="00540422">
        <w:t>.</w:t>
      </w:r>
    </w:p>
    <w:p w14:paraId="172138A8" w14:textId="77777777" w:rsidR="00A93501" w:rsidRPr="00540422" w:rsidRDefault="00A93501" w:rsidP="00A93501">
      <w:pPr>
        <w:pStyle w:val="ExecSumBodyText"/>
      </w:pPr>
      <w:r w:rsidRPr="00540422">
        <w:t xml:space="preserve">Analyses of adverse events by dose in trial HS-11-421 and adverse events by dose in HS-11-421 and HS-14-499 combined (see Table 13, p17 of the submission) show a trend of increasing incidence of adverse events with increasing doses of weekly prolonged release buprenorphine, but no dose response pattern with monthly prolonged release buprenorphine. The submission suggested that the different patterns between weekly and monthly dosing regimens are likely due to the higher frequency of visits, higher total number of injections and larger injection volume associated with weekly versus monthly dosing.  </w:t>
      </w:r>
    </w:p>
    <w:p w14:paraId="7087332F" w14:textId="77777777" w:rsidR="008B174D" w:rsidRPr="00540422" w:rsidRDefault="0020037B" w:rsidP="00797E16">
      <w:pPr>
        <w:pStyle w:val="ExecSumBodyText"/>
      </w:pPr>
      <w:r w:rsidRPr="00540422">
        <w:t>Nine (4.2%) of the 213 subjects</w:t>
      </w:r>
      <w:r w:rsidR="00501E76" w:rsidRPr="00540422">
        <w:t xml:space="preserve"> in the prolonged release buprenorphine arm </w:t>
      </w:r>
      <w:r w:rsidRPr="00540422">
        <w:t xml:space="preserve">of trial HS-11-421 </w:t>
      </w:r>
      <w:r w:rsidR="00064439" w:rsidRPr="00540422">
        <w:t xml:space="preserve">and 22 (9.7%) of the 227 subjects receiving prolonged release buprenorphine in study HS-14-499 </w:t>
      </w:r>
      <w:r w:rsidR="00501E76" w:rsidRPr="00540422">
        <w:t>were exposed to at least one dose of the 160 mg monthly formulation.</w:t>
      </w:r>
      <w:r w:rsidR="001F1FE6" w:rsidRPr="00540422">
        <w:t xml:space="preserve"> Of the 31 patients who received 160 mg prolonged release buprenorphine</w:t>
      </w:r>
      <w:r w:rsidR="003D7162" w:rsidRPr="00540422">
        <w:t xml:space="preserve"> in HS-11-421 and HS-14-499</w:t>
      </w:r>
      <w:r w:rsidR="001F1FE6" w:rsidRPr="00540422">
        <w:t>, 16 (51.6%) experienced at least one adverse event, one patient (3.2%) experienced a serious adverse event, and there were no deaths or adverse events leading to withdrawal.</w:t>
      </w:r>
    </w:p>
    <w:p w14:paraId="0DC38E15" w14:textId="77777777" w:rsidR="00797E16" w:rsidRPr="00540422" w:rsidRDefault="00797E16" w:rsidP="00797E16">
      <w:pPr>
        <w:pStyle w:val="ExecSumBodyText"/>
      </w:pPr>
      <w:r w:rsidRPr="00540422">
        <w:t xml:space="preserve">Table </w:t>
      </w:r>
      <w:r w:rsidR="008F2E7A" w:rsidRPr="00540422">
        <w:t>6</w:t>
      </w:r>
      <w:r w:rsidRPr="00540422">
        <w:t xml:space="preserve"> compares safety outcomes from the safety population of trial HS-17-585 and subjects in the trial who received at least one dose of 160 mg monthly prolonged release buprenorphine. </w:t>
      </w:r>
    </w:p>
    <w:p w14:paraId="222E86C9" w14:textId="77777777" w:rsidR="00797E16" w:rsidRPr="00540422" w:rsidRDefault="00797E16" w:rsidP="00797E16">
      <w:pPr>
        <w:pStyle w:val="Tableheadingrow"/>
        <w:rPr>
          <w:lang w:val="en-AU"/>
        </w:rPr>
      </w:pPr>
      <w:r w:rsidRPr="00540422">
        <w:rPr>
          <w:lang w:val="en-AU"/>
        </w:rPr>
        <w:t xml:space="preserve">Table </w:t>
      </w:r>
      <w:r w:rsidR="008F2E7A" w:rsidRPr="00540422">
        <w:rPr>
          <w:lang w:val="en-AU"/>
        </w:rPr>
        <w:t>6</w:t>
      </w:r>
      <w:r w:rsidRPr="00540422">
        <w:rPr>
          <w:lang w:val="en-AU"/>
        </w:rPr>
        <w:t>: Summary of treatment emergent adverse events in HS-17-585; n (%)</w:t>
      </w:r>
    </w:p>
    <w:tbl>
      <w:tblPr>
        <w:tblStyle w:val="TableGrid"/>
        <w:tblW w:w="5000" w:type="pct"/>
        <w:tblLayout w:type="fixed"/>
        <w:tblCellMar>
          <w:left w:w="57" w:type="dxa"/>
          <w:right w:w="57" w:type="dxa"/>
        </w:tblCellMar>
        <w:tblLook w:val="04A0" w:firstRow="1" w:lastRow="0" w:firstColumn="1" w:lastColumn="0" w:noHBand="0" w:noVBand="1"/>
        <w:tblCaption w:val="Table 6: Summary of treatment emergent adverse events in HS-17-585; n (%)"/>
      </w:tblPr>
      <w:tblGrid>
        <w:gridCol w:w="3823"/>
        <w:gridCol w:w="1731"/>
        <w:gridCol w:w="1731"/>
        <w:gridCol w:w="1732"/>
      </w:tblGrid>
      <w:tr w:rsidR="00797E16" w:rsidRPr="00540422" w14:paraId="47CE8532" w14:textId="77777777" w:rsidTr="00395CD4">
        <w:trPr>
          <w:tblHeader/>
        </w:trPr>
        <w:tc>
          <w:tcPr>
            <w:tcW w:w="3823" w:type="dxa"/>
            <w:vMerge w:val="restart"/>
            <w:vAlign w:val="center"/>
          </w:tcPr>
          <w:p w14:paraId="6DF5879C" w14:textId="77777777" w:rsidR="00797E16" w:rsidRPr="00540422" w:rsidRDefault="00797E16" w:rsidP="00395CD4">
            <w:pPr>
              <w:pStyle w:val="Tabletext0"/>
              <w:rPr>
                <w:b/>
                <w:bCs/>
              </w:rPr>
            </w:pPr>
            <w:r w:rsidRPr="00540422">
              <w:rPr>
                <w:b/>
                <w:bCs/>
              </w:rPr>
              <w:t>Category</w:t>
            </w:r>
          </w:p>
        </w:tc>
        <w:tc>
          <w:tcPr>
            <w:tcW w:w="3462" w:type="dxa"/>
            <w:gridSpan w:val="2"/>
            <w:tcBorders>
              <w:bottom w:val="single" w:sz="4" w:space="0" w:color="auto"/>
            </w:tcBorders>
            <w:vAlign w:val="center"/>
          </w:tcPr>
          <w:p w14:paraId="7F606D85" w14:textId="77777777" w:rsidR="00797E16" w:rsidRPr="00540422" w:rsidRDefault="00797E16" w:rsidP="00395CD4">
            <w:pPr>
              <w:pStyle w:val="Tabletext0"/>
              <w:jc w:val="center"/>
              <w:rPr>
                <w:b/>
              </w:rPr>
            </w:pPr>
            <w:r w:rsidRPr="00540422">
              <w:rPr>
                <w:b/>
              </w:rPr>
              <w:t>Safety population</w:t>
            </w:r>
          </w:p>
        </w:tc>
        <w:tc>
          <w:tcPr>
            <w:tcW w:w="1732" w:type="dxa"/>
            <w:vMerge w:val="restart"/>
          </w:tcPr>
          <w:p w14:paraId="31567F47" w14:textId="77777777" w:rsidR="00797E16" w:rsidRPr="00540422" w:rsidRDefault="00797E16" w:rsidP="00395CD4">
            <w:pPr>
              <w:pStyle w:val="Tabletext0"/>
              <w:jc w:val="center"/>
              <w:rPr>
                <w:b/>
              </w:rPr>
            </w:pPr>
            <w:r w:rsidRPr="00540422">
              <w:rPr>
                <w:b/>
              </w:rPr>
              <w:t xml:space="preserve">Subgroup receiving </w:t>
            </w:r>
          </w:p>
          <w:p w14:paraId="5E5D994A" w14:textId="77777777" w:rsidR="00797E16" w:rsidRPr="00540422" w:rsidRDefault="00797E16" w:rsidP="00395CD4">
            <w:pPr>
              <w:pStyle w:val="Tabletext0"/>
              <w:jc w:val="center"/>
              <w:rPr>
                <w:b/>
              </w:rPr>
            </w:pPr>
            <w:r w:rsidRPr="00540422">
              <w:rPr>
                <w:b/>
                <w:bCs/>
                <w:szCs w:val="20"/>
              </w:rPr>
              <w:t>160 mg prolonged release BPN (N=13)</w:t>
            </w:r>
          </w:p>
        </w:tc>
      </w:tr>
      <w:tr w:rsidR="00797E16" w:rsidRPr="00540422" w14:paraId="63B3C8ED" w14:textId="77777777" w:rsidTr="00395CD4">
        <w:trPr>
          <w:tblHeader/>
        </w:trPr>
        <w:tc>
          <w:tcPr>
            <w:tcW w:w="3823" w:type="dxa"/>
            <w:vMerge/>
            <w:tcBorders>
              <w:bottom w:val="single" w:sz="4" w:space="0" w:color="auto"/>
            </w:tcBorders>
            <w:vAlign w:val="center"/>
          </w:tcPr>
          <w:p w14:paraId="58D8BCC8" w14:textId="77777777" w:rsidR="00797E16" w:rsidRPr="00540422" w:rsidRDefault="00797E16" w:rsidP="00395CD4">
            <w:pPr>
              <w:pStyle w:val="Tabletext0"/>
              <w:rPr>
                <w:b/>
                <w:bCs/>
              </w:rPr>
            </w:pPr>
          </w:p>
        </w:tc>
        <w:tc>
          <w:tcPr>
            <w:tcW w:w="1731" w:type="dxa"/>
            <w:tcBorders>
              <w:bottom w:val="single" w:sz="4" w:space="0" w:color="auto"/>
            </w:tcBorders>
            <w:vAlign w:val="center"/>
          </w:tcPr>
          <w:p w14:paraId="0DCF3AE5" w14:textId="77777777" w:rsidR="00797E16" w:rsidRPr="00540422" w:rsidRDefault="00797E16" w:rsidP="00395CD4">
            <w:pPr>
              <w:pStyle w:val="Tabletext0"/>
              <w:jc w:val="center"/>
              <w:rPr>
                <w:b/>
              </w:rPr>
            </w:pPr>
            <w:r w:rsidRPr="00540422">
              <w:rPr>
                <w:b/>
              </w:rPr>
              <w:t>Prolonged release BPN (N=60)</w:t>
            </w:r>
          </w:p>
        </w:tc>
        <w:tc>
          <w:tcPr>
            <w:tcW w:w="1731" w:type="dxa"/>
            <w:tcBorders>
              <w:bottom w:val="single" w:sz="4" w:space="0" w:color="auto"/>
            </w:tcBorders>
            <w:vAlign w:val="center"/>
          </w:tcPr>
          <w:p w14:paraId="62132ECB" w14:textId="77777777" w:rsidR="00797E16" w:rsidRPr="00540422" w:rsidRDefault="00797E16" w:rsidP="00395CD4">
            <w:pPr>
              <w:pStyle w:val="Tabletext0"/>
              <w:jc w:val="center"/>
              <w:rPr>
                <w:b/>
              </w:rPr>
            </w:pPr>
            <w:r w:rsidRPr="00540422">
              <w:rPr>
                <w:b/>
              </w:rPr>
              <w:t>Sublingual BPN SOC (N=59)</w:t>
            </w:r>
          </w:p>
        </w:tc>
        <w:tc>
          <w:tcPr>
            <w:tcW w:w="1732" w:type="dxa"/>
            <w:vMerge/>
            <w:tcBorders>
              <w:bottom w:val="single" w:sz="4" w:space="0" w:color="auto"/>
            </w:tcBorders>
          </w:tcPr>
          <w:p w14:paraId="14F70627" w14:textId="77777777" w:rsidR="00797E16" w:rsidRPr="00540422" w:rsidRDefault="00797E16" w:rsidP="00395CD4">
            <w:pPr>
              <w:pStyle w:val="Tabletext0"/>
              <w:jc w:val="center"/>
              <w:rPr>
                <w:b/>
              </w:rPr>
            </w:pPr>
          </w:p>
        </w:tc>
      </w:tr>
      <w:tr w:rsidR="00797E16" w:rsidRPr="00540422" w14:paraId="6F29C7F8" w14:textId="77777777" w:rsidTr="00395CD4">
        <w:tc>
          <w:tcPr>
            <w:tcW w:w="3823" w:type="dxa"/>
            <w:tcBorders>
              <w:bottom w:val="single" w:sz="4" w:space="0" w:color="auto"/>
            </w:tcBorders>
          </w:tcPr>
          <w:p w14:paraId="0330263C" w14:textId="77777777" w:rsidR="00797E16" w:rsidRPr="00540422" w:rsidRDefault="00797E16" w:rsidP="00395CD4">
            <w:pPr>
              <w:pStyle w:val="Tabletext0"/>
            </w:pPr>
            <w:r w:rsidRPr="00540422">
              <w:t>Any adverse event</w:t>
            </w:r>
          </w:p>
        </w:tc>
        <w:tc>
          <w:tcPr>
            <w:tcW w:w="1731" w:type="dxa"/>
            <w:tcBorders>
              <w:top w:val="single" w:sz="4" w:space="0" w:color="auto"/>
              <w:left w:val="nil"/>
              <w:bottom w:val="single" w:sz="4" w:space="0" w:color="auto"/>
              <w:right w:val="single" w:sz="4" w:space="0" w:color="auto"/>
            </w:tcBorders>
            <w:shd w:val="clear" w:color="auto" w:fill="auto"/>
            <w:vAlign w:val="center"/>
          </w:tcPr>
          <w:p w14:paraId="6937821E" w14:textId="77777777" w:rsidR="00797E16" w:rsidRPr="00540422" w:rsidRDefault="00797E16" w:rsidP="00395CD4">
            <w:pPr>
              <w:pStyle w:val="Tabletext0"/>
              <w:jc w:val="center"/>
            </w:pPr>
            <w:r w:rsidRPr="00540422">
              <w:t>54 (90.0%)</w:t>
            </w:r>
          </w:p>
        </w:tc>
        <w:tc>
          <w:tcPr>
            <w:tcW w:w="1731" w:type="dxa"/>
            <w:tcBorders>
              <w:top w:val="single" w:sz="4" w:space="0" w:color="auto"/>
              <w:left w:val="nil"/>
              <w:bottom w:val="single" w:sz="4" w:space="0" w:color="auto"/>
              <w:right w:val="single" w:sz="4" w:space="0" w:color="auto"/>
            </w:tcBorders>
            <w:shd w:val="clear" w:color="auto" w:fill="auto"/>
            <w:vAlign w:val="center"/>
          </w:tcPr>
          <w:p w14:paraId="1187AD31" w14:textId="77777777" w:rsidR="00797E16" w:rsidRPr="00540422" w:rsidRDefault="00797E16" w:rsidP="00395CD4">
            <w:pPr>
              <w:pStyle w:val="Tabletext0"/>
              <w:jc w:val="center"/>
            </w:pPr>
            <w:r w:rsidRPr="00540422">
              <w:t>49 (83.1%)</w:t>
            </w:r>
          </w:p>
        </w:tc>
        <w:tc>
          <w:tcPr>
            <w:tcW w:w="1732" w:type="dxa"/>
            <w:tcBorders>
              <w:top w:val="single" w:sz="4" w:space="0" w:color="auto"/>
              <w:left w:val="nil"/>
              <w:bottom w:val="single" w:sz="4" w:space="0" w:color="auto"/>
              <w:right w:val="single" w:sz="4" w:space="0" w:color="auto"/>
            </w:tcBorders>
          </w:tcPr>
          <w:p w14:paraId="1D0BF7AF" w14:textId="77777777" w:rsidR="00797E16" w:rsidRPr="00540422" w:rsidRDefault="00797E16" w:rsidP="00395CD4">
            <w:pPr>
              <w:pStyle w:val="Tabletext0"/>
              <w:jc w:val="center"/>
            </w:pPr>
            <w:r w:rsidRPr="00540422">
              <w:t>9 (69.2%)</w:t>
            </w:r>
          </w:p>
        </w:tc>
      </w:tr>
      <w:tr w:rsidR="00797E16" w:rsidRPr="00540422" w14:paraId="5E57822F" w14:textId="77777777" w:rsidTr="00395CD4">
        <w:tc>
          <w:tcPr>
            <w:tcW w:w="3823" w:type="dxa"/>
            <w:tcBorders>
              <w:top w:val="single" w:sz="4" w:space="0" w:color="auto"/>
              <w:bottom w:val="nil"/>
            </w:tcBorders>
          </w:tcPr>
          <w:p w14:paraId="30E9554E" w14:textId="77777777" w:rsidR="00797E16" w:rsidRPr="00540422" w:rsidRDefault="00797E16" w:rsidP="00395CD4">
            <w:pPr>
              <w:pStyle w:val="Tabletext0"/>
            </w:pPr>
            <w:r w:rsidRPr="00540422">
              <w:t>Drug-related adverse event</w:t>
            </w:r>
          </w:p>
        </w:tc>
        <w:tc>
          <w:tcPr>
            <w:tcW w:w="1731" w:type="dxa"/>
            <w:tcBorders>
              <w:top w:val="single" w:sz="4" w:space="0" w:color="auto"/>
              <w:left w:val="nil"/>
              <w:bottom w:val="nil"/>
              <w:right w:val="single" w:sz="4" w:space="0" w:color="auto"/>
            </w:tcBorders>
            <w:shd w:val="clear" w:color="auto" w:fill="auto"/>
            <w:vAlign w:val="center"/>
          </w:tcPr>
          <w:p w14:paraId="027A4D82" w14:textId="77777777" w:rsidR="00797E16" w:rsidRPr="00540422" w:rsidRDefault="00797E16" w:rsidP="00395CD4">
            <w:pPr>
              <w:pStyle w:val="Tabletext0"/>
              <w:jc w:val="center"/>
            </w:pPr>
            <w:r w:rsidRPr="00540422">
              <w:t>39 (65.0%)</w:t>
            </w:r>
          </w:p>
        </w:tc>
        <w:tc>
          <w:tcPr>
            <w:tcW w:w="1731" w:type="dxa"/>
            <w:tcBorders>
              <w:top w:val="single" w:sz="4" w:space="0" w:color="auto"/>
              <w:left w:val="nil"/>
              <w:bottom w:val="nil"/>
              <w:right w:val="single" w:sz="4" w:space="0" w:color="auto"/>
            </w:tcBorders>
            <w:shd w:val="clear" w:color="auto" w:fill="auto"/>
            <w:vAlign w:val="center"/>
          </w:tcPr>
          <w:p w14:paraId="28FC223C" w14:textId="77777777" w:rsidR="00797E16" w:rsidRPr="00540422" w:rsidRDefault="00797E16" w:rsidP="00395CD4">
            <w:pPr>
              <w:pStyle w:val="Tabletext0"/>
              <w:jc w:val="center"/>
            </w:pPr>
            <w:r w:rsidRPr="00540422">
              <w:t>12 (20.3%)</w:t>
            </w:r>
          </w:p>
        </w:tc>
        <w:tc>
          <w:tcPr>
            <w:tcW w:w="1732" w:type="dxa"/>
            <w:tcBorders>
              <w:top w:val="single" w:sz="4" w:space="0" w:color="auto"/>
              <w:left w:val="nil"/>
              <w:bottom w:val="nil"/>
              <w:right w:val="single" w:sz="4" w:space="0" w:color="auto"/>
            </w:tcBorders>
          </w:tcPr>
          <w:p w14:paraId="6BBA1F81" w14:textId="77777777" w:rsidR="00797E16" w:rsidRPr="00540422" w:rsidRDefault="00797E16" w:rsidP="00395CD4">
            <w:pPr>
              <w:pStyle w:val="Tabletext0"/>
              <w:jc w:val="center"/>
            </w:pPr>
            <w:r w:rsidRPr="00540422">
              <w:t>6 (46.2%)</w:t>
            </w:r>
          </w:p>
        </w:tc>
      </w:tr>
      <w:tr w:rsidR="00797E16" w:rsidRPr="00540422" w14:paraId="26AABF6F" w14:textId="77777777" w:rsidTr="00395CD4">
        <w:tc>
          <w:tcPr>
            <w:tcW w:w="3823" w:type="dxa"/>
            <w:tcBorders>
              <w:top w:val="nil"/>
              <w:bottom w:val="nil"/>
            </w:tcBorders>
          </w:tcPr>
          <w:p w14:paraId="5E2A3BAF" w14:textId="77777777" w:rsidR="00797E16" w:rsidRPr="00540422" w:rsidRDefault="00797E16" w:rsidP="00395CD4">
            <w:pPr>
              <w:pStyle w:val="Tabletext0"/>
              <w:ind w:left="170"/>
            </w:pPr>
            <w:r w:rsidRPr="00540422">
              <w:t>Injection site pain</w:t>
            </w:r>
          </w:p>
        </w:tc>
        <w:tc>
          <w:tcPr>
            <w:tcW w:w="1731" w:type="dxa"/>
            <w:tcBorders>
              <w:top w:val="nil"/>
              <w:left w:val="nil"/>
              <w:bottom w:val="nil"/>
              <w:right w:val="single" w:sz="4" w:space="0" w:color="auto"/>
            </w:tcBorders>
            <w:shd w:val="clear" w:color="auto" w:fill="auto"/>
          </w:tcPr>
          <w:p w14:paraId="15409705" w14:textId="77777777" w:rsidR="00797E16" w:rsidRPr="00540422" w:rsidRDefault="00797E16" w:rsidP="00395CD4">
            <w:pPr>
              <w:pStyle w:val="Tabletext0"/>
              <w:jc w:val="center"/>
            </w:pPr>
            <w:r w:rsidRPr="00540422">
              <w:t>11 (18.3%)</w:t>
            </w:r>
          </w:p>
        </w:tc>
        <w:tc>
          <w:tcPr>
            <w:tcW w:w="1731" w:type="dxa"/>
            <w:tcBorders>
              <w:top w:val="nil"/>
              <w:left w:val="nil"/>
              <w:bottom w:val="nil"/>
              <w:right w:val="single" w:sz="4" w:space="0" w:color="auto"/>
            </w:tcBorders>
            <w:shd w:val="clear" w:color="auto" w:fill="auto"/>
          </w:tcPr>
          <w:p w14:paraId="69EE6A9D" w14:textId="77777777" w:rsidR="00797E16" w:rsidRPr="00540422" w:rsidRDefault="00797E16" w:rsidP="00395CD4">
            <w:pPr>
              <w:pStyle w:val="Tabletext0"/>
              <w:jc w:val="center"/>
            </w:pPr>
            <w:r w:rsidRPr="00540422">
              <w:t>0 (0%)</w:t>
            </w:r>
          </w:p>
        </w:tc>
        <w:tc>
          <w:tcPr>
            <w:tcW w:w="1732" w:type="dxa"/>
            <w:tcBorders>
              <w:top w:val="nil"/>
              <w:left w:val="nil"/>
              <w:bottom w:val="nil"/>
              <w:right w:val="single" w:sz="4" w:space="0" w:color="auto"/>
            </w:tcBorders>
          </w:tcPr>
          <w:p w14:paraId="7A7CF408" w14:textId="77777777" w:rsidR="00797E16" w:rsidRPr="00540422" w:rsidRDefault="00797E16" w:rsidP="00395CD4">
            <w:pPr>
              <w:pStyle w:val="Tabletext0"/>
              <w:jc w:val="center"/>
            </w:pPr>
            <w:r w:rsidRPr="00540422">
              <w:t>1 (7.7%)</w:t>
            </w:r>
          </w:p>
        </w:tc>
      </w:tr>
      <w:tr w:rsidR="00797E16" w:rsidRPr="00540422" w14:paraId="7578BEA3" w14:textId="77777777" w:rsidTr="00395CD4">
        <w:tc>
          <w:tcPr>
            <w:tcW w:w="3823" w:type="dxa"/>
            <w:tcBorders>
              <w:top w:val="nil"/>
              <w:bottom w:val="nil"/>
            </w:tcBorders>
          </w:tcPr>
          <w:p w14:paraId="7F7EC7C8" w14:textId="77777777" w:rsidR="00797E16" w:rsidRPr="00540422" w:rsidRDefault="00797E16" w:rsidP="00395CD4">
            <w:pPr>
              <w:pStyle w:val="Tabletext0"/>
              <w:ind w:left="170"/>
            </w:pPr>
            <w:r w:rsidRPr="00540422">
              <w:t>Injection site mass</w:t>
            </w:r>
          </w:p>
        </w:tc>
        <w:tc>
          <w:tcPr>
            <w:tcW w:w="1731" w:type="dxa"/>
            <w:tcBorders>
              <w:top w:val="nil"/>
              <w:left w:val="nil"/>
              <w:bottom w:val="nil"/>
              <w:right w:val="single" w:sz="4" w:space="0" w:color="auto"/>
            </w:tcBorders>
            <w:shd w:val="clear" w:color="auto" w:fill="auto"/>
          </w:tcPr>
          <w:p w14:paraId="3DC34848" w14:textId="77777777" w:rsidR="00797E16" w:rsidRPr="00540422" w:rsidRDefault="00797E16" w:rsidP="00395CD4">
            <w:pPr>
              <w:pStyle w:val="Tabletext0"/>
              <w:jc w:val="center"/>
            </w:pPr>
            <w:r w:rsidRPr="00540422">
              <w:t>10 (16.7%)</w:t>
            </w:r>
          </w:p>
        </w:tc>
        <w:tc>
          <w:tcPr>
            <w:tcW w:w="1731" w:type="dxa"/>
            <w:tcBorders>
              <w:top w:val="nil"/>
              <w:left w:val="nil"/>
              <w:bottom w:val="nil"/>
              <w:right w:val="single" w:sz="4" w:space="0" w:color="auto"/>
            </w:tcBorders>
            <w:shd w:val="clear" w:color="auto" w:fill="auto"/>
          </w:tcPr>
          <w:p w14:paraId="07B8B91E" w14:textId="77777777" w:rsidR="00797E16" w:rsidRPr="00540422" w:rsidRDefault="00797E16" w:rsidP="00395CD4">
            <w:pPr>
              <w:pStyle w:val="Tabletext0"/>
              <w:jc w:val="center"/>
            </w:pPr>
            <w:r w:rsidRPr="00540422">
              <w:t>0 (0%)</w:t>
            </w:r>
          </w:p>
        </w:tc>
        <w:tc>
          <w:tcPr>
            <w:tcW w:w="1732" w:type="dxa"/>
            <w:tcBorders>
              <w:top w:val="nil"/>
              <w:left w:val="nil"/>
              <w:bottom w:val="nil"/>
              <w:right w:val="single" w:sz="4" w:space="0" w:color="auto"/>
            </w:tcBorders>
          </w:tcPr>
          <w:p w14:paraId="54A267E6" w14:textId="77777777" w:rsidR="00797E16" w:rsidRPr="00540422" w:rsidRDefault="00797E16" w:rsidP="00395CD4">
            <w:pPr>
              <w:pStyle w:val="Tabletext0"/>
              <w:jc w:val="center"/>
            </w:pPr>
            <w:r w:rsidRPr="00540422">
              <w:t>2 (15.4%)</w:t>
            </w:r>
          </w:p>
        </w:tc>
      </w:tr>
      <w:tr w:rsidR="00797E16" w:rsidRPr="00540422" w14:paraId="761E61B3" w14:textId="77777777" w:rsidTr="00395CD4">
        <w:tc>
          <w:tcPr>
            <w:tcW w:w="3823" w:type="dxa"/>
            <w:tcBorders>
              <w:top w:val="nil"/>
              <w:bottom w:val="nil"/>
            </w:tcBorders>
          </w:tcPr>
          <w:p w14:paraId="34367C7C" w14:textId="77777777" w:rsidR="00797E16" w:rsidRPr="00540422" w:rsidRDefault="00797E16" w:rsidP="00395CD4">
            <w:pPr>
              <w:pStyle w:val="Tabletext0"/>
              <w:ind w:left="170"/>
            </w:pPr>
            <w:r w:rsidRPr="00540422">
              <w:t>Injection site bruising</w:t>
            </w:r>
          </w:p>
        </w:tc>
        <w:tc>
          <w:tcPr>
            <w:tcW w:w="1731" w:type="dxa"/>
            <w:tcBorders>
              <w:top w:val="nil"/>
              <w:left w:val="nil"/>
              <w:bottom w:val="nil"/>
              <w:right w:val="single" w:sz="4" w:space="0" w:color="auto"/>
            </w:tcBorders>
            <w:shd w:val="clear" w:color="auto" w:fill="auto"/>
          </w:tcPr>
          <w:p w14:paraId="295271E5" w14:textId="77777777" w:rsidR="00797E16" w:rsidRPr="00540422" w:rsidRDefault="00797E16" w:rsidP="00395CD4">
            <w:pPr>
              <w:pStyle w:val="Tabletext0"/>
              <w:jc w:val="center"/>
            </w:pPr>
            <w:r w:rsidRPr="00540422">
              <w:t>5 (8.3%)</w:t>
            </w:r>
          </w:p>
        </w:tc>
        <w:tc>
          <w:tcPr>
            <w:tcW w:w="1731" w:type="dxa"/>
            <w:tcBorders>
              <w:top w:val="nil"/>
              <w:left w:val="nil"/>
              <w:bottom w:val="nil"/>
              <w:right w:val="single" w:sz="4" w:space="0" w:color="auto"/>
            </w:tcBorders>
            <w:shd w:val="clear" w:color="auto" w:fill="auto"/>
          </w:tcPr>
          <w:p w14:paraId="5AE837A8" w14:textId="77777777" w:rsidR="00797E16" w:rsidRPr="00540422" w:rsidRDefault="00797E16" w:rsidP="00395CD4">
            <w:pPr>
              <w:pStyle w:val="Tabletext0"/>
              <w:jc w:val="center"/>
            </w:pPr>
            <w:r w:rsidRPr="00540422">
              <w:t>0 (0%)</w:t>
            </w:r>
          </w:p>
        </w:tc>
        <w:tc>
          <w:tcPr>
            <w:tcW w:w="1732" w:type="dxa"/>
            <w:tcBorders>
              <w:top w:val="nil"/>
              <w:left w:val="nil"/>
              <w:bottom w:val="nil"/>
              <w:right w:val="single" w:sz="4" w:space="0" w:color="auto"/>
            </w:tcBorders>
          </w:tcPr>
          <w:p w14:paraId="19ABFD3A" w14:textId="77777777" w:rsidR="00797E16" w:rsidRPr="00540422" w:rsidRDefault="00797E16" w:rsidP="00395CD4">
            <w:pPr>
              <w:pStyle w:val="Tabletext0"/>
              <w:jc w:val="center"/>
            </w:pPr>
            <w:r w:rsidRPr="00540422">
              <w:t>0 (0%)</w:t>
            </w:r>
          </w:p>
        </w:tc>
      </w:tr>
      <w:tr w:rsidR="00797E16" w:rsidRPr="00540422" w14:paraId="50452DA6" w14:textId="77777777" w:rsidTr="00395CD4">
        <w:tc>
          <w:tcPr>
            <w:tcW w:w="3823" w:type="dxa"/>
            <w:tcBorders>
              <w:top w:val="nil"/>
              <w:bottom w:val="nil"/>
            </w:tcBorders>
          </w:tcPr>
          <w:p w14:paraId="069702BF" w14:textId="77777777" w:rsidR="00797E16" w:rsidRPr="00540422" w:rsidRDefault="00797E16" w:rsidP="00395CD4">
            <w:pPr>
              <w:pStyle w:val="Tabletext0"/>
              <w:ind w:left="170"/>
            </w:pPr>
            <w:r w:rsidRPr="00540422">
              <w:t>Injection site erythema</w:t>
            </w:r>
          </w:p>
        </w:tc>
        <w:tc>
          <w:tcPr>
            <w:tcW w:w="1731" w:type="dxa"/>
            <w:tcBorders>
              <w:top w:val="nil"/>
              <w:left w:val="nil"/>
              <w:bottom w:val="nil"/>
              <w:right w:val="single" w:sz="4" w:space="0" w:color="auto"/>
            </w:tcBorders>
            <w:shd w:val="clear" w:color="auto" w:fill="auto"/>
          </w:tcPr>
          <w:p w14:paraId="6A511075" w14:textId="77777777" w:rsidR="00797E16" w:rsidRPr="00540422" w:rsidRDefault="00797E16" w:rsidP="00395CD4">
            <w:pPr>
              <w:pStyle w:val="Tabletext0"/>
              <w:jc w:val="center"/>
            </w:pPr>
            <w:r w:rsidRPr="00540422">
              <w:t>3 (5.0%)</w:t>
            </w:r>
          </w:p>
        </w:tc>
        <w:tc>
          <w:tcPr>
            <w:tcW w:w="1731" w:type="dxa"/>
            <w:tcBorders>
              <w:top w:val="nil"/>
              <w:left w:val="nil"/>
              <w:bottom w:val="nil"/>
              <w:right w:val="single" w:sz="4" w:space="0" w:color="auto"/>
            </w:tcBorders>
            <w:shd w:val="clear" w:color="auto" w:fill="auto"/>
          </w:tcPr>
          <w:p w14:paraId="42F145C0" w14:textId="77777777" w:rsidR="00797E16" w:rsidRPr="00540422" w:rsidRDefault="00797E16" w:rsidP="00395CD4">
            <w:pPr>
              <w:pStyle w:val="Tabletext0"/>
              <w:jc w:val="center"/>
            </w:pPr>
            <w:r w:rsidRPr="00540422">
              <w:t>0 (0%)</w:t>
            </w:r>
          </w:p>
        </w:tc>
        <w:tc>
          <w:tcPr>
            <w:tcW w:w="1732" w:type="dxa"/>
            <w:tcBorders>
              <w:top w:val="nil"/>
              <w:left w:val="nil"/>
              <w:bottom w:val="nil"/>
              <w:right w:val="single" w:sz="4" w:space="0" w:color="auto"/>
            </w:tcBorders>
          </w:tcPr>
          <w:p w14:paraId="3D0DAA25" w14:textId="77777777" w:rsidR="00797E16" w:rsidRPr="00540422" w:rsidRDefault="00797E16" w:rsidP="00395CD4">
            <w:pPr>
              <w:pStyle w:val="Tabletext0"/>
              <w:jc w:val="center"/>
            </w:pPr>
            <w:r w:rsidRPr="00540422">
              <w:t>0 (0%)</w:t>
            </w:r>
          </w:p>
        </w:tc>
      </w:tr>
      <w:tr w:rsidR="00797E16" w:rsidRPr="00540422" w14:paraId="7B1E69B4" w14:textId="77777777" w:rsidTr="00395CD4">
        <w:tc>
          <w:tcPr>
            <w:tcW w:w="3823" w:type="dxa"/>
            <w:tcBorders>
              <w:top w:val="nil"/>
              <w:bottom w:val="single" w:sz="4" w:space="0" w:color="auto"/>
            </w:tcBorders>
          </w:tcPr>
          <w:p w14:paraId="08F51BD7" w14:textId="77777777" w:rsidR="00797E16" w:rsidRPr="00540422" w:rsidRDefault="00797E16" w:rsidP="00395CD4">
            <w:pPr>
              <w:pStyle w:val="Tabletext0"/>
              <w:ind w:left="170"/>
            </w:pPr>
            <w:r w:rsidRPr="00540422">
              <w:t>Injection site vesicles</w:t>
            </w:r>
          </w:p>
        </w:tc>
        <w:tc>
          <w:tcPr>
            <w:tcW w:w="1731" w:type="dxa"/>
            <w:tcBorders>
              <w:top w:val="nil"/>
              <w:left w:val="nil"/>
              <w:bottom w:val="single" w:sz="4" w:space="0" w:color="auto"/>
              <w:right w:val="single" w:sz="4" w:space="0" w:color="auto"/>
            </w:tcBorders>
            <w:shd w:val="clear" w:color="auto" w:fill="auto"/>
            <w:vAlign w:val="center"/>
          </w:tcPr>
          <w:p w14:paraId="3E39B51D" w14:textId="77777777" w:rsidR="00797E16" w:rsidRPr="00540422" w:rsidRDefault="00797E16" w:rsidP="00395CD4">
            <w:pPr>
              <w:pStyle w:val="Tabletext0"/>
              <w:jc w:val="center"/>
            </w:pPr>
            <w:r w:rsidRPr="00540422">
              <w:t>1 (1.7%)</w:t>
            </w:r>
          </w:p>
        </w:tc>
        <w:tc>
          <w:tcPr>
            <w:tcW w:w="1731" w:type="dxa"/>
            <w:tcBorders>
              <w:top w:val="nil"/>
              <w:left w:val="nil"/>
              <w:bottom w:val="single" w:sz="4" w:space="0" w:color="auto"/>
              <w:right w:val="single" w:sz="4" w:space="0" w:color="auto"/>
            </w:tcBorders>
            <w:shd w:val="clear" w:color="auto" w:fill="auto"/>
            <w:vAlign w:val="center"/>
          </w:tcPr>
          <w:p w14:paraId="46E5E13E" w14:textId="77777777" w:rsidR="00797E16" w:rsidRPr="00540422" w:rsidRDefault="00797E16" w:rsidP="00395CD4">
            <w:pPr>
              <w:pStyle w:val="Tabletext0"/>
              <w:jc w:val="center"/>
            </w:pPr>
            <w:r w:rsidRPr="00540422">
              <w:t>0 (0%)</w:t>
            </w:r>
          </w:p>
        </w:tc>
        <w:tc>
          <w:tcPr>
            <w:tcW w:w="1732" w:type="dxa"/>
            <w:tcBorders>
              <w:top w:val="nil"/>
              <w:left w:val="nil"/>
              <w:bottom w:val="single" w:sz="4" w:space="0" w:color="auto"/>
              <w:right w:val="single" w:sz="4" w:space="0" w:color="auto"/>
            </w:tcBorders>
          </w:tcPr>
          <w:p w14:paraId="7BFEDAD7" w14:textId="77777777" w:rsidR="00797E16" w:rsidRPr="00540422" w:rsidRDefault="00797E16" w:rsidP="00395CD4">
            <w:pPr>
              <w:pStyle w:val="Tabletext0"/>
              <w:jc w:val="center"/>
            </w:pPr>
            <w:r w:rsidRPr="00540422">
              <w:t>1 (7.7%)</w:t>
            </w:r>
          </w:p>
        </w:tc>
      </w:tr>
      <w:tr w:rsidR="00797E16" w:rsidRPr="00540422" w14:paraId="46037476" w14:textId="77777777" w:rsidTr="00395CD4">
        <w:tc>
          <w:tcPr>
            <w:tcW w:w="3823" w:type="dxa"/>
            <w:tcBorders>
              <w:top w:val="single" w:sz="4" w:space="0" w:color="auto"/>
              <w:bottom w:val="single" w:sz="4" w:space="0" w:color="auto"/>
            </w:tcBorders>
          </w:tcPr>
          <w:p w14:paraId="58CA2B7B" w14:textId="77777777" w:rsidR="00797E16" w:rsidRPr="00540422" w:rsidRDefault="00797E16" w:rsidP="00395CD4">
            <w:pPr>
              <w:pStyle w:val="Tabletext0"/>
            </w:pPr>
            <w:r w:rsidRPr="00540422">
              <w:t>Serious adverse event</w:t>
            </w:r>
          </w:p>
        </w:tc>
        <w:tc>
          <w:tcPr>
            <w:tcW w:w="1731" w:type="dxa"/>
            <w:tcBorders>
              <w:top w:val="single" w:sz="4" w:space="0" w:color="auto"/>
              <w:left w:val="nil"/>
              <w:bottom w:val="single" w:sz="4" w:space="0" w:color="auto"/>
              <w:right w:val="single" w:sz="4" w:space="0" w:color="auto"/>
            </w:tcBorders>
            <w:shd w:val="clear" w:color="auto" w:fill="auto"/>
            <w:vAlign w:val="center"/>
          </w:tcPr>
          <w:p w14:paraId="5EF2E8B8" w14:textId="77777777" w:rsidR="00797E16" w:rsidRPr="00540422" w:rsidRDefault="00797E16" w:rsidP="00395CD4">
            <w:pPr>
              <w:pStyle w:val="Tabletext0"/>
              <w:jc w:val="center"/>
            </w:pPr>
            <w:r w:rsidRPr="00540422">
              <w:t>9 (15.0%)</w:t>
            </w:r>
          </w:p>
        </w:tc>
        <w:tc>
          <w:tcPr>
            <w:tcW w:w="1731" w:type="dxa"/>
            <w:tcBorders>
              <w:top w:val="single" w:sz="4" w:space="0" w:color="auto"/>
              <w:left w:val="nil"/>
              <w:bottom w:val="single" w:sz="4" w:space="0" w:color="auto"/>
              <w:right w:val="single" w:sz="4" w:space="0" w:color="auto"/>
            </w:tcBorders>
            <w:shd w:val="clear" w:color="auto" w:fill="auto"/>
            <w:vAlign w:val="center"/>
          </w:tcPr>
          <w:p w14:paraId="27D6CF49" w14:textId="77777777" w:rsidR="00797E16" w:rsidRPr="00540422" w:rsidRDefault="00797E16" w:rsidP="00395CD4">
            <w:pPr>
              <w:pStyle w:val="Tabletext0"/>
              <w:jc w:val="center"/>
            </w:pPr>
            <w:r w:rsidRPr="00540422">
              <w:t>9 (15.3%)</w:t>
            </w:r>
          </w:p>
        </w:tc>
        <w:tc>
          <w:tcPr>
            <w:tcW w:w="1732" w:type="dxa"/>
            <w:tcBorders>
              <w:top w:val="single" w:sz="4" w:space="0" w:color="auto"/>
              <w:left w:val="nil"/>
              <w:bottom w:val="single" w:sz="4" w:space="0" w:color="auto"/>
              <w:right w:val="single" w:sz="4" w:space="0" w:color="auto"/>
            </w:tcBorders>
          </w:tcPr>
          <w:p w14:paraId="76DAE155" w14:textId="77777777" w:rsidR="00797E16" w:rsidRPr="00540422" w:rsidRDefault="00797E16" w:rsidP="00395CD4">
            <w:pPr>
              <w:pStyle w:val="Tabletext0"/>
              <w:jc w:val="center"/>
            </w:pPr>
            <w:r w:rsidRPr="00540422">
              <w:t>1 (7.7%)</w:t>
            </w:r>
          </w:p>
        </w:tc>
      </w:tr>
      <w:tr w:rsidR="00797E16" w:rsidRPr="00540422" w14:paraId="558BCC76" w14:textId="77777777" w:rsidTr="00395CD4">
        <w:tc>
          <w:tcPr>
            <w:tcW w:w="3823" w:type="dxa"/>
            <w:tcBorders>
              <w:top w:val="single" w:sz="4" w:space="0" w:color="auto"/>
              <w:bottom w:val="single" w:sz="4" w:space="0" w:color="auto"/>
            </w:tcBorders>
          </w:tcPr>
          <w:p w14:paraId="0D97B301" w14:textId="77777777" w:rsidR="00797E16" w:rsidRPr="00540422" w:rsidRDefault="00797E16" w:rsidP="00395CD4">
            <w:pPr>
              <w:pStyle w:val="Tabletext0"/>
            </w:pPr>
            <w:r w:rsidRPr="00540422">
              <w:t>Drug-related serious adverse event</w:t>
            </w:r>
          </w:p>
        </w:tc>
        <w:tc>
          <w:tcPr>
            <w:tcW w:w="1731" w:type="dxa"/>
            <w:tcBorders>
              <w:top w:val="single" w:sz="4" w:space="0" w:color="auto"/>
              <w:left w:val="nil"/>
              <w:bottom w:val="single" w:sz="4" w:space="0" w:color="auto"/>
              <w:right w:val="single" w:sz="4" w:space="0" w:color="auto"/>
            </w:tcBorders>
            <w:shd w:val="clear" w:color="auto" w:fill="auto"/>
            <w:vAlign w:val="center"/>
          </w:tcPr>
          <w:p w14:paraId="0FBAE291" w14:textId="77777777" w:rsidR="00797E16" w:rsidRPr="00540422" w:rsidRDefault="00797E16" w:rsidP="00395CD4">
            <w:pPr>
              <w:pStyle w:val="Tabletext0"/>
              <w:jc w:val="center"/>
            </w:pPr>
            <w:r w:rsidRPr="00540422">
              <w:t>1 (1.7%)</w:t>
            </w:r>
          </w:p>
        </w:tc>
        <w:tc>
          <w:tcPr>
            <w:tcW w:w="1731" w:type="dxa"/>
            <w:tcBorders>
              <w:top w:val="single" w:sz="4" w:space="0" w:color="auto"/>
              <w:left w:val="nil"/>
              <w:bottom w:val="single" w:sz="4" w:space="0" w:color="auto"/>
              <w:right w:val="single" w:sz="4" w:space="0" w:color="auto"/>
            </w:tcBorders>
            <w:shd w:val="clear" w:color="auto" w:fill="auto"/>
          </w:tcPr>
          <w:p w14:paraId="0F9286CE" w14:textId="77777777" w:rsidR="00797E16" w:rsidRPr="00540422" w:rsidRDefault="00797E16" w:rsidP="00395CD4">
            <w:pPr>
              <w:pStyle w:val="Tabletext0"/>
              <w:jc w:val="center"/>
            </w:pPr>
            <w:r w:rsidRPr="00540422">
              <w:t>0 (0%)</w:t>
            </w:r>
          </w:p>
        </w:tc>
        <w:tc>
          <w:tcPr>
            <w:tcW w:w="1732" w:type="dxa"/>
            <w:tcBorders>
              <w:top w:val="single" w:sz="4" w:space="0" w:color="auto"/>
              <w:left w:val="nil"/>
              <w:bottom w:val="single" w:sz="4" w:space="0" w:color="auto"/>
              <w:right w:val="single" w:sz="4" w:space="0" w:color="auto"/>
            </w:tcBorders>
          </w:tcPr>
          <w:p w14:paraId="034A542C" w14:textId="77777777" w:rsidR="00797E16" w:rsidRPr="00540422" w:rsidRDefault="00797E16" w:rsidP="00395CD4">
            <w:pPr>
              <w:pStyle w:val="Tabletext0"/>
              <w:jc w:val="center"/>
            </w:pPr>
            <w:r w:rsidRPr="00540422">
              <w:t>1 (7.7%)</w:t>
            </w:r>
          </w:p>
        </w:tc>
      </w:tr>
      <w:tr w:rsidR="00797E16" w:rsidRPr="00540422" w14:paraId="58E3673D" w14:textId="77777777" w:rsidTr="00395CD4">
        <w:tc>
          <w:tcPr>
            <w:tcW w:w="3823" w:type="dxa"/>
            <w:tcBorders>
              <w:top w:val="single" w:sz="4" w:space="0" w:color="auto"/>
              <w:bottom w:val="single" w:sz="4" w:space="0" w:color="auto"/>
            </w:tcBorders>
          </w:tcPr>
          <w:p w14:paraId="6F2FB8B6" w14:textId="77777777" w:rsidR="00797E16" w:rsidRPr="00540422" w:rsidRDefault="00797E16" w:rsidP="00395CD4">
            <w:pPr>
              <w:pStyle w:val="Tabletext0"/>
            </w:pPr>
            <w:r w:rsidRPr="00540422">
              <w:t>Discontinued study drug due to an adverse event</w:t>
            </w:r>
          </w:p>
        </w:tc>
        <w:tc>
          <w:tcPr>
            <w:tcW w:w="1731" w:type="dxa"/>
            <w:tcBorders>
              <w:top w:val="single" w:sz="4" w:space="0" w:color="auto"/>
              <w:left w:val="nil"/>
              <w:bottom w:val="single" w:sz="4" w:space="0" w:color="auto"/>
              <w:right w:val="single" w:sz="4" w:space="0" w:color="auto"/>
            </w:tcBorders>
            <w:shd w:val="clear" w:color="auto" w:fill="auto"/>
          </w:tcPr>
          <w:p w14:paraId="14CE19E7" w14:textId="77777777" w:rsidR="00797E16" w:rsidRPr="00540422" w:rsidRDefault="00797E16" w:rsidP="00395CD4">
            <w:pPr>
              <w:pStyle w:val="Tabletext0"/>
              <w:jc w:val="center"/>
            </w:pPr>
            <w:r w:rsidRPr="00540422">
              <w:t>0 (0%)</w:t>
            </w:r>
          </w:p>
        </w:tc>
        <w:tc>
          <w:tcPr>
            <w:tcW w:w="1731" w:type="dxa"/>
            <w:tcBorders>
              <w:top w:val="single" w:sz="4" w:space="0" w:color="auto"/>
              <w:left w:val="nil"/>
              <w:bottom w:val="single" w:sz="4" w:space="0" w:color="auto"/>
              <w:right w:val="single" w:sz="4" w:space="0" w:color="auto"/>
            </w:tcBorders>
            <w:shd w:val="clear" w:color="auto" w:fill="auto"/>
          </w:tcPr>
          <w:p w14:paraId="41C46917" w14:textId="77777777" w:rsidR="00797E16" w:rsidRPr="00540422" w:rsidRDefault="00797E16" w:rsidP="00395CD4">
            <w:pPr>
              <w:pStyle w:val="Tabletext0"/>
              <w:jc w:val="center"/>
            </w:pPr>
            <w:r w:rsidRPr="00540422">
              <w:t>0 (0%)</w:t>
            </w:r>
          </w:p>
        </w:tc>
        <w:tc>
          <w:tcPr>
            <w:tcW w:w="1732" w:type="dxa"/>
            <w:tcBorders>
              <w:top w:val="single" w:sz="4" w:space="0" w:color="auto"/>
              <w:left w:val="nil"/>
              <w:bottom w:val="single" w:sz="4" w:space="0" w:color="auto"/>
              <w:right w:val="single" w:sz="4" w:space="0" w:color="auto"/>
            </w:tcBorders>
          </w:tcPr>
          <w:p w14:paraId="27007DB6" w14:textId="77777777" w:rsidR="00797E16" w:rsidRPr="00540422" w:rsidRDefault="00797E16" w:rsidP="00395CD4">
            <w:pPr>
              <w:pStyle w:val="Tabletext0"/>
              <w:jc w:val="center"/>
            </w:pPr>
            <w:r w:rsidRPr="00540422">
              <w:t>0 (0%)</w:t>
            </w:r>
          </w:p>
        </w:tc>
      </w:tr>
      <w:tr w:rsidR="00797E16" w:rsidRPr="00540422" w14:paraId="485A0FEC" w14:textId="77777777" w:rsidTr="00395CD4">
        <w:tc>
          <w:tcPr>
            <w:tcW w:w="3823" w:type="dxa"/>
            <w:tcBorders>
              <w:top w:val="single" w:sz="4" w:space="0" w:color="auto"/>
              <w:bottom w:val="single" w:sz="4" w:space="0" w:color="auto"/>
            </w:tcBorders>
          </w:tcPr>
          <w:p w14:paraId="26FC6AE0" w14:textId="77777777" w:rsidR="00797E16" w:rsidRPr="00540422" w:rsidRDefault="00797E16" w:rsidP="00395CD4">
            <w:pPr>
              <w:pStyle w:val="Tabletext0"/>
            </w:pPr>
            <w:r w:rsidRPr="00540422">
              <w:t>Death</w:t>
            </w:r>
          </w:p>
        </w:tc>
        <w:tc>
          <w:tcPr>
            <w:tcW w:w="1731" w:type="dxa"/>
            <w:tcBorders>
              <w:top w:val="single" w:sz="4" w:space="0" w:color="auto"/>
              <w:left w:val="nil"/>
              <w:bottom w:val="single" w:sz="4" w:space="0" w:color="auto"/>
              <w:right w:val="single" w:sz="4" w:space="0" w:color="auto"/>
            </w:tcBorders>
            <w:shd w:val="clear" w:color="auto" w:fill="auto"/>
          </w:tcPr>
          <w:p w14:paraId="3C9CD370" w14:textId="77777777" w:rsidR="00797E16" w:rsidRPr="00540422" w:rsidRDefault="00797E16" w:rsidP="00395CD4">
            <w:pPr>
              <w:pStyle w:val="Tabletext0"/>
              <w:jc w:val="center"/>
            </w:pPr>
            <w:r w:rsidRPr="00540422">
              <w:t>0 (0%)</w:t>
            </w:r>
          </w:p>
        </w:tc>
        <w:tc>
          <w:tcPr>
            <w:tcW w:w="1731" w:type="dxa"/>
            <w:tcBorders>
              <w:top w:val="single" w:sz="4" w:space="0" w:color="auto"/>
              <w:left w:val="nil"/>
              <w:bottom w:val="single" w:sz="4" w:space="0" w:color="auto"/>
              <w:right w:val="single" w:sz="4" w:space="0" w:color="auto"/>
            </w:tcBorders>
            <w:shd w:val="clear" w:color="auto" w:fill="auto"/>
          </w:tcPr>
          <w:p w14:paraId="67685523" w14:textId="77777777" w:rsidR="00797E16" w:rsidRPr="00540422" w:rsidRDefault="00797E16" w:rsidP="00395CD4">
            <w:pPr>
              <w:pStyle w:val="Tabletext0"/>
              <w:jc w:val="center"/>
            </w:pPr>
            <w:r w:rsidRPr="00540422">
              <w:t>0 (0%)</w:t>
            </w:r>
          </w:p>
        </w:tc>
        <w:tc>
          <w:tcPr>
            <w:tcW w:w="1732" w:type="dxa"/>
            <w:tcBorders>
              <w:top w:val="single" w:sz="4" w:space="0" w:color="auto"/>
              <w:left w:val="nil"/>
              <w:bottom w:val="single" w:sz="4" w:space="0" w:color="auto"/>
              <w:right w:val="single" w:sz="4" w:space="0" w:color="auto"/>
            </w:tcBorders>
          </w:tcPr>
          <w:p w14:paraId="28971DAC" w14:textId="77777777" w:rsidR="00797E16" w:rsidRPr="00540422" w:rsidRDefault="00797E16" w:rsidP="00395CD4">
            <w:pPr>
              <w:pStyle w:val="Tabletext0"/>
              <w:jc w:val="center"/>
            </w:pPr>
            <w:r w:rsidRPr="00540422">
              <w:t>0 (0%)</w:t>
            </w:r>
          </w:p>
        </w:tc>
      </w:tr>
    </w:tbl>
    <w:p w14:paraId="4221B2AA" w14:textId="77777777" w:rsidR="00797E16" w:rsidRPr="00540422" w:rsidRDefault="00797E16" w:rsidP="00797E16">
      <w:pPr>
        <w:pStyle w:val="TableFigureFooter"/>
      </w:pPr>
      <w:r w:rsidRPr="00540422">
        <w:t>Source: Table 15, p19 of the submission</w:t>
      </w:r>
    </w:p>
    <w:p w14:paraId="21D00D1C" w14:textId="77777777" w:rsidR="00797E16" w:rsidRPr="00540422" w:rsidRDefault="00797E16" w:rsidP="00797E16">
      <w:pPr>
        <w:pStyle w:val="TableFigureFooter"/>
      </w:pPr>
      <w:r w:rsidRPr="00540422">
        <w:t>Abbreviations: BPN, buprenorphine; SOC, standard of care</w:t>
      </w:r>
    </w:p>
    <w:p w14:paraId="4593AD7C" w14:textId="77777777" w:rsidR="00797E16" w:rsidRPr="00540422" w:rsidRDefault="00E80143" w:rsidP="00797E16">
      <w:pPr>
        <w:pStyle w:val="ExecSumBodyText"/>
      </w:pPr>
      <w:r w:rsidRPr="00540422">
        <w:t>In trial HS-17-585, 13 (</w:t>
      </w:r>
      <w:r w:rsidR="009C4551" w:rsidRPr="00540422">
        <w:t>21.7</w:t>
      </w:r>
      <w:r w:rsidRPr="00540422">
        <w:t xml:space="preserve">%) </w:t>
      </w:r>
      <w:r w:rsidR="007F6B4C" w:rsidRPr="00540422">
        <w:t xml:space="preserve">of the 60 subjects in the prolonged release buprenorphine arm were exposed to at least one dose of the 160 mg monthly formulation. </w:t>
      </w:r>
      <w:r w:rsidR="00797E16" w:rsidRPr="00540422">
        <w:t xml:space="preserve">Nine (69.2%) of the 13 patients receiving at least one dose of </w:t>
      </w:r>
      <w:r w:rsidR="009C4551" w:rsidRPr="00540422">
        <w:t xml:space="preserve">the </w:t>
      </w:r>
      <w:r w:rsidR="00797E16" w:rsidRPr="00540422">
        <w:t xml:space="preserve">160 mg </w:t>
      </w:r>
      <w:r w:rsidR="009C4551" w:rsidRPr="00540422">
        <w:t>formulation</w:t>
      </w:r>
      <w:r w:rsidR="00797E16" w:rsidRPr="00540422">
        <w:t xml:space="preserve"> experienced at least one adverse event, with six patients (46.2%) experiencing treatment-related adverse events. Adverse events that were reported by more than one patient receiving 160 mg monthly prolonged release buprenorphine were injection site mass (reported by 2 patients) and lower respiratory tract infection (reported by 2 patients).</w:t>
      </w:r>
    </w:p>
    <w:p w14:paraId="4D733E5F" w14:textId="77777777" w:rsidR="001823F5" w:rsidRPr="00540422" w:rsidRDefault="00797E16" w:rsidP="00912319">
      <w:pPr>
        <w:pStyle w:val="ExecSumBodyText"/>
      </w:pPr>
      <w:r w:rsidRPr="00540422">
        <w:t xml:space="preserve">In study dBC2531, 27 (40.3%) of the 67 subjects in the prolonged release buprenorphine arm were exposed to at least one dose of the 160 mg monthly formulation. The study publication </w:t>
      </w:r>
      <w:r w:rsidR="005139B3" w:rsidRPr="00540422">
        <w:t xml:space="preserve">(Dunlop 2021) </w:t>
      </w:r>
      <w:r w:rsidRPr="00540422">
        <w:t xml:space="preserve">does not report adverse events by dose, however, in a statement to the TGA, the study’s chief investigator noted that a higher prevalence of side effects was not seen in the group administered 160 mg monthly prolonged release buprenorphine doses compared to other weekly or monthly doses (Attachment 1 to the submission: Investigator statement to TGA 10 March 2020). </w:t>
      </w:r>
    </w:p>
    <w:p w14:paraId="592C918F" w14:textId="77777777" w:rsidR="007F1017" w:rsidRPr="00540422" w:rsidRDefault="007F1017" w:rsidP="00D86231">
      <w:pPr>
        <w:pStyle w:val="3-SubsectionHeading"/>
      </w:pPr>
      <w:bookmarkStart w:id="16" w:name="_Toc22897643"/>
      <w:bookmarkStart w:id="17" w:name="_Toc82522444"/>
      <w:r w:rsidRPr="00540422">
        <w:t>Benefits/harms</w:t>
      </w:r>
      <w:bookmarkEnd w:id="16"/>
      <w:bookmarkEnd w:id="17"/>
    </w:p>
    <w:p w14:paraId="1DD90CFE" w14:textId="77777777" w:rsidR="00FC1884" w:rsidRPr="00540422" w:rsidRDefault="002F1F2B" w:rsidP="002F1F2B">
      <w:pPr>
        <w:pStyle w:val="ExecSumBodyText"/>
        <w:rPr>
          <w:iCs/>
        </w:rPr>
      </w:pPr>
      <w:r w:rsidRPr="00540422">
        <w:rPr>
          <w:iCs/>
          <w:snapToGrid/>
        </w:rPr>
        <w:t xml:space="preserve">A benefits/harms summary was not presented due to the </w:t>
      </w:r>
      <w:r w:rsidR="005E013A" w:rsidRPr="00540422">
        <w:rPr>
          <w:iCs/>
          <w:snapToGrid/>
        </w:rPr>
        <w:t xml:space="preserve">previously accepted </w:t>
      </w:r>
      <w:r w:rsidRPr="00540422">
        <w:rPr>
          <w:iCs/>
          <w:snapToGrid/>
        </w:rPr>
        <w:t>claim of non</w:t>
      </w:r>
      <w:r w:rsidR="008722AF" w:rsidRPr="00540422">
        <w:rPr>
          <w:iCs/>
          <w:snapToGrid/>
        </w:rPr>
        <w:t>-</w:t>
      </w:r>
      <w:r w:rsidRPr="00540422">
        <w:rPr>
          <w:iCs/>
          <w:snapToGrid/>
        </w:rPr>
        <w:t>inferiority</w:t>
      </w:r>
      <w:r w:rsidR="005E013A" w:rsidRPr="00540422">
        <w:rPr>
          <w:iCs/>
          <w:snapToGrid/>
        </w:rPr>
        <w:t xml:space="preserve"> of prolonged release buprenorphine to sublingual buprenorphine/</w:t>
      </w:r>
      <w:r w:rsidR="00FD07E4" w:rsidRPr="00540422">
        <w:rPr>
          <w:iCs/>
          <w:snapToGrid/>
        </w:rPr>
        <w:t xml:space="preserve"> </w:t>
      </w:r>
      <w:r w:rsidR="005E013A" w:rsidRPr="00540422">
        <w:rPr>
          <w:iCs/>
          <w:snapToGrid/>
        </w:rPr>
        <w:t>naloxone</w:t>
      </w:r>
      <w:r w:rsidR="0011377A" w:rsidRPr="00540422">
        <w:rPr>
          <w:iCs/>
          <w:snapToGrid/>
        </w:rPr>
        <w:t xml:space="preserve"> (</w:t>
      </w:r>
      <w:r w:rsidR="003D47A7" w:rsidRPr="00540422">
        <w:rPr>
          <w:iCs/>
          <w:snapToGrid/>
        </w:rPr>
        <w:t xml:space="preserve">para 7.8, Buprenorphine PSD, November 2018 PBAC meeting; </w:t>
      </w:r>
      <w:r w:rsidR="00B41F5D" w:rsidRPr="00540422">
        <w:rPr>
          <w:iCs/>
          <w:snapToGrid/>
        </w:rPr>
        <w:t>para 7.4, Buprenorphine PSD, March 2019 PBAC meeting)</w:t>
      </w:r>
      <w:r w:rsidRPr="00540422">
        <w:rPr>
          <w:iCs/>
          <w:snapToGrid/>
        </w:rPr>
        <w:t>.</w:t>
      </w:r>
    </w:p>
    <w:p w14:paraId="2AD43149" w14:textId="77777777" w:rsidR="00B60939" w:rsidRPr="00540422" w:rsidRDefault="00B60939" w:rsidP="00E9094A">
      <w:pPr>
        <w:pStyle w:val="3-SubsectionHeading"/>
      </w:pPr>
      <w:bookmarkStart w:id="18" w:name="_Toc22897644"/>
      <w:bookmarkStart w:id="19" w:name="_Toc82522445"/>
      <w:r w:rsidRPr="00540422">
        <w:t>Clinical claim</w:t>
      </w:r>
      <w:bookmarkEnd w:id="18"/>
      <w:bookmarkEnd w:id="19"/>
    </w:p>
    <w:p w14:paraId="29737C29" w14:textId="77777777" w:rsidR="0021024A" w:rsidRPr="00540422" w:rsidRDefault="0021024A" w:rsidP="0021024A">
      <w:pPr>
        <w:pStyle w:val="ExecSumBodyText"/>
        <w:rPr>
          <w:iCs/>
        </w:rPr>
      </w:pPr>
      <w:r w:rsidRPr="00540422">
        <w:t xml:space="preserve">No formal clinical claim was made in the submission. </w:t>
      </w:r>
      <w:r w:rsidRPr="00540422">
        <w:rPr>
          <w:iCs/>
        </w:rPr>
        <w:t xml:space="preserve">The PBAC previously accepted a </w:t>
      </w:r>
      <w:r w:rsidRPr="00540422">
        <w:rPr>
          <w:iCs/>
          <w:snapToGrid/>
        </w:rPr>
        <w:t>claim of non</w:t>
      </w:r>
      <w:r w:rsidR="00DF3C8C" w:rsidRPr="00540422">
        <w:rPr>
          <w:iCs/>
          <w:snapToGrid/>
        </w:rPr>
        <w:t>-</w:t>
      </w:r>
      <w:r w:rsidRPr="00540422">
        <w:rPr>
          <w:iCs/>
          <w:snapToGrid/>
        </w:rPr>
        <w:t>inferiority of prolonged release buprenorphine to sublingual buprenorphine/naloxone (para 7.8, Buprenorphine PSD, November 2018 PBAC meeting; para 7.4, Buprenorphine PSD, March 2019 PBAC meeting). The cost minimisation analysis of prolonged release buprenorphine versus sublingual buprenorphine/naloxone presented in the current submission is consistent with a claim of non</w:t>
      </w:r>
      <w:r w:rsidR="008722AF" w:rsidRPr="00540422">
        <w:rPr>
          <w:iCs/>
          <w:snapToGrid/>
        </w:rPr>
        <w:t>-</w:t>
      </w:r>
      <w:r w:rsidRPr="00540422">
        <w:rPr>
          <w:iCs/>
          <w:snapToGrid/>
        </w:rPr>
        <w:t>inferiority.</w:t>
      </w:r>
    </w:p>
    <w:p w14:paraId="4E6F050A" w14:textId="77777777" w:rsidR="00F1718D" w:rsidRPr="00540422" w:rsidRDefault="00F1718D" w:rsidP="00E9094A">
      <w:pPr>
        <w:pStyle w:val="ExecSumBodyText"/>
      </w:pPr>
      <w:r w:rsidRPr="00540422">
        <w:t xml:space="preserve">The data presented in the submission to support the proposed changes to the restriction (adding the 160 mg monthly dose; allowing direct initiation) were based on the evidence submitted to the TGA to support the recently approved changes to the prolonged release buprenorphine restriction and product information. </w:t>
      </w:r>
    </w:p>
    <w:p w14:paraId="142129CD" w14:textId="77777777" w:rsidR="0084158F" w:rsidRPr="002E7996" w:rsidRDefault="00F1718D" w:rsidP="0084158F">
      <w:pPr>
        <w:pStyle w:val="ExecSumBodyText"/>
        <w:rPr>
          <w:iCs/>
        </w:rPr>
      </w:pPr>
      <w:r w:rsidRPr="00540422">
        <w:t>Evidence of the efficacy and safety of direct initiation with the weekly formulation of prolonged release buprenorphine compared with sublingual buprenorphine/naloxone was based on the evidence previously considered by the PBAC (HS-11-421, HS-14-499), as well as additional evidence from study dBC2531, conducted in patients in custodial settings in New South Wales</w:t>
      </w:r>
      <w:r w:rsidRPr="00540422">
        <w:rPr>
          <w:i/>
          <w:iCs/>
        </w:rPr>
        <w:t xml:space="preserve">. </w:t>
      </w:r>
      <w:r w:rsidRPr="00540422">
        <w:rPr>
          <w:iCs/>
        </w:rPr>
        <w:t>In November 2018, the PBAC considered that the evidence from HS-11-</w:t>
      </w:r>
      <w:r w:rsidRPr="002E7996">
        <w:rPr>
          <w:iCs/>
        </w:rPr>
        <w:t>421 and HS-14-499 supported a claim of non</w:t>
      </w:r>
      <w:r w:rsidR="008722AF" w:rsidRPr="002E7996">
        <w:rPr>
          <w:iCs/>
        </w:rPr>
        <w:t>-</w:t>
      </w:r>
      <w:r w:rsidRPr="002E7996">
        <w:rPr>
          <w:iCs/>
        </w:rPr>
        <w:t>inferior efficacy and safety of prolonged release buprenorphine compared to sublingual buprenorphine/</w:t>
      </w:r>
      <w:r w:rsidR="00FE6870">
        <w:rPr>
          <w:iCs/>
        </w:rPr>
        <w:t>naloxone</w:t>
      </w:r>
      <w:r w:rsidR="00FE6870" w:rsidRPr="002E7996">
        <w:rPr>
          <w:iCs/>
        </w:rPr>
        <w:t xml:space="preserve"> </w:t>
      </w:r>
      <w:r w:rsidRPr="002E7996">
        <w:rPr>
          <w:iCs/>
        </w:rPr>
        <w:t>(para 7.8, Buprenorphine PSD, November 2018 PBAC meeting). Additional evidence presented in the submission from study dBC2531 is consistent with non</w:t>
      </w:r>
      <w:r w:rsidR="008722AF" w:rsidRPr="002E7996">
        <w:rPr>
          <w:iCs/>
        </w:rPr>
        <w:t>-</w:t>
      </w:r>
      <w:r w:rsidRPr="002E7996">
        <w:rPr>
          <w:iCs/>
        </w:rPr>
        <w:t>inferior efficacy and safety.</w:t>
      </w:r>
      <w:r w:rsidR="008722AF" w:rsidRPr="002E7996">
        <w:rPr>
          <w:iCs/>
        </w:rPr>
        <w:t xml:space="preserve"> </w:t>
      </w:r>
      <w:r w:rsidR="00857328" w:rsidRPr="002E7996">
        <w:t xml:space="preserve">The ESC considered that the available evidence supported direct initiation with the weekly formulation of prolonged release buprenorphine. </w:t>
      </w:r>
    </w:p>
    <w:p w14:paraId="574D56CB" w14:textId="77777777" w:rsidR="00415A40" w:rsidRDefault="00296C4F" w:rsidP="0084158F">
      <w:pPr>
        <w:pStyle w:val="ExecSumBodyText"/>
        <w:rPr>
          <w:iCs/>
        </w:rPr>
      </w:pPr>
      <w:r w:rsidRPr="002E7996">
        <w:t xml:space="preserve">No efficacy data were provided for the use of the 160 mg monthly dose of prolonged release buprenorphine. However, evidence previously considered by the PBAC from HS-11-421 and HS-14-499 included patients receiving this dose strength, and analysis of the HS-11-421 study data for key outcomes, excluding data from patients receiving the 160 mg dose strength, showed no difference in treatment effect to the ITT population. </w:t>
      </w:r>
      <w:r w:rsidR="00415A40" w:rsidRPr="002E7996">
        <w:rPr>
          <w:iCs/>
        </w:rPr>
        <w:t xml:space="preserve">The ESC noted that </w:t>
      </w:r>
      <w:r w:rsidR="00415A40" w:rsidRPr="002E7996">
        <w:t>s</w:t>
      </w:r>
      <w:r w:rsidRPr="002E7996">
        <w:t>afety data were presented from studies HS-11-421, HS-14-499 and HS-17-585 for the subgroup of patients who received the 160 mg monthly dose, with results indicating similar proportions of adverse events compared to the ITT populations, and no evidence of a dose response pattern with the monthly formulation.</w:t>
      </w:r>
      <w:r w:rsidR="00415A40" w:rsidRPr="002E7996">
        <w:t xml:space="preserve"> </w:t>
      </w:r>
      <w:r w:rsidR="00415A40" w:rsidRPr="002E7996">
        <w:rPr>
          <w:iCs/>
        </w:rPr>
        <w:t>The ESC considered that new data from study dBC2531, in which 40% of patients received 160 mg monthly, supported the efficacy of the higher dose strength. On balance, the ESC was supportive of the request to list the 160 mg monthly dose</w:t>
      </w:r>
      <w:r w:rsidR="00444E8C" w:rsidRPr="002E7996">
        <w:rPr>
          <w:iCs/>
        </w:rPr>
        <w:t xml:space="preserve"> (noting that the sponsor proposed the same price as the other monthly </w:t>
      </w:r>
      <w:r w:rsidR="00A05E89" w:rsidRPr="002E7996">
        <w:rPr>
          <w:iCs/>
        </w:rPr>
        <w:t>formulations</w:t>
      </w:r>
      <w:r w:rsidR="00444E8C" w:rsidRPr="002E7996">
        <w:rPr>
          <w:iCs/>
        </w:rPr>
        <w:t xml:space="preserve">). </w:t>
      </w:r>
    </w:p>
    <w:p w14:paraId="4D0781DC" w14:textId="77777777" w:rsidR="00B60939" w:rsidRPr="00540422" w:rsidRDefault="00B60939" w:rsidP="00E9094A">
      <w:pPr>
        <w:pStyle w:val="3-SubsectionHeading"/>
      </w:pPr>
      <w:bookmarkStart w:id="20" w:name="_Toc22897645"/>
      <w:bookmarkStart w:id="21" w:name="_Toc82522446"/>
      <w:r w:rsidRPr="00540422">
        <w:t>Economic analysis</w:t>
      </w:r>
      <w:bookmarkEnd w:id="20"/>
      <w:bookmarkEnd w:id="21"/>
      <w:r w:rsidR="00491B3A" w:rsidRPr="00540422">
        <w:t xml:space="preserve"> </w:t>
      </w:r>
    </w:p>
    <w:p w14:paraId="340DC624" w14:textId="77777777" w:rsidR="00FC1DB1" w:rsidRPr="00540422" w:rsidRDefault="00FC1DB1" w:rsidP="00FC1DB1">
      <w:pPr>
        <w:pStyle w:val="ExecSumBodyText"/>
      </w:pPr>
      <w:r w:rsidRPr="00540422">
        <w:t>The submission presented a cost minimisation analysis of prolonged release buprenorphine based on the previously accepted claim of non</w:t>
      </w:r>
      <w:r w:rsidR="008722AF" w:rsidRPr="00540422">
        <w:t>-</w:t>
      </w:r>
      <w:r w:rsidRPr="00540422">
        <w:t>inferior efficacy and safety compared to sublingual buprenorphine/naloxone (para 7.8, Buprenorphine PSD, November 2018 PBAC meeting; para 7.4, Buprenorphine PSD, March 2019 PBAC meeting).</w:t>
      </w:r>
    </w:p>
    <w:p w14:paraId="0F77182A" w14:textId="77777777" w:rsidR="00194056" w:rsidRPr="00540422" w:rsidRDefault="00194056" w:rsidP="00194056">
      <w:pPr>
        <w:pStyle w:val="ExecSumBodyText"/>
        <w:numPr>
          <w:ilvl w:val="1"/>
          <w:numId w:val="1"/>
        </w:numPr>
      </w:pPr>
      <w:bookmarkStart w:id="22" w:name="_Hlk82423351"/>
      <w:r w:rsidRPr="00540422">
        <w:rPr>
          <w:rFonts w:cs="Calibri"/>
        </w:rPr>
        <w:t xml:space="preserve">At the March 2019 meeting the PBAC recommended prolonged release buprenorphine on a cost minimisation </w:t>
      </w:r>
      <w:r w:rsidR="004E0D83" w:rsidRPr="00540422">
        <w:rPr>
          <w:rFonts w:cs="Calibri"/>
        </w:rPr>
        <w:t>basis</w:t>
      </w:r>
      <w:r w:rsidRPr="00540422">
        <w:rPr>
          <w:rFonts w:cs="Calibri"/>
        </w:rPr>
        <w:t xml:space="preserve"> versus sublingual buprenorphine</w:t>
      </w:r>
      <w:r w:rsidRPr="00540422">
        <w:rPr>
          <w:rFonts w:cs="Calibri"/>
          <w:color w:val="000000"/>
        </w:rPr>
        <w:t>/</w:t>
      </w:r>
      <w:r w:rsidR="004E0D83" w:rsidRPr="00540422">
        <w:rPr>
          <w:rFonts w:cs="Calibri"/>
          <w:color w:val="000000"/>
        </w:rPr>
        <w:t xml:space="preserve"> </w:t>
      </w:r>
      <w:r w:rsidRPr="00540422">
        <w:rPr>
          <w:rFonts w:cs="Calibri"/>
          <w:color w:val="000000"/>
        </w:rPr>
        <w:t xml:space="preserve">naloxone, and noted that cost effectiveness was acceptable based on drug costs alone, </w:t>
      </w:r>
      <w:r w:rsidR="001C08CC" w:rsidRPr="00540422">
        <w:rPr>
          <w:iCs/>
        </w:rPr>
        <w:t xml:space="preserve">flat priced on a per day basis across dose strengths, at an equi-effective dose of 18.34 mg/day of sublingual buprenorphine/naloxone, with a </w:t>
      </w:r>
      <w:r w:rsidR="009E2AA7">
        <w:rPr>
          <w:bCs/>
          <w:iCs/>
          <w:noProof/>
          <w:color w:val="000000"/>
          <w:highlight w:val="black"/>
        </w:rPr>
        <w:t>'''''</w:t>
      </w:r>
      <w:r w:rsidR="001C08CC" w:rsidRPr="00540422">
        <w:rPr>
          <w:bCs/>
          <w:iCs/>
        </w:rPr>
        <w:t>% price premium</w:t>
      </w:r>
      <w:r w:rsidR="001C08CC" w:rsidRPr="00540422">
        <w:rPr>
          <w:b/>
          <w:bCs/>
          <w:iCs/>
        </w:rPr>
        <w:t xml:space="preserve"> </w:t>
      </w:r>
      <w:r w:rsidRPr="00540422">
        <w:rPr>
          <w:rFonts w:cs="Calibri"/>
          <w:color w:val="000000"/>
        </w:rPr>
        <w:t>(para 7.1</w:t>
      </w:r>
      <w:r w:rsidR="008523AA" w:rsidRPr="00540422">
        <w:rPr>
          <w:rFonts w:cs="Calibri"/>
          <w:color w:val="000000"/>
        </w:rPr>
        <w:t xml:space="preserve"> and 7.5</w:t>
      </w:r>
      <w:r w:rsidR="00EC3E85" w:rsidRPr="00540422">
        <w:rPr>
          <w:rFonts w:cs="Calibri"/>
          <w:color w:val="000000"/>
        </w:rPr>
        <w:t>, Buprenorphine</w:t>
      </w:r>
      <w:r w:rsidR="0063294C" w:rsidRPr="00540422">
        <w:rPr>
          <w:rFonts w:cs="Calibri"/>
          <w:color w:val="000000"/>
        </w:rPr>
        <w:t xml:space="preserve"> </w:t>
      </w:r>
      <w:r w:rsidR="008D63CA">
        <w:rPr>
          <w:rFonts w:cs="Calibri"/>
          <w:color w:val="000000"/>
        </w:rPr>
        <w:t>PSD</w:t>
      </w:r>
      <w:r w:rsidRPr="00540422">
        <w:rPr>
          <w:rFonts w:cs="Calibri"/>
          <w:color w:val="000000"/>
        </w:rPr>
        <w:t>, March 2019 PBAC meeting). T</w:t>
      </w:r>
      <w:r w:rsidRPr="00540422">
        <w:t>he PBAC considered that the MBS prescribing and administration costs included in the cost minimisation analysis could not be reliably estimated until the practice model is known following implementation</w:t>
      </w:r>
      <w:r w:rsidR="00E623FF" w:rsidRPr="00540422">
        <w:t>, and that it was inappropriate to include private patient fees in the cost minimisation analysis</w:t>
      </w:r>
      <w:r w:rsidRPr="00540422">
        <w:t xml:space="preserve"> (para 7.5, Buprenorphine PSD, March 2019 PBAC meeting).</w:t>
      </w:r>
    </w:p>
    <w:bookmarkEnd w:id="22"/>
    <w:p w14:paraId="66E6C8DD" w14:textId="77777777" w:rsidR="00194056" w:rsidRPr="00540422" w:rsidRDefault="00194056" w:rsidP="00194056">
      <w:pPr>
        <w:pStyle w:val="ExecSumBodyText"/>
        <w:numPr>
          <w:ilvl w:val="1"/>
          <w:numId w:val="1"/>
        </w:numPr>
      </w:pPr>
      <w:r w:rsidRPr="00540422">
        <w:t>The estimated equi-effective doses used in the submission were unchanged from those accepted by the PBAC at the March 2019 meeting</w:t>
      </w:r>
      <w:r w:rsidR="00BB4613" w:rsidRPr="00540422">
        <w:t xml:space="preserve"> </w:t>
      </w:r>
      <w:r w:rsidR="00BB4613" w:rsidRPr="00540422">
        <w:rPr>
          <w:rFonts w:cs="Calibri"/>
          <w:color w:val="000000"/>
        </w:rPr>
        <w:t>(para 7.2, Buprenorphine PSD, March 2019 PBAC meeting).</w:t>
      </w:r>
    </w:p>
    <w:p w14:paraId="3EB4BCAC" w14:textId="77777777" w:rsidR="00194056" w:rsidRPr="00540422" w:rsidRDefault="00194056" w:rsidP="00194056">
      <w:pPr>
        <w:spacing w:after="120"/>
        <w:ind w:left="720"/>
        <w:rPr>
          <w:rFonts w:asciiTheme="minorHAnsi" w:hAnsiTheme="minorHAnsi"/>
        </w:rPr>
      </w:pPr>
      <w:r w:rsidRPr="00540422">
        <w:rPr>
          <w:rFonts w:asciiTheme="minorHAnsi" w:hAnsiTheme="minorHAnsi"/>
        </w:rPr>
        <w:t>Prolonged release buprenorphine 50 mg/mL weekly and 356 mg/mL monthly are equivalent to 18.34 mg sublingual buprenorphine/naloxone daily.</w:t>
      </w:r>
    </w:p>
    <w:p w14:paraId="36B6EC06" w14:textId="77777777" w:rsidR="00194056" w:rsidRPr="00540422" w:rsidRDefault="00194056" w:rsidP="00194056">
      <w:pPr>
        <w:pStyle w:val="ExecSumBodyText"/>
        <w:numPr>
          <w:ilvl w:val="1"/>
          <w:numId w:val="1"/>
        </w:numPr>
      </w:pPr>
      <w:r w:rsidRPr="00540422">
        <w:t>The calculated cost per day of sublingual buprenorphine/naloxone ($</w:t>
      </w:r>
      <w:r w:rsidR="009E2AA7">
        <w:rPr>
          <w:noProof/>
          <w:color w:val="000000"/>
          <w:highlight w:val="black"/>
        </w:rPr>
        <w:t>''''''''''''</w:t>
      </w:r>
      <w:r w:rsidRPr="00DB4814">
        <w:t xml:space="preserve">) </w:t>
      </w:r>
      <w:r w:rsidRPr="00540422">
        <w:t xml:space="preserve">was based on the equi-effective doses, and was unchanged from the March 2019 minor resubmission. </w:t>
      </w:r>
    </w:p>
    <w:p w14:paraId="22897E58" w14:textId="77777777" w:rsidR="008D4867" w:rsidRPr="00540422" w:rsidRDefault="00194056" w:rsidP="00194056">
      <w:pPr>
        <w:pStyle w:val="ExecSumBodyText"/>
        <w:numPr>
          <w:ilvl w:val="1"/>
          <w:numId w:val="1"/>
        </w:numPr>
        <w:rPr>
          <w:i/>
          <w:iCs/>
        </w:rPr>
      </w:pPr>
      <w:r w:rsidRPr="00540422">
        <w:t xml:space="preserve">Table </w:t>
      </w:r>
      <w:r w:rsidR="00B534BA" w:rsidRPr="00540422">
        <w:t>7</w:t>
      </w:r>
      <w:r w:rsidRPr="00540422">
        <w:t xml:space="preserve"> summarises the non-drug costs included in the cost minimisation analysis</w:t>
      </w:r>
      <w:r w:rsidR="00331990" w:rsidRPr="00540422">
        <w:t>, with costs and fre</w:t>
      </w:r>
      <w:r w:rsidR="00331990" w:rsidRPr="002E7996">
        <w:t xml:space="preserve">quency of services </w:t>
      </w:r>
      <w:r w:rsidR="009267AD" w:rsidRPr="002E7996">
        <w:t>informed by responses from a sponsor survey of</w:t>
      </w:r>
      <w:r w:rsidR="007511E1" w:rsidRPr="002E7996">
        <w:t xml:space="preserve"> OST service providers</w:t>
      </w:r>
      <w:r w:rsidR="00BC675E" w:rsidRPr="002E7996">
        <w:t xml:space="preserve"> (</w:t>
      </w:r>
      <w:r w:rsidR="00BC675E" w:rsidRPr="002E7996">
        <w:rPr>
          <w:iCs/>
        </w:rPr>
        <w:t xml:space="preserve">prescribers: n=28, and pharmacists: n=11). </w:t>
      </w:r>
    </w:p>
    <w:p w14:paraId="0FC0B97B" w14:textId="77777777" w:rsidR="00194056" w:rsidRPr="00540422" w:rsidRDefault="00194056" w:rsidP="00194056">
      <w:pPr>
        <w:keepNext/>
        <w:jc w:val="left"/>
        <w:rPr>
          <w:rFonts w:ascii="Arial Narrow" w:eastAsiaTheme="majorEastAsia" w:hAnsi="Arial Narrow" w:cstheme="majorBidi"/>
          <w:b/>
          <w:bCs/>
          <w:sz w:val="20"/>
        </w:rPr>
      </w:pPr>
      <w:r w:rsidRPr="00540422">
        <w:rPr>
          <w:rFonts w:ascii="Arial Narrow" w:eastAsiaTheme="majorEastAsia" w:hAnsi="Arial Narrow" w:cstheme="majorBidi"/>
          <w:b/>
          <w:bCs/>
          <w:sz w:val="20"/>
        </w:rPr>
        <w:t xml:space="preserve">Table </w:t>
      </w:r>
      <w:r w:rsidR="00B534BA" w:rsidRPr="00540422">
        <w:rPr>
          <w:rFonts w:ascii="Arial Narrow" w:eastAsiaTheme="majorEastAsia" w:hAnsi="Arial Narrow" w:cstheme="majorBidi"/>
          <w:b/>
          <w:bCs/>
          <w:sz w:val="20"/>
        </w:rPr>
        <w:t>7</w:t>
      </w:r>
      <w:r w:rsidRPr="00540422">
        <w:rPr>
          <w:rFonts w:ascii="Arial Narrow" w:eastAsiaTheme="majorEastAsia" w:hAnsi="Arial Narrow" w:cstheme="majorBidi"/>
          <w:b/>
          <w:bCs/>
          <w:sz w:val="20"/>
        </w:rPr>
        <w:t>: Non-drug costs included in the cost minimisation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7: Non-drug costs included in the cost minimisation analysis"/>
      </w:tblPr>
      <w:tblGrid>
        <w:gridCol w:w="3458"/>
        <w:gridCol w:w="837"/>
        <w:gridCol w:w="836"/>
        <w:gridCol w:w="850"/>
        <w:gridCol w:w="1125"/>
        <w:gridCol w:w="893"/>
        <w:gridCol w:w="1018"/>
      </w:tblGrid>
      <w:tr w:rsidR="00194056" w:rsidRPr="00540422" w14:paraId="22826B9B" w14:textId="77777777" w:rsidTr="001428DE">
        <w:trPr>
          <w:tblHeader/>
        </w:trPr>
        <w:tc>
          <w:tcPr>
            <w:tcW w:w="3458" w:type="dxa"/>
            <w:vMerge w:val="restart"/>
            <w:vAlign w:val="center"/>
          </w:tcPr>
          <w:p w14:paraId="6F987068" w14:textId="77777777" w:rsidR="00194056" w:rsidRPr="00540422" w:rsidRDefault="00194056" w:rsidP="00395CD4">
            <w:pPr>
              <w:keepNext/>
              <w:tabs>
                <w:tab w:val="right" w:pos="3849"/>
              </w:tabs>
              <w:ind w:left="-50"/>
              <w:jc w:val="left"/>
              <w:rPr>
                <w:rFonts w:ascii="Arial Narrow" w:eastAsiaTheme="majorEastAsia" w:hAnsi="Arial Narrow" w:cs="Times New Roman"/>
                <w:b/>
                <w:sz w:val="20"/>
              </w:rPr>
            </w:pPr>
            <w:r w:rsidRPr="00540422">
              <w:rPr>
                <w:rFonts w:ascii="Arial Narrow" w:eastAsiaTheme="majorEastAsia" w:hAnsi="Arial Narrow" w:cs="Times New Roman"/>
                <w:b/>
                <w:sz w:val="20"/>
              </w:rPr>
              <w:t>Component</w:t>
            </w:r>
          </w:p>
        </w:tc>
        <w:tc>
          <w:tcPr>
            <w:tcW w:w="2523" w:type="dxa"/>
            <w:gridSpan w:val="3"/>
            <w:vAlign w:val="center"/>
          </w:tcPr>
          <w:p w14:paraId="461D45FC" w14:textId="77777777" w:rsidR="00194056" w:rsidRPr="00540422" w:rsidRDefault="00194056" w:rsidP="00395CD4">
            <w:pPr>
              <w:keepNext/>
              <w:jc w:val="center"/>
              <w:rPr>
                <w:rFonts w:ascii="Arial Narrow" w:eastAsiaTheme="majorEastAsia" w:hAnsi="Arial Narrow" w:cs="Times New Roman"/>
                <w:b/>
                <w:sz w:val="20"/>
              </w:rPr>
            </w:pPr>
            <w:r w:rsidRPr="00540422">
              <w:rPr>
                <w:rFonts w:ascii="Arial Narrow" w:eastAsiaTheme="majorEastAsia" w:hAnsi="Arial Narrow" w:cs="Times New Roman"/>
                <w:b/>
                <w:sz w:val="20"/>
              </w:rPr>
              <w:t>Units per 28 days</w:t>
            </w:r>
          </w:p>
        </w:tc>
        <w:tc>
          <w:tcPr>
            <w:tcW w:w="3036" w:type="dxa"/>
            <w:gridSpan w:val="3"/>
            <w:vAlign w:val="center"/>
          </w:tcPr>
          <w:p w14:paraId="6C12A64B" w14:textId="77777777" w:rsidR="00194056" w:rsidRPr="00540422" w:rsidRDefault="00194056" w:rsidP="00395CD4">
            <w:pPr>
              <w:keepNext/>
              <w:jc w:val="center"/>
              <w:rPr>
                <w:rFonts w:ascii="Arial Narrow" w:eastAsiaTheme="majorEastAsia" w:hAnsi="Arial Narrow" w:cs="Times New Roman"/>
                <w:b/>
                <w:sz w:val="20"/>
              </w:rPr>
            </w:pPr>
            <w:r w:rsidRPr="00540422">
              <w:rPr>
                <w:rFonts w:ascii="Arial Narrow" w:eastAsiaTheme="majorEastAsia" w:hAnsi="Arial Narrow" w:cs="Times New Roman"/>
                <w:b/>
                <w:sz w:val="20"/>
              </w:rPr>
              <w:t>Costs per 28 days</w:t>
            </w:r>
          </w:p>
        </w:tc>
      </w:tr>
      <w:tr w:rsidR="00194056" w:rsidRPr="00540422" w14:paraId="4B76723E" w14:textId="77777777" w:rsidTr="001428DE">
        <w:trPr>
          <w:tblHeader/>
        </w:trPr>
        <w:tc>
          <w:tcPr>
            <w:tcW w:w="3458" w:type="dxa"/>
            <w:vMerge/>
            <w:tcBorders>
              <w:bottom w:val="single" w:sz="4" w:space="0" w:color="auto"/>
            </w:tcBorders>
            <w:vAlign w:val="center"/>
          </w:tcPr>
          <w:p w14:paraId="0066E391" w14:textId="77777777" w:rsidR="00194056" w:rsidRPr="00540422" w:rsidRDefault="00194056" w:rsidP="00395CD4">
            <w:pPr>
              <w:keepNext/>
              <w:tabs>
                <w:tab w:val="right" w:pos="3849"/>
              </w:tabs>
              <w:ind w:left="-50"/>
              <w:jc w:val="left"/>
              <w:rPr>
                <w:rFonts w:ascii="Arial Narrow" w:eastAsiaTheme="majorEastAsia" w:hAnsi="Arial Narrow" w:cstheme="majorBidi"/>
                <w:bCs/>
                <w:sz w:val="20"/>
              </w:rPr>
            </w:pPr>
          </w:p>
        </w:tc>
        <w:tc>
          <w:tcPr>
            <w:tcW w:w="837" w:type="dxa"/>
            <w:tcBorders>
              <w:bottom w:val="single" w:sz="4" w:space="0" w:color="auto"/>
            </w:tcBorders>
            <w:vAlign w:val="center"/>
          </w:tcPr>
          <w:p w14:paraId="0634E561" w14:textId="77777777" w:rsidR="00194056" w:rsidRPr="00540422" w:rsidRDefault="00194056" w:rsidP="00395CD4">
            <w:pPr>
              <w:keepNext/>
              <w:jc w:val="center"/>
              <w:rPr>
                <w:rFonts w:ascii="Arial Narrow" w:eastAsiaTheme="majorEastAsia" w:hAnsi="Arial Narrow" w:cstheme="majorBidi"/>
                <w:b/>
                <w:bCs/>
                <w:sz w:val="20"/>
              </w:rPr>
            </w:pPr>
            <w:r w:rsidRPr="00540422">
              <w:rPr>
                <w:rFonts w:ascii="Arial Narrow" w:eastAsiaTheme="majorEastAsia" w:hAnsi="Arial Narrow" w:cstheme="majorBidi"/>
                <w:b/>
                <w:bCs/>
                <w:sz w:val="20"/>
              </w:rPr>
              <w:t>PR BPN</w:t>
            </w:r>
          </w:p>
          <w:p w14:paraId="36507A74" w14:textId="77777777" w:rsidR="00194056" w:rsidRPr="00540422" w:rsidRDefault="00194056" w:rsidP="00395CD4">
            <w:pPr>
              <w:keepNext/>
              <w:jc w:val="center"/>
              <w:rPr>
                <w:rFonts w:ascii="Arial Narrow" w:eastAsiaTheme="majorEastAsia" w:hAnsi="Arial Narrow" w:cstheme="majorBidi"/>
                <w:b/>
                <w:bCs/>
                <w:sz w:val="20"/>
              </w:rPr>
            </w:pPr>
            <w:r w:rsidRPr="00540422">
              <w:rPr>
                <w:rFonts w:ascii="Arial Narrow" w:eastAsiaTheme="majorEastAsia" w:hAnsi="Arial Narrow" w:cstheme="majorBidi"/>
                <w:b/>
                <w:bCs/>
                <w:sz w:val="20"/>
              </w:rPr>
              <w:t xml:space="preserve">q1w </w:t>
            </w:r>
          </w:p>
        </w:tc>
        <w:tc>
          <w:tcPr>
            <w:tcW w:w="836" w:type="dxa"/>
            <w:tcBorders>
              <w:bottom w:val="single" w:sz="4" w:space="0" w:color="auto"/>
            </w:tcBorders>
            <w:vAlign w:val="center"/>
          </w:tcPr>
          <w:p w14:paraId="48768F8A" w14:textId="77777777" w:rsidR="00194056" w:rsidRPr="00540422" w:rsidRDefault="00194056" w:rsidP="00395CD4">
            <w:pPr>
              <w:keepNext/>
              <w:jc w:val="center"/>
              <w:rPr>
                <w:rFonts w:ascii="Arial Narrow" w:eastAsiaTheme="majorEastAsia" w:hAnsi="Arial Narrow" w:cstheme="majorBidi"/>
                <w:b/>
                <w:bCs/>
                <w:sz w:val="20"/>
              </w:rPr>
            </w:pPr>
            <w:r w:rsidRPr="00540422">
              <w:rPr>
                <w:rFonts w:ascii="Arial Narrow" w:eastAsiaTheme="majorEastAsia" w:hAnsi="Arial Narrow" w:cstheme="majorBidi"/>
                <w:b/>
                <w:bCs/>
                <w:sz w:val="20"/>
              </w:rPr>
              <w:t>PR BPN</w:t>
            </w:r>
          </w:p>
          <w:p w14:paraId="076D7B33" w14:textId="77777777" w:rsidR="00194056" w:rsidRPr="00540422" w:rsidRDefault="00194056" w:rsidP="00395CD4">
            <w:pPr>
              <w:keepNext/>
              <w:jc w:val="center"/>
              <w:rPr>
                <w:rFonts w:ascii="Arial Narrow" w:eastAsiaTheme="majorEastAsia" w:hAnsi="Arial Narrow" w:cstheme="majorBidi"/>
                <w:b/>
                <w:bCs/>
                <w:sz w:val="20"/>
              </w:rPr>
            </w:pPr>
            <w:r w:rsidRPr="00540422">
              <w:rPr>
                <w:rFonts w:ascii="Arial Narrow" w:eastAsiaTheme="majorEastAsia" w:hAnsi="Arial Narrow" w:cstheme="majorBidi"/>
                <w:b/>
                <w:bCs/>
                <w:sz w:val="20"/>
              </w:rPr>
              <w:t xml:space="preserve">q4w </w:t>
            </w:r>
          </w:p>
        </w:tc>
        <w:tc>
          <w:tcPr>
            <w:tcW w:w="850" w:type="dxa"/>
            <w:tcBorders>
              <w:bottom w:val="single" w:sz="4" w:space="0" w:color="auto"/>
            </w:tcBorders>
            <w:vAlign w:val="center"/>
          </w:tcPr>
          <w:p w14:paraId="0E1C13BF" w14:textId="77777777" w:rsidR="00194056" w:rsidRPr="00540422" w:rsidRDefault="00194056" w:rsidP="00395CD4">
            <w:pPr>
              <w:keepNext/>
              <w:jc w:val="center"/>
              <w:rPr>
                <w:rFonts w:ascii="Arial Narrow" w:eastAsiaTheme="majorEastAsia" w:hAnsi="Arial Narrow" w:cstheme="majorBidi"/>
                <w:b/>
                <w:bCs/>
                <w:sz w:val="20"/>
              </w:rPr>
            </w:pPr>
            <w:r w:rsidRPr="00540422">
              <w:rPr>
                <w:rFonts w:ascii="Arial Narrow" w:eastAsiaTheme="majorEastAsia" w:hAnsi="Arial Narrow" w:cstheme="majorBidi"/>
                <w:b/>
                <w:bCs/>
                <w:sz w:val="20"/>
              </w:rPr>
              <w:t>SL BPN/NX</w:t>
            </w:r>
          </w:p>
        </w:tc>
        <w:tc>
          <w:tcPr>
            <w:tcW w:w="1125" w:type="dxa"/>
            <w:tcBorders>
              <w:bottom w:val="single" w:sz="4" w:space="0" w:color="auto"/>
            </w:tcBorders>
            <w:vAlign w:val="center"/>
          </w:tcPr>
          <w:p w14:paraId="662E2D0C" w14:textId="77777777" w:rsidR="00194056" w:rsidRPr="00C665EF" w:rsidRDefault="00194056" w:rsidP="00395CD4">
            <w:pPr>
              <w:keepNext/>
              <w:jc w:val="center"/>
              <w:rPr>
                <w:rFonts w:ascii="Arial Narrow" w:eastAsiaTheme="majorEastAsia" w:hAnsi="Arial Narrow" w:cstheme="majorBidi"/>
                <w:b/>
                <w:bCs/>
                <w:sz w:val="20"/>
              </w:rPr>
            </w:pPr>
            <w:r w:rsidRPr="00540422">
              <w:rPr>
                <w:rFonts w:ascii="Arial Narrow" w:eastAsiaTheme="majorEastAsia" w:hAnsi="Arial Narrow" w:cstheme="majorBidi"/>
                <w:b/>
                <w:bCs/>
                <w:sz w:val="20"/>
              </w:rPr>
              <w:t>Weighted PR BPN</w:t>
            </w:r>
            <w:r w:rsidRPr="00540422">
              <w:rPr>
                <w:rFonts w:ascii="Arial Narrow" w:eastAsiaTheme="majorEastAsia" w:hAnsi="Arial Narrow" w:cstheme="majorBidi"/>
                <w:b/>
                <w:bCs/>
                <w:sz w:val="20"/>
                <w:vertAlign w:val="superscript"/>
              </w:rPr>
              <w:t>a</w:t>
            </w:r>
            <w:r w:rsidR="00C665EF">
              <w:rPr>
                <w:rFonts w:ascii="Arial Narrow" w:eastAsiaTheme="majorEastAsia" w:hAnsi="Arial Narrow" w:cstheme="majorBidi"/>
                <w:b/>
                <w:bCs/>
                <w:sz w:val="20"/>
                <w:vertAlign w:val="superscript"/>
              </w:rPr>
              <w:t xml:space="preserve"> </w:t>
            </w:r>
            <w:r w:rsidR="00C665EF">
              <w:rPr>
                <w:rFonts w:ascii="Arial Narrow" w:eastAsiaTheme="majorEastAsia" w:hAnsi="Arial Narrow" w:cstheme="majorBidi"/>
                <w:b/>
                <w:bCs/>
                <w:sz w:val="20"/>
              </w:rPr>
              <w:t>($)</w:t>
            </w:r>
          </w:p>
        </w:tc>
        <w:tc>
          <w:tcPr>
            <w:tcW w:w="893" w:type="dxa"/>
            <w:tcBorders>
              <w:bottom w:val="single" w:sz="4" w:space="0" w:color="auto"/>
            </w:tcBorders>
            <w:vAlign w:val="center"/>
          </w:tcPr>
          <w:p w14:paraId="14831B13" w14:textId="77777777" w:rsidR="00194056" w:rsidRPr="00540422" w:rsidRDefault="00194056" w:rsidP="00395CD4">
            <w:pPr>
              <w:keepNext/>
              <w:jc w:val="center"/>
              <w:rPr>
                <w:rFonts w:ascii="Arial Narrow" w:eastAsiaTheme="majorEastAsia" w:hAnsi="Arial Narrow" w:cstheme="majorBidi"/>
                <w:b/>
                <w:bCs/>
                <w:sz w:val="20"/>
              </w:rPr>
            </w:pPr>
            <w:r w:rsidRPr="00540422">
              <w:rPr>
                <w:rFonts w:ascii="Arial Narrow" w:eastAsiaTheme="majorEastAsia" w:hAnsi="Arial Narrow" w:cstheme="majorBidi"/>
                <w:b/>
                <w:bCs/>
                <w:sz w:val="20"/>
              </w:rPr>
              <w:t>SL BPN/NX</w:t>
            </w:r>
            <w:r w:rsidR="00C665EF">
              <w:rPr>
                <w:rFonts w:ascii="Arial Narrow" w:eastAsiaTheme="majorEastAsia" w:hAnsi="Arial Narrow" w:cstheme="majorBidi"/>
                <w:b/>
                <w:bCs/>
                <w:sz w:val="20"/>
              </w:rPr>
              <w:t xml:space="preserve"> ($)</w:t>
            </w:r>
          </w:p>
        </w:tc>
        <w:tc>
          <w:tcPr>
            <w:tcW w:w="1018" w:type="dxa"/>
            <w:tcBorders>
              <w:bottom w:val="single" w:sz="4" w:space="0" w:color="auto"/>
            </w:tcBorders>
            <w:vAlign w:val="center"/>
          </w:tcPr>
          <w:p w14:paraId="04B26918" w14:textId="77777777" w:rsidR="00194056" w:rsidRPr="00540422" w:rsidRDefault="00194056" w:rsidP="00395CD4">
            <w:pPr>
              <w:keepNext/>
              <w:jc w:val="center"/>
              <w:rPr>
                <w:rFonts w:ascii="Arial Narrow" w:eastAsiaTheme="majorEastAsia" w:hAnsi="Arial Narrow" w:cstheme="majorBidi"/>
                <w:b/>
                <w:bCs/>
                <w:sz w:val="20"/>
              </w:rPr>
            </w:pPr>
            <w:r w:rsidRPr="00540422">
              <w:rPr>
                <w:rFonts w:ascii="Arial Narrow" w:eastAsiaTheme="majorEastAsia" w:hAnsi="Arial Narrow" w:cstheme="majorBidi"/>
                <w:b/>
                <w:bCs/>
                <w:sz w:val="20"/>
              </w:rPr>
              <w:t>Difference</w:t>
            </w:r>
            <w:r w:rsidR="00C665EF">
              <w:rPr>
                <w:rFonts w:ascii="Arial Narrow" w:eastAsiaTheme="majorEastAsia" w:hAnsi="Arial Narrow" w:cstheme="majorBidi"/>
                <w:b/>
                <w:bCs/>
                <w:sz w:val="20"/>
              </w:rPr>
              <w:t xml:space="preserve"> ($)</w:t>
            </w:r>
          </w:p>
        </w:tc>
      </w:tr>
      <w:tr w:rsidR="00194056" w:rsidRPr="00540422" w14:paraId="45A0FE8F" w14:textId="77777777" w:rsidTr="00395CD4">
        <w:tc>
          <w:tcPr>
            <w:tcW w:w="3458" w:type="dxa"/>
            <w:tcBorders>
              <w:top w:val="single" w:sz="4" w:space="0" w:color="auto"/>
            </w:tcBorders>
            <w:vAlign w:val="center"/>
          </w:tcPr>
          <w:p w14:paraId="1A099B07" w14:textId="77777777" w:rsidR="00194056" w:rsidRPr="00540422" w:rsidRDefault="00194056" w:rsidP="00395CD4">
            <w:pPr>
              <w:keepNext/>
              <w:tabs>
                <w:tab w:val="right" w:pos="3849"/>
              </w:tabs>
              <w:ind w:left="-50"/>
              <w:jc w:val="left"/>
              <w:rPr>
                <w:rFonts w:ascii="Arial Narrow" w:eastAsiaTheme="majorEastAsia" w:hAnsi="Arial Narrow" w:cstheme="majorBidi"/>
                <w:bCs/>
                <w:sz w:val="20"/>
              </w:rPr>
            </w:pPr>
            <w:r w:rsidRPr="00540422">
              <w:rPr>
                <w:rFonts w:ascii="Arial Narrow" w:eastAsiaTheme="majorEastAsia" w:hAnsi="Arial Narrow" w:cstheme="majorBidi"/>
                <w:bCs/>
                <w:sz w:val="20"/>
              </w:rPr>
              <w:t xml:space="preserve">GP visits for prescribing/monitoring </w:t>
            </w:r>
          </w:p>
          <w:p w14:paraId="7D8D2199" w14:textId="77777777" w:rsidR="00194056" w:rsidRPr="00540422" w:rsidRDefault="00194056" w:rsidP="00395CD4">
            <w:pPr>
              <w:keepNext/>
              <w:tabs>
                <w:tab w:val="right" w:pos="3849"/>
              </w:tabs>
              <w:ind w:left="-50"/>
              <w:jc w:val="left"/>
              <w:rPr>
                <w:rFonts w:ascii="Arial Narrow" w:eastAsiaTheme="majorEastAsia" w:hAnsi="Arial Narrow" w:cstheme="majorBidi"/>
                <w:bCs/>
                <w:sz w:val="20"/>
              </w:rPr>
            </w:pPr>
            <w:r w:rsidRPr="00540422">
              <w:rPr>
                <w:rFonts w:ascii="Arial Narrow" w:eastAsiaTheme="majorEastAsia" w:hAnsi="Arial Narrow" w:cstheme="majorBidi"/>
                <w:bCs/>
                <w:sz w:val="20"/>
              </w:rPr>
              <w:tab/>
              <w:t>($39.10/visit; MBS 23; Survey Q.18, 23, 24)</w:t>
            </w:r>
          </w:p>
        </w:tc>
        <w:tc>
          <w:tcPr>
            <w:tcW w:w="837" w:type="dxa"/>
            <w:tcBorders>
              <w:top w:val="single" w:sz="4" w:space="0" w:color="auto"/>
            </w:tcBorders>
            <w:vAlign w:val="center"/>
          </w:tcPr>
          <w:p w14:paraId="2A4EE46B" w14:textId="77777777" w:rsidR="00194056" w:rsidRPr="009E2AA7" w:rsidRDefault="009E2AA7" w:rsidP="00395CD4">
            <w:pPr>
              <w:keepNext/>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c>
          <w:tcPr>
            <w:tcW w:w="836" w:type="dxa"/>
            <w:tcBorders>
              <w:top w:val="single" w:sz="4" w:space="0" w:color="auto"/>
            </w:tcBorders>
            <w:vAlign w:val="center"/>
          </w:tcPr>
          <w:p w14:paraId="2F9D9DD6" w14:textId="77777777" w:rsidR="00194056" w:rsidRPr="009E2AA7" w:rsidRDefault="009E2AA7" w:rsidP="00395CD4">
            <w:pPr>
              <w:keepNext/>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c>
          <w:tcPr>
            <w:tcW w:w="850" w:type="dxa"/>
            <w:tcBorders>
              <w:top w:val="single" w:sz="4" w:space="0" w:color="auto"/>
            </w:tcBorders>
            <w:vAlign w:val="center"/>
          </w:tcPr>
          <w:p w14:paraId="4CBCE0BA" w14:textId="77777777" w:rsidR="00194056" w:rsidRPr="009E2AA7" w:rsidRDefault="009E2AA7" w:rsidP="00395CD4">
            <w:pPr>
              <w:keepNext/>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c>
          <w:tcPr>
            <w:tcW w:w="1125" w:type="dxa"/>
            <w:tcBorders>
              <w:top w:val="single" w:sz="4" w:space="0" w:color="auto"/>
            </w:tcBorders>
            <w:vAlign w:val="center"/>
          </w:tcPr>
          <w:p w14:paraId="05060C13" w14:textId="77777777" w:rsidR="00194056" w:rsidRPr="009E2AA7" w:rsidRDefault="009E2AA7" w:rsidP="00395CD4">
            <w:pPr>
              <w:keepNext/>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c>
          <w:tcPr>
            <w:tcW w:w="893" w:type="dxa"/>
            <w:tcBorders>
              <w:top w:val="single" w:sz="4" w:space="0" w:color="auto"/>
            </w:tcBorders>
            <w:vAlign w:val="center"/>
          </w:tcPr>
          <w:p w14:paraId="5409F9D6" w14:textId="77777777" w:rsidR="00194056" w:rsidRPr="009E2AA7" w:rsidRDefault="009E2AA7" w:rsidP="00395CD4">
            <w:pPr>
              <w:keepNext/>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c>
          <w:tcPr>
            <w:tcW w:w="1018" w:type="dxa"/>
            <w:tcBorders>
              <w:top w:val="single" w:sz="4" w:space="0" w:color="auto"/>
            </w:tcBorders>
            <w:vAlign w:val="center"/>
          </w:tcPr>
          <w:p w14:paraId="1DC264C8" w14:textId="77777777" w:rsidR="00194056" w:rsidRPr="009E2AA7" w:rsidRDefault="009E2AA7" w:rsidP="00395CD4">
            <w:pPr>
              <w:keepNext/>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r>
      <w:tr w:rsidR="00194056" w:rsidRPr="00540422" w14:paraId="3A99C179" w14:textId="77777777" w:rsidTr="00395CD4">
        <w:tc>
          <w:tcPr>
            <w:tcW w:w="3458" w:type="dxa"/>
            <w:tcBorders>
              <w:bottom w:val="single" w:sz="4" w:space="0" w:color="auto"/>
            </w:tcBorders>
            <w:vAlign w:val="center"/>
          </w:tcPr>
          <w:p w14:paraId="4C528CBD" w14:textId="77777777" w:rsidR="00194056" w:rsidRPr="00540422" w:rsidRDefault="00194056" w:rsidP="00395CD4">
            <w:pPr>
              <w:tabs>
                <w:tab w:val="right" w:pos="3849"/>
              </w:tabs>
              <w:ind w:left="-50"/>
              <w:jc w:val="left"/>
              <w:rPr>
                <w:rFonts w:ascii="Arial Narrow" w:eastAsiaTheme="majorEastAsia" w:hAnsi="Arial Narrow" w:cstheme="majorBidi"/>
                <w:bCs/>
                <w:sz w:val="20"/>
              </w:rPr>
            </w:pPr>
            <w:r w:rsidRPr="00540422">
              <w:rPr>
                <w:rFonts w:ascii="Arial Narrow" w:eastAsiaTheme="majorEastAsia" w:hAnsi="Arial Narrow" w:cstheme="majorBidi"/>
                <w:bCs/>
                <w:sz w:val="20"/>
              </w:rPr>
              <w:t>Administration of drug, supervision</w:t>
            </w:r>
          </w:p>
          <w:p w14:paraId="15EE11DE" w14:textId="77777777" w:rsidR="00194056" w:rsidRPr="00540422" w:rsidRDefault="00194056" w:rsidP="00395CD4">
            <w:pPr>
              <w:tabs>
                <w:tab w:val="right" w:pos="3849"/>
              </w:tabs>
              <w:ind w:left="-50"/>
              <w:jc w:val="left"/>
              <w:rPr>
                <w:rFonts w:ascii="Arial Narrow" w:eastAsiaTheme="majorEastAsia" w:hAnsi="Arial Narrow" w:cstheme="majorBidi"/>
                <w:bCs/>
                <w:sz w:val="20"/>
              </w:rPr>
            </w:pPr>
            <w:r w:rsidRPr="00540422">
              <w:rPr>
                <w:rFonts w:ascii="Arial Narrow" w:eastAsiaTheme="majorEastAsia" w:hAnsi="Arial Narrow" w:cstheme="majorBidi"/>
                <w:bCs/>
                <w:sz w:val="20"/>
              </w:rPr>
              <w:tab/>
              <w:t>PR BPN ($17.90 per visit; MBS item 3)</w:t>
            </w:r>
          </w:p>
          <w:p w14:paraId="69303801" w14:textId="77777777" w:rsidR="00194056" w:rsidRPr="00540422" w:rsidRDefault="00194056" w:rsidP="00395CD4">
            <w:pPr>
              <w:tabs>
                <w:tab w:val="right" w:pos="3849"/>
              </w:tabs>
              <w:ind w:left="-50"/>
              <w:jc w:val="left"/>
              <w:rPr>
                <w:rFonts w:ascii="Arial Narrow" w:eastAsiaTheme="majorEastAsia" w:hAnsi="Arial Narrow" w:cstheme="majorBidi"/>
                <w:bCs/>
                <w:sz w:val="20"/>
              </w:rPr>
            </w:pPr>
            <w:r w:rsidRPr="00540422">
              <w:rPr>
                <w:rFonts w:ascii="Arial Narrow" w:eastAsiaTheme="majorEastAsia" w:hAnsi="Arial Narrow" w:cstheme="majorBidi"/>
                <w:bCs/>
                <w:sz w:val="20"/>
              </w:rPr>
              <w:tab/>
              <w:t>SL BPN/NX ($</w:t>
            </w:r>
            <w:r w:rsidR="009E2AA7">
              <w:rPr>
                <w:rFonts w:ascii="Arial Narrow" w:eastAsiaTheme="majorEastAsia" w:hAnsi="Arial Narrow" w:cstheme="majorBidi"/>
                <w:bCs/>
                <w:noProof/>
                <w:color w:val="000000"/>
                <w:sz w:val="20"/>
                <w:highlight w:val="black"/>
              </w:rPr>
              <w:t>'''''''''''</w:t>
            </w:r>
            <w:r w:rsidRPr="00540422">
              <w:rPr>
                <w:rFonts w:ascii="Arial Narrow" w:eastAsiaTheme="majorEastAsia" w:hAnsi="Arial Narrow" w:cstheme="majorBidi"/>
                <w:bCs/>
                <w:sz w:val="20"/>
              </w:rPr>
              <w:t xml:space="preserve"> per day; Survey Q.9,10)</w:t>
            </w:r>
          </w:p>
        </w:tc>
        <w:tc>
          <w:tcPr>
            <w:tcW w:w="837" w:type="dxa"/>
            <w:tcBorders>
              <w:bottom w:val="single" w:sz="4" w:space="0" w:color="auto"/>
            </w:tcBorders>
            <w:vAlign w:val="center"/>
          </w:tcPr>
          <w:p w14:paraId="79E16DB4" w14:textId="77777777" w:rsidR="00194056" w:rsidRPr="009E2AA7" w:rsidRDefault="00194056" w:rsidP="00395CD4">
            <w:pPr>
              <w:jc w:val="center"/>
              <w:rPr>
                <w:rFonts w:ascii="Arial Narrow" w:eastAsiaTheme="majorEastAsia" w:hAnsi="Arial Narrow" w:cstheme="majorBidi"/>
                <w:bCs/>
                <w:sz w:val="20"/>
              </w:rPr>
            </w:pPr>
          </w:p>
          <w:p w14:paraId="583A8F72" w14:textId="77777777" w:rsidR="00194056" w:rsidRPr="009E2AA7" w:rsidRDefault="009E2AA7" w:rsidP="00395CD4">
            <w:pPr>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p w14:paraId="599DE865" w14:textId="77777777" w:rsidR="00194056" w:rsidRPr="009E2AA7" w:rsidRDefault="009E2AA7" w:rsidP="00395CD4">
            <w:pPr>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c>
          <w:tcPr>
            <w:tcW w:w="836" w:type="dxa"/>
            <w:tcBorders>
              <w:bottom w:val="single" w:sz="4" w:space="0" w:color="auto"/>
            </w:tcBorders>
            <w:vAlign w:val="center"/>
          </w:tcPr>
          <w:p w14:paraId="19E95EAF" w14:textId="77777777" w:rsidR="00194056" w:rsidRPr="009E2AA7" w:rsidRDefault="00194056" w:rsidP="00395CD4">
            <w:pPr>
              <w:jc w:val="center"/>
              <w:rPr>
                <w:rFonts w:ascii="Arial Narrow" w:eastAsiaTheme="majorEastAsia" w:hAnsi="Arial Narrow" w:cstheme="majorBidi"/>
                <w:bCs/>
                <w:sz w:val="20"/>
              </w:rPr>
            </w:pPr>
          </w:p>
          <w:p w14:paraId="28E219F2" w14:textId="77777777" w:rsidR="00194056" w:rsidRPr="009E2AA7" w:rsidRDefault="009E2AA7" w:rsidP="00395CD4">
            <w:pPr>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p w14:paraId="050A1F80" w14:textId="77777777" w:rsidR="00194056" w:rsidRPr="009E2AA7" w:rsidRDefault="009E2AA7" w:rsidP="00395CD4">
            <w:pPr>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c>
          <w:tcPr>
            <w:tcW w:w="850" w:type="dxa"/>
            <w:tcBorders>
              <w:bottom w:val="single" w:sz="4" w:space="0" w:color="auto"/>
            </w:tcBorders>
            <w:vAlign w:val="center"/>
          </w:tcPr>
          <w:p w14:paraId="70672905" w14:textId="77777777" w:rsidR="00194056" w:rsidRPr="009E2AA7" w:rsidRDefault="00194056" w:rsidP="00395CD4">
            <w:pPr>
              <w:jc w:val="center"/>
              <w:rPr>
                <w:rFonts w:ascii="Arial Narrow" w:eastAsiaTheme="majorEastAsia" w:hAnsi="Arial Narrow" w:cstheme="majorBidi"/>
                <w:bCs/>
                <w:sz w:val="20"/>
              </w:rPr>
            </w:pPr>
          </w:p>
          <w:p w14:paraId="409D9582" w14:textId="77777777" w:rsidR="00194056" w:rsidRPr="009E2AA7" w:rsidRDefault="009E2AA7" w:rsidP="00395CD4">
            <w:pPr>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p w14:paraId="787D7D41" w14:textId="77777777" w:rsidR="00194056" w:rsidRPr="009E2AA7" w:rsidRDefault="009E2AA7" w:rsidP="00395CD4">
            <w:pPr>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c>
          <w:tcPr>
            <w:tcW w:w="1125" w:type="dxa"/>
            <w:tcBorders>
              <w:bottom w:val="single" w:sz="4" w:space="0" w:color="auto"/>
            </w:tcBorders>
            <w:vAlign w:val="center"/>
          </w:tcPr>
          <w:p w14:paraId="013B2F70" w14:textId="77777777" w:rsidR="00194056" w:rsidRPr="009E2AA7" w:rsidRDefault="00194056" w:rsidP="00395CD4">
            <w:pPr>
              <w:jc w:val="center"/>
              <w:rPr>
                <w:rFonts w:ascii="Arial Narrow" w:eastAsiaTheme="majorEastAsia" w:hAnsi="Arial Narrow" w:cstheme="majorBidi"/>
                <w:bCs/>
                <w:sz w:val="20"/>
              </w:rPr>
            </w:pPr>
          </w:p>
          <w:p w14:paraId="569782E0" w14:textId="77777777" w:rsidR="00194056" w:rsidRPr="009E2AA7" w:rsidRDefault="009E2AA7" w:rsidP="00395CD4">
            <w:pPr>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p w14:paraId="0D84A525" w14:textId="77777777" w:rsidR="00194056" w:rsidRPr="009E2AA7" w:rsidRDefault="009E2AA7" w:rsidP="00395CD4">
            <w:pPr>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c>
          <w:tcPr>
            <w:tcW w:w="893" w:type="dxa"/>
            <w:tcBorders>
              <w:bottom w:val="single" w:sz="4" w:space="0" w:color="auto"/>
            </w:tcBorders>
            <w:vAlign w:val="center"/>
          </w:tcPr>
          <w:p w14:paraId="34C02C3F" w14:textId="77777777" w:rsidR="00194056" w:rsidRPr="009E2AA7" w:rsidRDefault="00194056" w:rsidP="00395CD4">
            <w:pPr>
              <w:jc w:val="center"/>
              <w:rPr>
                <w:rFonts w:ascii="Arial Narrow" w:eastAsiaTheme="majorEastAsia" w:hAnsi="Arial Narrow" w:cstheme="majorBidi"/>
                <w:bCs/>
                <w:sz w:val="20"/>
              </w:rPr>
            </w:pPr>
          </w:p>
          <w:p w14:paraId="4B6E4261" w14:textId="77777777" w:rsidR="00194056" w:rsidRPr="009E2AA7" w:rsidRDefault="009E2AA7" w:rsidP="00395CD4">
            <w:pPr>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p w14:paraId="5FF566BE" w14:textId="77777777" w:rsidR="00194056" w:rsidRPr="009E2AA7" w:rsidRDefault="009E2AA7" w:rsidP="00395CD4">
            <w:pPr>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c>
          <w:tcPr>
            <w:tcW w:w="1018" w:type="dxa"/>
            <w:tcBorders>
              <w:bottom w:val="single" w:sz="4" w:space="0" w:color="auto"/>
            </w:tcBorders>
            <w:vAlign w:val="center"/>
          </w:tcPr>
          <w:p w14:paraId="64736941" w14:textId="77777777" w:rsidR="00194056" w:rsidRPr="009E2AA7" w:rsidRDefault="009E2AA7" w:rsidP="00395CD4">
            <w:pPr>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r>
      <w:tr w:rsidR="00194056" w:rsidRPr="00540422" w14:paraId="479F5691" w14:textId="77777777" w:rsidTr="00395CD4">
        <w:tc>
          <w:tcPr>
            <w:tcW w:w="3458" w:type="dxa"/>
            <w:tcBorders>
              <w:bottom w:val="single" w:sz="4" w:space="0" w:color="auto"/>
            </w:tcBorders>
            <w:vAlign w:val="center"/>
          </w:tcPr>
          <w:p w14:paraId="37A01726" w14:textId="77777777" w:rsidR="00194056" w:rsidRPr="00540422" w:rsidRDefault="00194056" w:rsidP="00395CD4">
            <w:pPr>
              <w:tabs>
                <w:tab w:val="right" w:pos="3849"/>
              </w:tabs>
              <w:ind w:left="-50"/>
              <w:jc w:val="left"/>
              <w:rPr>
                <w:rFonts w:ascii="Arial Narrow" w:eastAsiaTheme="majorEastAsia" w:hAnsi="Arial Narrow" w:cstheme="majorBidi"/>
                <w:bCs/>
                <w:color w:val="000000" w:themeColor="text1"/>
                <w:sz w:val="20"/>
              </w:rPr>
            </w:pPr>
            <w:r w:rsidRPr="00540422">
              <w:rPr>
                <w:rFonts w:ascii="Arial Narrow" w:eastAsiaTheme="majorEastAsia" w:hAnsi="Arial Narrow" w:cstheme="majorBidi"/>
                <w:bCs/>
                <w:color w:val="000000" w:themeColor="text1"/>
                <w:sz w:val="20"/>
              </w:rPr>
              <w:t>Pharmacy handling and storage</w:t>
            </w:r>
            <w:r w:rsidRPr="00540422">
              <w:rPr>
                <w:rFonts w:ascii="Arial Narrow" w:eastAsiaTheme="majorEastAsia" w:hAnsi="Arial Narrow" w:cstheme="majorBidi"/>
                <w:bCs/>
                <w:color w:val="000000" w:themeColor="text1"/>
                <w:sz w:val="20"/>
              </w:rPr>
              <w:tab/>
            </w:r>
          </w:p>
          <w:p w14:paraId="13A4DEA1" w14:textId="77777777" w:rsidR="00194056" w:rsidRPr="00540422" w:rsidRDefault="00194056" w:rsidP="00395CD4">
            <w:pPr>
              <w:tabs>
                <w:tab w:val="right" w:pos="3849"/>
              </w:tabs>
              <w:ind w:left="-50"/>
              <w:jc w:val="left"/>
              <w:rPr>
                <w:rFonts w:ascii="Arial Narrow" w:eastAsiaTheme="majorEastAsia" w:hAnsi="Arial Narrow" w:cstheme="majorBidi"/>
                <w:bCs/>
                <w:color w:val="000000" w:themeColor="text1"/>
                <w:sz w:val="20"/>
              </w:rPr>
            </w:pPr>
            <w:r w:rsidRPr="00540422">
              <w:rPr>
                <w:rFonts w:ascii="Arial Narrow" w:eastAsiaTheme="majorEastAsia" w:hAnsi="Arial Narrow" w:cstheme="majorBidi"/>
                <w:bCs/>
                <w:color w:val="000000" w:themeColor="text1"/>
                <w:sz w:val="20"/>
              </w:rPr>
              <w:tab/>
              <w:t>PR BPN weekly ($</w:t>
            </w:r>
            <w:r w:rsidR="009E2AA7">
              <w:rPr>
                <w:rFonts w:ascii="Arial Narrow" w:eastAsiaTheme="majorEastAsia" w:hAnsi="Arial Narrow" w:cstheme="majorBidi"/>
                <w:bCs/>
                <w:noProof/>
                <w:color w:val="000000"/>
                <w:sz w:val="20"/>
                <w:highlight w:val="black"/>
              </w:rPr>
              <w:t>'''''''''''''</w:t>
            </w:r>
            <w:r w:rsidRPr="00540422">
              <w:rPr>
                <w:rFonts w:ascii="Arial Narrow" w:eastAsiaTheme="majorEastAsia" w:hAnsi="Arial Narrow" w:cstheme="majorBidi"/>
                <w:bCs/>
                <w:color w:val="000000" w:themeColor="text1"/>
                <w:sz w:val="20"/>
              </w:rPr>
              <w:t xml:space="preserve"> disp.; Survey Q.12)</w:t>
            </w:r>
          </w:p>
          <w:p w14:paraId="36FD8774" w14:textId="77777777" w:rsidR="00194056" w:rsidRPr="00540422" w:rsidRDefault="00194056" w:rsidP="00395CD4">
            <w:pPr>
              <w:tabs>
                <w:tab w:val="right" w:pos="3849"/>
              </w:tabs>
              <w:ind w:left="-50"/>
              <w:jc w:val="left"/>
              <w:rPr>
                <w:rFonts w:ascii="Arial Narrow" w:eastAsiaTheme="majorEastAsia" w:hAnsi="Arial Narrow" w:cstheme="majorBidi"/>
                <w:bCs/>
                <w:sz w:val="20"/>
              </w:rPr>
            </w:pPr>
            <w:r w:rsidRPr="00540422">
              <w:rPr>
                <w:rFonts w:ascii="Arial Narrow" w:eastAsiaTheme="majorEastAsia" w:hAnsi="Arial Narrow" w:cstheme="majorBidi"/>
                <w:bCs/>
                <w:sz w:val="20"/>
              </w:rPr>
              <w:tab/>
              <w:t>PR BPN monthly ($</w:t>
            </w:r>
            <w:r w:rsidR="009E2AA7">
              <w:rPr>
                <w:rFonts w:ascii="Arial Narrow" w:eastAsiaTheme="majorEastAsia" w:hAnsi="Arial Narrow" w:cstheme="majorBidi"/>
                <w:bCs/>
                <w:noProof/>
                <w:color w:val="000000"/>
                <w:sz w:val="20"/>
                <w:highlight w:val="black"/>
              </w:rPr>
              <w:t>''''''''''''''</w:t>
            </w:r>
            <w:r w:rsidRPr="00540422">
              <w:rPr>
                <w:rFonts w:ascii="Arial Narrow" w:eastAsiaTheme="majorEastAsia" w:hAnsi="Arial Narrow" w:cstheme="majorBidi"/>
                <w:bCs/>
                <w:sz w:val="20"/>
              </w:rPr>
              <w:t xml:space="preserve"> disp.; Survey Q.13)</w:t>
            </w:r>
          </w:p>
        </w:tc>
        <w:tc>
          <w:tcPr>
            <w:tcW w:w="837" w:type="dxa"/>
            <w:tcBorders>
              <w:bottom w:val="single" w:sz="4" w:space="0" w:color="auto"/>
            </w:tcBorders>
            <w:vAlign w:val="center"/>
          </w:tcPr>
          <w:p w14:paraId="37423320" w14:textId="77777777" w:rsidR="00194056" w:rsidRPr="009E2AA7" w:rsidRDefault="00194056" w:rsidP="00395CD4">
            <w:pPr>
              <w:jc w:val="center"/>
              <w:rPr>
                <w:rFonts w:ascii="Arial Narrow" w:eastAsiaTheme="majorEastAsia" w:hAnsi="Arial Narrow" w:cstheme="majorBidi"/>
                <w:bCs/>
                <w:sz w:val="20"/>
              </w:rPr>
            </w:pPr>
          </w:p>
          <w:p w14:paraId="01B01F22" w14:textId="77777777" w:rsidR="00194056" w:rsidRPr="009E2AA7" w:rsidRDefault="009E2AA7" w:rsidP="00395CD4">
            <w:pPr>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p w14:paraId="5CA6F9EC" w14:textId="77777777" w:rsidR="00194056" w:rsidRPr="009E2AA7" w:rsidRDefault="009E2AA7" w:rsidP="00395CD4">
            <w:pPr>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c>
          <w:tcPr>
            <w:tcW w:w="836" w:type="dxa"/>
            <w:tcBorders>
              <w:bottom w:val="single" w:sz="4" w:space="0" w:color="auto"/>
            </w:tcBorders>
            <w:vAlign w:val="center"/>
          </w:tcPr>
          <w:p w14:paraId="0CCEB0C6" w14:textId="77777777" w:rsidR="00194056" w:rsidRPr="009E2AA7" w:rsidRDefault="00194056" w:rsidP="00395CD4">
            <w:pPr>
              <w:jc w:val="center"/>
              <w:rPr>
                <w:rFonts w:ascii="Arial Narrow" w:eastAsiaTheme="majorEastAsia" w:hAnsi="Arial Narrow" w:cstheme="majorBidi"/>
                <w:bCs/>
                <w:sz w:val="20"/>
              </w:rPr>
            </w:pPr>
          </w:p>
          <w:p w14:paraId="706064D5" w14:textId="77777777" w:rsidR="00194056" w:rsidRPr="009E2AA7" w:rsidRDefault="009E2AA7" w:rsidP="00395CD4">
            <w:pPr>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p w14:paraId="3D093577" w14:textId="77777777" w:rsidR="00194056" w:rsidRPr="009E2AA7" w:rsidRDefault="009E2AA7" w:rsidP="00395CD4">
            <w:pPr>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c>
          <w:tcPr>
            <w:tcW w:w="850" w:type="dxa"/>
            <w:tcBorders>
              <w:bottom w:val="single" w:sz="4" w:space="0" w:color="auto"/>
            </w:tcBorders>
            <w:vAlign w:val="center"/>
          </w:tcPr>
          <w:p w14:paraId="2554FA43" w14:textId="77777777" w:rsidR="00194056" w:rsidRPr="009E2AA7" w:rsidRDefault="00194056" w:rsidP="00395CD4">
            <w:pPr>
              <w:jc w:val="center"/>
              <w:rPr>
                <w:rFonts w:ascii="Arial Narrow" w:eastAsiaTheme="majorEastAsia" w:hAnsi="Arial Narrow" w:cstheme="majorBidi"/>
                <w:bCs/>
                <w:sz w:val="20"/>
              </w:rPr>
            </w:pPr>
          </w:p>
          <w:p w14:paraId="4811A29F" w14:textId="77777777" w:rsidR="00194056" w:rsidRPr="009E2AA7" w:rsidRDefault="009E2AA7" w:rsidP="00395CD4">
            <w:pPr>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p w14:paraId="67989622" w14:textId="77777777" w:rsidR="00194056" w:rsidRPr="009E2AA7" w:rsidRDefault="009E2AA7" w:rsidP="00395CD4">
            <w:pPr>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c>
          <w:tcPr>
            <w:tcW w:w="1125" w:type="dxa"/>
            <w:tcBorders>
              <w:bottom w:val="single" w:sz="4" w:space="0" w:color="auto"/>
            </w:tcBorders>
            <w:vAlign w:val="center"/>
          </w:tcPr>
          <w:p w14:paraId="63C49787" w14:textId="77777777" w:rsidR="00194056" w:rsidRPr="009E2AA7" w:rsidRDefault="00194056" w:rsidP="00395CD4">
            <w:pPr>
              <w:jc w:val="center"/>
              <w:rPr>
                <w:rFonts w:ascii="Arial Narrow" w:eastAsiaTheme="majorEastAsia" w:hAnsi="Arial Narrow" w:cstheme="majorBidi"/>
                <w:bCs/>
                <w:sz w:val="20"/>
              </w:rPr>
            </w:pPr>
          </w:p>
          <w:p w14:paraId="07F5F595" w14:textId="77777777" w:rsidR="00194056" w:rsidRPr="009E2AA7" w:rsidRDefault="009E2AA7" w:rsidP="00395CD4">
            <w:pPr>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p w14:paraId="01DAF8F3" w14:textId="77777777" w:rsidR="00194056" w:rsidRPr="009E2AA7" w:rsidRDefault="009E2AA7" w:rsidP="00395CD4">
            <w:pPr>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c>
          <w:tcPr>
            <w:tcW w:w="893" w:type="dxa"/>
            <w:tcBorders>
              <w:bottom w:val="single" w:sz="4" w:space="0" w:color="auto"/>
            </w:tcBorders>
            <w:vAlign w:val="center"/>
          </w:tcPr>
          <w:p w14:paraId="488D2F02" w14:textId="77777777" w:rsidR="00194056" w:rsidRPr="009E2AA7" w:rsidRDefault="00194056" w:rsidP="00395CD4">
            <w:pPr>
              <w:jc w:val="center"/>
              <w:rPr>
                <w:rFonts w:ascii="Arial Narrow" w:eastAsiaTheme="majorEastAsia" w:hAnsi="Arial Narrow" w:cstheme="majorBidi"/>
                <w:bCs/>
                <w:sz w:val="20"/>
              </w:rPr>
            </w:pPr>
          </w:p>
          <w:p w14:paraId="6B514A6D" w14:textId="77777777" w:rsidR="00194056" w:rsidRPr="009E2AA7" w:rsidRDefault="009E2AA7" w:rsidP="00395CD4">
            <w:pPr>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c>
          <w:tcPr>
            <w:tcW w:w="1018" w:type="dxa"/>
            <w:tcBorders>
              <w:bottom w:val="single" w:sz="4" w:space="0" w:color="auto"/>
            </w:tcBorders>
            <w:vAlign w:val="center"/>
          </w:tcPr>
          <w:p w14:paraId="28A11B41" w14:textId="77777777" w:rsidR="00194056" w:rsidRPr="009E2AA7" w:rsidRDefault="009E2AA7" w:rsidP="00395CD4">
            <w:pPr>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r>
      <w:tr w:rsidR="00194056" w:rsidRPr="00540422" w14:paraId="5D53963A" w14:textId="77777777" w:rsidTr="00395CD4">
        <w:tc>
          <w:tcPr>
            <w:tcW w:w="5981" w:type="dxa"/>
            <w:gridSpan w:val="4"/>
            <w:vAlign w:val="center"/>
          </w:tcPr>
          <w:p w14:paraId="46C8DD3B" w14:textId="77777777" w:rsidR="00194056" w:rsidRPr="00540422" w:rsidRDefault="00194056" w:rsidP="00395CD4">
            <w:pPr>
              <w:jc w:val="left"/>
              <w:rPr>
                <w:rFonts w:ascii="Arial Narrow" w:eastAsiaTheme="majorEastAsia" w:hAnsi="Arial Narrow" w:cstheme="majorBidi"/>
                <w:bCs/>
                <w:sz w:val="20"/>
              </w:rPr>
            </w:pPr>
            <w:r w:rsidRPr="00540422">
              <w:rPr>
                <w:rFonts w:ascii="Arial Narrow" w:eastAsiaTheme="majorEastAsia" w:hAnsi="Arial Narrow" w:cstheme="majorBidi"/>
                <w:bCs/>
                <w:sz w:val="20"/>
              </w:rPr>
              <w:t>Total non-drug cost per 28 days</w:t>
            </w:r>
          </w:p>
        </w:tc>
        <w:tc>
          <w:tcPr>
            <w:tcW w:w="1125" w:type="dxa"/>
            <w:tcBorders>
              <w:right w:val="single" w:sz="4" w:space="0" w:color="auto"/>
            </w:tcBorders>
            <w:vAlign w:val="center"/>
          </w:tcPr>
          <w:p w14:paraId="22DBF122" w14:textId="77777777" w:rsidR="00194056" w:rsidRPr="009E2AA7" w:rsidRDefault="009E2AA7" w:rsidP="00395CD4">
            <w:pPr>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c>
          <w:tcPr>
            <w:tcW w:w="893" w:type="dxa"/>
            <w:tcBorders>
              <w:left w:val="single" w:sz="4" w:space="0" w:color="auto"/>
            </w:tcBorders>
            <w:vAlign w:val="center"/>
          </w:tcPr>
          <w:p w14:paraId="6ABE70E1" w14:textId="77777777" w:rsidR="00194056" w:rsidRPr="009E2AA7" w:rsidRDefault="009E2AA7" w:rsidP="00395CD4">
            <w:pPr>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c>
          <w:tcPr>
            <w:tcW w:w="1018" w:type="dxa"/>
            <w:tcBorders>
              <w:left w:val="single" w:sz="4" w:space="0" w:color="auto"/>
            </w:tcBorders>
            <w:vAlign w:val="center"/>
          </w:tcPr>
          <w:p w14:paraId="26FD452D" w14:textId="77777777" w:rsidR="00194056" w:rsidRPr="009E2AA7" w:rsidRDefault="009E2AA7" w:rsidP="00395CD4">
            <w:pPr>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r>
      <w:tr w:rsidR="00194056" w:rsidRPr="00540422" w14:paraId="7521C63C" w14:textId="77777777" w:rsidTr="00395CD4">
        <w:tc>
          <w:tcPr>
            <w:tcW w:w="7999" w:type="dxa"/>
            <w:gridSpan w:val="6"/>
            <w:vAlign w:val="center"/>
          </w:tcPr>
          <w:p w14:paraId="6AB728D4" w14:textId="77777777" w:rsidR="00194056" w:rsidRPr="00540422" w:rsidRDefault="00194056" w:rsidP="00395CD4">
            <w:pPr>
              <w:jc w:val="left"/>
              <w:rPr>
                <w:rFonts w:ascii="Arial Narrow" w:eastAsiaTheme="majorEastAsia" w:hAnsi="Arial Narrow" w:cstheme="majorBidi"/>
                <w:bCs/>
                <w:sz w:val="20"/>
              </w:rPr>
            </w:pPr>
            <w:r w:rsidRPr="00540422">
              <w:rPr>
                <w:rFonts w:ascii="Arial Narrow" w:eastAsiaTheme="majorEastAsia" w:hAnsi="Arial Narrow" w:cstheme="majorBidi"/>
                <w:bCs/>
                <w:sz w:val="20"/>
              </w:rPr>
              <w:t>Cost savings of PR BPN (difference in non-drug costs / 28)</w:t>
            </w:r>
          </w:p>
        </w:tc>
        <w:tc>
          <w:tcPr>
            <w:tcW w:w="1018" w:type="dxa"/>
            <w:tcBorders>
              <w:left w:val="single" w:sz="4" w:space="0" w:color="auto"/>
            </w:tcBorders>
            <w:vAlign w:val="center"/>
          </w:tcPr>
          <w:p w14:paraId="0FA62D3A" w14:textId="77777777" w:rsidR="00194056" w:rsidRPr="009E2AA7" w:rsidRDefault="009E2AA7" w:rsidP="00395CD4">
            <w:pPr>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r>
    </w:tbl>
    <w:p w14:paraId="2BBEE688" w14:textId="77777777" w:rsidR="00194056" w:rsidRPr="00540422" w:rsidRDefault="00194056" w:rsidP="00194056">
      <w:pPr>
        <w:pStyle w:val="TableFigureFooter"/>
      </w:pPr>
      <w:r w:rsidRPr="00540422">
        <w:t>Source: Table 20, p40 of the submission</w:t>
      </w:r>
    </w:p>
    <w:p w14:paraId="559EB743" w14:textId="77777777" w:rsidR="00194056" w:rsidRPr="00540422" w:rsidRDefault="00194056" w:rsidP="00194056">
      <w:pPr>
        <w:pStyle w:val="TableFigureFooter"/>
      </w:pPr>
      <w:r w:rsidRPr="00540422">
        <w:t xml:space="preserve">Abbreviations: BPN, buprenorphine; GP, general practitioner; MBS, Medical Benefits Schedule; NX, naloxone; PR, prolonged release; </w:t>
      </w:r>
      <w:r w:rsidRPr="00540422">
        <w:rPr>
          <w:lang w:eastAsia="en-US"/>
        </w:rPr>
        <w:t xml:space="preserve">q1w, once weekly; q4w, once every 4 weeks; </w:t>
      </w:r>
      <w:r w:rsidRPr="00540422">
        <w:t>SL, sublingual</w:t>
      </w:r>
    </w:p>
    <w:p w14:paraId="44E96699" w14:textId="77777777" w:rsidR="00194056" w:rsidRPr="00540422" w:rsidRDefault="00194056" w:rsidP="00194056">
      <w:pPr>
        <w:pStyle w:val="TableFigureFooter"/>
      </w:pPr>
      <w:r w:rsidRPr="00540422">
        <w:rPr>
          <w:vertAlign w:val="superscript"/>
        </w:rPr>
        <w:t>a</w:t>
      </w:r>
      <w:r w:rsidRPr="00540422">
        <w:t xml:space="preserve"> </w:t>
      </w:r>
      <w:r w:rsidRPr="00540422">
        <w:rPr>
          <w:rFonts w:eastAsiaTheme="minorHAnsi"/>
        </w:rPr>
        <w:t>Based on HS-14-499 study: 56% (128/227) of patients stabilised on monthly dosing regimen by end of study, and 75% retained on treatment. Therefore assumed 74.7% (56/75) on monthly dosing and remainder (25.3%) weekly dosing</w:t>
      </w:r>
    </w:p>
    <w:p w14:paraId="4911CC94" w14:textId="77777777" w:rsidR="00194056" w:rsidRPr="00540422" w:rsidRDefault="00194056" w:rsidP="00194056">
      <w:pPr>
        <w:pStyle w:val="ExecSumBodyText"/>
        <w:numPr>
          <w:ilvl w:val="1"/>
          <w:numId w:val="1"/>
        </w:numPr>
      </w:pPr>
      <w:r w:rsidRPr="00540422">
        <w:t>The non-drug cost saving of $</w:t>
      </w:r>
      <w:r w:rsidR="009E2AA7">
        <w:rPr>
          <w:noProof/>
          <w:color w:val="000000"/>
          <w:highlight w:val="black"/>
        </w:rPr>
        <w:t>'''''''''</w:t>
      </w:r>
      <w:r w:rsidRPr="00540422">
        <w:t xml:space="preserve">/day in the current submission was the same as that derived in the March 2019 submission, despite differences in the estimated non-drug cost components for sublingual and prolonged release buprenorphine. </w:t>
      </w:r>
    </w:p>
    <w:p w14:paraId="4AE2312B" w14:textId="77777777" w:rsidR="00194056" w:rsidRPr="00540422" w:rsidRDefault="00194056" w:rsidP="002F3303">
      <w:pPr>
        <w:pStyle w:val="ExecSumBodyText"/>
        <w:numPr>
          <w:ilvl w:val="1"/>
          <w:numId w:val="1"/>
        </w:numPr>
        <w:spacing w:after="0"/>
      </w:pPr>
      <w:r w:rsidRPr="00540422">
        <w:t>Key differences in included costs, between the cost minimisation analyses include:</w:t>
      </w:r>
    </w:p>
    <w:p w14:paraId="62850B92" w14:textId="77777777" w:rsidR="00194056" w:rsidRPr="00540422" w:rsidRDefault="00194056" w:rsidP="00485DE9">
      <w:pPr>
        <w:pStyle w:val="ListParagraph"/>
        <w:numPr>
          <w:ilvl w:val="0"/>
          <w:numId w:val="9"/>
        </w:numPr>
        <w:spacing w:after="120"/>
        <w:ind w:left="1077" w:hanging="357"/>
      </w:pPr>
      <w:r w:rsidRPr="00540422">
        <w:t xml:space="preserve">Higher GP prescribing costs due to an increase in the MBS </w:t>
      </w:r>
      <w:r w:rsidR="002F3303" w:rsidRPr="00540422">
        <w:t xml:space="preserve">item </w:t>
      </w:r>
      <w:r w:rsidRPr="00540422">
        <w:t xml:space="preserve">23 </w:t>
      </w:r>
      <w:r w:rsidR="002F3303" w:rsidRPr="00540422">
        <w:t>(level B GP consultation)</w:t>
      </w:r>
      <w:r w:rsidRPr="00540422">
        <w:t xml:space="preserve"> fee and updated estimates of the number of GP visits per 28 day period for sublingual and prolonged release buprenorphine, based on the results of the sponsor OST survey.</w:t>
      </w:r>
    </w:p>
    <w:p w14:paraId="2519CEC9" w14:textId="77777777" w:rsidR="00194056" w:rsidRPr="00540422" w:rsidRDefault="00194056" w:rsidP="00485DE9">
      <w:pPr>
        <w:pStyle w:val="ListParagraph"/>
        <w:numPr>
          <w:ilvl w:val="0"/>
          <w:numId w:val="9"/>
        </w:numPr>
        <w:spacing w:after="120"/>
        <w:ind w:left="1077" w:hanging="357"/>
      </w:pPr>
      <w:r w:rsidRPr="00540422">
        <w:t>A reduction in the private patient service/dispensing fees for prolonged release buprenorphine, based on the results of the sponsor OST survey.</w:t>
      </w:r>
    </w:p>
    <w:p w14:paraId="6A1EBA53" w14:textId="77777777" w:rsidR="00194056" w:rsidRPr="00540422" w:rsidRDefault="00194056" w:rsidP="00485DE9">
      <w:pPr>
        <w:pStyle w:val="ListParagraph"/>
        <w:numPr>
          <w:ilvl w:val="0"/>
          <w:numId w:val="9"/>
        </w:numPr>
        <w:spacing w:after="120"/>
        <w:ind w:left="1077" w:hanging="357"/>
      </w:pPr>
      <w:r w:rsidRPr="00540422">
        <w:t>The assumption that there will be no delivery fees for prolonged release buprenorphine (compared with $</w:t>
      </w:r>
      <w:r w:rsidR="009E2AA7">
        <w:rPr>
          <w:noProof/>
          <w:color w:val="000000"/>
          <w:highlight w:val="black"/>
        </w:rPr>
        <w:t>'''''</w:t>
      </w:r>
      <w:r w:rsidRPr="00540422">
        <w:t xml:space="preserve"> per dispensing in the March 2019 submission). This was based on the results of the sponsor survey, which indicated that usual medication delivery channels for Schedule 8 drugs are used and there are no additional costs or fees charged.</w:t>
      </w:r>
    </w:p>
    <w:p w14:paraId="37DF0308" w14:textId="77777777" w:rsidR="00194056" w:rsidRPr="00540422" w:rsidRDefault="00194056" w:rsidP="00485DE9">
      <w:pPr>
        <w:pStyle w:val="ListParagraph"/>
        <w:numPr>
          <w:ilvl w:val="0"/>
          <w:numId w:val="9"/>
        </w:numPr>
        <w:spacing w:after="120"/>
        <w:ind w:left="1077" w:hanging="357"/>
      </w:pPr>
      <w:r w:rsidRPr="00540422">
        <w:t>A small increase in GP administration costs associated with prolonged release buprenorphine due to an increase in the MBS item 3</w:t>
      </w:r>
      <w:r w:rsidR="00A73376" w:rsidRPr="00540422">
        <w:t xml:space="preserve"> (level A GP consultation)</w:t>
      </w:r>
      <w:r w:rsidRPr="00540422">
        <w:t xml:space="preserve"> fee.</w:t>
      </w:r>
    </w:p>
    <w:p w14:paraId="01840D92" w14:textId="77777777" w:rsidR="00194056" w:rsidRPr="00540422" w:rsidRDefault="00194056" w:rsidP="00485DE9">
      <w:pPr>
        <w:pStyle w:val="ListParagraph"/>
        <w:numPr>
          <w:ilvl w:val="0"/>
          <w:numId w:val="9"/>
        </w:numPr>
        <w:spacing w:after="120"/>
        <w:ind w:left="1077" w:hanging="357"/>
      </w:pPr>
      <w:r w:rsidRPr="00540422">
        <w:t>A reduction in the supervision costs associated with sublingual buprenorphine/naloxone, based on the cost in the private setting (derived from the sponsor OST survey, compared to a published estimate in the March 2019 submission). The costs associated with supervision in the public setting were unchanged, as was the distribution of use in the private and public settings.</w:t>
      </w:r>
    </w:p>
    <w:p w14:paraId="42094E57" w14:textId="77777777" w:rsidR="00C147B9" w:rsidRPr="00540422" w:rsidRDefault="00194056" w:rsidP="00BC675E">
      <w:pPr>
        <w:pStyle w:val="ExecSumBodyText"/>
        <w:numPr>
          <w:ilvl w:val="1"/>
          <w:numId w:val="1"/>
        </w:numPr>
      </w:pPr>
      <w:r w:rsidRPr="00540422">
        <w:t xml:space="preserve">The submission acknowledged that relatively small samples contributed to estimates based on the sponsor OST survey, but suggested that the variation in responses reflects the inconsistencies in fees charged across service providers and jurisdictions. Notwithstanding the real world variation reflected in the survey responses, the estimated service fees derived from the survey are highly uncertain, and may not reflect fees associated with the service models that have been established since </w:t>
      </w:r>
      <w:r w:rsidRPr="002E7996">
        <w:t>prolonged release buprenorphine was listed on the PBS.</w:t>
      </w:r>
      <w:r w:rsidR="00BC675E" w:rsidRPr="002E7996">
        <w:t xml:space="preserve"> </w:t>
      </w:r>
      <w:r w:rsidR="00BC675E" w:rsidRPr="002E7996">
        <w:rPr>
          <w:iCs/>
        </w:rPr>
        <w:t xml:space="preserve">The PSCR </w:t>
      </w:r>
      <w:r w:rsidR="00606BA0" w:rsidRPr="002E7996">
        <w:rPr>
          <w:iCs/>
        </w:rPr>
        <w:t>claimed</w:t>
      </w:r>
      <w:r w:rsidR="00BC675E" w:rsidRPr="002E7996">
        <w:rPr>
          <w:iCs/>
        </w:rPr>
        <w:t xml:space="preserve"> that the survey results are consistent with other reports of the costs of supervised dosing (Chalmers 2009 and Feyer 2008), and that the proposed savings are plausible in magnitude.</w:t>
      </w:r>
      <w:r w:rsidR="00BC675E" w:rsidRPr="00540422">
        <w:rPr>
          <w:i/>
          <w:iCs/>
        </w:rPr>
        <w:t xml:space="preserve"> </w:t>
      </w:r>
    </w:p>
    <w:p w14:paraId="7A0F3133" w14:textId="77777777" w:rsidR="00516570" w:rsidRPr="00540422" w:rsidRDefault="00194056" w:rsidP="00BC675E">
      <w:pPr>
        <w:pStyle w:val="ExecSumBodyText"/>
        <w:numPr>
          <w:ilvl w:val="1"/>
          <w:numId w:val="1"/>
        </w:numPr>
      </w:pPr>
      <w:r w:rsidRPr="00540422">
        <w:t xml:space="preserve">The cost minimisation analysis included private patient fees, </w:t>
      </w:r>
      <w:r w:rsidR="00E95329" w:rsidRPr="00540422">
        <w:t>which the PBAC has previously considered to be inappr</w:t>
      </w:r>
      <w:r w:rsidRPr="00540422">
        <w:t>opriate to include in the cost minimisation analysis (para 7.5, Buprenorphine PSD, March 2019 PBAC meeting).</w:t>
      </w:r>
      <w:r w:rsidR="00BC675E" w:rsidRPr="00540422">
        <w:t xml:space="preserve"> </w:t>
      </w:r>
    </w:p>
    <w:p w14:paraId="33DF75C7" w14:textId="77777777" w:rsidR="00400082" w:rsidRPr="00540422" w:rsidRDefault="00194056" w:rsidP="00606BA0">
      <w:pPr>
        <w:pStyle w:val="ExecSumBodyText"/>
        <w:numPr>
          <w:ilvl w:val="1"/>
          <w:numId w:val="1"/>
        </w:numPr>
      </w:pPr>
      <w:r w:rsidRPr="00540422">
        <w:t xml:space="preserve">Table </w:t>
      </w:r>
      <w:r w:rsidR="00B534BA" w:rsidRPr="00540422">
        <w:t>8</w:t>
      </w:r>
      <w:r w:rsidRPr="00540422">
        <w:t xml:space="preserve"> </w:t>
      </w:r>
      <w:r w:rsidR="00562552" w:rsidRPr="00540422">
        <w:t>summarises</w:t>
      </w:r>
      <w:r w:rsidRPr="00540422">
        <w:t xml:space="preserve"> the results of the cost minimisation analysis</w:t>
      </w:r>
      <w:r w:rsidR="00562552" w:rsidRPr="00540422">
        <w:t>.</w:t>
      </w:r>
    </w:p>
    <w:p w14:paraId="1EB61DB3" w14:textId="77777777" w:rsidR="00194056" w:rsidRPr="00540422" w:rsidRDefault="00194056" w:rsidP="00194056">
      <w:pPr>
        <w:jc w:val="left"/>
        <w:rPr>
          <w:rFonts w:ascii="Arial Narrow" w:eastAsiaTheme="majorEastAsia" w:hAnsi="Arial Narrow" w:cs="Times New Roman"/>
          <w:b/>
          <w:sz w:val="20"/>
        </w:rPr>
      </w:pPr>
      <w:r w:rsidRPr="00540422">
        <w:rPr>
          <w:rFonts w:ascii="Arial Narrow" w:eastAsiaTheme="majorEastAsia" w:hAnsi="Arial Narrow" w:cs="Times New Roman"/>
          <w:b/>
          <w:sz w:val="20"/>
        </w:rPr>
        <w:t xml:space="preserve">Table </w:t>
      </w:r>
      <w:r w:rsidR="00B534BA" w:rsidRPr="00540422">
        <w:rPr>
          <w:rFonts w:ascii="Arial Narrow" w:eastAsiaTheme="majorEastAsia" w:hAnsi="Arial Narrow" w:cs="Times New Roman"/>
          <w:b/>
          <w:sz w:val="20"/>
        </w:rPr>
        <w:t>8</w:t>
      </w:r>
      <w:r w:rsidRPr="00540422">
        <w:rPr>
          <w:rFonts w:ascii="Arial Narrow" w:eastAsiaTheme="majorEastAsia" w:hAnsi="Arial Narrow" w:cs="Times New Roman"/>
          <w:b/>
          <w:sz w:val="20"/>
        </w:rPr>
        <w:t>: Cost minimis</w:t>
      </w:r>
      <w:r w:rsidR="00562552" w:rsidRPr="00540422">
        <w:rPr>
          <w:rFonts w:ascii="Arial Narrow" w:eastAsiaTheme="majorEastAsia" w:hAnsi="Arial Narrow" w:cs="Times New Roman"/>
          <w:b/>
          <w:sz w:val="20"/>
        </w:rPr>
        <w:t>ation analysis of</w:t>
      </w:r>
      <w:r w:rsidRPr="00540422">
        <w:rPr>
          <w:rFonts w:ascii="Arial Narrow" w:eastAsiaTheme="majorEastAsia" w:hAnsi="Arial Narrow" w:cs="Times New Roman"/>
          <w:b/>
          <w:sz w:val="20"/>
        </w:rPr>
        <w:t xml:space="preserve"> prolonged release buprenorphine</w:t>
      </w:r>
      <w:r w:rsidR="00562552" w:rsidRPr="00540422">
        <w:rPr>
          <w:rFonts w:ascii="Arial Narrow" w:eastAsiaTheme="majorEastAsia" w:hAnsi="Arial Narrow" w:cs="Times New Roman"/>
          <w:b/>
          <w:sz w:val="20"/>
        </w:rPr>
        <w:t xml:space="preserve"> versus sublingual buprenorphine/ naloxone</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Table 8: Cost minimisation analysis of prolonged release buprenorphine versus sublingual buprenorphine/ naloxone"/>
      </w:tblPr>
      <w:tblGrid>
        <w:gridCol w:w="2831"/>
        <w:gridCol w:w="1133"/>
        <w:gridCol w:w="5103"/>
      </w:tblGrid>
      <w:tr w:rsidR="00194056" w:rsidRPr="00540422" w14:paraId="0F0A8772" w14:textId="77777777" w:rsidTr="00395CD4">
        <w:trPr>
          <w:trHeight w:val="300"/>
        </w:trPr>
        <w:tc>
          <w:tcPr>
            <w:tcW w:w="1561" w:type="pct"/>
            <w:vAlign w:val="center"/>
          </w:tcPr>
          <w:p w14:paraId="4B9E1DAA" w14:textId="77777777" w:rsidR="00194056" w:rsidRPr="00540422" w:rsidRDefault="00194056" w:rsidP="00395CD4">
            <w:pPr>
              <w:jc w:val="left"/>
              <w:rPr>
                <w:rFonts w:ascii="Arial Narrow" w:eastAsiaTheme="majorEastAsia" w:hAnsi="Arial Narrow" w:cstheme="majorBidi"/>
                <w:b/>
                <w:bCs/>
                <w:sz w:val="20"/>
              </w:rPr>
            </w:pPr>
            <w:r w:rsidRPr="00540422">
              <w:rPr>
                <w:rFonts w:ascii="Arial Narrow" w:eastAsiaTheme="majorEastAsia" w:hAnsi="Arial Narrow" w:cstheme="majorBidi"/>
                <w:b/>
                <w:bCs/>
                <w:sz w:val="20"/>
              </w:rPr>
              <w:t>Component</w:t>
            </w:r>
          </w:p>
        </w:tc>
        <w:tc>
          <w:tcPr>
            <w:tcW w:w="625" w:type="pct"/>
            <w:shd w:val="clear" w:color="auto" w:fill="auto"/>
            <w:noWrap/>
            <w:vAlign w:val="center"/>
          </w:tcPr>
          <w:p w14:paraId="0BE4E119" w14:textId="77777777" w:rsidR="00194056" w:rsidRPr="00540422" w:rsidRDefault="00194056" w:rsidP="00395CD4">
            <w:pPr>
              <w:ind w:left="-93" w:right="-93"/>
              <w:jc w:val="center"/>
              <w:rPr>
                <w:rFonts w:ascii="Arial Narrow" w:eastAsiaTheme="majorEastAsia" w:hAnsi="Arial Narrow" w:cstheme="majorBidi"/>
                <w:b/>
                <w:bCs/>
                <w:sz w:val="20"/>
              </w:rPr>
            </w:pPr>
            <w:r w:rsidRPr="00540422">
              <w:rPr>
                <w:rFonts w:ascii="Arial Narrow" w:eastAsiaTheme="majorEastAsia" w:hAnsi="Arial Narrow" w:cstheme="majorBidi"/>
                <w:b/>
                <w:bCs/>
                <w:sz w:val="20"/>
              </w:rPr>
              <w:t>Current submission</w:t>
            </w:r>
            <w:r w:rsidR="008D63CA">
              <w:rPr>
                <w:rFonts w:ascii="Arial Narrow" w:eastAsiaTheme="majorEastAsia" w:hAnsi="Arial Narrow" w:cstheme="majorBidi"/>
                <w:b/>
                <w:bCs/>
                <w:sz w:val="20"/>
              </w:rPr>
              <w:t xml:space="preserve"> ($)</w:t>
            </w:r>
          </w:p>
        </w:tc>
        <w:tc>
          <w:tcPr>
            <w:tcW w:w="2814" w:type="pct"/>
            <w:vAlign w:val="center"/>
          </w:tcPr>
          <w:p w14:paraId="669C237E" w14:textId="77777777" w:rsidR="00194056" w:rsidRPr="00540422" w:rsidRDefault="00194056" w:rsidP="00395CD4">
            <w:pPr>
              <w:ind w:right="-57"/>
              <w:jc w:val="left"/>
              <w:rPr>
                <w:rFonts w:ascii="Arial Narrow" w:eastAsiaTheme="majorEastAsia" w:hAnsi="Arial Narrow" w:cstheme="majorBidi"/>
                <w:b/>
                <w:bCs/>
                <w:sz w:val="20"/>
              </w:rPr>
            </w:pPr>
            <w:r w:rsidRPr="00540422">
              <w:rPr>
                <w:rFonts w:ascii="Arial Narrow" w:eastAsiaTheme="majorEastAsia" w:hAnsi="Arial Narrow" w:cstheme="majorBidi"/>
                <w:b/>
                <w:bCs/>
                <w:sz w:val="20"/>
              </w:rPr>
              <w:t xml:space="preserve">Source / method </w:t>
            </w:r>
          </w:p>
        </w:tc>
      </w:tr>
      <w:tr w:rsidR="00194056" w:rsidRPr="00540422" w14:paraId="28C2EC75" w14:textId="77777777" w:rsidTr="00395CD4">
        <w:trPr>
          <w:trHeight w:val="237"/>
        </w:trPr>
        <w:tc>
          <w:tcPr>
            <w:tcW w:w="1561" w:type="pct"/>
          </w:tcPr>
          <w:p w14:paraId="21FADEC2" w14:textId="77777777" w:rsidR="00194056" w:rsidRPr="00540422" w:rsidRDefault="00194056" w:rsidP="00395CD4">
            <w:pPr>
              <w:jc w:val="left"/>
              <w:rPr>
                <w:rFonts w:ascii="Arial Narrow" w:eastAsiaTheme="majorEastAsia" w:hAnsi="Arial Narrow" w:cstheme="majorBidi"/>
                <w:bCs/>
                <w:sz w:val="20"/>
              </w:rPr>
            </w:pPr>
            <w:r w:rsidRPr="00540422">
              <w:rPr>
                <w:rFonts w:ascii="Arial Narrow" w:eastAsiaTheme="majorEastAsia" w:hAnsi="Arial Narrow" w:cstheme="majorBidi"/>
                <w:bCs/>
                <w:sz w:val="20"/>
              </w:rPr>
              <w:t xml:space="preserve"> SL BPN/NX cost per day (AEMP)</w:t>
            </w:r>
          </w:p>
        </w:tc>
        <w:tc>
          <w:tcPr>
            <w:tcW w:w="625" w:type="pct"/>
            <w:shd w:val="clear" w:color="auto" w:fill="auto"/>
            <w:noWrap/>
          </w:tcPr>
          <w:p w14:paraId="304070C0" w14:textId="77777777" w:rsidR="00194056" w:rsidRPr="009E2AA7" w:rsidRDefault="009E2AA7" w:rsidP="00395CD4">
            <w:pPr>
              <w:ind w:left="-93" w:right="-93"/>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c>
          <w:tcPr>
            <w:tcW w:w="2814" w:type="pct"/>
          </w:tcPr>
          <w:p w14:paraId="33323909" w14:textId="77777777" w:rsidR="00194056" w:rsidRPr="00540422" w:rsidRDefault="00194056" w:rsidP="00395CD4">
            <w:pPr>
              <w:ind w:right="-57"/>
              <w:jc w:val="left"/>
              <w:rPr>
                <w:rFonts w:ascii="Arial Narrow" w:eastAsiaTheme="majorEastAsia" w:hAnsi="Arial Narrow" w:cstheme="majorBidi"/>
                <w:bCs/>
                <w:sz w:val="20"/>
              </w:rPr>
            </w:pPr>
            <w:r w:rsidRPr="00540422">
              <w:rPr>
                <w:rFonts w:ascii="Arial Narrow" w:eastAsiaTheme="majorEastAsia" w:hAnsi="Arial Narrow" w:cstheme="majorBidi"/>
                <w:bCs/>
                <w:sz w:val="20"/>
              </w:rPr>
              <w:t>Steady state mean dose of SL BPN/NX 18.34 mg/day (HS-11-421 trial); relative use of 8/2 mg (PBS 9749D) and 2/0.5 mg (PBS 9750E) SL BPN/NX (2017 IMS data)</w:t>
            </w:r>
          </w:p>
        </w:tc>
      </w:tr>
      <w:tr w:rsidR="00194056" w:rsidRPr="00540422" w14:paraId="04C7DD1D" w14:textId="77777777" w:rsidTr="00395CD4">
        <w:trPr>
          <w:trHeight w:val="70"/>
        </w:trPr>
        <w:tc>
          <w:tcPr>
            <w:tcW w:w="1561" w:type="pct"/>
          </w:tcPr>
          <w:p w14:paraId="58F60457" w14:textId="77777777" w:rsidR="00194056" w:rsidRPr="00540422" w:rsidRDefault="00194056" w:rsidP="00395CD4">
            <w:pPr>
              <w:jc w:val="left"/>
              <w:rPr>
                <w:rFonts w:ascii="Arial Narrow" w:eastAsiaTheme="majorEastAsia" w:hAnsi="Arial Narrow" w:cstheme="majorBidi"/>
                <w:bCs/>
                <w:sz w:val="20"/>
              </w:rPr>
            </w:pPr>
            <w:r w:rsidRPr="00540422">
              <w:rPr>
                <w:rFonts w:ascii="Arial Narrow" w:eastAsiaTheme="majorEastAsia" w:hAnsi="Arial Narrow" w:cstheme="majorBidi"/>
                <w:bCs/>
                <w:sz w:val="20"/>
              </w:rPr>
              <w:t>Price premium</w:t>
            </w:r>
          </w:p>
        </w:tc>
        <w:tc>
          <w:tcPr>
            <w:tcW w:w="625" w:type="pct"/>
            <w:shd w:val="clear" w:color="auto" w:fill="auto"/>
            <w:noWrap/>
          </w:tcPr>
          <w:p w14:paraId="71117484" w14:textId="77777777" w:rsidR="00194056" w:rsidRPr="009E2AA7" w:rsidRDefault="009E2AA7" w:rsidP="00395CD4">
            <w:pPr>
              <w:ind w:left="-93" w:right="-93"/>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c>
          <w:tcPr>
            <w:tcW w:w="2814" w:type="pct"/>
          </w:tcPr>
          <w:p w14:paraId="45AFCFE8" w14:textId="77777777" w:rsidR="00194056" w:rsidRPr="00540422" w:rsidRDefault="009E2AA7" w:rsidP="00395CD4">
            <w:pPr>
              <w:ind w:right="-57"/>
              <w:jc w:val="left"/>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194056" w:rsidRPr="00540422">
              <w:rPr>
                <w:rFonts w:ascii="Arial Narrow" w:eastAsiaTheme="majorEastAsia" w:hAnsi="Arial Narrow" w:cstheme="majorBidi"/>
                <w:bCs/>
                <w:sz w:val="20"/>
              </w:rPr>
              <w:t>% of SL BPN/NX equivalent cost per day ($</w:t>
            </w:r>
            <w:r>
              <w:rPr>
                <w:rFonts w:ascii="Arial Narrow" w:eastAsiaTheme="majorEastAsia" w:hAnsi="Arial Narrow" w:cstheme="majorBidi"/>
                <w:bCs/>
                <w:noProof/>
                <w:color w:val="000000"/>
                <w:sz w:val="20"/>
                <w:highlight w:val="black"/>
              </w:rPr>
              <w:t>'''''''''''''</w:t>
            </w:r>
            <w:r w:rsidR="00194056" w:rsidRPr="00540422">
              <w:rPr>
                <w:rFonts w:ascii="Arial Narrow" w:eastAsiaTheme="majorEastAsia" w:hAnsi="Arial Narrow" w:cstheme="majorBidi"/>
                <w:bCs/>
                <w:sz w:val="20"/>
              </w:rPr>
              <w:t xml:space="preserve"> × 0.</w:t>
            </w:r>
            <w:r>
              <w:rPr>
                <w:rFonts w:ascii="Arial Narrow" w:eastAsiaTheme="majorEastAsia" w:hAnsi="Arial Narrow" w:cstheme="majorBidi"/>
                <w:bCs/>
                <w:noProof/>
                <w:color w:val="000000"/>
                <w:sz w:val="20"/>
                <w:highlight w:val="black"/>
              </w:rPr>
              <w:t>'''''''</w:t>
            </w:r>
            <w:r w:rsidR="00194056" w:rsidRPr="00540422">
              <w:rPr>
                <w:rFonts w:ascii="Arial Narrow" w:eastAsiaTheme="majorEastAsia" w:hAnsi="Arial Narrow" w:cstheme="majorBidi"/>
                <w:bCs/>
                <w:sz w:val="20"/>
              </w:rPr>
              <w:t>)</w:t>
            </w:r>
          </w:p>
        </w:tc>
      </w:tr>
      <w:tr w:rsidR="00194056" w:rsidRPr="00540422" w14:paraId="2C80340D" w14:textId="77777777" w:rsidTr="00395CD4">
        <w:trPr>
          <w:trHeight w:val="223"/>
        </w:trPr>
        <w:tc>
          <w:tcPr>
            <w:tcW w:w="1561" w:type="pct"/>
          </w:tcPr>
          <w:p w14:paraId="027A4F3F" w14:textId="77777777" w:rsidR="00194056" w:rsidRPr="00540422" w:rsidRDefault="00194056" w:rsidP="00395CD4">
            <w:pPr>
              <w:jc w:val="left"/>
              <w:rPr>
                <w:rFonts w:ascii="Arial Narrow" w:eastAsiaTheme="majorEastAsia" w:hAnsi="Arial Narrow" w:cstheme="majorBidi"/>
                <w:bCs/>
                <w:sz w:val="20"/>
              </w:rPr>
            </w:pPr>
            <w:r w:rsidRPr="00540422">
              <w:rPr>
                <w:rFonts w:ascii="Arial Narrow" w:eastAsiaTheme="majorEastAsia" w:hAnsi="Arial Narrow" w:cstheme="majorBidi"/>
                <w:bCs/>
                <w:sz w:val="20"/>
              </w:rPr>
              <w:t>Service model cost savings per day</w:t>
            </w:r>
          </w:p>
        </w:tc>
        <w:tc>
          <w:tcPr>
            <w:tcW w:w="625" w:type="pct"/>
            <w:shd w:val="clear" w:color="auto" w:fill="auto"/>
            <w:noWrap/>
          </w:tcPr>
          <w:p w14:paraId="293ECFB9" w14:textId="77777777" w:rsidR="00194056" w:rsidRPr="009E2AA7" w:rsidRDefault="009E2AA7" w:rsidP="00395CD4">
            <w:pPr>
              <w:ind w:left="-93" w:right="-93"/>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c>
          <w:tcPr>
            <w:tcW w:w="2814" w:type="pct"/>
          </w:tcPr>
          <w:p w14:paraId="69B3A9A6" w14:textId="77777777" w:rsidR="00194056" w:rsidRPr="00540422" w:rsidRDefault="00194056" w:rsidP="00395CD4">
            <w:pPr>
              <w:ind w:right="-57"/>
              <w:jc w:val="left"/>
              <w:rPr>
                <w:rFonts w:ascii="Arial Narrow" w:eastAsiaTheme="majorEastAsia" w:hAnsi="Arial Narrow" w:cstheme="majorBidi"/>
                <w:bCs/>
                <w:sz w:val="20"/>
              </w:rPr>
            </w:pPr>
            <w:r w:rsidRPr="00540422">
              <w:rPr>
                <w:rFonts w:ascii="Arial Narrow" w:eastAsiaTheme="majorEastAsia" w:hAnsi="Arial Narrow" w:cstheme="majorBidi"/>
                <w:bCs/>
                <w:sz w:val="20"/>
              </w:rPr>
              <w:t>Cost savings from a community pharmacy model of PR BPN vs SL BPN/NX ($</w:t>
            </w:r>
            <w:r w:rsidR="009E2AA7">
              <w:rPr>
                <w:rFonts w:ascii="Arial Narrow" w:eastAsiaTheme="majorEastAsia" w:hAnsi="Arial Narrow" w:cstheme="majorBidi"/>
                <w:bCs/>
                <w:noProof/>
                <w:color w:val="000000"/>
                <w:sz w:val="20"/>
                <w:highlight w:val="black"/>
              </w:rPr>
              <w:t>''''''''''''</w:t>
            </w:r>
            <w:r w:rsidRPr="00540422">
              <w:rPr>
                <w:rFonts w:ascii="Arial Narrow" w:eastAsiaTheme="majorEastAsia" w:hAnsi="Arial Narrow" w:cstheme="majorBidi"/>
                <w:bCs/>
                <w:sz w:val="20"/>
              </w:rPr>
              <w:t>/28 days)</w:t>
            </w:r>
          </w:p>
        </w:tc>
      </w:tr>
      <w:tr w:rsidR="00194056" w:rsidRPr="00540422" w14:paraId="29E056DC" w14:textId="77777777" w:rsidTr="00395CD4">
        <w:trPr>
          <w:trHeight w:val="173"/>
        </w:trPr>
        <w:tc>
          <w:tcPr>
            <w:tcW w:w="1561" w:type="pct"/>
          </w:tcPr>
          <w:p w14:paraId="4D599C08" w14:textId="77777777" w:rsidR="00194056" w:rsidRPr="00540422" w:rsidRDefault="00194056" w:rsidP="00395CD4">
            <w:pPr>
              <w:jc w:val="left"/>
              <w:rPr>
                <w:rFonts w:ascii="Arial Narrow" w:eastAsiaTheme="majorEastAsia" w:hAnsi="Arial Narrow" w:cstheme="majorBidi"/>
                <w:bCs/>
                <w:sz w:val="20"/>
              </w:rPr>
            </w:pPr>
            <w:r w:rsidRPr="00540422">
              <w:rPr>
                <w:rFonts w:ascii="Arial Narrow" w:eastAsiaTheme="majorEastAsia" w:hAnsi="Arial Narrow" w:cstheme="majorBidi"/>
                <w:bCs/>
                <w:sz w:val="20"/>
              </w:rPr>
              <w:t>Price of PR BPN per day (AEMP)</w:t>
            </w:r>
          </w:p>
        </w:tc>
        <w:tc>
          <w:tcPr>
            <w:tcW w:w="625" w:type="pct"/>
            <w:shd w:val="clear" w:color="auto" w:fill="auto"/>
            <w:noWrap/>
          </w:tcPr>
          <w:p w14:paraId="01C3B96C" w14:textId="77777777" w:rsidR="00194056" w:rsidRPr="009E2AA7" w:rsidRDefault="009E2AA7" w:rsidP="00395CD4">
            <w:pPr>
              <w:ind w:left="-93" w:right="-93"/>
              <w:jc w:val="center"/>
              <w:rPr>
                <w:rFonts w:ascii="Arial Narrow" w:eastAsiaTheme="majorEastAsia" w:hAnsi="Arial Narrow" w:cstheme="majorBidi"/>
                <w:bCs/>
                <w:sz w:val="20"/>
                <w:highlight w:val="black"/>
              </w:rPr>
            </w:pPr>
            <w:r>
              <w:rPr>
                <w:rFonts w:ascii="Arial Narrow" w:eastAsiaTheme="majorEastAsia" w:hAnsi="Arial Narrow" w:cstheme="majorBidi"/>
                <w:bCs/>
                <w:noProof/>
                <w:color w:val="000000"/>
                <w:sz w:val="20"/>
                <w:highlight w:val="black"/>
              </w:rPr>
              <w:t>''''''''''''''''''</w:t>
            </w:r>
          </w:p>
        </w:tc>
        <w:tc>
          <w:tcPr>
            <w:tcW w:w="2814" w:type="pct"/>
          </w:tcPr>
          <w:p w14:paraId="4CAD27E5" w14:textId="77777777" w:rsidR="00194056" w:rsidRPr="00540422" w:rsidRDefault="00194056" w:rsidP="00395CD4">
            <w:pPr>
              <w:ind w:right="-57"/>
              <w:jc w:val="left"/>
              <w:rPr>
                <w:rFonts w:ascii="Arial Narrow" w:eastAsiaTheme="majorEastAsia" w:hAnsi="Arial Narrow" w:cstheme="majorBidi"/>
                <w:bCs/>
                <w:sz w:val="20"/>
              </w:rPr>
            </w:pPr>
            <w:r w:rsidRPr="00540422">
              <w:rPr>
                <w:rFonts w:ascii="Arial Narrow" w:eastAsiaTheme="majorEastAsia" w:hAnsi="Arial Narrow" w:cstheme="majorBidi"/>
                <w:bCs/>
                <w:sz w:val="20"/>
              </w:rPr>
              <w:t>($</w:t>
            </w:r>
            <w:r w:rsidR="009E2AA7">
              <w:rPr>
                <w:rFonts w:ascii="Arial Narrow" w:eastAsiaTheme="majorEastAsia" w:hAnsi="Arial Narrow" w:cstheme="majorBidi"/>
                <w:bCs/>
                <w:noProof/>
                <w:color w:val="000000"/>
                <w:sz w:val="20"/>
                <w:highlight w:val="black"/>
              </w:rPr>
              <w:t>''''''''''''''</w:t>
            </w:r>
            <w:r w:rsidRPr="00540422">
              <w:rPr>
                <w:rFonts w:ascii="Arial Narrow" w:eastAsiaTheme="majorEastAsia" w:hAnsi="Arial Narrow" w:cstheme="majorBidi"/>
                <w:bCs/>
                <w:sz w:val="20"/>
              </w:rPr>
              <w:t xml:space="preserve"> + $</w:t>
            </w:r>
            <w:r w:rsidR="009E2AA7">
              <w:rPr>
                <w:rFonts w:ascii="Arial Narrow" w:eastAsiaTheme="majorEastAsia" w:hAnsi="Arial Narrow" w:cstheme="majorBidi"/>
                <w:bCs/>
                <w:noProof/>
                <w:color w:val="000000"/>
                <w:sz w:val="20"/>
                <w:highlight w:val="black"/>
              </w:rPr>
              <w:t>'''''''''''</w:t>
            </w:r>
            <w:r w:rsidRPr="00540422">
              <w:rPr>
                <w:rFonts w:ascii="Arial Narrow" w:eastAsiaTheme="majorEastAsia" w:hAnsi="Arial Narrow" w:cstheme="majorBidi"/>
                <w:bCs/>
                <w:sz w:val="20"/>
              </w:rPr>
              <w:t xml:space="preserve"> + $</w:t>
            </w:r>
            <w:r w:rsidR="009E2AA7">
              <w:rPr>
                <w:rFonts w:ascii="Arial Narrow" w:eastAsiaTheme="majorEastAsia" w:hAnsi="Arial Narrow" w:cstheme="majorBidi"/>
                <w:bCs/>
                <w:noProof/>
                <w:color w:val="000000"/>
                <w:sz w:val="20"/>
                <w:highlight w:val="black"/>
              </w:rPr>
              <w:t>''''''''''''</w:t>
            </w:r>
            <w:r w:rsidRPr="00540422">
              <w:rPr>
                <w:rFonts w:ascii="Arial Narrow" w:eastAsiaTheme="majorEastAsia" w:hAnsi="Arial Narrow" w:cstheme="majorBidi"/>
                <w:bCs/>
                <w:sz w:val="20"/>
              </w:rPr>
              <w:t>).</w:t>
            </w:r>
          </w:p>
        </w:tc>
      </w:tr>
      <w:tr w:rsidR="00194056" w:rsidRPr="00540422" w14:paraId="558532B0" w14:textId="77777777" w:rsidTr="00395CD4">
        <w:trPr>
          <w:trHeight w:val="70"/>
        </w:trPr>
        <w:tc>
          <w:tcPr>
            <w:tcW w:w="1561" w:type="pct"/>
          </w:tcPr>
          <w:p w14:paraId="1E70F829" w14:textId="77777777" w:rsidR="00194056" w:rsidRPr="00540422" w:rsidRDefault="00194056" w:rsidP="00395CD4">
            <w:pPr>
              <w:jc w:val="left"/>
              <w:rPr>
                <w:rFonts w:ascii="Arial Narrow" w:eastAsiaTheme="majorEastAsia" w:hAnsi="Arial Narrow" w:cstheme="majorBidi"/>
                <w:bCs/>
                <w:iCs/>
                <w:sz w:val="20"/>
              </w:rPr>
            </w:pPr>
            <w:r w:rsidRPr="00540422">
              <w:rPr>
                <w:rFonts w:ascii="Arial Narrow" w:eastAsiaTheme="majorEastAsia" w:hAnsi="Arial Narrow" w:cstheme="majorBidi"/>
                <w:bCs/>
                <w:iCs/>
                <w:sz w:val="20"/>
              </w:rPr>
              <w:t>Price of PR BPN for 28 days (AEMP)</w:t>
            </w:r>
          </w:p>
        </w:tc>
        <w:tc>
          <w:tcPr>
            <w:tcW w:w="625" w:type="pct"/>
            <w:shd w:val="clear" w:color="auto" w:fill="auto"/>
            <w:noWrap/>
          </w:tcPr>
          <w:p w14:paraId="6EED063F" w14:textId="77777777" w:rsidR="00194056" w:rsidRPr="009E2AA7" w:rsidRDefault="009E2AA7" w:rsidP="00395CD4">
            <w:pPr>
              <w:ind w:left="-93" w:right="-93"/>
              <w:jc w:val="center"/>
              <w:rPr>
                <w:rFonts w:ascii="Arial Narrow" w:eastAsiaTheme="majorEastAsia" w:hAnsi="Arial Narrow" w:cstheme="majorBidi"/>
                <w:bCs/>
                <w:iCs/>
                <w:sz w:val="20"/>
                <w:highlight w:val="black"/>
              </w:rPr>
            </w:pPr>
            <w:r>
              <w:rPr>
                <w:rFonts w:ascii="Arial Narrow" w:eastAsiaTheme="majorEastAsia" w:hAnsi="Arial Narrow" w:cstheme="majorBidi"/>
                <w:bCs/>
                <w:iCs/>
                <w:noProof/>
                <w:color w:val="000000"/>
                <w:sz w:val="20"/>
                <w:highlight w:val="black"/>
              </w:rPr>
              <w:t>''''''''''''''''''</w:t>
            </w:r>
          </w:p>
        </w:tc>
        <w:tc>
          <w:tcPr>
            <w:tcW w:w="2814" w:type="pct"/>
          </w:tcPr>
          <w:p w14:paraId="1615986C" w14:textId="77777777" w:rsidR="00194056" w:rsidRPr="00540422" w:rsidRDefault="00194056" w:rsidP="00395CD4">
            <w:pPr>
              <w:ind w:right="-57"/>
              <w:jc w:val="left"/>
              <w:rPr>
                <w:rFonts w:ascii="Arial Narrow" w:eastAsiaTheme="majorEastAsia" w:hAnsi="Arial Narrow" w:cstheme="majorBidi"/>
                <w:bCs/>
                <w:iCs/>
                <w:sz w:val="20"/>
              </w:rPr>
            </w:pPr>
            <w:r w:rsidRPr="00540422">
              <w:rPr>
                <w:rFonts w:ascii="Arial Narrow" w:eastAsiaTheme="majorEastAsia" w:hAnsi="Arial Narrow" w:cstheme="majorBidi"/>
                <w:bCs/>
                <w:sz w:val="20"/>
              </w:rPr>
              <w:t>Cost per day ($</w:t>
            </w:r>
            <w:r w:rsidR="009E2AA7">
              <w:rPr>
                <w:rFonts w:ascii="Arial Narrow" w:eastAsiaTheme="majorEastAsia" w:hAnsi="Arial Narrow" w:cstheme="majorBidi"/>
                <w:bCs/>
                <w:noProof/>
                <w:color w:val="000000"/>
                <w:sz w:val="20"/>
                <w:highlight w:val="black"/>
              </w:rPr>
              <w:t xml:space="preserve">''''''''''''' </w:t>
            </w:r>
            <w:r w:rsidRPr="00540422">
              <w:rPr>
                <w:rFonts w:ascii="Arial Narrow" w:eastAsiaTheme="majorEastAsia" w:hAnsi="Arial Narrow" w:cstheme="majorBidi"/>
                <w:bCs/>
                <w:sz w:val="20"/>
              </w:rPr>
              <w:t>× 28)</w:t>
            </w:r>
          </w:p>
        </w:tc>
      </w:tr>
    </w:tbl>
    <w:p w14:paraId="71F66067" w14:textId="77777777" w:rsidR="00194056" w:rsidRPr="00540422" w:rsidRDefault="00194056" w:rsidP="00194056">
      <w:pPr>
        <w:pStyle w:val="TableFigureFooter"/>
        <w:rPr>
          <w:rFonts w:eastAsiaTheme="minorHAnsi"/>
        </w:rPr>
      </w:pPr>
      <w:r w:rsidRPr="00540422">
        <w:rPr>
          <w:rFonts w:eastAsiaTheme="minorHAnsi"/>
        </w:rPr>
        <w:t>Source: Table 19, p38 of the submission</w:t>
      </w:r>
    </w:p>
    <w:p w14:paraId="13DD40CA" w14:textId="77777777" w:rsidR="00194056" w:rsidRPr="00540422" w:rsidRDefault="00194056" w:rsidP="00194056">
      <w:pPr>
        <w:pStyle w:val="TableFigureFooter"/>
      </w:pPr>
      <w:r w:rsidRPr="00540422">
        <w:rPr>
          <w:rFonts w:eastAsiaTheme="minorHAnsi"/>
        </w:rPr>
        <w:t>Abbreviations</w:t>
      </w:r>
      <w:r w:rsidRPr="00540422">
        <w:t>: BPN, buprenorphine; NX, naloxone; PR, prolonged release; SL, sublingual</w:t>
      </w:r>
    </w:p>
    <w:p w14:paraId="2A0B321E" w14:textId="77777777" w:rsidR="00194056" w:rsidRPr="002E7996" w:rsidRDefault="00B1507B" w:rsidP="004A0F8E">
      <w:pPr>
        <w:pStyle w:val="ExecSumBodyText"/>
      </w:pPr>
      <w:r w:rsidRPr="00540422">
        <w:t>Despite</w:t>
      </w:r>
      <w:r w:rsidR="00194056" w:rsidRPr="00540422">
        <w:t xml:space="preserve"> the differences in non-drug costs associated with the prescribing, dispensing and administration of prolonged release buprenorphine, the cost minimisation analysis estimated the price of prolonged release buprenorphine to be unchanged from the March 2019 minor resubmission (i.e. $</w:t>
      </w:r>
      <w:r w:rsidR="009E2AA7">
        <w:rPr>
          <w:noProof/>
          <w:color w:val="000000"/>
          <w:highlight w:val="black"/>
        </w:rPr>
        <w:t>''''''''''</w:t>
      </w:r>
      <w:r w:rsidR="00194056" w:rsidRPr="00540422">
        <w:t xml:space="preserve"> per day). The estimated price per day is higher than the current cost per day of prolonged release buprenorphine </w:t>
      </w:r>
      <w:r w:rsidR="00194056" w:rsidRPr="002E7996">
        <w:t>on the PBS ($13.20 per day)</w:t>
      </w:r>
      <w:r w:rsidR="004A0F8E" w:rsidRPr="002E7996">
        <w:t>, as it includes non-drug costs ($</w:t>
      </w:r>
      <w:r w:rsidR="009E2AA7">
        <w:rPr>
          <w:noProof/>
          <w:color w:val="000000"/>
          <w:highlight w:val="black"/>
        </w:rPr>
        <w:t>''''''''</w:t>
      </w:r>
      <w:r w:rsidR="004A0F8E" w:rsidRPr="002E7996">
        <w:t xml:space="preserve">) related to MBS prescribing and administration </w:t>
      </w:r>
      <w:r w:rsidR="00AE50A0" w:rsidRPr="002E7996">
        <w:t xml:space="preserve">as well as private patient fees, </w:t>
      </w:r>
      <w:r w:rsidR="004A0F8E" w:rsidRPr="002E7996">
        <w:t xml:space="preserve">claimed to be consistent with the </w:t>
      </w:r>
      <w:r w:rsidR="00AE50A0" w:rsidRPr="002E7996">
        <w:t>emerging</w:t>
      </w:r>
      <w:r w:rsidR="004A0F8E" w:rsidRPr="002E7996">
        <w:t xml:space="preserve"> practice model.</w:t>
      </w:r>
      <w:r w:rsidR="004F5AAA" w:rsidRPr="002E7996">
        <w:rPr>
          <w:rFonts w:ascii="Calibri" w:hAnsi="Calibri"/>
          <w:iCs/>
          <w:snapToGrid/>
        </w:rPr>
        <w:t xml:space="preserve"> T</w:t>
      </w:r>
      <w:r w:rsidR="004F5AAA" w:rsidRPr="002E7996">
        <w:rPr>
          <w:iCs/>
        </w:rPr>
        <w:t xml:space="preserve">he ESC considered non-drug costs would be informed by the current ODTP </w:t>
      </w:r>
      <w:r w:rsidR="004F5AAA" w:rsidRPr="002E7996">
        <w:t>Post-market Review</w:t>
      </w:r>
      <w:r w:rsidR="004F5AAA" w:rsidRPr="002E7996">
        <w:rPr>
          <w:iCs/>
        </w:rPr>
        <w:t>, which will consider service delivery arrangements.</w:t>
      </w:r>
    </w:p>
    <w:p w14:paraId="0A8E6D3D" w14:textId="77777777" w:rsidR="00194056" w:rsidRPr="002E7996" w:rsidRDefault="00606BA0" w:rsidP="00002087">
      <w:pPr>
        <w:pStyle w:val="ExecSumBodyText"/>
        <w:rPr>
          <w:color w:val="0066FF"/>
        </w:rPr>
      </w:pPr>
      <w:r w:rsidRPr="002E7996">
        <w:t>The PSCR</w:t>
      </w:r>
      <w:r w:rsidR="00B74ED8" w:rsidRPr="002E7996">
        <w:t xml:space="preserve"> </w:t>
      </w:r>
      <w:r w:rsidRPr="002E7996">
        <w:t>argue</w:t>
      </w:r>
      <w:r w:rsidR="004F5AAA" w:rsidRPr="002E7996">
        <w:t>d</w:t>
      </w:r>
      <w:r w:rsidRPr="002E7996">
        <w:t xml:space="preserve"> for including private fees in support of the $</w:t>
      </w:r>
      <w:r w:rsidR="009E2AA7">
        <w:rPr>
          <w:noProof/>
          <w:color w:val="000000"/>
          <w:highlight w:val="black"/>
        </w:rPr>
        <w:t>'''''''''</w:t>
      </w:r>
      <w:r w:rsidRPr="002E7996">
        <w:t>/day price increase, on the basis that it is modest, and that the PBAC’s preferred perspective</w:t>
      </w:r>
      <w:r w:rsidR="004F5AAA" w:rsidRPr="002E7996">
        <w:t xml:space="preserve"> per its guidelines</w:t>
      </w:r>
      <w:r w:rsidRPr="002E7996">
        <w:t xml:space="preserve"> includes any costs to patients. </w:t>
      </w:r>
      <w:r w:rsidR="00194056" w:rsidRPr="002E7996">
        <w:t xml:space="preserve">Overall, </w:t>
      </w:r>
      <w:r w:rsidRPr="002E7996">
        <w:t xml:space="preserve">the ESC agreed with </w:t>
      </w:r>
      <w:r w:rsidR="00B74ED8" w:rsidRPr="002E7996">
        <w:t xml:space="preserve">the </w:t>
      </w:r>
      <w:r w:rsidRPr="002E7996">
        <w:t xml:space="preserve">evaluation that </w:t>
      </w:r>
      <w:r w:rsidR="00194056" w:rsidRPr="002E7996">
        <w:t>the data informing the service model savings are associated with considerable uncertainty and include private patient fees the PBAC has previously considered to be inappropriate to include in the cost minimisation analysis.</w:t>
      </w:r>
      <w:r w:rsidR="00256FE6">
        <w:t xml:space="preserve"> The Pre-PBAC Response </w:t>
      </w:r>
      <w:r w:rsidR="00002087">
        <w:t>requested</w:t>
      </w:r>
      <w:r w:rsidR="00002087" w:rsidRPr="00002087">
        <w:t xml:space="preserve"> clarification from </w:t>
      </w:r>
      <w:r w:rsidR="00F50530">
        <w:t xml:space="preserve">the </w:t>
      </w:r>
      <w:r w:rsidR="00002087" w:rsidRPr="00002087">
        <w:t xml:space="preserve">PBAC </w:t>
      </w:r>
      <w:r w:rsidR="00F50530">
        <w:t xml:space="preserve">regarding </w:t>
      </w:r>
      <w:r w:rsidR="00002087" w:rsidRPr="00002087">
        <w:t>whether private fees are considered inappropriate in a CMA, or whether it is the uncertainty in the measurement of these fees that makes them inappropriate for inclusion</w:t>
      </w:r>
      <w:r w:rsidR="00002087">
        <w:t>.</w:t>
      </w:r>
    </w:p>
    <w:p w14:paraId="15016374" w14:textId="77777777" w:rsidR="00E65CAB" w:rsidRPr="00540422" w:rsidRDefault="00C25D9C" w:rsidP="00E65CAB">
      <w:pPr>
        <w:pStyle w:val="3-SubsectionHeading"/>
      </w:pPr>
      <w:bookmarkStart w:id="23" w:name="_Toc22897646"/>
      <w:bookmarkStart w:id="24" w:name="_Toc82522447"/>
      <w:r w:rsidRPr="00540422">
        <w:t>Drug cost/patient/year</w:t>
      </w:r>
      <w:bookmarkEnd w:id="23"/>
      <w:bookmarkEnd w:id="24"/>
    </w:p>
    <w:p w14:paraId="715105A5" w14:textId="77777777" w:rsidR="00E65CAB" w:rsidRPr="00540422" w:rsidRDefault="00E65CAB" w:rsidP="00E65CAB">
      <w:pPr>
        <w:pStyle w:val="ExecSumBodyText"/>
        <w:rPr>
          <w:rFonts w:ascii="Calibri" w:hAnsi="Calibri"/>
          <w:color w:val="000000" w:themeColor="text1"/>
        </w:rPr>
      </w:pPr>
      <w:r w:rsidRPr="00540422">
        <w:t>The drug cost per patient per year, based on the proposed price and a Section 100 listing, is $</w:t>
      </w:r>
      <w:r w:rsidR="009E2AA7">
        <w:rPr>
          <w:noProof/>
          <w:color w:val="000000"/>
          <w:highlight w:val="black"/>
        </w:rPr>
        <w:t>'''''''''''</w:t>
      </w:r>
      <w:r w:rsidRPr="00540422">
        <w:t xml:space="preserve"> (=$</w:t>
      </w:r>
      <w:r w:rsidR="009E2AA7">
        <w:rPr>
          <w:noProof/>
          <w:color w:val="000000"/>
          <w:highlight w:val="black"/>
        </w:rPr>
        <w:t>'''''</w:t>
      </w:r>
      <w:r w:rsidRPr="00540422">
        <w:t>/day based on the AEMP×365 days).</w:t>
      </w:r>
      <w:r w:rsidR="00BB308E" w:rsidRPr="00540422">
        <w:t xml:space="preserve"> This is unchanged from the March 2019 resubmission.</w:t>
      </w:r>
      <w:r w:rsidR="00BB308E" w:rsidRPr="00540422">
        <w:rPr>
          <w:i/>
          <w:iCs/>
        </w:rPr>
        <w:t xml:space="preserve"> </w:t>
      </w:r>
    </w:p>
    <w:p w14:paraId="4C528719" w14:textId="77777777" w:rsidR="00E65CAB" w:rsidRPr="00540422" w:rsidRDefault="00E65CAB" w:rsidP="00E65CAB">
      <w:pPr>
        <w:pStyle w:val="ExecSumBodyText"/>
      </w:pPr>
      <w:r w:rsidRPr="00540422">
        <w:t>The drug cost per patient per year, based on the proposed price and a Section 85 listing, is $</w:t>
      </w:r>
      <w:r w:rsidR="009E2AA7">
        <w:rPr>
          <w:noProof/>
          <w:color w:val="000000"/>
          <w:highlight w:val="black"/>
        </w:rPr>
        <w:t>'''''''''''''''</w:t>
      </w:r>
      <w:r w:rsidRPr="00540422">
        <w:t xml:space="preserve"> (=$</w:t>
      </w:r>
      <w:r w:rsidR="009E2AA7">
        <w:rPr>
          <w:noProof/>
          <w:color w:val="000000"/>
          <w:highlight w:val="black"/>
        </w:rPr>
        <w:t>''''''''''''</w:t>
      </w:r>
      <w:r w:rsidRPr="00540422">
        <w:t xml:space="preserve"> DPMQ for the weekly dose/7 days×365 days per year×25.3%+$</w:t>
      </w:r>
      <w:r w:rsidR="009E2AA7">
        <w:rPr>
          <w:noProof/>
          <w:color w:val="000000"/>
          <w:highlight w:val="black"/>
        </w:rPr>
        <w:t>''''''''''''</w:t>
      </w:r>
      <w:r w:rsidRPr="00540422">
        <w:t xml:space="preserve"> DPMQ for the </w:t>
      </w:r>
      <w:r w:rsidR="00460F2B" w:rsidRPr="00540422">
        <w:t>monthly (four-weekly)</w:t>
      </w:r>
      <w:r w:rsidRPr="00540422">
        <w:t xml:space="preserve"> dose/28 days×365 days per year×74.7%) based on the distribution between dose formulations used in the budget impact model.</w:t>
      </w:r>
    </w:p>
    <w:p w14:paraId="1515A32D" w14:textId="77777777" w:rsidR="00E65CAB" w:rsidRPr="00540422" w:rsidRDefault="00E65CAB" w:rsidP="00E65CAB">
      <w:pPr>
        <w:pStyle w:val="ExecSumBodyText"/>
        <w:rPr>
          <w:szCs w:val="22"/>
          <w:lang w:eastAsia="en-US"/>
        </w:rPr>
      </w:pPr>
      <w:r w:rsidRPr="00540422">
        <w:t>The submission did not estimate the proportions of use between Schedules under a dual Section 100 (ODTP)/Section 85 listing.</w:t>
      </w:r>
    </w:p>
    <w:p w14:paraId="7A21A7B2" w14:textId="77777777" w:rsidR="00B60939" w:rsidRPr="00540422" w:rsidRDefault="00B60939" w:rsidP="002B05A1">
      <w:pPr>
        <w:pStyle w:val="3-SubsectionHeading"/>
      </w:pPr>
      <w:bookmarkStart w:id="25" w:name="_Toc22897647"/>
      <w:bookmarkStart w:id="26" w:name="_Toc82522448"/>
      <w:r w:rsidRPr="00540422">
        <w:t>Estimated PBS usage &amp; financial implications</w:t>
      </w:r>
      <w:bookmarkEnd w:id="25"/>
      <w:bookmarkEnd w:id="26"/>
    </w:p>
    <w:p w14:paraId="782B5A43" w14:textId="77777777" w:rsidR="00367110" w:rsidRPr="00540422" w:rsidRDefault="00367110" w:rsidP="00367110">
      <w:pPr>
        <w:pStyle w:val="ExecSumBodyText"/>
        <w:numPr>
          <w:ilvl w:val="1"/>
          <w:numId w:val="1"/>
        </w:numPr>
        <w:rPr>
          <w:color w:val="0066FF"/>
        </w:rPr>
      </w:pPr>
      <w:r w:rsidRPr="00540422">
        <w:t xml:space="preserve">This submission </w:t>
      </w:r>
      <w:r w:rsidR="000513F8" w:rsidRPr="00540422">
        <w:t>was</w:t>
      </w:r>
      <w:r w:rsidRPr="00540422">
        <w:t xml:space="preserve"> not considered by DUSC</w:t>
      </w:r>
      <w:r w:rsidRPr="00540422">
        <w:rPr>
          <w:color w:val="0070C0"/>
        </w:rPr>
        <w:t xml:space="preserve">. </w:t>
      </w:r>
      <w:r w:rsidRPr="00540422">
        <w:t>The submission used a market share approach to estimate the utilisation of prolonged release buprenorphine for the treatment of opioid use disorder (OUD) over the first six years of listing, similar to the approach used in the March 2019 submission. The estimated financial implications did not follow the recommended Utilisation and Cost Model Workbook template.</w:t>
      </w:r>
    </w:p>
    <w:p w14:paraId="3232AD42" w14:textId="77777777" w:rsidR="00367110" w:rsidRPr="00540422" w:rsidRDefault="00367110" w:rsidP="002F6B74">
      <w:pPr>
        <w:pStyle w:val="ExecSumBodyText"/>
        <w:numPr>
          <w:ilvl w:val="1"/>
          <w:numId w:val="1"/>
        </w:numPr>
        <w:contextualSpacing/>
      </w:pPr>
      <w:r w:rsidRPr="00540422">
        <w:t>The estimated financial implications compare the impact of the proposed listing changes to the current listing of prolonged release buprenorphine on the PBS using three scenarios:</w:t>
      </w:r>
    </w:p>
    <w:p w14:paraId="5D2D8CA0" w14:textId="77777777" w:rsidR="00367110" w:rsidRPr="00540422" w:rsidRDefault="00367110" w:rsidP="00485DE9">
      <w:pPr>
        <w:pStyle w:val="ExecSumBodyText"/>
        <w:numPr>
          <w:ilvl w:val="0"/>
          <w:numId w:val="11"/>
        </w:numPr>
        <w:ind w:left="1077" w:hanging="357"/>
        <w:contextualSpacing/>
      </w:pPr>
      <w:r w:rsidRPr="00540422">
        <w:t xml:space="preserve">Scenario one comparing the costs associated with a Section 100 listing at the higher proposed price to the current PBS Section 100 listing and price (no mark-ups, fees, or patient copayments); </w:t>
      </w:r>
    </w:p>
    <w:p w14:paraId="3778B330" w14:textId="77777777" w:rsidR="00367110" w:rsidRPr="00540422" w:rsidRDefault="00367110" w:rsidP="00485DE9">
      <w:pPr>
        <w:pStyle w:val="ExecSumBodyText"/>
        <w:numPr>
          <w:ilvl w:val="0"/>
          <w:numId w:val="11"/>
        </w:numPr>
        <w:ind w:left="1077" w:hanging="357"/>
        <w:contextualSpacing/>
      </w:pPr>
      <w:r w:rsidRPr="00540422">
        <w:t xml:space="preserve">Scenario two comparing the costs associated with a Section 85 listing at the current price (including mark-ups, fees, and patient copayments) to the current PBS Section 100 listing and price (no mark-ups, fees, or patient copayments); and </w:t>
      </w:r>
    </w:p>
    <w:p w14:paraId="2C7F02D8" w14:textId="77777777" w:rsidR="00367110" w:rsidRPr="00540422" w:rsidRDefault="00367110" w:rsidP="00485DE9">
      <w:pPr>
        <w:pStyle w:val="ExecSumBodyText"/>
        <w:numPr>
          <w:ilvl w:val="0"/>
          <w:numId w:val="11"/>
        </w:numPr>
        <w:ind w:left="1077" w:hanging="357"/>
      </w:pPr>
      <w:r w:rsidRPr="00540422">
        <w:t>Scenario three comparing the costs associated with a Section 85 listing at the higher proposed price (including mark-ups, fees, and patient copayments) to the current PBS Section 100 listing and price (no mark-ups, fees, or patient copayments).</w:t>
      </w:r>
    </w:p>
    <w:p w14:paraId="1F9CDA1C" w14:textId="77777777" w:rsidR="00367110" w:rsidRPr="00540422" w:rsidRDefault="00B20F8A" w:rsidP="00367110">
      <w:pPr>
        <w:pStyle w:val="ExecSumBodyText"/>
        <w:numPr>
          <w:ilvl w:val="1"/>
          <w:numId w:val="1"/>
        </w:numPr>
        <w:rPr>
          <w:color w:val="0066FF"/>
        </w:rPr>
      </w:pPr>
      <w:r w:rsidRPr="00540422">
        <w:t>The submission assumed that the proposed changes to the prolonged release buprenorphine restriction (the addition of a Section 85</w:t>
      </w:r>
      <w:r w:rsidR="00540422" w:rsidRPr="00540422">
        <w:t xml:space="preserve"> listing, the addition of a 160 </w:t>
      </w:r>
      <w:r w:rsidRPr="00540422">
        <w:t xml:space="preserve">mg monthly dose, removal of the requirement for prior stabilisation on sublingual buprenorphine) </w:t>
      </w:r>
      <w:r w:rsidRPr="002E7996">
        <w:t>would have no impact on the utilisation of prolonged release buprenorphine.</w:t>
      </w:r>
      <w:r w:rsidR="00FF1ACA" w:rsidRPr="002E7996">
        <w:t xml:space="preserve"> </w:t>
      </w:r>
      <w:r w:rsidR="00367110" w:rsidRPr="002E7996">
        <w:t>Th</w:t>
      </w:r>
      <w:r w:rsidR="00FF1ACA" w:rsidRPr="002E7996">
        <w:t>is</w:t>
      </w:r>
      <w:r w:rsidR="00367110" w:rsidRPr="002E7996">
        <w:t xml:space="preserve"> assumption </w:t>
      </w:r>
      <w:r w:rsidR="00FF1ACA" w:rsidRPr="002E7996">
        <w:t>was</w:t>
      </w:r>
      <w:r w:rsidR="00367110" w:rsidRPr="002E7996">
        <w:t xml:space="preserve"> inconsistent with the benefits these changes are claimed to offer patients receiving or considering </w:t>
      </w:r>
      <w:r w:rsidR="00367110" w:rsidRPr="002E7996">
        <w:rPr>
          <w:iCs/>
        </w:rPr>
        <w:t>OST</w:t>
      </w:r>
      <w:r w:rsidR="005738C5" w:rsidRPr="002E7996">
        <w:rPr>
          <w:iCs/>
        </w:rPr>
        <w:t xml:space="preserve">, and the ESC noted there are additional patients who </w:t>
      </w:r>
      <w:r w:rsidR="00F735C6" w:rsidRPr="002E7996">
        <w:rPr>
          <w:iCs/>
        </w:rPr>
        <w:t>may</w:t>
      </w:r>
      <w:r w:rsidR="005738C5" w:rsidRPr="002E7996">
        <w:rPr>
          <w:iCs/>
        </w:rPr>
        <w:t xml:space="preserve"> benefit from the 160 mg dose (with 10-15% of patients estimated not to respond to existing strengths) (see paragraph 6.7).</w:t>
      </w:r>
      <w:r w:rsidR="005738C5" w:rsidRPr="00540422">
        <w:rPr>
          <w:i/>
          <w:iCs/>
        </w:rPr>
        <w:t xml:space="preserve"> </w:t>
      </w:r>
    </w:p>
    <w:p w14:paraId="5F681C24" w14:textId="77777777" w:rsidR="0010728C" w:rsidRPr="00540422" w:rsidRDefault="0010728C" w:rsidP="00367110">
      <w:pPr>
        <w:pStyle w:val="ExecSumBodyText"/>
        <w:numPr>
          <w:ilvl w:val="1"/>
          <w:numId w:val="1"/>
        </w:numPr>
        <w:rPr>
          <w:iCs/>
        </w:rPr>
      </w:pPr>
      <w:r w:rsidRPr="00540422">
        <w:rPr>
          <w:iCs/>
        </w:rPr>
        <w:t>The submission did not estimate the financial implications of the proposed dual Section 100/Section 85</w:t>
      </w:r>
      <w:r w:rsidR="00D96167" w:rsidRPr="00540422">
        <w:rPr>
          <w:iCs/>
        </w:rPr>
        <w:t xml:space="preserve"> listing</w:t>
      </w:r>
      <w:r w:rsidRPr="00540422">
        <w:rPr>
          <w:iCs/>
        </w:rPr>
        <w:t xml:space="preserve">, with estimates provided based on all use under a Section 100 listing, or all use </w:t>
      </w:r>
      <w:r w:rsidRPr="002E7996">
        <w:rPr>
          <w:iCs/>
        </w:rPr>
        <w:t>under a Section 85 listing. This does not reflect the proposed place in clinical practice in the submission.</w:t>
      </w:r>
      <w:r w:rsidR="005762A7" w:rsidRPr="002E7996">
        <w:t xml:space="preserve"> </w:t>
      </w:r>
      <w:r w:rsidR="00F735C6" w:rsidRPr="002E7996">
        <w:t>T</w:t>
      </w:r>
      <w:r w:rsidR="005762A7" w:rsidRPr="002E7996">
        <w:t>he PSCR stated that the approach used to estimate the impact of a Section 85 listing</w:t>
      </w:r>
      <w:r w:rsidR="00F735C6" w:rsidRPr="002E7996">
        <w:t xml:space="preserve"> by assuming 100% uptake</w:t>
      </w:r>
      <w:r w:rsidR="005762A7" w:rsidRPr="002E7996">
        <w:t xml:space="preserve"> reflects the maximum possible (</w:t>
      </w:r>
      <w:r w:rsidR="006E7498" w:rsidRPr="002E7996">
        <w:t>incremental</w:t>
      </w:r>
      <w:r w:rsidR="005762A7" w:rsidRPr="002E7996">
        <w:t>) cost</w:t>
      </w:r>
      <w:r w:rsidR="00D545B4" w:rsidRPr="002E7996">
        <w:t xml:space="preserve">, </w:t>
      </w:r>
      <w:r w:rsidR="005762A7" w:rsidRPr="002E7996">
        <w:t>or ‘worst case’ scenario</w:t>
      </w:r>
      <w:r w:rsidR="006E7498" w:rsidRPr="002E7996">
        <w:t>.</w:t>
      </w:r>
      <w:r w:rsidR="006E7498" w:rsidRPr="00540422">
        <w:rPr>
          <w:i/>
        </w:rPr>
        <w:t xml:space="preserve"> </w:t>
      </w:r>
    </w:p>
    <w:p w14:paraId="380C8538" w14:textId="77777777" w:rsidR="004137D0" w:rsidRPr="00540422" w:rsidRDefault="00367110" w:rsidP="00367110">
      <w:pPr>
        <w:pStyle w:val="ExecSumBodyText"/>
        <w:numPr>
          <w:ilvl w:val="1"/>
          <w:numId w:val="1"/>
        </w:numPr>
        <w:rPr>
          <w:color w:val="0066FF"/>
        </w:rPr>
      </w:pPr>
      <w:r w:rsidRPr="00540422">
        <w:t>Key inputs</w:t>
      </w:r>
      <w:r w:rsidR="003D0611" w:rsidRPr="00540422">
        <w:t xml:space="preserve"> for the financial estimates</w:t>
      </w:r>
      <w:r w:rsidRPr="00540422">
        <w:t xml:space="preserve"> are summarised in Table </w:t>
      </w:r>
      <w:r w:rsidR="00865FF4" w:rsidRPr="00540422">
        <w:t>9</w:t>
      </w:r>
      <w:r w:rsidRPr="00540422">
        <w:t xml:space="preserve"> below. </w:t>
      </w:r>
    </w:p>
    <w:p w14:paraId="535F7DA6" w14:textId="77777777" w:rsidR="00367110" w:rsidRPr="00540422" w:rsidRDefault="00367110" w:rsidP="00367110">
      <w:pPr>
        <w:pStyle w:val="TableFigureCaption"/>
        <w:keepNext w:val="0"/>
      </w:pPr>
      <w:r w:rsidRPr="00540422">
        <w:t xml:space="preserve">Table </w:t>
      </w:r>
      <w:r w:rsidR="00865FF4" w:rsidRPr="00540422">
        <w:t>9</w:t>
      </w:r>
      <w:r w:rsidRPr="00540422">
        <w:t>: Key inputs for financial estimates</w:t>
      </w:r>
    </w:p>
    <w:tbl>
      <w:tblPr>
        <w:tblStyle w:val="TableGrid"/>
        <w:tblW w:w="0" w:type="auto"/>
        <w:tblCellMar>
          <w:left w:w="28" w:type="dxa"/>
          <w:right w:w="28" w:type="dxa"/>
        </w:tblCellMar>
        <w:tblLook w:val="04A0" w:firstRow="1" w:lastRow="0" w:firstColumn="1" w:lastColumn="0" w:noHBand="0" w:noVBand="1"/>
        <w:tblCaption w:val="Table 9: Key inputs for financial estimates"/>
      </w:tblPr>
      <w:tblGrid>
        <w:gridCol w:w="1413"/>
        <w:gridCol w:w="3685"/>
        <w:gridCol w:w="3918"/>
      </w:tblGrid>
      <w:tr w:rsidR="00367110" w:rsidRPr="00540422" w14:paraId="7A4F40B8" w14:textId="77777777" w:rsidTr="00395CD4">
        <w:trPr>
          <w:tblHeader/>
        </w:trPr>
        <w:tc>
          <w:tcPr>
            <w:tcW w:w="1413" w:type="dxa"/>
          </w:tcPr>
          <w:p w14:paraId="11642E03" w14:textId="77777777" w:rsidR="00367110" w:rsidRPr="00540422" w:rsidRDefault="00367110" w:rsidP="00395CD4">
            <w:pPr>
              <w:pStyle w:val="Tableheadingrow"/>
              <w:keepNext w:val="0"/>
              <w:rPr>
                <w:b w:val="0"/>
                <w:bCs/>
                <w:lang w:val="en-AU"/>
              </w:rPr>
            </w:pPr>
            <w:r w:rsidRPr="00540422">
              <w:rPr>
                <w:lang w:val="en-AU"/>
              </w:rPr>
              <w:t>Parameter</w:t>
            </w:r>
          </w:p>
        </w:tc>
        <w:tc>
          <w:tcPr>
            <w:tcW w:w="3685" w:type="dxa"/>
          </w:tcPr>
          <w:p w14:paraId="4B45E15C" w14:textId="77777777" w:rsidR="00367110" w:rsidRPr="00540422" w:rsidRDefault="00367110" w:rsidP="00395CD4">
            <w:pPr>
              <w:pStyle w:val="Tableheadingrow"/>
              <w:keepNext w:val="0"/>
              <w:rPr>
                <w:b w:val="0"/>
                <w:bCs/>
                <w:lang w:val="en-AU"/>
              </w:rPr>
            </w:pPr>
            <w:r w:rsidRPr="00540422">
              <w:rPr>
                <w:lang w:val="en-AU"/>
              </w:rPr>
              <w:t>Value applied and source</w:t>
            </w:r>
          </w:p>
        </w:tc>
        <w:tc>
          <w:tcPr>
            <w:tcW w:w="3918" w:type="dxa"/>
          </w:tcPr>
          <w:p w14:paraId="52E37012" w14:textId="77777777" w:rsidR="00367110" w:rsidRPr="00540422" w:rsidRDefault="00367110" w:rsidP="00395CD4">
            <w:pPr>
              <w:pStyle w:val="Tableheadingrow"/>
              <w:keepNext w:val="0"/>
              <w:rPr>
                <w:b w:val="0"/>
                <w:bCs/>
                <w:lang w:val="en-AU"/>
              </w:rPr>
            </w:pPr>
            <w:r w:rsidRPr="00540422">
              <w:rPr>
                <w:lang w:val="en-AU"/>
              </w:rPr>
              <w:t>Comment</w:t>
            </w:r>
          </w:p>
        </w:tc>
      </w:tr>
      <w:tr w:rsidR="00367110" w:rsidRPr="00540422" w14:paraId="5B273F61" w14:textId="77777777" w:rsidTr="00395CD4">
        <w:tc>
          <w:tcPr>
            <w:tcW w:w="1413" w:type="dxa"/>
          </w:tcPr>
          <w:p w14:paraId="4D72DF69" w14:textId="77777777" w:rsidR="00367110" w:rsidRPr="00540422" w:rsidRDefault="00367110" w:rsidP="00395CD4">
            <w:pPr>
              <w:pStyle w:val="Tableheadingrow"/>
              <w:keepNext w:val="0"/>
              <w:rPr>
                <w:b w:val="0"/>
                <w:bCs/>
                <w:lang w:val="en-AU"/>
              </w:rPr>
            </w:pPr>
            <w:r w:rsidRPr="00540422">
              <w:rPr>
                <w:b w:val="0"/>
                <w:bCs/>
                <w:szCs w:val="20"/>
                <w:lang w:val="en-AU"/>
              </w:rPr>
              <w:t>Prevalent patients receiving (OST) for OUD</w:t>
            </w:r>
          </w:p>
        </w:tc>
        <w:tc>
          <w:tcPr>
            <w:tcW w:w="3685" w:type="dxa"/>
          </w:tcPr>
          <w:p w14:paraId="4AF18FB1" w14:textId="77777777" w:rsidR="00367110" w:rsidRPr="00540422" w:rsidRDefault="00367110" w:rsidP="00395CD4">
            <w:pPr>
              <w:pStyle w:val="Tableheadingrow"/>
              <w:keepNext w:val="0"/>
              <w:rPr>
                <w:b w:val="0"/>
                <w:bCs/>
                <w:lang w:val="en-AU"/>
              </w:rPr>
            </w:pPr>
            <w:r w:rsidRPr="00540422">
              <w:rPr>
                <w:b w:val="0"/>
                <w:bCs/>
                <w:lang w:val="en-AU"/>
              </w:rPr>
              <w:t>Year 1: 53,667 to Year 6: 57,222</w:t>
            </w:r>
          </w:p>
          <w:p w14:paraId="30225D42" w14:textId="77777777" w:rsidR="00367110" w:rsidRPr="00540422" w:rsidRDefault="00367110" w:rsidP="00395CD4">
            <w:pPr>
              <w:pStyle w:val="Tableheadingrow"/>
              <w:keepNext w:val="0"/>
              <w:rPr>
                <w:b w:val="0"/>
                <w:bCs/>
                <w:lang w:val="en-AU"/>
              </w:rPr>
            </w:pPr>
            <w:r w:rsidRPr="00540422">
              <w:rPr>
                <w:b w:val="0"/>
                <w:bCs/>
                <w:lang w:val="en-AU"/>
              </w:rPr>
              <w:t>Linear projection of AIHW NOPSAD 2020 data (2012-2020) of patients receiving OST (methadone, SL BPN, SL BPN/NX).</w:t>
            </w:r>
          </w:p>
        </w:tc>
        <w:tc>
          <w:tcPr>
            <w:tcW w:w="3918" w:type="dxa"/>
          </w:tcPr>
          <w:p w14:paraId="31606C4B" w14:textId="77777777" w:rsidR="00367110" w:rsidRPr="00540422" w:rsidRDefault="00367110" w:rsidP="00395CD4">
            <w:pPr>
              <w:pStyle w:val="TableText"/>
              <w:keepNext w:val="0"/>
              <w:rPr>
                <w:szCs w:val="20"/>
              </w:rPr>
            </w:pPr>
            <w:r w:rsidRPr="00540422">
              <w:rPr>
                <w:szCs w:val="20"/>
              </w:rPr>
              <w:t>NOPSAD 2020 data for PR BPN use were not included. The impact of COVID-19 on NOPSAD data was not considered. Estimates may be underestimated.</w:t>
            </w:r>
          </w:p>
        </w:tc>
      </w:tr>
      <w:tr w:rsidR="00367110" w:rsidRPr="00540422" w14:paraId="4FAD4BFA" w14:textId="77777777" w:rsidTr="00395CD4">
        <w:tc>
          <w:tcPr>
            <w:tcW w:w="1413" w:type="dxa"/>
          </w:tcPr>
          <w:p w14:paraId="0BB746AE" w14:textId="77777777" w:rsidR="00367110" w:rsidRPr="00540422" w:rsidRDefault="00367110" w:rsidP="00395CD4">
            <w:pPr>
              <w:pStyle w:val="Tableheadingrow"/>
              <w:keepNext w:val="0"/>
              <w:rPr>
                <w:b w:val="0"/>
                <w:bCs/>
                <w:lang w:val="en-AU"/>
              </w:rPr>
            </w:pPr>
            <w:r w:rsidRPr="00540422">
              <w:rPr>
                <w:b w:val="0"/>
                <w:bCs/>
                <w:szCs w:val="20"/>
                <w:lang w:val="en-AU"/>
              </w:rPr>
              <w:t>Prevalent untreated patients</w:t>
            </w:r>
          </w:p>
        </w:tc>
        <w:tc>
          <w:tcPr>
            <w:tcW w:w="3685" w:type="dxa"/>
          </w:tcPr>
          <w:p w14:paraId="111F3DE8" w14:textId="77777777" w:rsidR="00367110" w:rsidRPr="00540422" w:rsidRDefault="00367110" w:rsidP="00395CD4">
            <w:pPr>
              <w:pStyle w:val="TableText"/>
              <w:keepNext w:val="0"/>
              <w:rPr>
                <w:szCs w:val="20"/>
              </w:rPr>
            </w:pPr>
            <w:r w:rsidRPr="00540422">
              <w:rPr>
                <w:szCs w:val="20"/>
              </w:rPr>
              <w:t>Year 1: 43,113 to Year 6: 45,969</w:t>
            </w:r>
          </w:p>
          <w:p w14:paraId="7696A5B3" w14:textId="77777777" w:rsidR="00367110" w:rsidRPr="00540422" w:rsidRDefault="00367110" w:rsidP="00395CD4">
            <w:pPr>
              <w:pStyle w:val="TableText"/>
              <w:keepNext w:val="0"/>
            </w:pPr>
            <w:r w:rsidRPr="00540422">
              <w:rPr>
                <w:szCs w:val="20"/>
              </w:rPr>
              <w:t>Assumed 44.5% of prevalent patients eligible for OST are untreated, based on an estimated 40,000 untreated patients in 2017 (MATOD 2018; Chalmers et al., 2009); (40,000 / [40,000 + total treated 2017])</w:t>
            </w:r>
          </w:p>
        </w:tc>
        <w:tc>
          <w:tcPr>
            <w:tcW w:w="3918" w:type="dxa"/>
          </w:tcPr>
          <w:p w14:paraId="0C5FBB9E" w14:textId="77777777" w:rsidR="00367110" w:rsidRPr="00540422" w:rsidRDefault="00367110" w:rsidP="00395CD4">
            <w:pPr>
              <w:pStyle w:val="Tableheadingrow"/>
              <w:keepNext w:val="0"/>
              <w:rPr>
                <w:b w:val="0"/>
                <w:bCs/>
                <w:lang w:val="en-AU"/>
              </w:rPr>
            </w:pPr>
            <w:r w:rsidRPr="00540422">
              <w:rPr>
                <w:b w:val="0"/>
                <w:bCs/>
                <w:szCs w:val="20"/>
                <w:lang w:val="en-AU"/>
              </w:rPr>
              <w:t>Chalmers et al. (2009) used older data (2003-2007) to estimate patients previously treated but not continuing treatment, as a proxy for unmet need. Estimates predate changes to opioid prescribing and OTC opioid access (TGA, 2020). Estimates may be underestimated.</w:t>
            </w:r>
          </w:p>
        </w:tc>
      </w:tr>
      <w:tr w:rsidR="00367110" w:rsidRPr="00540422" w14:paraId="5CF1D051" w14:textId="77777777" w:rsidTr="00395CD4">
        <w:tc>
          <w:tcPr>
            <w:tcW w:w="1413" w:type="dxa"/>
          </w:tcPr>
          <w:p w14:paraId="46489CC6" w14:textId="77777777" w:rsidR="00367110" w:rsidRPr="00540422" w:rsidRDefault="00367110" w:rsidP="00395CD4">
            <w:pPr>
              <w:pStyle w:val="Tableheadingrow"/>
              <w:keepNext w:val="0"/>
              <w:rPr>
                <w:b w:val="0"/>
                <w:bCs/>
                <w:lang w:val="en-AU"/>
              </w:rPr>
            </w:pPr>
            <w:r w:rsidRPr="00540422">
              <w:rPr>
                <w:b w:val="0"/>
                <w:bCs/>
                <w:szCs w:val="20"/>
                <w:lang w:val="en-AU"/>
              </w:rPr>
              <w:t>Distribution of OST use 2022-2027</w:t>
            </w:r>
          </w:p>
        </w:tc>
        <w:tc>
          <w:tcPr>
            <w:tcW w:w="3685" w:type="dxa"/>
          </w:tcPr>
          <w:p w14:paraId="6AB3216F" w14:textId="77777777" w:rsidR="00367110" w:rsidRPr="00540422" w:rsidRDefault="00367110" w:rsidP="00395CD4">
            <w:pPr>
              <w:pStyle w:val="Tabletext0"/>
              <w:rPr>
                <w:szCs w:val="20"/>
              </w:rPr>
            </w:pPr>
            <w:r w:rsidRPr="00540422">
              <w:rPr>
                <w:szCs w:val="20"/>
              </w:rPr>
              <w:t>Methadone: 58.2-54.5%; SL BPN: 4.5%; SL BPN/NX: 37.3-41.0%</w:t>
            </w:r>
          </w:p>
          <w:p w14:paraId="7516806E" w14:textId="77777777" w:rsidR="00367110" w:rsidRPr="00540422" w:rsidRDefault="00367110" w:rsidP="00395CD4">
            <w:pPr>
              <w:pStyle w:val="Tabletext0"/>
            </w:pPr>
            <w:r w:rsidRPr="00540422">
              <w:t>NOPSAD data 2008-2020, adjusted for assumed distribution of BPN therapies in NSW between SL BPN and SL BPN/NX, and methadone market change.</w:t>
            </w:r>
          </w:p>
        </w:tc>
        <w:tc>
          <w:tcPr>
            <w:tcW w:w="3918" w:type="dxa"/>
          </w:tcPr>
          <w:p w14:paraId="7B49E562" w14:textId="77777777" w:rsidR="00367110" w:rsidRPr="00540422" w:rsidRDefault="00367110" w:rsidP="00395CD4">
            <w:pPr>
              <w:pStyle w:val="Tableheadingrow"/>
              <w:keepNext w:val="0"/>
              <w:rPr>
                <w:b w:val="0"/>
                <w:bCs/>
                <w:iCs/>
                <w:lang w:val="en-AU"/>
              </w:rPr>
            </w:pPr>
            <w:r w:rsidRPr="00540422">
              <w:rPr>
                <w:b w:val="0"/>
                <w:bCs/>
                <w:iCs/>
                <w:lang w:val="en-AU"/>
              </w:rPr>
              <w:t>The assumed fixed proportion of SL BPN market at 4.5%, suggests all BPN market growth is in use of SL BPN/NX. This is not consistent with the NOPSAD data which showed more rapid market growth in SL BPN.</w:t>
            </w:r>
          </w:p>
        </w:tc>
      </w:tr>
      <w:tr w:rsidR="00367110" w:rsidRPr="00540422" w14:paraId="7323B3AA" w14:textId="77777777" w:rsidTr="00395CD4">
        <w:tc>
          <w:tcPr>
            <w:tcW w:w="1413" w:type="dxa"/>
          </w:tcPr>
          <w:p w14:paraId="43D1AD09" w14:textId="77777777" w:rsidR="00367110" w:rsidRPr="00540422" w:rsidRDefault="00367110" w:rsidP="00395CD4">
            <w:pPr>
              <w:pStyle w:val="Tableheadingrow"/>
              <w:keepNext w:val="0"/>
              <w:rPr>
                <w:b w:val="0"/>
                <w:bCs/>
                <w:lang w:val="en-AU"/>
              </w:rPr>
            </w:pPr>
            <w:r w:rsidRPr="00540422">
              <w:rPr>
                <w:b w:val="0"/>
                <w:bCs/>
                <w:szCs w:val="20"/>
                <w:lang w:val="en-AU"/>
              </w:rPr>
              <w:t>Uptake of PR BPN</w:t>
            </w:r>
          </w:p>
        </w:tc>
        <w:tc>
          <w:tcPr>
            <w:tcW w:w="3685" w:type="dxa"/>
          </w:tcPr>
          <w:p w14:paraId="5DE8048A" w14:textId="77777777" w:rsidR="00367110" w:rsidRPr="00540422" w:rsidRDefault="009E2AA7" w:rsidP="00395CD4">
            <w:pPr>
              <w:pStyle w:val="TableText"/>
              <w:keepNext w:val="0"/>
              <w:rPr>
                <w:szCs w:val="20"/>
              </w:rPr>
            </w:pPr>
            <w:r>
              <w:rPr>
                <w:noProof/>
                <w:color w:val="000000"/>
                <w:szCs w:val="20"/>
                <w:highlight w:val="black"/>
              </w:rPr>
              <w:t>''''''</w:t>
            </w:r>
            <w:r w:rsidR="00367110" w:rsidRPr="00540422">
              <w:rPr>
                <w:szCs w:val="20"/>
              </w:rPr>
              <w:t xml:space="preserve">% of total OST market; PR BPN utilisation inflated by </w:t>
            </w:r>
            <w:r w:rsidR="00367110" w:rsidRPr="00B6738D">
              <w:rPr>
                <w:szCs w:val="20"/>
              </w:rPr>
              <w:t>25</w:t>
            </w:r>
            <w:r w:rsidR="00367110" w:rsidRPr="00540422">
              <w:rPr>
                <w:szCs w:val="20"/>
              </w:rPr>
              <w:t>% for market growth in untreated population.</w:t>
            </w:r>
          </w:p>
          <w:p w14:paraId="29030CE8" w14:textId="77777777" w:rsidR="00367110" w:rsidRPr="00540422" w:rsidRDefault="00367110" w:rsidP="00395CD4">
            <w:pPr>
              <w:pStyle w:val="TableText"/>
              <w:keepNext w:val="0"/>
            </w:pPr>
            <w:r w:rsidRPr="00540422">
              <w:rPr>
                <w:szCs w:val="20"/>
              </w:rPr>
              <w:t xml:space="preserve">Assumed. Uptake of </w:t>
            </w:r>
            <w:r w:rsidR="009E2AA7">
              <w:rPr>
                <w:noProof/>
                <w:color w:val="000000"/>
                <w:szCs w:val="20"/>
                <w:highlight w:val="black"/>
              </w:rPr>
              <w:t>'''''''</w:t>
            </w:r>
            <w:r w:rsidRPr="00540422">
              <w:rPr>
                <w:szCs w:val="20"/>
              </w:rPr>
              <w:t xml:space="preserve">% of total OST market; with </w:t>
            </w:r>
            <w:r w:rsidR="009E2AA7">
              <w:rPr>
                <w:noProof/>
                <w:color w:val="000000"/>
                <w:szCs w:val="20"/>
                <w:highlight w:val="black"/>
              </w:rPr>
              <w:t>'''''</w:t>
            </w:r>
            <w:r w:rsidRPr="00540422">
              <w:rPr>
                <w:szCs w:val="20"/>
              </w:rPr>
              <w:t xml:space="preserve">% of uptake from methadone, and </w:t>
            </w:r>
            <w:r w:rsidR="009E2AA7">
              <w:rPr>
                <w:noProof/>
                <w:color w:val="000000"/>
                <w:szCs w:val="20"/>
                <w:highlight w:val="black"/>
              </w:rPr>
              <w:t>'''''</w:t>
            </w:r>
            <w:r w:rsidRPr="00540422">
              <w:rPr>
                <w:szCs w:val="20"/>
              </w:rPr>
              <w:t>% from SL BPN and SL BPN/NX</w:t>
            </w:r>
          </w:p>
        </w:tc>
        <w:tc>
          <w:tcPr>
            <w:tcW w:w="3918" w:type="dxa"/>
          </w:tcPr>
          <w:p w14:paraId="7512F3E6" w14:textId="77777777" w:rsidR="00367110" w:rsidRPr="00540422" w:rsidRDefault="00367110" w:rsidP="00395CD4">
            <w:pPr>
              <w:pStyle w:val="Tableheadingrow"/>
              <w:keepNext w:val="0"/>
              <w:rPr>
                <w:b w:val="0"/>
                <w:bCs/>
                <w:iCs/>
                <w:lang w:val="en-AU"/>
              </w:rPr>
            </w:pPr>
            <w:r w:rsidRPr="00540422">
              <w:rPr>
                <w:b w:val="0"/>
                <w:bCs/>
                <w:iCs/>
                <w:lang w:val="en-AU"/>
              </w:rPr>
              <w:t>Uptake rates of PR BPN from methadone, sublingual buprenorphine and untreated patients are highly uncertain. Assumed 25% market growth was not related to numbers of untreated patients and was not adequately justified; this equates to 3.1% of the untreated market and may be underestimated.</w:t>
            </w:r>
          </w:p>
        </w:tc>
      </w:tr>
      <w:tr w:rsidR="00367110" w:rsidRPr="00540422" w14:paraId="4E3A3FC4" w14:textId="77777777" w:rsidTr="00395CD4">
        <w:tc>
          <w:tcPr>
            <w:tcW w:w="1413" w:type="dxa"/>
          </w:tcPr>
          <w:p w14:paraId="3BB07D5D" w14:textId="77777777" w:rsidR="00367110" w:rsidRPr="00540422" w:rsidRDefault="00367110" w:rsidP="00395CD4">
            <w:pPr>
              <w:pStyle w:val="Tableheadingrow"/>
              <w:keepNext w:val="0"/>
              <w:rPr>
                <w:b w:val="0"/>
                <w:bCs/>
                <w:szCs w:val="20"/>
                <w:lang w:val="en-AU"/>
              </w:rPr>
            </w:pPr>
            <w:r w:rsidRPr="00540422">
              <w:rPr>
                <w:b w:val="0"/>
                <w:bCs/>
                <w:szCs w:val="20"/>
                <w:lang w:val="en-AU"/>
              </w:rPr>
              <w:t>Proportion of use between PR BPN formulations</w:t>
            </w:r>
          </w:p>
        </w:tc>
        <w:tc>
          <w:tcPr>
            <w:tcW w:w="3685" w:type="dxa"/>
          </w:tcPr>
          <w:p w14:paraId="7CC63551" w14:textId="77777777" w:rsidR="00367110" w:rsidRPr="00540422" w:rsidRDefault="00367110" w:rsidP="00395CD4">
            <w:pPr>
              <w:pStyle w:val="TableText"/>
              <w:keepNext w:val="0"/>
              <w:rPr>
                <w:szCs w:val="20"/>
              </w:rPr>
            </w:pPr>
            <w:r w:rsidRPr="00540422">
              <w:rPr>
                <w:szCs w:val="20"/>
              </w:rPr>
              <w:t>q1w PR BPN: 25.3%; q4w PR BPN: 74.7%</w:t>
            </w:r>
          </w:p>
          <w:p w14:paraId="5AF87124" w14:textId="77777777" w:rsidR="00367110" w:rsidRPr="00540422" w:rsidRDefault="00367110" w:rsidP="00395CD4">
            <w:pPr>
              <w:pStyle w:val="TableText"/>
              <w:keepNext w:val="0"/>
              <w:rPr>
                <w:szCs w:val="20"/>
              </w:rPr>
            </w:pPr>
            <w:r w:rsidRPr="00540422">
              <w:rPr>
                <w:szCs w:val="20"/>
              </w:rPr>
              <w:t>Based on use in HS-14-499 study: 56% (128/227) of patients stabilised on monthly dosing regimen by end of study, and 75% retained on treatment. Therefore assumed 74.7% (56/75) on monthly dosing and remainder (25.3%) weekly dosing.</w:t>
            </w:r>
          </w:p>
        </w:tc>
        <w:tc>
          <w:tcPr>
            <w:tcW w:w="3918" w:type="dxa"/>
          </w:tcPr>
          <w:p w14:paraId="081950B7" w14:textId="77777777" w:rsidR="00367110" w:rsidRPr="00540422" w:rsidRDefault="00367110" w:rsidP="00395CD4">
            <w:pPr>
              <w:pStyle w:val="Tableheadingrow"/>
              <w:keepNext w:val="0"/>
              <w:rPr>
                <w:b w:val="0"/>
                <w:bCs/>
                <w:iCs/>
                <w:lang w:val="en-AU"/>
              </w:rPr>
            </w:pPr>
            <w:r w:rsidRPr="00540422">
              <w:rPr>
                <w:b w:val="0"/>
                <w:bCs/>
                <w:iCs/>
                <w:lang w:val="en-AU"/>
              </w:rPr>
              <w:t>The applicability of the dose distribution data from a clinical trial setting to the Australian setting is uncertain.</w:t>
            </w:r>
          </w:p>
        </w:tc>
      </w:tr>
      <w:tr w:rsidR="00367110" w:rsidRPr="00540422" w14:paraId="4ED28B93" w14:textId="77777777" w:rsidTr="00395CD4">
        <w:tc>
          <w:tcPr>
            <w:tcW w:w="1413" w:type="dxa"/>
            <w:vAlign w:val="center"/>
          </w:tcPr>
          <w:p w14:paraId="2BAD2064" w14:textId="77777777" w:rsidR="00367110" w:rsidRPr="00540422" w:rsidRDefault="00367110" w:rsidP="00395CD4">
            <w:pPr>
              <w:pStyle w:val="Tableheadingrow"/>
              <w:keepNext w:val="0"/>
              <w:rPr>
                <w:b w:val="0"/>
                <w:bCs/>
                <w:szCs w:val="20"/>
                <w:lang w:val="en-AU"/>
              </w:rPr>
            </w:pPr>
            <w:r w:rsidRPr="00540422">
              <w:rPr>
                <w:b w:val="0"/>
                <w:bCs/>
                <w:szCs w:val="20"/>
                <w:lang w:val="en-AU"/>
              </w:rPr>
              <w:t>Patient copayment</w:t>
            </w:r>
          </w:p>
        </w:tc>
        <w:tc>
          <w:tcPr>
            <w:tcW w:w="3685" w:type="dxa"/>
            <w:vAlign w:val="center"/>
          </w:tcPr>
          <w:p w14:paraId="2BC05C2B" w14:textId="77777777" w:rsidR="00367110" w:rsidRPr="00540422" w:rsidRDefault="00367110" w:rsidP="00395CD4">
            <w:pPr>
              <w:pStyle w:val="TableText"/>
              <w:keepNext w:val="0"/>
              <w:rPr>
                <w:szCs w:val="20"/>
              </w:rPr>
            </w:pPr>
            <w:r w:rsidRPr="00540422">
              <w:rPr>
                <w:szCs w:val="20"/>
              </w:rPr>
              <w:t>$</w:t>
            </w:r>
            <w:r w:rsidRPr="00B6738D">
              <w:rPr>
                <w:szCs w:val="20"/>
              </w:rPr>
              <w:t>20</w:t>
            </w:r>
            <w:r w:rsidRPr="00540422">
              <w:rPr>
                <w:szCs w:val="20"/>
              </w:rPr>
              <w:t>. Assumed</w:t>
            </w:r>
          </w:p>
        </w:tc>
        <w:tc>
          <w:tcPr>
            <w:tcW w:w="3918" w:type="dxa"/>
          </w:tcPr>
          <w:p w14:paraId="0D9CAE2C" w14:textId="77777777" w:rsidR="00367110" w:rsidRPr="00540422" w:rsidRDefault="00367110" w:rsidP="00395CD4">
            <w:pPr>
              <w:pStyle w:val="Tableheadingrow"/>
              <w:keepNext w:val="0"/>
              <w:rPr>
                <w:b w:val="0"/>
                <w:bCs/>
                <w:iCs/>
                <w:lang w:val="en-AU"/>
              </w:rPr>
            </w:pPr>
            <w:r w:rsidRPr="00540422">
              <w:rPr>
                <w:b w:val="0"/>
                <w:bCs/>
                <w:iCs/>
                <w:lang w:val="en-AU"/>
              </w:rPr>
              <w:t>The submission acknowledged that the assumed copayment is most likely an overestimate.</w:t>
            </w:r>
          </w:p>
        </w:tc>
      </w:tr>
    </w:tbl>
    <w:p w14:paraId="7E416C14" w14:textId="77777777" w:rsidR="00367110" w:rsidRPr="00540422" w:rsidRDefault="00367110" w:rsidP="00367110">
      <w:pPr>
        <w:pStyle w:val="TableFigureFooter"/>
      </w:pPr>
      <w:r w:rsidRPr="00540422">
        <w:t>Source: Section 5 of the submission; Buvidal_BIM updated_July 2021 spreadsheet</w:t>
      </w:r>
    </w:p>
    <w:p w14:paraId="2EDC27C3" w14:textId="77777777" w:rsidR="00367110" w:rsidRPr="00540422" w:rsidRDefault="00367110" w:rsidP="00367110">
      <w:pPr>
        <w:pStyle w:val="TableFigureFooter"/>
        <w:rPr>
          <w:color w:val="3366FF"/>
        </w:rPr>
      </w:pPr>
      <w:r w:rsidRPr="00540422">
        <w:t xml:space="preserve">Abbreviations: BPN buprenorphine; </w:t>
      </w:r>
      <w:r w:rsidRPr="00540422">
        <w:rPr>
          <w:szCs w:val="18"/>
        </w:rPr>
        <w:t xml:space="preserve">NOPSAD, National Opioid Pharmacotherapy Statistics Annual; </w:t>
      </w:r>
      <w:r w:rsidRPr="00540422">
        <w:t>NX naloxone; OST, opioid substitution</w:t>
      </w:r>
      <w:r w:rsidR="00D72510" w:rsidRPr="00540422">
        <w:t xml:space="preserve"> therapy</w:t>
      </w:r>
      <w:r w:rsidRPr="00540422">
        <w:t>; OUD, opioid use disorder; PR, prolonged release; q1w, once weekly; q4w, once every 4 weeks; SL, sublingual</w:t>
      </w:r>
    </w:p>
    <w:p w14:paraId="4EEE3E47" w14:textId="77777777" w:rsidR="00367110" w:rsidRPr="00540422" w:rsidRDefault="00367110" w:rsidP="00367110">
      <w:pPr>
        <w:pStyle w:val="ExecSumBodyText"/>
        <w:numPr>
          <w:ilvl w:val="1"/>
          <w:numId w:val="1"/>
        </w:numPr>
      </w:pPr>
      <w:r w:rsidRPr="00540422">
        <w:t xml:space="preserve">The sources of data and methods used in the financial estimates were unchanged from the March 2019 minor submission, with the exception of updated utilisation data from the NOPSAD 2020 snapshot of OST medicine use. </w:t>
      </w:r>
    </w:p>
    <w:p w14:paraId="24D80CDA" w14:textId="77777777" w:rsidR="004137D0" w:rsidRPr="00C86140" w:rsidRDefault="00367110" w:rsidP="00C86140">
      <w:pPr>
        <w:pStyle w:val="ExecSumBodyText"/>
        <w:numPr>
          <w:ilvl w:val="1"/>
          <w:numId w:val="1"/>
        </w:numPr>
        <w:rPr>
          <w:rFonts w:ascii="Arial Narrow" w:eastAsiaTheme="majorEastAsia" w:hAnsi="Arial Narrow" w:cstheme="majorBidi"/>
          <w:b/>
          <w:bCs/>
          <w:sz w:val="20"/>
        </w:rPr>
      </w:pPr>
      <w:r w:rsidRPr="00540422">
        <w:t xml:space="preserve">Table </w:t>
      </w:r>
      <w:r w:rsidR="00865FF4" w:rsidRPr="00540422">
        <w:t>10</w:t>
      </w:r>
      <w:r w:rsidRPr="00540422">
        <w:t xml:space="preserve"> below presents the estimated use and financial implications of the proposed changes to the prolonged release buprenorphine PBS listing, over the first 6 years of listing.</w:t>
      </w:r>
    </w:p>
    <w:p w14:paraId="0F71BF9F" w14:textId="77777777" w:rsidR="00367110" w:rsidRPr="00540422" w:rsidRDefault="00367110" w:rsidP="00367110">
      <w:pPr>
        <w:keepNext/>
        <w:keepLines/>
        <w:jc w:val="left"/>
        <w:rPr>
          <w:rFonts w:ascii="Arial Narrow" w:eastAsiaTheme="majorEastAsia" w:hAnsi="Arial Narrow" w:cstheme="majorBidi"/>
          <w:b/>
          <w:bCs/>
          <w:sz w:val="20"/>
        </w:rPr>
      </w:pPr>
      <w:r w:rsidRPr="00540422">
        <w:rPr>
          <w:rFonts w:ascii="Arial Narrow" w:eastAsiaTheme="majorEastAsia" w:hAnsi="Arial Narrow" w:cstheme="majorBidi"/>
          <w:b/>
          <w:bCs/>
          <w:sz w:val="20"/>
        </w:rPr>
        <w:t xml:space="preserve">Table </w:t>
      </w:r>
      <w:r w:rsidR="00865FF4" w:rsidRPr="00540422">
        <w:rPr>
          <w:rFonts w:ascii="Arial Narrow" w:eastAsiaTheme="majorEastAsia" w:hAnsi="Arial Narrow" w:cstheme="majorBidi"/>
          <w:b/>
          <w:bCs/>
          <w:sz w:val="20"/>
        </w:rPr>
        <w:t>10</w:t>
      </w:r>
      <w:r w:rsidRPr="00540422">
        <w:rPr>
          <w:rFonts w:ascii="Arial Narrow" w:eastAsiaTheme="majorEastAsia" w:hAnsi="Arial Narrow" w:cstheme="majorBidi"/>
          <w:b/>
          <w:bCs/>
          <w:sz w:val="20"/>
        </w:rPr>
        <w:t>: Estimation of the use and financial impact of PR BPN on the PBS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0: Estimation of the use and financial impact of PR BPN on the PBS"/>
      </w:tblPr>
      <w:tblGrid>
        <w:gridCol w:w="2689"/>
        <w:gridCol w:w="1053"/>
        <w:gridCol w:w="1055"/>
        <w:gridCol w:w="1055"/>
        <w:gridCol w:w="1055"/>
        <w:gridCol w:w="1055"/>
        <w:gridCol w:w="1055"/>
      </w:tblGrid>
      <w:tr w:rsidR="00367110" w:rsidRPr="00540422" w14:paraId="05A00BC7" w14:textId="77777777" w:rsidTr="004E40DF">
        <w:trPr>
          <w:tblHeader/>
        </w:trPr>
        <w:tc>
          <w:tcPr>
            <w:tcW w:w="1491" w:type="pct"/>
            <w:vAlign w:val="center"/>
          </w:tcPr>
          <w:p w14:paraId="19D0E1A0" w14:textId="77777777" w:rsidR="00367110" w:rsidRPr="00540422" w:rsidRDefault="00367110" w:rsidP="00395CD4">
            <w:pPr>
              <w:keepNext/>
              <w:keepLines/>
              <w:tabs>
                <w:tab w:val="right" w:pos="2361"/>
              </w:tabs>
              <w:rPr>
                <w:rFonts w:ascii="Arial Narrow" w:hAnsi="Arial Narrow"/>
                <w:b/>
                <w:color w:val="3366FF"/>
                <w:sz w:val="20"/>
                <w:szCs w:val="20"/>
              </w:rPr>
            </w:pPr>
          </w:p>
        </w:tc>
        <w:tc>
          <w:tcPr>
            <w:tcW w:w="584" w:type="pct"/>
            <w:shd w:val="clear" w:color="auto" w:fill="auto"/>
          </w:tcPr>
          <w:p w14:paraId="7D6C66B3" w14:textId="77777777" w:rsidR="00367110" w:rsidRPr="00540422" w:rsidRDefault="00367110" w:rsidP="00395CD4">
            <w:pPr>
              <w:keepNext/>
              <w:keepLines/>
              <w:jc w:val="center"/>
              <w:rPr>
                <w:rFonts w:ascii="Arial Narrow" w:eastAsiaTheme="majorEastAsia" w:hAnsi="Arial Narrow" w:cstheme="majorBidi"/>
                <w:b/>
                <w:bCs/>
                <w:sz w:val="20"/>
                <w:szCs w:val="20"/>
              </w:rPr>
            </w:pPr>
            <w:r w:rsidRPr="00540422">
              <w:rPr>
                <w:rFonts w:ascii="Arial Narrow" w:eastAsiaTheme="majorEastAsia" w:hAnsi="Arial Narrow" w:cstheme="majorBidi"/>
                <w:b/>
                <w:bCs/>
                <w:sz w:val="20"/>
                <w:szCs w:val="20"/>
              </w:rPr>
              <w:t>Year 1 (2022)</w:t>
            </w:r>
          </w:p>
        </w:tc>
        <w:tc>
          <w:tcPr>
            <w:tcW w:w="585" w:type="pct"/>
            <w:shd w:val="clear" w:color="auto" w:fill="auto"/>
          </w:tcPr>
          <w:p w14:paraId="42ACEE58" w14:textId="77777777" w:rsidR="00367110" w:rsidRPr="00540422" w:rsidRDefault="00367110" w:rsidP="00395CD4">
            <w:pPr>
              <w:keepNext/>
              <w:keepLines/>
              <w:jc w:val="center"/>
              <w:rPr>
                <w:rFonts w:ascii="Arial Narrow" w:eastAsiaTheme="majorEastAsia" w:hAnsi="Arial Narrow" w:cstheme="majorBidi"/>
                <w:b/>
                <w:bCs/>
                <w:sz w:val="20"/>
                <w:szCs w:val="20"/>
              </w:rPr>
            </w:pPr>
            <w:r w:rsidRPr="00540422">
              <w:rPr>
                <w:rFonts w:ascii="Arial Narrow" w:eastAsiaTheme="majorEastAsia" w:hAnsi="Arial Narrow" w:cstheme="majorBidi"/>
                <w:b/>
                <w:bCs/>
                <w:sz w:val="20"/>
                <w:szCs w:val="20"/>
              </w:rPr>
              <w:t>Year 2 (2023)</w:t>
            </w:r>
          </w:p>
        </w:tc>
        <w:tc>
          <w:tcPr>
            <w:tcW w:w="585" w:type="pct"/>
            <w:shd w:val="clear" w:color="auto" w:fill="auto"/>
          </w:tcPr>
          <w:p w14:paraId="7F406F9F" w14:textId="77777777" w:rsidR="00367110" w:rsidRPr="00540422" w:rsidRDefault="00367110" w:rsidP="00395CD4">
            <w:pPr>
              <w:keepNext/>
              <w:keepLines/>
              <w:jc w:val="center"/>
              <w:rPr>
                <w:rFonts w:ascii="Arial Narrow" w:eastAsiaTheme="majorEastAsia" w:hAnsi="Arial Narrow" w:cstheme="majorBidi"/>
                <w:b/>
                <w:bCs/>
                <w:sz w:val="20"/>
                <w:szCs w:val="20"/>
              </w:rPr>
            </w:pPr>
            <w:r w:rsidRPr="00540422">
              <w:rPr>
                <w:rFonts w:ascii="Arial Narrow" w:eastAsiaTheme="majorEastAsia" w:hAnsi="Arial Narrow" w:cstheme="majorBidi"/>
                <w:b/>
                <w:bCs/>
                <w:sz w:val="20"/>
                <w:szCs w:val="20"/>
              </w:rPr>
              <w:t>Year 3 (2024)</w:t>
            </w:r>
          </w:p>
        </w:tc>
        <w:tc>
          <w:tcPr>
            <w:tcW w:w="585" w:type="pct"/>
            <w:shd w:val="clear" w:color="auto" w:fill="auto"/>
          </w:tcPr>
          <w:p w14:paraId="660715CE" w14:textId="77777777" w:rsidR="00367110" w:rsidRPr="00540422" w:rsidRDefault="00367110" w:rsidP="00395CD4">
            <w:pPr>
              <w:keepNext/>
              <w:keepLines/>
              <w:jc w:val="center"/>
              <w:rPr>
                <w:rFonts w:ascii="Arial Narrow" w:eastAsiaTheme="majorEastAsia" w:hAnsi="Arial Narrow" w:cstheme="majorBidi"/>
                <w:b/>
                <w:bCs/>
                <w:sz w:val="20"/>
                <w:szCs w:val="20"/>
              </w:rPr>
            </w:pPr>
            <w:r w:rsidRPr="00540422">
              <w:rPr>
                <w:rFonts w:ascii="Arial Narrow" w:eastAsiaTheme="majorEastAsia" w:hAnsi="Arial Narrow" w:cstheme="majorBidi"/>
                <w:b/>
                <w:bCs/>
                <w:sz w:val="20"/>
                <w:szCs w:val="20"/>
              </w:rPr>
              <w:t>Year 4 (2025)</w:t>
            </w:r>
          </w:p>
        </w:tc>
        <w:tc>
          <w:tcPr>
            <w:tcW w:w="585" w:type="pct"/>
            <w:shd w:val="clear" w:color="auto" w:fill="auto"/>
          </w:tcPr>
          <w:p w14:paraId="38DC612B" w14:textId="77777777" w:rsidR="00367110" w:rsidRPr="00540422" w:rsidRDefault="00367110" w:rsidP="00395CD4">
            <w:pPr>
              <w:keepNext/>
              <w:keepLines/>
              <w:jc w:val="center"/>
              <w:rPr>
                <w:rFonts w:ascii="Arial Narrow" w:eastAsiaTheme="majorEastAsia" w:hAnsi="Arial Narrow" w:cstheme="majorBidi"/>
                <w:b/>
                <w:bCs/>
                <w:sz w:val="20"/>
                <w:szCs w:val="20"/>
              </w:rPr>
            </w:pPr>
            <w:r w:rsidRPr="00540422">
              <w:rPr>
                <w:rFonts w:ascii="Arial Narrow" w:eastAsiaTheme="majorEastAsia" w:hAnsi="Arial Narrow" w:cstheme="majorBidi"/>
                <w:b/>
                <w:bCs/>
                <w:sz w:val="20"/>
                <w:szCs w:val="20"/>
              </w:rPr>
              <w:t>Year 5 (2026)</w:t>
            </w:r>
          </w:p>
        </w:tc>
        <w:tc>
          <w:tcPr>
            <w:tcW w:w="585" w:type="pct"/>
            <w:shd w:val="clear" w:color="auto" w:fill="auto"/>
          </w:tcPr>
          <w:p w14:paraId="79888695" w14:textId="77777777" w:rsidR="00367110" w:rsidRPr="00540422" w:rsidRDefault="00367110" w:rsidP="00395CD4">
            <w:pPr>
              <w:keepNext/>
              <w:keepLines/>
              <w:jc w:val="center"/>
              <w:rPr>
                <w:rFonts w:ascii="Arial Narrow" w:eastAsiaTheme="majorEastAsia" w:hAnsi="Arial Narrow" w:cstheme="majorBidi"/>
                <w:b/>
                <w:bCs/>
                <w:sz w:val="20"/>
                <w:szCs w:val="20"/>
              </w:rPr>
            </w:pPr>
            <w:r w:rsidRPr="00540422">
              <w:rPr>
                <w:rFonts w:ascii="Arial Narrow" w:eastAsiaTheme="majorEastAsia" w:hAnsi="Arial Narrow" w:cstheme="majorBidi"/>
                <w:b/>
                <w:bCs/>
                <w:sz w:val="20"/>
                <w:szCs w:val="20"/>
              </w:rPr>
              <w:t>Year 6 (2027)</w:t>
            </w:r>
          </w:p>
        </w:tc>
      </w:tr>
      <w:tr w:rsidR="00367110" w:rsidRPr="00540422" w14:paraId="5CF9BB54" w14:textId="77777777" w:rsidTr="00395CD4">
        <w:tc>
          <w:tcPr>
            <w:tcW w:w="1491" w:type="pct"/>
            <w:vAlign w:val="bottom"/>
          </w:tcPr>
          <w:p w14:paraId="67F07854" w14:textId="77777777" w:rsidR="00367110" w:rsidRPr="00540422" w:rsidRDefault="00367110" w:rsidP="00395CD4">
            <w:pPr>
              <w:jc w:val="left"/>
              <w:rPr>
                <w:rFonts w:ascii="Arial Narrow" w:eastAsiaTheme="majorEastAsia" w:hAnsi="Arial Narrow" w:cstheme="majorBidi"/>
                <w:bCs/>
                <w:sz w:val="20"/>
              </w:rPr>
            </w:pPr>
            <w:r w:rsidRPr="00540422">
              <w:rPr>
                <w:rFonts w:ascii="Arial Narrow" w:eastAsiaTheme="majorEastAsia" w:hAnsi="Arial Narrow" w:cstheme="majorBidi"/>
                <w:bCs/>
                <w:sz w:val="20"/>
              </w:rPr>
              <w:t>Patients on treatment (NOPSAD data 2020)</w:t>
            </w:r>
          </w:p>
        </w:tc>
        <w:tc>
          <w:tcPr>
            <w:tcW w:w="584" w:type="pct"/>
            <w:vAlign w:val="center"/>
          </w:tcPr>
          <w:p w14:paraId="0F4520B6" w14:textId="77777777" w:rsidR="00367110" w:rsidRPr="00540422" w:rsidRDefault="00367110" w:rsidP="00395CD4">
            <w:pPr>
              <w:jc w:val="center"/>
              <w:rPr>
                <w:rFonts w:ascii="Arial Narrow" w:eastAsiaTheme="majorEastAsia" w:hAnsi="Arial Narrow" w:cstheme="majorBidi"/>
                <w:bCs/>
                <w:sz w:val="20"/>
              </w:rPr>
            </w:pPr>
            <w:r w:rsidRPr="00540422">
              <w:rPr>
                <w:rFonts w:ascii="Arial Narrow" w:eastAsiaTheme="majorEastAsia" w:hAnsi="Arial Narrow" w:cstheme="majorBidi"/>
                <w:bCs/>
                <w:sz w:val="20"/>
              </w:rPr>
              <w:t>53,666</w:t>
            </w:r>
          </w:p>
        </w:tc>
        <w:tc>
          <w:tcPr>
            <w:tcW w:w="585" w:type="pct"/>
            <w:vAlign w:val="center"/>
          </w:tcPr>
          <w:p w14:paraId="6A0492B3" w14:textId="77777777" w:rsidR="00367110" w:rsidRPr="00540422" w:rsidRDefault="00367110" w:rsidP="00395CD4">
            <w:pPr>
              <w:jc w:val="center"/>
              <w:rPr>
                <w:rFonts w:ascii="Arial Narrow" w:eastAsiaTheme="majorEastAsia" w:hAnsi="Arial Narrow" w:cstheme="majorBidi"/>
                <w:bCs/>
                <w:sz w:val="20"/>
              </w:rPr>
            </w:pPr>
            <w:r w:rsidRPr="00540422">
              <w:rPr>
                <w:rFonts w:ascii="Arial Narrow" w:eastAsiaTheme="majorEastAsia" w:hAnsi="Arial Narrow" w:cstheme="majorBidi"/>
                <w:bCs/>
                <w:sz w:val="20"/>
              </w:rPr>
              <w:t>54,377</w:t>
            </w:r>
          </w:p>
        </w:tc>
        <w:tc>
          <w:tcPr>
            <w:tcW w:w="585" w:type="pct"/>
            <w:vAlign w:val="center"/>
          </w:tcPr>
          <w:p w14:paraId="4C7CB9CA" w14:textId="77777777" w:rsidR="00367110" w:rsidRPr="00540422" w:rsidRDefault="00367110" w:rsidP="00395CD4">
            <w:pPr>
              <w:jc w:val="center"/>
              <w:rPr>
                <w:rFonts w:ascii="Arial Narrow" w:eastAsiaTheme="majorEastAsia" w:hAnsi="Arial Narrow" w:cstheme="majorBidi"/>
                <w:bCs/>
                <w:sz w:val="20"/>
              </w:rPr>
            </w:pPr>
            <w:r w:rsidRPr="00540422">
              <w:rPr>
                <w:rFonts w:ascii="Arial Narrow" w:eastAsiaTheme="majorEastAsia" w:hAnsi="Arial Narrow" w:cstheme="majorBidi"/>
                <w:bCs/>
                <w:sz w:val="20"/>
              </w:rPr>
              <w:t>55,089</w:t>
            </w:r>
          </w:p>
        </w:tc>
        <w:tc>
          <w:tcPr>
            <w:tcW w:w="585" w:type="pct"/>
            <w:vAlign w:val="center"/>
          </w:tcPr>
          <w:p w14:paraId="67F04F46" w14:textId="77777777" w:rsidR="00367110" w:rsidRPr="00540422" w:rsidRDefault="00367110" w:rsidP="00395CD4">
            <w:pPr>
              <w:jc w:val="center"/>
              <w:rPr>
                <w:rFonts w:ascii="Arial Narrow" w:eastAsiaTheme="majorEastAsia" w:hAnsi="Arial Narrow" w:cstheme="majorBidi"/>
                <w:bCs/>
                <w:sz w:val="20"/>
              </w:rPr>
            </w:pPr>
            <w:r w:rsidRPr="00540422">
              <w:rPr>
                <w:rFonts w:ascii="Arial Narrow" w:eastAsiaTheme="majorEastAsia" w:hAnsi="Arial Narrow" w:cstheme="majorBidi"/>
                <w:bCs/>
                <w:sz w:val="20"/>
              </w:rPr>
              <w:t>55,800</w:t>
            </w:r>
          </w:p>
        </w:tc>
        <w:tc>
          <w:tcPr>
            <w:tcW w:w="585" w:type="pct"/>
            <w:vAlign w:val="center"/>
          </w:tcPr>
          <w:p w14:paraId="091E28EB" w14:textId="77777777" w:rsidR="00367110" w:rsidRPr="00540422" w:rsidRDefault="00367110" w:rsidP="00395CD4">
            <w:pPr>
              <w:jc w:val="center"/>
              <w:rPr>
                <w:rFonts w:ascii="Arial Narrow" w:eastAsiaTheme="majorEastAsia" w:hAnsi="Arial Narrow" w:cstheme="majorBidi"/>
                <w:bCs/>
                <w:sz w:val="20"/>
              </w:rPr>
            </w:pPr>
            <w:r w:rsidRPr="00540422">
              <w:rPr>
                <w:rFonts w:ascii="Arial Narrow" w:eastAsiaTheme="majorEastAsia" w:hAnsi="Arial Narrow" w:cstheme="majorBidi"/>
                <w:bCs/>
                <w:sz w:val="20"/>
              </w:rPr>
              <w:t>56,511</w:t>
            </w:r>
          </w:p>
        </w:tc>
        <w:tc>
          <w:tcPr>
            <w:tcW w:w="585" w:type="pct"/>
            <w:vAlign w:val="center"/>
          </w:tcPr>
          <w:p w14:paraId="651475D8" w14:textId="77777777" w:rsidR="00367110" w:rsidRPr="00540422" w:rsidRDefault="00367110" w:rsidP="00395CD4">
            <w:pPr>
              <w:jc w:val="center"/>
              <w:rPr>
                <w:rFonts w:ascii="Arial Narrow" w:eastAsiaTheme="majorEastAsia" w:hAnsi="Arial Narrow" w:cstheme="majorBidi"/>
                <w:bCs/>
                <w:sz w:val="20"/>
              </w:rPr>
            </w:pPr>
            <w:r w:rsidRPr="00540422">
              <w:rPr>
                <w:rFonts w:ascii="Arial Narrow" w:eastAsiaTheme="majorEastAsia" w:hAnsi="Arial Narrow" w:cstheme="majorBidi"/>
                <w:bCs/>
                <w:sz w:val="20"/>
              </w:rPr>
              <w:t>57,221</w:t>
            </w:r>
          </w:p>
        </w:tc>
      </w:tr>
      <w:tr w:rsidR="00367110" w:rsidRPr="00540422" w14:paraId="18FF7D6A" w14:textId="77777777" w:rsidTr="00395CD4">
        <w:tc>
          <w:tcPr>
            <w:tcW w:w="1491" w:type="pct"/>
            <w:vAlign w:val="bottom"/>
          </w:tcPr>
          <w:p w14:paraId="739479E0" w14:textId="77777777" w:rsidR="00367110" w:rsidRPr="00540422" w:rsidRDefault="00367110" w:rsidP="00395CD4">
            <w:pPr>
              <w:jc w:val="left"/>
              <w:rPr>
                <w:rFonts w:ascii="Arial Narrow" w:eastAsiaTheme="majorEastAsia" w:hAnsi="Arial Narrow" w:cstheme="majorBidi"/>
                <w:bCs/>
                <w:sz w:val="20"/>
              </w:rPr>
            </w:pPr>
            <w:r w:rsidRPr="00540422">
              <w:rPr>
                <w:rFonts w:ascii="Arial Narrow" w:eastAsiaTheme="majorEastAsia" w:hAnsi="Arial Narrow" w:cstheme="majorBidi"/>
                <w:bCs/>
                <w:sz w:val="20"/>
              </w:rPr>
              <w:t>Not treated (44.5% of total eligible population)</w:t>
            </w:r>
          </w:p>
        </w:tc>
        <w:tc>
          <w:tcPr>
            <w:tcW w:w="584" w:type="pct"/>
            <w:vAlign w:val="center"/>
          </w:tcPr>
          <w:p w14:paraId="221489F4" w14:textId="77777777" w:rsidR="00367110" w:rsidRPr="00540422" w:rsidRDefault="00367110" w:rsidP="00395CD4">
            <w:pPr>
              <w:jc w:val="center"/>
              <w:rPr>
                <w:rFonts w:ascii="Arial Narrow" w:eastAsiaTheme="majorEastAsia" w:hAnsi="Arial Narrow" w:cstheme="majorBidi"/>
                <w:bCs/>
                <w:sz w:val="20"/>
              </w:rPr>
            </w:pPr>
            <w:r w:rsidRPr="00540422">
              <w:rPr>
                <w:rFonts w:ascii="Arial Narrow" w:eastAsiaTheme="majorEastAsia" w:hAnsi="Arial Narrow" w:cstheme="majorBidi"/>
                <w:bCs/>
                <w:sz w:val="20"/>
              </w:rPr>
              <w:t>43,113</w:t>
            </w:r>
          </w:p>
        </w:tc>
        <w:tc>
          <w:tcPr>
            <w:tcW w:w="585" w:type="pct"/>
            <w:vAlign w:val="center"/>
          </w:tcPr>
          <w:p w14:paraId="08FD079F" w14:textId="77777777" w:rsidR="00367110" w:rsidRPr="00540422" w:rsidRDefault="00367110" w:rsidP="00395CD4">
            <w:pPr>
              <w:jc w:val="center"/>
              <w:rPr>
                <w:rFonts w:ascii="Arial Narrow" w:eastAsiaTheme="majorEastAsia" w:hAnsi="Arial Narrow" w:cstheme="majorBidi"/>
                <w:bCs/>
                <w:sz w:val="20"/>
              </w:rPr>
            </w:pPr>
            <w:r w:rsidRPr="00540422">
              <w:rPr>
                <w:rFonts w:ascii="Arial Narrow" w:eastAsiaTheme="majorEastAsia" w:hAnsi="Arial Narrow" w:cstheme="majorBidi"/>
                <w:bCs/>
                <w:sz w:val="20"/>
              </w:rPr>
              <w:t>43,684</w:t>
            </w:r>
          </w:p>
        </w:tc>
        <w:tc>
          <w:tcPr>
            <w:tcW w:w="585" w:type="pct"/>
            <w:vAlign w:val="center"/>
          </w:tcPr>
          <w:p w14:paraId="6E1A1828" w14:textId="77777777" w:rsidR="00367110" w:rsidRPr="00540422" w:rsidRDefault="00367110" w:rsidP="00395CD4">
            <w:pPr>
              <w:jc w:val="center"/>
              <w:rPr>
                <w:rFonts w:ascii="Arial Narrow" w:eastAsiaTheme="majorEastAsia" w:hAnsi="Arial Narrow" w:cstheme="majorBidi"/>
                <w:bCs/>
                <w:sz w:val="20"/>
              </w:rPr>
            </w:pPr>
            <w:r w:rsidRPr="00540422">
              <w:rPr>
                <w:rFonts w:ascii="Arial Narrow" w:eastAsiaTheme="majorEastAsia" w:hAnsi="Arial Narrow" w:cstheme="majorBidi"/>
                <w:bCs/>
                <w:sz w:val="20"/>
              </w:rPr>
              <w:t>44,255</w:t>
            </w:r>
          </w:p>
        </w:tc>
        <w:tc>
          <w:tcPr>
            <w:tcW w:w="585" w:type="pct"/>
            <w:vAlign w:val="center"/>
          </w:tcPr>
          <w:p w14:paraId="7A1D959D" w14:textId="77777777" w:rsidR="00367110" w:rsidRPr="00540422" w:rsidRDefault="00367110" w:rsidP="00395CD4">
            <w:pPr>
              <w:jc w:val="center"/>
              <w:rPr>
                <w:rFonts w:ascii="Arial Narrow" w:eastAsiaTheme="majorEastAsia" w:hAnsi="Arial Narrow" w:cstheme="majorBidi"/>
                <w:bCs/>
                <w:sz w:val="20"/>
              </w:rPr>
            </w:pPr>
            <w:r w:rsidRPr="00540422">
              <w:rPr>
                <w:rFonts w:ascii="Arial Narrow" w:eastAsiaTheme="majorEastAsia" w:hAnsi="Arial Narrow" w:cstheme="majorBidi"/>
                <w:bCs/>
                <w:sz w:val="20"/>
              </w:rPr>
              <w:t>44,826</w:t>
            </w:r>
          </w:p>
        </w:tc>
        <w:tc>
          <w:tcPr>
            <w:tcW w:w="585" w:type="pct"/>
            <w:vAlign w:val="center"/>
          </w:tcPr>
          <w:p w14:paraId="5C019534" w14:textId="77777777" w:rsidR="00367110" w:rsidRPr="00540422" w:rsidRDefault="00367110" w:rsidP="00395CD4">
            <w:pPr>
              <w:jc w:val="center"/>
              <w:rPr>
                <w:rFonts w:ascii="Arial Narrow" w:eastAsiaTheme="majorEastAsia" w:hAnsi="Arial Narrow" w:cstheme="majorBidi"/>
                <w:bCs/>
                <w:sz w:val="20"/>
              </w:rPr>
            </w:pPr>
            <w:r w:rsidRPr="00540422">
              <w:rPr>
                <w:rFonts w:ascii="Arial Narrow" w:eastAsiaTheme="majorEastAsia" w:hAnsi="Arial Narrow" w:cstheme="majorBidi"/>
                <w:bCs/>
                <w:sz w:val="20"/>
              </w:rPr>
              <w:t>45,397</w:t>
            </w:r>
          </w:p>
        </w:tc>
        <w:tc>
          <w:tcPr>
            <w:tcW w:w="585" w:type="pct"/>
            <w:vAlign w:val="center"/>
          </w:tcPr>
          <w:p w14:paraId="43C5DEC1" w14:textId="77777777" w:rsidR="00367110" w:rsidRPr="00540422" w:rsidRDefault="00367110" w:rsidP="00395CD4">
            <w:pPr>
              <w:jc w:val="center"/>
              <w:rPr>
                <w:rFonts w:ascii="Arial Narrow" w:eastAsiaTheme="majorEastAsia" w:hAnsi="Arial Narrow" w:cstheme="majorBidi"/>
                <w:bCs/>
                <w:sz w:val="20"/>
              </w:rPr>
            </w:pPr>
            <w:r w:rsidRPr="00540422">
              <w:rPr>
                <w:rFonts w:ascii="Arial Narrow" w:eastAsiaTheme="majorEastAsia" w:hAnsi="Arial Narrow" w:cstheme="majorBidi"/>
                <w:bCs/>
                <w:sz w:val="20"/>
              </w:rPr>
              <w:t>45,969</w:t>
            </w:r>
          </w:p>
        </w:tc>
      </w:tr>
      <w:tr w:rsidR="00367110" w:rsidRPr="00540422" w14:paraId="6A24AFC5" w14:textId="77777777" w:rsidTr="00395CD4">
        <w:tc>
          <w:tcPr>
            <w:tcW w:w="1491" w:type="pct"/>
            <w:vAlign w:val="center"/>
          </w:tcPr>
          <w:p w14:paraId="1C7B032F" w14:textId="77777777" w:rsidR="00367110" w:rsidRPr="00304F0A" w:rsidRDefault="00367110" w:rsidP="00304F0A">
            <w:pPr>
              <w:jc w:val="left"/>
              <w:rPr>
                <w:rFonts w:ascii="Arial Narrow" w:eastAsiaTheme="majorEastAsia" w:hAnsi="Arial Narrow" w:cstheme="majorBidi"/>
                <w:bCs/>
                <w:sz w:val="20"/>
                <w:vertAlign w:val="superscript"/>
              </w:rPr>
            </w:pPr>
            <w:r w:rsidRPr="00540422">
              <w:rPr>
                <w:rFonts w:ascii="Arial Narrow" w:eastAsiaTheme="majorEastAsia" w:hAnsi="Arial Narrow" w:cstheme="majorBidi"/>
                <w:bCs/>
                <w:sz w:val="20"/>
              </w:rPr>
              <w:t>Total eligible p</w:t>
            </w:r>
            <w:r w:rsidR="00390D5B" w:rsidRPr="00540422">
              <w:rPr>
                <w:rFonts w:ascii="Arial Narrow" w:eastAsiaTheme="majorEastAsia" w:hAnsi="Arial Narrow" w:cstheme="majorBidi"/>
                <w:bCs/>
                <w:sz w:val="20"/>
              </w:rPr>
              <w:t>o</w:t>
            </w:r>
            <w:r w:rsidRPr="00540422">
              <w:rPr>
                <w:rFonts w:ascii="Arial Narrow" w:eastAsiaTheme="majorEastAsia" w:hAnsi="Arial Narrow" w:cstheme="majorBidi"/>
                <w:bCs/>
                <w:sz w:val="20"/>
              </w:rPr>
              <w:t>pulation</w:t>
            </w:r>
          </w:p>
        </w:tc>
        <w:tc>
          <w:tcPr>
            <w:tcW w:w="584" w:type="pct"/>
          </w:tcPr>
          <w:p w14:paraId="3635D3FA" w14:textId="77777777" w:rsidR="00367110" w:rsidRPr="00540422" w:rsidRDefault="00367110" w:rsidP="00395CD4">
            <w:pPr>
              <w:jc w:val="center"/>
              <w:rPr>
                <w:rFonts w:ascii="Arial Narrow" w:eastAsiaTheme="majorEastAsia" w:hAnsi="Arial Narrow" w:cstheme="majorBidi"/>
                <w:bCs/>
                <w:sz w:val="20"/>
              </w:rPr>
            </w:pPr>
            <w:r w:rsidRPr="00540422">
              <w:rPr>
                <w:rFonts w:ascii="Arial Narrow" w:eastAsiaTheme="majorEastAsia" w:hAnsi="Arial Narrow" w:cstheme="majorBidi"/>
                <w:bCs/>
                <w:sz w:val="20"/>
              </w:rPr>
              <w:t>96,779</w:t>
            </w:r>
          </w:p>
        </w:tc>
        <w:tc>
          <w:tcPr>
            <w:tcW w:w="585" w:type="pct"/>
          </w:tcPr>
          <w:p w14:paraId="4A11F69C" w14:textId="77777777" w:rsidR="00367110" w:rsidRPr="00540422" w:rsidRDefault="00367110" w:rsidP="00395CD4">
            <w:pPr>
              <w:jc w:val="center"/>
              <w:rPr>
                <w:rFonts w:ascii="Arial Narrow" w:eastAsiaTheme="majorEastAsia" w:hAnsi="Arial Narrow" w:cstheme="majorBidi"/>
                <w:bCs/>
                <w:sz w:val="20"/>
              </w:rPr>
            </w:pPr>
            <w:r w:rsidRPr="00540422">
              <w:rPr>
                <w:rFonts w:ascii="Arial Narrow" w:eastAsiaTheme="majorEastAsia" w:hAnsi="Arial Narrow" w:cstheme="majorBidi"/>
                <w:bCs/>
                <w:sz w:val="20"/>
              </w:rPr>
              <w:t>98,061</w:t>
            </w:r>
          </w:p>
        </w:tc>
        <w:tc>
          <w:tcPr>
            <w:tcW w:w="585" w:type="pct"/>
          </w:tcPr>
          <w:p w14:paraId="2E2EA1E1" w14:textId="77777777" w:rsidR="00367110" w:rsidRPr="00540422" w:rsidRDefault="00367110" w:rsidP="00395CD4">
            <w:pPr>
              <w:jc w:val="center"/>
              <w:rPr>
                <w:rFonts w:ascii="Arial Narrow" w:eastAsiaTheme="majorEastAsia" w:hAnsi="Arial Narrow" w:cstheme="majorBidi"/>
                <w:bCs/>
                <w:sz w:val="20"/>
              </w:rPr>
            </w:pPr>
            <w:r w:rsidRPr="00540422">
              <w:rPr>
                <w:rFonts w:ascii="Arial Narrow" w:eastAsiaTheme="majorEastAsia" w:hAnsi="Arial Narrow" w:cstheme="majorBidi"/>
                <w:bCs/>
                <w:sz w:val="20"/>
              </w:rPr>
              <w:t>99,344</w:t>
            </w:r>
          </w:p>
        </w:tc>
        <w:tc>
          <w:tcPr>
            <w:tcW w:w="585" w:type="pct"/>
          </w:tcPr>
          <w:p w14:paraId="4E04FB18" w14:textId="77777777" w:rsidR="00367110" w:rsidRPr="00540422" w:rsidRDefault="00367110" w:rsidP="00395CD4">
            <w:pPr>
              <w:jc w:val="center"/>
              <w:rPr>
                <w:rFonts w:ascii="Arial Narrow" w:eastAsiaTheme="majorEastAsia" w:hAnsi="Arial Narrow" w:cstheme="majorBidi"/>
                <w:bCs/>
                <w:sz w:val="20"/>
              </w:rPr>
            </w:pPr>
            <w:r w:rsidRPr="00540422">
              <w:rPr>
                <w:rFonts w:ascii="Arial Narrow" w:eastAsiaTheme="majorEastAsia" w:hAnsi="Arial Narrow" w:cstheme="majorBidi"/>
                <w:bCs/>
                <w:sz w:val="20"/>
              </w:rPr>
              <w:t>100,626</w:t>
            </w:r>
          </w:p>
        </w:tc>
        <w:tc>
          <w:tcPr>
            <w:tcW w:w="585" w:type="pct"/>
          </w:tcPr>
          <w:p w14:paraId="3021B710" w14:textId="77777777" w:rsidR="00367110" w:rsidRPr="00540422" w:rsidRDefault="00367110" w:rsidP="00395CD4">
            <w:pPr>
              <w:jc w:val="center"/>
              <w:rPr>
                <w:rFonts w:ascii="Arial Narrow" w:eastAsiaTheme="majorEastAsia" w:hAnsi="Arial Narrow" w:cstheme="majorBidi"/>
                <w:bCs/>
                <w:sz w:val="20"/>
              </w:rPr>
            </w:pPr>
            <w:r w:rsidRPr="00540422">
              <w:rPr>
                <w:rFonts w:ascii="Arial Narrow" w:eastAsiaTheme="majorEastAsia" w:hAnsi="Arial Narrow" w:cstheme="majorBidi"/>
                <w:bCs/>
                <w:sz w:val="20"/>
              </w:rPr>
              <w:t>101,908</w:t>
            </w:r>
          </w:p>
        </w:tc>
        <w:tc>
          <w:tcPr>
            <w:tcW w:w="585" w:type="pct"/>
          </w:tcPr>
          <w:p w14:paraId="1878B782" w14:textId="77777777" w:rsidR="00367110" w:rsidRPr="00540422" w:rsidRDefault="00367110" w:rsidP="00395CD4">
            <w:pPr>
              <w:jc w:val="center"/>
              <w:rPr>
                <w:rFonts w:ascii="Arial Narrow" w:eastAsiaTheme="majorEastAsia" w:hAnsi="Arial Narrow" w:cstheme="majorBidi"/>
                <w:bCs/>
                <w:sz w:val="20"/>
              </w:rPr>
            </w:pPr>
            <w:r w:rsidRPr="00540422">
              <w:rPr>
                <w:rFonts w:ascii="Arial Narrow" w:eastAsiaTheme="majorEastAsia" w:hAnsi="Arial Narrow" w:cstheme="majorBidi"/>
                <w:bCs/>
                <w:sz w:val="20"/>
              </w:rPr>
              <w:t>103,190</w:t>
            </w:r>
          </w:p>
        </w:tc>
      </w:tr>
      <w:tr w:rsidR="00367110" w:rsidRPr="00540422" w14:paraId="437B3059" w14:textId="77777777" w:rsidTr="00395CD4">
        <w:tc>
          <w:tcPr>
            <w:tcW w:w="5000" w:type="pct"/>
            <w:gridSpan w:val="7"/>
            <w:vAlign w:val="center"/>
          </w:tcPr>
          <w:p w14:paraId="1C780597" w14:textId="77777777" w:rsidR="00367110" w:rsidRPr="00540422" w:rsidRDefault="00367110" w:rsidP="004E40DF">
            <w:pPr>
              <w:keepLines/>
              <w:jc w:val="left"/>
              <w:rPr>
                <w:rFonts w:ascii="Arial Narrow" w:eastAsiaTheme="majorEastAsia" w:hAnsi="Arial Narrow" w:cstheme="majorBidi"/>
                <w:bCs/>
                <w:sz w:val="20"/>
              </w:rPr>
            </w:pPr>
            <w:r w:rsidRPr="00540422">
              <w:rPr>
                <w:rFonts w:ascii="Arial Narrow" w:eastAsiaTheme="majorEastAsia" w:hAnsi="Arial Narrow" w:cstheme="majorBidi"/>
                <w:b/>
                <w:bCs/>
                <w:color w:val="000000" w:themeColor="text1"/>
                <w:sz w:val="20"/>
              </w:rPr>
              <w:t>PR BPN</w:t>
            </w:r>
          </w:p>
        </w:tc>
      </w:tr>
      <w:tr w:rsidR="00367110" w:rsidRPr="00540422" w14:paraId="4752E798" w14:textId="77777777" w:rsidTr="00395CD4">
        <w:tc>
          <w:tcPr>
            <w:tcW w:w="1491" w:type="pct"/>
            <w:vAlign w:val="bottom"/>
          </w:tcPr>
          <w:p w14:paraId="67FA8C8A" w14:textId="77777777" w:rsidR="00367110" w:rsidRPr="00540422" w:rsidRDefault="00367110" w:rsidP="004E40DF">
            <w:pPr>
              <w:keepLines/>
              <w:jc w:val="left"/>
              <w:rPr>
                <w:rFonts w:ascii="Arial Narrow" w:eastAsiaTheme="majorEastAsia" w:hAnsi="Arial Narrow" w:cstheme="majorBidi"/>
                <w:bCs/>
                <w:sz w:val="20"/>
              </w:rPr>
            </w:pPr>
            <w:r w:rsidRPr="00540422">
              <w:rPr>
                <w:rFonts w:ascii="Arial Narrow" w:eastAsiaTheme="majorEastAsia" w:hAnsi="Arial Narrow" w:cstheme="majorBidi"/>
                <w:bCs/>
                <w:sz w:val="20"/>
              </w:rPr>
              <w:t>Uptake from treated patients (</w:t>
            </w:r>
            <w:r w:rsidR="009E2AA7">
              <w:rPr>
                <w:rFonts w:ascii="Arial Narrow" w:eastAsiaTheme="majorEastAsia" w:hAnsi="Arial Narrow" w:cstheme="majorBidi"/>
                <w:bCs/>
                <w:noProof/>
                <w:color w:val="000000"/>
                <w:sz w:val="20"/>
                <w:highlight w:val="black"/>
              </w:rPr>
              <w:t>''''''</w:t>
            </w:r>
            <w:r w:rsidRPr="00540422">
              <w:rPr>
                <w:rFonts w:ascii="Arial Narrow" w:eastAsiaTheme="majorEastAsia" w:hAnsi="Arial Narrow" w:cstheme="majorBidi"/>
                <w:bCs/>
                <w:sz w:val="20"/>
              </w:rPr>
              <w:t>%)</w:t>
            </w:r>
          </w:p>
        </w:tc>
        <w:tc>
          <w:tcPr>
            <w:tcW w:w="584" w:type="pct"/>
            <w:vAlign w:val="center"/>
          </w:tcPr>
          <w:p w14:paraId="11EE6B8B" w14:textId="77777777" w:rsidR="00367110" w:rsidRPr="009E2AA7" w:rsidRDefault="009E2AA7" w:rsidP="004E40DF">
            <w:pPr>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304F0A">
              <w:rPr>
                <w:rFonts w:ascii="Arial Narrow" w:eastAsiaTheme="majorEastAsia" w:hAnsi="Arial Narrow" w:cstheme="majorBidi"/>
                <w:bCs/>
                <w:sz w:val="20"/>
                <w:vertAlign w:val="superscript"/>
              </w:rPr>
              <w:t>1</w:t>
            </w:r>
          </w:p>
        </w:tc>
        <w:tc>
          <w:tcPr>
            <w:tcW w:w="585" w:type="pct"/>
            <w:vAlign w:val="center"/>
          </w:tcPr>
          <w:p w14:paraId="02A06C12" w14:textId="77777777" w:rsidR="00367110" w:rsidRPr="009E2AA7" w:rsidRDefault="009E2AA7" w:rsidP="004E40DF">
            <w:pPr>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304F0A">
              <w:rPr>
                <w:rFonts w:ascii="Arial Narrow" w:eastAsiaTheme="majorEastAsia" w:hAnsi="Arial Narrow" w:cstheme="majorBidi"/>
                <w:bCs/>
                <w:sz w:val="20"/>
                <w:vertAlign w:val="superscript"/>
              </w:rPr>
              <w:t>1</w:t>
            </w:r>
          </w:p>
        </w:tc>
        <w:tc>
          <w:tcPr>
            <w:tcW w:w="585" w:type="pct"/>
            <w:vAlign w:val="center"/>
          </w:tcPr>
          <w:p w14:paraId="5F5EA755" w14:textId="77777777" w:rsidR="00367110" w:rsidRPr="009E2AA7" w:rsidRDefault="009E2AA7" w:rsidP="004E40DF">
            <w:pPr>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304F0A">
              <w:rPr>
                <w:rFonts w:ascii="Arial Narrow" w:eastAsiaTheme="majorEastAsia" w:hAnsi="Arial Narrow" w:cstheme="majorBidi"/>
                <w:bCs/>
                <w:sz w:val="20"/>
                <w:vertAlign w:val="superscript"/>
              </w:rPr>
              <w:t>1</w:t>
            </w:r>
          </w:p>
        </w:tc>
        <w:tc>
          <w:tcPr>
            <w:tcW w:w="585" w:type="pct"/>
            <w:vAlign w:val="center"/>
          </w:tcPr>
          <w:p w14:paraId="4D465BF2" w14:textId="77777777" w:rsidR="00367110" w:rsidRPr="009E2AA7" w:rsidRDefault="009E2AA7" w:rsidP="004E40DF">
            <w:pPr>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304F0A">
              <w:rPr>
                <w:rFonts w:ascii="Arial Narrow" w:eastAsiaTheme="majorEastAsia" w:hAnsi="Arial Narrow" w:cstheme="majorBidi"/>
                <w:bCs/>
                <w:sz w:val="20"/>
                <w:vertAlign w:val="superscript"/>
              </w:rPr>
              <w:t>1</w:t>
            </w:r>
          </w:p>
        </w:tc>
        <w:tc>
          <w:tcPr>
            <w:tcW w:w="585" w:type="pct"/>
            <w:vAlign w:val="center"/>
          </w:tcPr>
          <w:p w14:paraId="1F422B42" w14:textId="77777777" w:rsidR="00367110" w:rsidRPr="009E2AA7" w:rsidRDefault="009E2AA7" w:rsidP="004E40DF">
            <w:pPr>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304F0A">
              <w:rPr>
                <w:rFonts w:ascii="Arial Narrow" w:eastAsiaTheme="majorEastAsia" w:hAnsi="Arial Narrow" w:cstheme="majorBidi"/>
                <w:bCs/>
                <w:sz w:val="20"/>
                <w:vertAlign w:val="superscript"/>
              </w:rPr>
              <w:t>1</w:t>
            </w:r>
          </w:p>
        </w:tc>
        <w:tc>
          <w:tcPr>
            <w:tcW w:w="585" w:type="pct"/>
            <w:vAlign w:val="center"/>
          </w:tcPr>
          <w:p w14:paraId="48823C5F" w14:textId="77777777" w:rsidR="00367110" w:rsidRPr="009E2AA7" w:rsidRDefault="009E2AA7" w:rsidP="004E40DF">
            <w:pPr>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304F0A">
              <w:rPr>
                <w:rFonts w:ascii="Arial Narrow" w:eastAsiaTheme="majorEastAsia" w:hAnsi="Arial Narrow" w:cstheme="majorBidi"/>
                <w:bCs/>
                <w:sz w:val="20"/>
                <w:vertAlign w:val="superscript"/>
              </w:rPr>
              <w:t>1</w:t>
            </w:r>
          </w:p>
        </w:tc>
      </w:tr>
      <w:tr w:rsidR="00367110" w:rsidRPr="00540422" w14:paraId="78D7E505" w14:textId="77777777" w:rsidTr="00395CD4">
        <w:tc>
          <w:tcPr>
            <w:tcW w:w="1491" w:type="pct"/>
            <w:vAlign w:val="center"/>
          </w:tcPr>
          <w:p w14:paraId="528B9F50" w14:textId="77777777" w:rsidR="00367110" w:rsidRPr="00540422" w:rsidRDefault="00367110" w:rsidP="004E40DF">
            <w:pPr>
              <w:keepLines/>
              <w:jc w:val="left"/>
              <w:rPr>
                <w:rFonts w:ascii="Arial Narrow" w:eastAsiaTheme="majorEastAsia" w:hAnsi="Arial Narrow" w:cstheme="majorBidi"/>
                <w:bCs/>
                <w:sz w:val="20"/>
              </w:rPr>
            </w:pPr>
            <w:r w:rsidRPr="00540422">
              <w:rPr>
                <w:rFonts w:ascii="Arial Narrow" w:eastAsiaTheme="majorEastAsia" w:hAnsi="Arial Narrow" w:cstheme="majorBidi"/>
                <w:bCs/>
                <w:sz w:val="20"/>
              </w:rPr>
              <w:t>- Uptake from methadone (</w:t>
            </w:r>
            <w:r w:rsidR="009E2AA7">
              <w:rPr>
                <w:rFonts w:ascii="Arial Narrow" w:eastAsiaTheme="majorEastAsia" w:hAnsi="Arial Narrow" w:cstheme="majorBidi"/>
                <w:bCs/>
                <w:noProof/>
                <w:color w:val="000000"/>
                <w:sz w:val="20"/>
                <w:highlight w:val="black"/>
              </w:rPr>
              <w:t>'''''</w:t>
            </w:r>
            <w:r w:rsidRPr="00540422">
              <w:rPr>
                <w:rFonts w:ascii="Arial Narrow" w:eastAsiaTheme="majorEastAsia" w:hAnsi="Arial Narrow" w:cstheme="majorBidi"/>
                <w:bCs/>
                <w:sz w:val="20"/>
              </w:rPr>
              <w:t>%)</w:t>
            </w:r>
          </w:p>
        </w:tc>
        <w:tc>
          <w:tcPr>
            <w:tcW w:w="584" w:type="pct"/>
            <w:vAlign w:val="bottom"/>
          </w:tcPr>
          <w:p w14:paraId="516BABE2" w14:textId="77777777" w:rsidR="00367110" w:rsidRPr="009E2AA7" w:rsidRDefault="009E2AA7" w:rsidP="004E40DF">
            <w:pPr>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304F0A">
              <w:rPr>
                <w:rFonts w:ascii="Arial Narrow" w:eastAsiaTheme="majorEastAsia" w:hAnsi="Arial Narrow" w:cstheme="majorBidi"/>
                <w:bCs/>
                <w:sz w:val="20"/>
                <w:vertAlign w:val="superscript"/>
              </w:rPr>
              <w:t>2</w:t>
            </w:r>
          </w:p>
        </w:tc>
        <w:tc>
          <w:tcPr>
            <w:tcW w:w="585" w:type="pct"/>
            <w:vAlign w:val="bottom"/>
          </w:tcPr>
          <w:p w14:paraId="2AADE58E" w14:textId="77777777" w:rsidR="00367110" w:rsidRPr="009E2AA7" w:rsidRDefault="009E2AA7" w:rsidP="004E40DF">
            <w:pPr>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304F0A">
              <w:rPr>
                <w:rFonts w:ascii="Arial Narrow" w:eastAsiaTheme="majorEastAsia" w:hAnsi="Arial Narrow" w:cstheme="majorBidi"/>
                <w:bCs/>
                <w:sz w:val="20"/>
                <w:vertAlign w:val="superscript"/>
              </w:rPr>
              <w:t>2</w:t>
            </w:r>
          </w:p>
        </w:tc>
        <w:tc>
          <w:tcPr>
            <w:tcW w:w="585" w:type="pct"/>
            <w:vAlign w:val="bottom"/>
          </w:tcPr>
          <w:p w14:paraId="6C4C3400" w14:textId="77777777" w:rsidR="00367110" w:rsidRPr="009E2AA7" w:rsidRDefault="009E2AA7" w:rsidP="004E40DF">
            <w:pPr>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304F0A">
              <w:rPr>
                <w:rFonts w:ascii="Arial Narrow" w:eastAsiaTheme="majorEastAsia" w:hAnsi="Arial Narrow" w:cstheme="majorBidi"/>
                <w:bCs/>
                <w:sz w:val="20"/>
                <w:vertAlign w:val="superscript"/>
              </w:rPr>
              <w:t>2</w:t>
            </w:r>
          </w:p>
        </w:tc>
        <w:tc>
          <w:tcPr>
            <w:tcW w:w="585" w:type="pct"/>
            <w:vAlign w:val="bottom"/>
          </w:tcPr>
          <w:p w14:paraId="4273E5C7" w14:textId="77777777" w:rsidR="00367110" w:rsidRPr="009E2AA7" w:rsidRDefault="009E2AA7" w:rsidP="004E40DF">
            <w:pPr>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304F0A">
              <w:rPr>
                <w:rFonts w:ascii="Arial Narrow" w:eastAsiaTheme="majorEastAsia" w:hAnsi="Arial Narrow" w:cstheme="majorBidi"/>
                <w:bCs/>
                <w:sz w:val="20"/>
                <w:vertAlign w:val="superscript"/>
              </w:rPr>
              <w:t>2</w:t>
            </w:r>
          </w:p>
        </w:tc>
        <w:tc>
          <w:tcPr>
            <w:tcW w:w="585" w:type="pct"/>
            <w:vAlign w:val="bottom"/>
          </w:tcPr>
          <w:p w14:paraId="7342CDD8" w14:textId="77777777" w:rsidR="00367110" w:rsidRPr="009E2AA7" w:rsidRDefault="009E2AA7" w:rsidP="004E40DF">
            <w:pPr>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304F0A">
              <w:rPr>
                <w:rFonts w:ascii="Arial Narrow" w:eastAsiaTheme="majorEastAsia" w:hAnsi="Arial Narrow" w:cstheme="majorBidi"/>
                <w:bCs/>
                <w:sz w:val="20"/>
                <w:vertAlign w:val="superscript"/>
              </w:rPr>
              <w:t>2</w:t>
            </w:r>
          </w:p>
        </w:tc>
        <w:tc>
          <w:tcPr>
            <w:tcW w:w="585" w:type="pct"/>
            <w:vAlign w:val="bottom"/>
          </w:tcPr>
          <w:p w14:paraId="64DFCD67" w14:textId="77777777" w:rsidR="00367110" w:rsidRPr="009E2AA7" w:rsidRDefault="009E2AA7" w:rsidP="004E40DF">
            <w:pPr>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304F0A">
              <w:rPr>
                <w:rFonts w:ascii="Arial Narrow" w:eastAsiaTheme="majorEastAsia" w:hAnsi="Arial Narrow" w:cstheme="majorBidi"/>
                <w:bCs/>
                <w:sz w:val="20"/>
                <w:vertAlign w:val="superscript"/>
              </w:rPr>
              <w:t>2</w:t>
            </w:r>
          </w:p>
        </w:tc>
      </w:tr>
      <w:tr w:rsidR="00367110" w:rsidRPr="00540422" w14:paraId="226BF2B7" w14:textId="77777777" w:rsidTr="00395CD4">
        <w:tc>
          <w:tcPr>
            <w:tcW w:w="1491" w:type="pct"/>
            <w:vAlign w:val="bottom"/>
          </w:tcPr>
          <w:p w14:paraId="0D79F3A5" w14:textId="77777777" w:rsidR="00367110" w:rsidRPr="00540422" w:rsidRDefault="00367110" w:rsidP="004E40DF">
            <w:pPr>
              <w:keepLines/>
              <w:jc w:val="left"/>
              <w:rPr>
                <w:rFonts w:ascii="Arial Narrow" w:eastAsiaTheme="majorEastAsia" w:hAnsi="Arial Narrow" w:cstheme="majorBidi"/>
                <w:bCs/>
                <w:sz w:val="20"/>
              </w:rPr>
            </w:pPr>
            <w:r w:rsidRPr="00540422">
              <w:rPr>
                <w:rFonts w:ascii="Arial Narrow" w:eastAsiaTheme="majorEastAsia" w:hAnsi="Arial Narrow" w:cstheme="majorBidi"/>
                <w:bCs/>
                <w:sz w:val="20"/>
              </w:rPr>
              <w:t>- Uptake from SL BPN</w:t>
            </w:r>
            <w:r w:rsidRPr="00540422">
              <w:rPr>
                <w:rFonts w:ascii="Arial Narrow" w:eastAsiaTheme="majorEastAsia" w:hAnsi="Arial Narrow" w:cstheme="majorBidi"/>
                <w:bCs/>
                <w:sz w:val="20"/>
                <w:vertAlign w:val="superscript"/>
              </w:rPr>
              <w:t>a</w:t>
            </w:r>
            <w:r w:rsidRPr="00540422">
              <w:rPr>
                <w:rFonts w:ascii="Arial Narrow" w:eastAsiaTheme="majorEastAsia" w:hAnsi="Arial Narrow" w:cstheme="majorBidi"/>
                <w:bCs/>
                <w:sz w:val="20"/>
              </w:rPr>
              <w:t xml:space="preserve"> (</w:t>
            </w:r>
            <w:r w:rsidR="009E2AA7">
              <w:rPr>
                <w:rFonts w:ascii="Arial Narrow" w:eastAsiaTheme="majorEastAsia" w:hAnsi="Arial Narrow" w:cstheme="majorBidi"/>
                <w:bCs/>
                <w:noProof/>
                <w:color w:val="000000"/>
                <w:sz w:val="20"/>
                <w:highlight w:val="black"/>
              </w:rPr>
              <w:t>''''''''''''''''</w:t>
            </w:r>
            <w:r w:rsidRPr="00540422">
              <w:rPr>
                <w:rFonts w:ascii="Arial Narrow" w:eastAsiaTheme="majorEastAsia" w:hAnsi="Arial Narrow" w:cstheme="majorBidi"/>
                <w:bCs/>
                <w:sz w:val="20"/>
              </w:rPr>
              <w:t>%)</w:t>
            </w:r>
          </w:p>
        </w:tc>
        <w:tc>
          <w:tcPr>
            <w:tcW w:w="584" w:type="pct"/>
            <w:vAlign w:val="bottom"/>
          </w:tcPr>
          <w:p w14:paraId="1A84BA1D" w14:textId="77777777" w:rsidR="00367110" w:rsidRPr="009E2AA7" w:rsidRDefault="009E2AA7" w:rsidP="004E40DF">
            <w:pPr>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304F0A">
              <w:rPr>
                <w:rFonts w:ascii="Arial Narrow" w:eastAsiaTheme="majorEastAsia" w:hAnsi="Arial Narrow" w:cstheme="majorBidi"/>
                <w:bCs/>
                <w:sz w:val="20"/>
                <w:vertAlign w:val="superscript"/>
              </w:rPr>
              <w:t>2</w:t>
            </w:r>
          </w:p>
        </w:tc>
        <w:tc>
          <w:tcPr>
            <w:tcW w:w="585" w:type="pct"/>
            <w:vAlign w:val="bottom"/>
          </w:tcPr>
          <w:p w14:paraId="70E4B4B6" w14:textId="77777777" w:rsidR="00367110" w:rsidRPr="009E2AA7" w:rsidRDefault="009E2AA7" w:rsidP="004E40DF">
            <w:pPr>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304F0A">
              <w:rPr>
                <w:rFonts w:ascii="Arial Narrow" w:eastAsiaTheme="majorEastAsia" w:hAnsi="Arial Narrow" w:cstheme="majorBidi"/>
                <w:bCs/>
                <w:sz w:val="20"/>
                <w:vertAlign w:val="superscript"/>
              </w:rPr>
              <w:t>2</w:t>
            </w:r>
          </w:p>
        </w:tc>
        <w:tc>
          <w:tcPr>
            <w:tcW w:w="585" w:type="pct"/>
            <w:vAlign w:val="bottom"/>
          </w:tcPr>
          <w:p w14:paraId="10F5A394" w14:textId="77777777" w:rsidR="00367110" w:rsidRPr="009E2AA7" w:rsidRDefault="009E2AA7" w:rsidP="004E40DF">
            <w:pPr>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304F0A">
              <w:rPr>
                <w:rFonts w:ascii="Arial Narrow" w:eastAsiaTheme="majorEastAsia" w:hAnsi="Arial Narrow" w:cstheme="majorBidi"/>
                <w:bCs/>
                <w:sz w:val="20"/>
                <w:vertAlign w:val="superscript"/>
              </w:rPr>
              <w:t>2</w:t>
            </w:r>
          </w:p>
        </w:tc>
        <w:tc>
          <w:tcPr>
            <w:tcW w:w="585" w:type="pct"/>
            <w:vAlign w:val="bottom"/>
          </w:tcPr>
          <w:p w14:paraId="3A91292D" w14:textId="77777777" w:rsidR="00367110" w:rsidRPr="009E2AA7" w:rsidRDefault="009E2AA7" w:rsidP="004E40DF">
            <w:pPr>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304F0A">
              <w:rPr>
                <w:rFonts w:ascii="Arial Narrow" w:eastAsiaTheme="majorEastAsia" w:hAnsi="Arial Narrow" w:cstheme="majorBidi"/>
                <w:bCs/>
                <w:sz w:val="20"/>
                <w:vertAlign w:val="superscript"/>
              </w:rPr>
              <w:t>2</w:t>
            </w:r>
          </w:p>
        </w:tc>
        <w:tc>
          <w:tcPr>
            <w:tcW w:w="585" w:type="pct"/>
            <w:vAlign w:val="bottom"/>
          </w:tcPr>
          <w:p w14:paraId="6DE576F7" w14:textId="77777777" w:rsidR="00367110" w:rsidRPr="009E2AA7" w:rsidRDefault="009E2AA7" w:rsidP="004E40DF">
            <w:pPr>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304F0A">
              <w:rPr>
                <w:rFonts w:ascii="Arial Narrow" w:eastAsiaTheme="majorEastAsia" w:hAnsi="Arial Narrow" w:cstheme="majorBidi"/>
                <w:bCs/>
                <w:sz w:val="20"/>
                <w:vertAlign w:val="superscript"/>
              </w:rPr>
              <w:t>2</w:t>
            </w:r>
          </w:p>
        </w:tc>
        <w:tc>
          <w:tcPr>
            <w:tcW w:w="585" w:type="pct"/>
            <w:vAlign w:val="bottom"/>
          </w:tcPr>
          <w:p w14:paraId="1711D6D9" w14:textId="77777777" w:rsidR="00367110" w:rsidRPr="009E2AA7" w:rsidRDefault="009E2AA7" w:rsidP="004E40DF">
            <w:pPr>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304F0A">
              <w:rPr>
                <w:rFonts w:ascii="Arial Narrow" w:eastAsiaTheme="majorEastAsia" w:hAnsi="Arial Narrow" w:cstheme="majorBidi"/>
                <w:bCs/>
                <w:sz w:val="20"/>
                <w:vertAlign w:val="superscript"/>
              </w:rPr>
              <w:t>2</w:t>
            </w:r>
          </w:p>
        </w:tc>
      </w:tr>
      <w:tr w:rsidR="00367110" w:rsidRPr="00540422" w14:paraId="4C2401CD" w14:textId="77777777" w:rsidTr="00395CD4">
        <w:tc>
          <w:tcPr>
            <w:tcW w:w="1491" w:type="pct"/>
            <w:vAlign w:val="bottom"/>
          </w:tcPr>
          <w:p w14:paraId="224B0C95" w14:textId="77777777" w:rsidR="00367110" w:rsidRPr="00540422" w:rsidRDefault="00367110" w:rsidP="004E40DF">
            <w:pPr>
              <w:keepLines/>
              <w:jc w:val="left"/>
              <w:rPr>
                <w:rFonts w:ascii="Arial Narrow" w:eastAsiaTheme="majorEastAsia" w:hAnsi="Arial Narrow" w:cstheme="majorBidi"/>
                <w:bCs/>
                <w:sz w:val="20"/>
              </w:rPr>
            </w:pPr>
            <w:r w:rsidRPr="00540422">
              <w:rPr>
                <w:rFonts w:ascii="Arial Narrow" w:eastAsiaTheme="majorEastAsia" w:hAnsi="Arial Narrow" w:cstheme="majorBidi"/>
                <w:bCs/>
                <w:sz w:val="20"/>
              </w:rPr>
              <w:t>- Uptake from SL BPN/NX</w:t>
            </w:r>
            <w:r w:rsidRPr="00540422">
              <w:rPr>
                <w:rFonts w:ascii="Arial Narrow" w:eastAsiaTheme="majorEastAsia" w:hAnsi="Arial Narrow" w:cstheme="majorBidi"/>
                <w:bCs/>
                <w:sz w:val="20"/>
                <w:vertAlign w:val="superscript"/>
              </w:rPr>
              <w:t>a</w:t>
            </w:r>
            <w:r w:rsidRPr="00540422">
              <w:rPr>
                <w:rFonts w:ascii="Arial Narrow" w:eastAsiaTheme="majorEastAsia" w:hAnsi="Arial Narrow" w:cstheme="majorBidi"/>
                <w:bCs/>
                <w:sz w:val="20"/>
              </w:rPr>
              <w:t xml:space="preserve"> </w:t>
            </w:r>
          </w:p>
          <w:p w14:paraId="342E6926" w14:textId="77777777" w:rsidR="00367110" w:rsidRPr="00540422" w:rsidDel="00946E1B" w:rsidRDefault="00367110" w:rsidP="004E40DF">
            <w:pPr>
              <w:keepLines/>
              <w:jc w:val="left"/>
              <w:rPr>
                <w:rFonts w:ascii="Arial Narrow" w:eastAsiaTheme="majorEastAsia" w:hAnsi="Arial Narrow" w:cstheme="majorBidi"/>
                <w:bCs/>
                <w:sz w:val="20"/>
              </w:rPr>
            </w:pPr>
            <w:r w:rsidRPr="00540422">
              <w:rPr>
                <w:rFonts w:ascii="Arial Narrow" w:eastAsiaTheme="majorEastAsia" w:hAnsi="Arial Narrow" w:cstheme="majorBidi"/>
                <w:bCs/>
                <w:sz w:val="20"/>
              </w:rPr>
              <w:t>(</w:t>
            </w:r>
            <w:r w:rsidR="009E2AA7">
              <w:rPr>
                <w:rFonts w:ascii="Arial Narrow" w:eastAsiaTheme="majorEastAsia" w:hAnsi="Arial Narrow" w:cstheme="majorBidi"/>
                <w:bCs/>
                <w:noProof/>
                <w:color w:val="000000"/>
                <w:sz w:val="20"/>
                <w:highlight w:val="black"/>
              </w:rPr>
              <w:t>''''''''''''''''''''</w:t>
            </w:r>
            <w:r w:rsidRPr="00540422">
              <w:rPr>
                <w:rFonts w:ascii="Arial Narrow" w:eastAsiaTheme="majorEastAsia" w:hAnsi="Arial Narrow" w:cstheme="majorBidi"/>
                <w:bCs/>
                <w:sz w:val="20"/>
              </w:rPr>
              <w:t>%)</w:t>
            </w:r>
          </w:p>
        </w:tc>
        <w:tc>
          <w:tcPr>
            <w:tcW w:w="584" w:type="pct"/>
            <w:vAlign w:val="center"/>
          </w:tcPr>
          <w:p w14:paraId="7384B968" w14:textId="77777777" w:rsidR="00367110" w:rsidRPr="009E2AA7" w:rsidDel="00946E1B" w:rsidRDefault="009E2AA7" w:rsidP="004E40DF">
            <w:pPr>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304F0A">
              <w:rPr>
                <w:rFonts w:ascii="Arial Narrow" w:eastAsiaTheme="majorEastAsia" w:hAnsi="Arial Narrow" w:cstheme="majorBidi"/>
                <w:bCs/>
                <w:sz w:val="20"/>
                <w:vertAlign w:val="superscript"/>
              </w:rPr>
              <w:t>2</w:t>
            </w:r>
          </w:p>
        </w:tc>
        <w:tc>
          <w:tcPr>
            <w:tcW w:w="585" w:type="pct"/>
            <w:vAlign w:val="center"/>
          </w:tcPr>
          <w:p w14:paraId="45C9CC7B" w14:textId="77777777" w:rsidR="00367110" w:rsidRPr="009E2AA7" w:rsidDel="00946E1B" w:rsidRDefault="009E2AA7" w:rsidP="004E40DF">
            <w:pPr>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304F0A">
              <w:rPr>
                <w:rFonts w:ascii="Arial Narrow" w:eastAsiaTheme="majorEastAsia" w:hAnsi="Arial Narrow" w:cstheme="majorBidi"/>
                <w:bCs/>
                <w:sz w:val="20"/>
                <w:vertAlign w:val="superscript"/>
              </w:rPr>
              <w:t>2</w:t>
            </w:r>
          </w:p>
        </w:tc>
        <w:tc>
          <w:tcPr>
            <w:tcW w:w="585" w:type="pct"/>
            <w:vAlign w:val="center"/>
          </w:tcPr>
          <w:p w14:paraId="69B674B4" w14:textId="77777777" w:rsidR="00367110" w:rsidRPr="009E2AA7" w:rsidDel="00946E1B" w:rsidRDefault="009E2AA7" w:rsidP="004E40DF">
            <w:pPr>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304F0A">
              <w:rPr>
                <w:rFonts w:ascii="Arial Narrow" w:eastAsiaTheme="majorEastAsia" w:hAnsi="Arial Narrow" w:cstheme="majorBidi"/>
                <w:bCs/>
                <w:sz w:val="20"/>
                <w:vertAlign w:val="superscript"/>
              </w:rPr>
              <w:t>2</w:t>
            </w:r>
          </w:p>
        </w:tc>
        <w:tc>
          <w:tcPr>
            <w:tcW w:w="585" w:type="pct"/>
            <w:vAlign w:val="center"/>
          </w:tcPr>
          <w:p w14:paraId="17A81E6C" w14:textId="77777777" w:rsidR="00367110" w:rsidRPr="009E2AA7" w:rsidDel="00946E1B" w:rsidRDefault="009E2AA7" w:rsidP="004E40DF">
            <w:pPr>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304F0A">
              <w:rPr>
                <w:rFonts w:ascii="Arial Narrow" w:eastAsiaTheme="majorEastAsia" w:hAnsi="Arial Narrow" w:cstheme="majorBidi"/>
                <w:bCs/>
                <w:sz w:val="20"/>
                <w:vertAlign w:val="superscript"/>
              </w:rPr>
              <w:t>2</w:t>
            </w:r>
          </w:p>
        </w:tc>
        <w:tc>
          <w:tcPr>
            <w:tcW w:w="585" w:type="pct"/>
            <w:vAlign w:val="center"/>
          </w:tcPr>
          <w:p w14:paraId="27A3C078" w14:textId="77777777" w:rsidR="00367110" w:rsidRPr="009E2AA7" w:rsidDel="00946E1B" w:rsidRDefault="009E2AA7" w:rsidP="004E40DF">
            <w:pPr>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304F0A">
              <w:rPr>
                <w:rFonts w:ascii="Arial Narrow" w:eastAsiaTheme="majorEastAsia" w:hAnsi="Arial Narrow" w:cstheme="majorBidi"/>
                <w:bCs/>
                <w:sz w:val="20"/>
                <w:vertAlign w:val="superscript"/>
              </w:rPr>
              <w:t>2</w:t>
            </w:r>
          </w:p>
        </w:tc>
        <w:tc>
          <w:tcPr>
            <w:tcW w:w="585" w:type="pct"/>
            <w:vAlign w:val="center"/>
          </w:tcPr>
          <w:p w14:paraId="501B8E04" w14:textId="77777777" w:rsidR="00367110" w:rsidRPr="009E2AA7" w:rsidDel="00946E1B" w:rsidRDefault="009E2AA7" w:rsidP="004E40DF">
            <w:pPr>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304F0A">
              <w:rPr>
                <w:rFonts w:ascii="Arial Narrow" w:eastAsiaTheme="majorEastAsia" w:hAnsi="Arial Narrow" w:cstheme="majorBidi"/>
                <w:bCs/>
                <w:sz w:val="20"/>
                <w:vertAlign w:val="superscript"/>
              </w:rPr>
              <w:t>2</w:t>
            </w:r>
          </w:p>
        </w:tc>
      </w:tr>
      <w:tr w:rsidR="00367110" w:rsidRPr="00540422" w14:paraId="50D886C1" w14:textId="77777777" w:rsidTr="00395CD4">
        <w:tc>
          <w:tcPr>
            <w:tcW w:w="1491" w:type="pct"/>
            <w:vAlign w:val="bottom"/>
          </w:tcPr>
          <w:p w14:paraId="1C65E0DA" w14:textId="77777777" w:rsidR="00367110" w:rsidRPr="00540422" w:rsidRDefault="00367110" w:rsidP="004E40DF">
            <w:pPr>
              <w:keepLines/>
              <w:jc w:val="left"/>
              <w:rPr>
                <w:rFonts w:ascii="Arial Narrow" w:eastAsiaTheme="majorEastAsia" w:hAnsi="Arial Narrow" w:cstheme="majorBidi"/>
                <w:bCs/>
                <w:sz w:val="20"/>
              </w:rPr>
            </w:pPr>
            <w:r w:rsidRPr="00540422">
              <w:rPr>
                <w:rFonts w:ascii="Arial Narrow" w:eastAsiaTheme="majorEastAsia" w:hAnsi="Arial Narrow" w:cstheme="majorBidi"/>
                <w:bCs/>
                <w:sz w:val="20"/>
              </w:rPr>
              <w:t>Uptake from not treated</w:t>
            </w:r>
            <w:r w:rsidRPr="00540422">
              <w:rPr>
                <w:rFonts w:ascii="Arial Narrow" w:eastAsiaTheme="majorEastAsia" w:hAnsi="Arial Narrow" w:cstheme="majorBidi"/>
                <w:bCs/>
                <w:sz w:val="20"/>
                <w:vertAlign w:val="superscript"/>
              </w:rPr>
              <w:t>b</w:t>
            </w:r>
            <w:r w:rsidRPr="00540422">
              <w:rPr>
                <w:rFonts w:ascii="Arial Narrow" w:eastAsiaTheme="majorEastAsia" w:hAnsi="Arial Narrow" w:cstheme="majorBidi"/>
                <w:bCs/>
                <w:sz w:val="20"/>
              </w:rPr>
              <w:t xml:space="preserve"> </w:t>
            </w:r>
          </w:p>
          <w:p w14:paraId="0B6FDAB3" w14:textId="77777777" w:rsidR="00367110" w:rsidRPr="00540422" w:rsidRDefault="00367110" w:rsidP="004E40DF">
            <w:pPr>
              <w:keepLines/>
              <w:jc w:val="left"/>
              <w:rPr>
                <w:rFonts w:ascii="Arial Narrow" w:eastAsiaTheme="majorEastAsia" w:hAnsi="Arial Narrow" w:cstheme="majorBidi"/>
                <w:bCs/>
                <w:sz w:val="20"/>
              </w:rPr>
            </w:pPr>
            <w:r w:rsidRPr="00540422">
              <w:rPr>
                <w:rFonts w:ascii="Arial Narrow" w:eastAsiaTheme="majorEastAsia" w:hAnsi="Arial Narrow" w:cstheme="majorBidi"/>
                <w:bCs/>
                <w:sz w:val="20"/>
              </w:rPr>
              <w:t xml:space="preserve">(additional </w:t>
            </w:r>
            <w:r w:rsidR="009E2AA7">
              <w:rPr>
                <w:rFonts w:ascii="Arial Narrow" w:eastAsiaTheme="majorEastAsia" w:hAnsi="Arial Narrow" w:cstheme="majorBidi"/>
                <w:bCs/>
                <w:noProof/>
                <w:color w:val="000000"/>
                <w:sz w:val="20"/>
                <w:highlight w:val="black"/>
              </w:rPr>
              <w:t>'''''''</w:t>
            </w:r>
            <w:r w:rsidRPr="00540422">
              <w:rPr>
                <w:rFonts w:ascii="Arial Narrow" w:eastAsiaTheme="majorEastAsia" w:hAnsi="Arial Narrow" w:cstheme="majorBidi"/>
                <w:bCs/>
                <w:sz w:val="20"/>
              </w:rPr>
              <w:t>% of total PR BPN)</w:t>
            </w:r>
          </w:p>
        </w:tc>
        <w:tc>
          <w:tcPr>
            <w:tcW w:w="584" w:type="pct"/>
            <w:vAlign w:val="center"/>
          </w:tcPr>
          <w:p w14:paraId="5D25ADC9" w14:textId="77777777" w:rsidR="00367110" w:rsidRPr="009E2AA7" w:rsidRDefault="009E2AA7" w:rsidP="004E40DF">
            <w:pPr>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304F0A">
              <w:rPr>
                <w:rFonts w:ascii="Arial Narrow" w:eastAsiaTheme="majorEastAsia" w:hAnsi="Arial Narrow" w:cstheme="majorBidi"/>
                <w:bCs/>
                <w:sz w:val="20"/>
                <w:vertAlign w:val="superscript"/>
              </w:rPr>
              <w:t>2</w:t>
            </w:r>
          </w:p>
        </w:tc>
        <w:tc>
          <w:tcPr>
            <w:tcW w:w="585" w:type="pct"/>
            <w:vAlign w:val="center"/>
          </w:tcPr>
          <w:p w14:paraId="0988F108" w14:textId="77777777" w:rsidR="00367110" w:rsidRPr="009E2AA7" w:rsidRDefault="009E2AA7" w:rsidP="004E40DF">
            <w:pPr>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304F0A">
              <w:rPr>
                <w:rFonts w:ascii="Arial Narrow" w:eastAsiaTheme="majorEastAsia" w:hAnsi="Arial Narrow" w:cstheme="majorBidi"/>
                <w:bCs/>
                <w:sz w:val="20"/>
                <w:vertAlign w:val="superscript"/>
              </w:rPr>
              <w:t>2</w:t>
            </w:r>
          </w:p>
        </w:tc>
        <w:tc>
          <w:tcPr>
            <w:tcW w:w="585" w:type="pct"/>
            <w:vAlign w:val="center"/>
          </w:tcPr>
          <w:p w14:paraId="659380CB" w14:textId="77777777" w:rsidR="00367110" w:rsidRPr="009E2AA7" w:rsidRDefault="009E2AA7" w:rsidP="004E40DF">
            <w:pPr>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304F0A">
              <w:rPr>
                <w:rFonts w:ascii="Arial Narrow" w:eastAsiaTheme="majorEastAsia" w:hAnsi="Arial Narrow" w:cstheme="majorBidi"/>
                <w:bCs/>
                <w:sz w:val="20"/>
                <w:vertAlign w:val="superscript"/>
              </w:rPr>
              <w:t>2</w:t>
            </w:r>
          </w:p>
        </w:tc>
        <w:tc>
          <w:tcPr>
            <w:tcW w:w="585" w:type="pct"/>
            <w:vAlign w:val="center"/>
          </w:tcPr>
          <w:p w14:paraId="66C0D11F" w14:textId="77777777" w:rsidR="00367110" w:rsidRPr="009E2AA7" w:rsidRDefault="009E2AA7" w:rsidP="004E40DF">
            <w:pPr>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304F0A">
              <w:rPr>
                <w:rFonts w:ascii="Arial Narrow" w:eastAsiaTheme="majorEastAsia" w:hAnsi="Arial Narrow" w:cstheme="majorBidi"/>
                <w:bCs/>
                <w:sz w:val="20"/>
                <w:vertAlign w:val="superscript"/>
              </w:rPr>
              <w:t>2</w:t>
            </w:r>
          </w:p>
        </w:tc>
        <w:tc>
          <w:tcPr>
            <w:tcW w:w="585" w:type="pct"/>
            <w:vAlign w:val="center"/>
          </w:tcPr>
          <w:p w14:paraId="0E238940" w14:textId="77777777" w:rsidR="00367110" w:rsidRPr="009E2AA7" w:rsidRDefault="009E2AA7" w:rsidP="004E40DF">
            <w:pPr>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304F0A">
              <w:rPr>
                <w:rFonts w:ascii="Arial Narrow" w:eastAsiaTheme="majorEastAsia" w:hAnsi="Arial Narrow" w:cstheme="majorBidi"/>
                <w:bCs/>
                <w:sz w:val="20"/>
                <w:vertAlign w:val="superscript"/>
              </w:rPr>
              <w:t>2</w:t>
            </w:r>
          </w:p>
        </w:tc>
        <w:tc>
          <w:tcPr>
            <w:tcW w:w="585" w:type="pct"/>
            <w:vAlign w:val="center"/>
          </w:tcPr>
          <w:p w14:paraId="045520D0" w14:textId="77777777" w:rsidR="00367110" w:rsidRPr="009E2AA7" w:rsidRDefault="009E2AA7" w:rsidP="004E40DF">
            <w:pPr>
              <w:keepLines/>
              <w:jc w:val="center"/>
              <w:rPr>
                <w:rFonts w:ascii="Arial Narrow" w:eastAsiaTheme="majorEastAsia" w:hAnsi="Arial Narrow" w:cstheme="majorBidi"/>
                <w:bCs/>
                <w:sz w:val="20"/>
              </w:rPr>
            </w:pPr>
            <w:r>
              <w:rPr>
                <w:rFonts w:ascii="Arial Narrow" w:eastAsiaTheme="majorEastAsia" w:hAnsi="Arial Narrow" w:cstheme="majorBidi"/>
                <w:bCs/>
                <w:noProof/>
                <w:color w:val="000000"/>
                <w:sz w:val="20"/>
                <w:highlight w:val="black"/>
              </w:rPr>
              <w:t>''''''''''''</w:t>
            </w:r>
            <w:r w:rsidR="00304F0A">
              <w:rPr>
                <w:rFonts w:ascii="Arial Narrow" w:eastAsiaTheme="majorEastAsia" w:hAnsi="Arial Narrow" w:cstheme="majorBidi"/>
                <w:bCs/>
                <w:sz w:val="20"/>
                <w:vertAlign w:val="superscript"/>
              </w:rPr>
              <w:t>2</w:t>
            </w:r>
          </w:p>
        </w:tc>
      </w:tr>
      <w:tr w:rsidR="00367110" w:rsidRPr="00540422" w14:paraId="25DE6643" w14:textId="77777777" w:rsidTr="00395CD4">
        <w:tc>
          <w:tcPr>
            <w:tcW w:w="1491" w:type="pct"/>
            <w:shd w:val="clear" w:color="auto" w:fill="FFFFFF" w:themeFill="background1"/>
            <w:vAlign w:val="center"/>
          </w:tcPr>
          <w:p w14:paraId="1DB686FD" w14:textId="77777777" w:rsidR="00367110" w:rsidRPr="00540422" w:rsidRDefault="00367110" w:rsidP="004E40DF">
            <w:pPr>
              <w:keepLines/>
              <w:tabs>
                <w:tab w:val="right" w:pos="2361"/>
              </w:tabs>
              <w:jc w:val="left"/>
              <w:rPr>
                <w:rFonts w:ascii="Arial Narrow" w:eastAsiaTheme="majorEastAsia" w:hAnsi="Arial Narrow" w:cstheme="majorBidi"/>
                <w:bCs/>
                <w:sz w:val="20"/>
                <w:szCs w:val="20"/>
              </w:rPr>
            </w:pPr>
            <w:r w:rsidRPr="00540422">
              <w:rPr>
                <w:rFonts w:ascii="Arial Narrow" w:eastAsiaTheme="majorEastAsia" w:hAnsi="Arial Narrow" w:cstheme="majorBidi"/>
                <w:bCs/>
                <w:sz w:val="20"/>
                <w:szCs w:val="20"/>
              </w:rPr>
              <w:t>Patients treated with PR BPN</w:t>
            </w:r>
          </w:p>
        </w:tc>
        <w:tc>
          <w:tcPr>
            <w:tcW w:w="584" w:type="pct"/>
            <w:shd w:val="clear" w:color="auto" w:fill="FFFFFF" w:themeFill="background1"/>
            <w:vAlign w:val="center"/>
          </w:tcPr>
          <w:p w14:paraId="7E654876" w14:textId="77777777" w:rsidR="00367110" w:rsidRPr="009E2AA7" w:rsidRDefault="009E2AA7" w:rsidP="004E40DF">
            <w:pPr>
              <w:keepLines/>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304F0A">
              <w:rPr>
                <w:rFonts w:ascii="Arial Narrow" w:eastAsiaTheme="majorEastAsia" w:hAnsi="Arial Narrow" w:cstheme="majorBidi"/>
                <w:bCs/>
                <w:sz w:val="20"/>
                <w:vertAlign w:val="superscript"/>
              </w:rPr>
              <w:t>1</w:t>
            </w:r>
          </w:p>
        </w:tc>
        <w:tc>
          <w:tcPr>
            <w:tcW w:w="585" w:type="pct"/>
            <w:shd w:val="clear" w:color="auto" w:fill="FFFFFF" w:themeFill="background1"/>
            <w:vAlign w:val="center"/>
          </w:tcPr>
          <w:p w14:paraId="0E99CBAF" w14:textId="77777777" w:rsidR="00367110" w:rsidRPr="009E2AA7" w:rsidRDefault="009E2AA7" w:rsidP="004E40DF">
            <w:pPr>
              <w:keepLines/>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304F0A">
              <w:rPr>
                <w:rFonts w:ascii="Arial Narrow" w:eastAsiaTheme="majorEastAsia" w:hAnsi="Arial Narrow" w:cstheme="majorBidi"/>
                <w:bCs/>
                <w:sz w:val="20"/>
                <w:vertAlign w:val="superscript"/>
              </w:rPr>
              <w:t>1</w:t>
            </w:r>
          </w:p>
        </w:tc>
        <w:tc>
          <w:tcPr>
            <w:tcW w:w="585" w:type="pct"/>
            <w:shd w:val="clear" w:color="auto" w:fill="FFFFFF" w:themeFill="background1"/>
            <w:vAlign w:val="center"/>
          </w:tcPr>
          <w:p w14:paraId="3D27B2F2" w14:textId="77777777" w:rsidR="00367110" w:rsidRPr="009E2AA7" w:rsidRDefault="009E2AA7" w:rsidP="004E40DF">
            <w:pPr>
              <w:keepLines/>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304F0A">
              <w:rPr>
                <w:rFonts w:ascii="Arial Narrow" w:eastAsiaTheme="majorEastAsia" w:hAnsi="Arial Narrow" w:cstheme="majorBidi"/>
                <w:bCs/>
                <w:sz w:val="20"/>
                <w:vertAlign w:val="superscript"/>
              </w:rPr>
              <w:t>1</w:t>
            </w:r>
          </w:p>
        </w:tc>
        <w:tc>
          <w:tcPr>
            <w:tcW w:w="585" w:type="pct"/>
            <w:shd w:val="clear" w:color="auto" w:fill="FFFFFF" w:themeFill="background1"/>
            <w:vAlign w:val="center"/>
          </w:tcPr>
          <w:p w14:paraId="3708B47F" w14:textId="77777777" w:rsidR="00367110" w:rsidRPr="009E2AA7" w:rsidRDefault="009E2AA7" w:rsidP="004E40DF">
            <w:pPr>
              <w:keepLines/>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304F0A">
              <w:rPr>
                <w:rFonts w:ascii="Arial Narrow" w:eastAsiaTheme="majorEastAsia" w:hAnsi="Arial Narrow" w:cstheme="majorBidi"/>
                <w:bCs/>
                <w:sz w:val="20"/>
                <w:vertAlign w:val="superscript"/>
              </w:rPr>
              <w:t>1</w:t>
            </w:r>
          </w:p>
        </w:tc>
        <w:tc>
          <w:tcPr>
            <w:tcW w:w="585" w:type="pct"/>
            <w:shd w:val="clear" w:color="auto" w:fill="FFFFFF" w:themeFill="background1"/>
            <w:vAlign w:val="center"/>
          </w:tcPr>
          <w:p w14:paraId="64014A05" w14:textId="77777777" w:rsidR="00367110" w:rsidRPr="009E2AA7" w:rsidRDefault="009E2AA7" w:rsidP="004E40DF">
            <w:pPr>
              <w:keepLines/>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304F0A">
              <w:rPr>
                <w:rFonts w:ascii="Arial Narrow" w:eastAsiaTheme="majorEastAsia" w:hAnsi="Arial Narrow" w:cstheme="majorBidi"/>
                <w:bCs/>
                <w:sz w:val="20"/>
                <w:vertAlign w:val="superscript"/>
              </w:rPr>
              <w:t>1</w:t>
            </w:r>
          </w:p>
        </w:tc>
        <w:tc>
          <w:tcPr>
            <w:tcW w:w="585" w:type="pct"/>
            <w:shd w:val="clear" w:color="auto" w:fill="FFFFFF" w:themeFill="background1"/>
            <w:vAlign w:val="center"/>
          </w:tcPr>
          <w:p w14:paraId="20819283" w14:textId="77777777" w:rsidR="00367110" w:rsidRPr="009E2AA7" w:rsidRDefault="009E2AA7" w:rsidP="004E40DF">
            <w:pPr>
              <w:keepLines/>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304F0A">
              <w:rPr>
                <w:rFonts w:ascii="Arial Narrow" w:eastAsiaTheme="majorEastAsia" w:hAnsi="Arial Narrow" w:cstheme="majorBidi"/>
                <w:bCs/>
                <w:sz w:val="20"/>
                <w:vertAlign w:val="superscript"/>
              </w:rPr>
              <w:t>1</w:t>
            </w:r>
          </w:p>
        </w:tc>
      </w:tr>
      <w:tr w:rsidR="00367110" w:rsidRPr="00540422" w14:paraId="5AB373B9" w14:textId="77777777" w:rsidTr="00395CD4">
        <w:tc>
          <w:tcPr>
            <w:tcW w:w="5000" w:type="pct"/>
            <w:gridSpan w:val="7"/>
            <w:vAlign w:val="center"/>
          </w:tcPr>
          <w:p w14:paraId="6005D46E" w14:textId="77777777" w:rsidR="00367110" w:rsidRPr="00540422" w:rsidRDefault="00367110" w:rsidP="004E40DF">
            <w:pPr>
              <w:keepLines/>
              <w:tabs>
                <w:tab w:val="right" w:pos="2361"/>
              </w:tabs>
              <w:jc w:val="left"/>
              <w:rPr>
                <w:rFonts w:ascii="Arial Narrow" w:eastAsiaTheme="majorEastAsia" w:hAnsi="Arial Narrow" w:cstheme="majorBidi"/>
                <w:b/>
                <w:bCs/>
                <w:sz w:val="20"/>
                <w:szCs w:val="20"/>
              </w:rPr>
            </w:pPr>
            <w:r w:rsidRPr="00540422">
              <w:rPr>
                <w:rFonts w:ascii="Arial Narrow" w:eastAsiaTheme="majorEastAsia" w:hAnsi="Arial Narrow" w:cstheme="majorBidi"/>
                <w:b/>
                <w:bCs/>
                <w:sz w:val="20"/>
                <w:szCs w:val="20"/>
              </w:rPr>
              <w:t>Current Section 100 listing (AEMP), current price</w:t>
            </w:r>
          </w:p>
        </w:tc>
      </w:tr>
      <w:tr w:rsidR="00367110" w:rsidRPr="00540422" w14:paraId="16135C55" w14:textId="77777777" w:rsidTr="00395CD4">
        <w:tc>
          <w:tcPr>
            <w:tcW w:w="1491" w:type="pct"/>
            <w:shd w:val="clear" w:color="auto" w:fill="FFFFFF" w:themeFill="background1"/>
            <w:vAlign w:val="center"/>
          </w:tcPr>
          <w:p w14:paraId="316B7266" w14:textId="77777777" w:rsidR="00367110" w:rsidRPr="00540422" w:rsidRDefault="00367110" w:rsidP="004E40DF">
            <w:pPr>
              <w:keepLines/>
              <w:tabs>
                <w:tab w:val="right" w:pos="2361"/>
              </w:tabs>
              <w:jc w:val="left"/>
              <w:rPr>
                <w:rFonts w:ascii="Arial Narrow" w:eastAsiaTheme="majorEastAsia" w:hAnsi="Arial Narrow" w:cstheme="majorBidi"/>
                <w:bCs/>
                <w:sz w:val="20"/>
                <w:szCs w:val="20"/>
              </w:rPr>
            </w:pPr>
            <w:r w:rsidRPr="00540422">
              <w:rPr>
                <w:rFonts w:ascii="Arial Narrow" w:eastAsiaTheme="majorEastAsia" w:hAnsi="Arial Narrow" w:cstheme="majorBidi"/>
                <w:bCs/>
                <w:sz w:val="20"/>
                <w:szCs w:val="20"/>
              </w:rPr>
              <w:t xml:space="preserve">Current price, cost to PBS </w:t>
            </w:r>
          </w:p>
          <w:p w14:paraId="02108601" w14:textId="77777777" w:rsidR="00367110" w:rsidRPr="00540422" w:rsidRDefault="00B65FBB" w:rsidP="004E40DF">
            <w:pPr>
              <w:keepLines/>
              <w:tabs>
                <w:tab w:val="right" w:pos="2361"/>
              </w:tabs>
              <w:jc w:val="left"/>
              <w:rPr>
                <w:rFonts w:ascii="Arial Narrow" w:eastAsiaTheme="majorEastAsia" w:hAnsi="Arial Narrow" w:cstheme="majorBidi"/>
                <w:bCs/>
                <w:sz w:val="20"/>
                <w:szCs w:val="20"/>
              </w:rPr>
            </w:pPr>
            <w:r>
              <w:rPr>
                <w:rFonts w:ascii="Arial Narrow" w:eastAsiaTheme="majorEastAsia" w:hAnsi="Arial Narrow" w:cstheme="majorBidi"/>
                <w:bCs/>
                <w:sz w:val="20"/>
                <w:szCs w:val="20"/>
              </w:rPr>
              <w:t>(AEMP $13.20/day)</w:t>
            </w:r>
          </w:p>
        </w:tc>
        <w:tc>
          <w:tcPr>
            <w:tcW w:w="584" w:type="pct"/>
            <w:shd w:val="clear" w:color="auto" w:fill="FFFFFF" w:themeFill="background1"/>
            <w:vAlign w:val="center"/>
          </w:tcPr>
          <w:p w14:paraId="4EF18AC3" w14:textId="77777777" w:rsidR="00367110" w:rsidRPr="009E2AA7" w:rsidRDefault="009E2AA7" w:rsidP="004E40DF">
            <w:pPr>
              <w:keepLines/>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304F0A">
              <w:rPr>
                <w:rFonts w:ascii="Arial Narrow" w:eastAsiaTheme="majorEastAsia" w:hAnsi="Arial Narrow" w:cstheme="majorBidi"/>
                <w:bCs/>
                <w:sz w:val="20"/>
                <w:vertAlign w:val="superscript"/>
              </w:rPr>
              <w:t>3</w:t>
            </w:r>
          </w:p>
        </w:tc>
        <w:tc>
          <w:tcPr>
            <w:tcW w:w="585" w:type="pct"/>
            <w:shd w:val="clear" w:color="auto" w:fill="FFFFFF" w:themeFill="background1"/>
            <w:vAlign w:val="center"/>
          </w:tcPr>
          <w:p w14:paraId="23652FBD" w14:textId="77777777" w:rsidR="00367110" w:rsidRPr="009E2AA7" w:rsidRDefault="009E2AA7" w:rsidP="004E40DF">
            <w:pPr>
              <w:keepLines/>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304F0A">
              <w:rPr>
                <w:rFonts w:ascii="Arial Narrow" w:eastAsiaTheme="majorEastAsia" w:hAnsi="Arial Narrow" w:cstheme="majorBidi"/>
                <w:bCs/>
                <w:sz w:val="20"/>
                <w:vertAlign w:val="superscript"/>
              </w:rPr>
              <w:t>3</w:t>
            </w:r>
          </w:p>
        </w:tc>
        <w:tc>
          <w:tcPr>
            <w:tcW w:w="585" w:type="pct"/>
            <w:shd w:val="clear" w:color="auto" w:fill="FFFFFF" w:themeFill="background1"/>
            <w:vAlign w:val="center"/>
          </w:tcPr>
          <w:p w14:paraId="7BE5286B" w14:textId="77777777" w:rsidR="00367110" w:rsidRPr="009E2AA7" w:rsidRDefault="009E2AA7" w:rsidP="004E40DF">
            <w:pPr>
              <w:keepLines/>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304F0A">
              <w:rPr>
                <w:rFonts w:ascii="Arial Narrow" w:eastAsiaTheme="majorEastAsia" w:hAnsi="Arial Narrow" w:cstheme="majorBidi"/>
                <w:bCs/>
                <w:sz w:val="20"/>
                <w:vertAlign w:val="superscript"/>
              </w:rPr>
              <w:t>3</w:t>
            </w:r>
          </w:p>
        </w:tc>
        <w:tc>
          <w:tcPr>
            <w:tcW w:w="585" w:type="pct"/>
            <w:shd w:val="clear" w:color="auto" w:fill="FFFFFF" w:themeFill="background1"/>
            <w:vAlign w:val="center"/>
          </w:tcPr>
          <w:p w14:paraId="214C8B02" w14:textId="77777777" w:rsidR="00367110" w:rsidRPr="009E2AA7" w:rsidRDefault="009E2AA7" w:rsidP="004E40DF">
            <w:pPr>
              <w:keepLines/>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304F0A">
              <w:rPr>
                <w:rFonts w:ascii="Arial Narrow" w:eastAsiaTheme="majorEastAsia" w:hAnsi="Arial Narrow" w:cstheme="majorBidi"/>
                <w:bCs/>
                <w:sz w:val="20"/>
                <w:vertAlign w:val="superscript"/>
              </w:rPr>
              <w:t>3</w:t>
            </w:r>
          </w:p>
        </w:tc>
        <w:tc>
          <w:tcPr>
            <w:tcW w:w="585" w:type="pct"/>
            <w:shd w:val="clear" w:color="auto" w:fill="FFFFFF" w:themeFill="background1"/>
            <w:vAlign w:val="center"/>
          </w:tcPr>
          <w:p w14:paraId="107D8234" w14:textId="77777777" w:rsidR="00367110" w:rsidRPr="009E2AA7" w:rsidRDefault="009E2AA7" w:rsidP="004E40DF">
            <w:pPr>
              <w:keepLines/>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304F0A">
              <w:rPr>
                <w:rFonts w:ascii="Arial Narrow" w:eastAsiaTheme="majorEastAsia" w:hAnsi="Arial Narrow" w:cstheme="majorBidi"/>
                <w:bCs/>
                <w:sz w:val="20"/>
                <w:vertAlign w:val="superscript"/>
              </w:rPr>
              <w:t>3</w:t>
            </w:r>
          </w:p>
        </w:tc>
        <w:tc>
          <w:tcPr>
            <w:tcW w:w="585" w:type="pct"/>
            <w:shd w:val="clear" w:color="auto" w:fill="FFFFFF" w:themeFill="background1"/>
            <w:vAlign w:val="center"/>
          </w:tcPr>
          <w:p w14:paraId="39F8BA64" w14:textId="77777777" w:rsidR="00367110" w:rsidRPr="009E2AA7" w:rsidRDefault="009E2AA7" w:rsidP="004E40DF">
            <w:pPr>
              <w:keepLines/>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304F0A">
              <w:rPr>
                <w:rFonts w:ascii="Arial Narrow" w:eastAsiaTheme="majorEastAsia" w:hAnsi="Arial Narrow" w:cstheme="majorBidi"/>
                <w:bCs/>
                <w:sz w:val="20"/>
                <w:vertAlign w:val="superscript"/>
              </w:rPr>
              <w:t>3</w:t>
            </w:r>
          </w:p>
        </w:tc>
      </w:tr>
      <w:tr w:rsidR="00367110" w:rsidRPr="00540422" w14:paraId="7E98BAE8" w14:textId="77777777" w:rsidTr="00395CD4">
        <w:tc>
          <w:tcPr>
            <w:tcW w:w="5000" w:type="pct"/>
            <w:gridSpan w:val="7"/>
            <w:vAlign w:val="center"/>
          </w:tcPr>
          <w:p w14:paraId="7FC9DFB9" w14:textId="77777777" w:rsidR="00367110" w:rsidRPr="00540422" w:rsidRDefault="00367110" w:rsidP="00395CD4">
            <w:pPr>
              <w:keepNext/>
              <w:tabs>
                <w:tab w:val="right" w:pos="2361"/>
              </w:tabs>
              <w:jc w:val="left"/>
              <w:rPr>
                <w:rFonts w:ascii="Arial Narrow" w:eastAsiaTheme="majorEastAsia" w:hAnsi="Arial Narrow" w:cstheme="majorBidi"/>
                <w:b/>
                <w:bCs/>
                <w:sz w:val="20"/>
                <w:szCs w:val="20"/>
              </w:rPr>
            </w:pPr>
            <w:r w:rsidRPr="00540422">
              <w:rPr>
                <w:rFonts w:ascii="Arial Narrow" w:eastAsiaTheme="majorEastAsia" w:hAnsi="Arial Narrow" w:cstheme="majorBidi"/>
                <w:b/>
                <w:bCs/>
                <w:sz w:val="20"/>
                <w:szCs w:val="20"/>
              </w:rPr>
              <w:t>Scenario 1: Section 100 listing (AEMP), higher proposed price</w:t>
            </w:r>
          </w:p>
        </w:tc>
      </w:tr>
      <w:tr w:rsidR="00367110" w:rsidRPr="00540422" w14:paraId="5F2333E6" w14:textId="77777777" w:rsidTr="00395CD4">
        <w:tc>
          <w:tcPr>
            <w:tcW w:w="1491" w:type="pct"/>
            <w:shd w:val="clear" w:color="auto" w:fill="FFFFFF" w:themeFill="background1"/>
            <w:vAlign w:val="center"/>
          </w:tcPr>
          <w:p w14:paraId="44475C7A" w14:textId="77777777" w:rsidR="00367110" w:rsidRPr="00540422" w:rsidRDefault="00367110" w:rsidP="00395CD4">
            <w:pPr>
              <w:keepNext/>
              <w:tabs>
                <w:tab w:val="right" w:pos="2361"/>
              </w:tabs>
              <w:jc w:val="left"/>
              <w:rPr>
                <w:rFonts w:ascii="Arial Narrow" w:eastAsiaTheme="majorEastAsia" w:hAnsi="Arial Narrow" w:cstheme="majorBidi"/>
                <w:bCs/>
                <w:sz w:val="20"/>
                <w:szCs w:val="20"/>
              </w:rPr>
            </w:pPr>
            <w:r w:rsidRPr="00540422">
              <w:rPr>
                <w:rFonts w:ascii="Arial Narrow" w:eastAsiaTheme="majorEastAsia" w:hAnsi="Arial Narrow" w:cstheme="majorBidi"/>
                <w:bCs/>
                <w:sz w:val="20"/>
                <w:szCs w:val="20"/>
              </w:rPr>
              <w:t xml:space="preserve">Proposed price, cost to PBS </w:t>
            </w:r>
          </w:p>
          <w:p w14:paraId="00B39A74" w14:textId="77777777" w:rsidR="00367110" w:rsidRPr="00540422" w:rsidRDefault="00367110" w:rsidP="00395CD4">
            <w:pPr>
              <w:keepNext/>
              <w:tabs>
                <w:tab w:val="right" w:pos="2361"/>
              </w:tabs>
              <w:jc w:val="left"/>
              <w:rPr>
                <w:rFonts w:ascii="Arial Narrow" w:eastAsiaTheme="majorEastAsia" w:hAnsi="Arial Narrow" w:cstheme="majorBidi"/>
                <w:bCs/>
                <w:sz w:val="20"/>
                <w:szCs w:val="20"/>
              </w:rPr>
            </w:pPr>
            <w:r w:rsidRPr="00540422">
              <w:rPr>
                <w:rFonts w:ascii="Arial Narrow" w:eastAsiaTheme="majorEastAsia" w:hAnsi="Arial Narrow" w:cstheme="majorBidi"/>
                <w:bCs/>
                <w:sz w:val="20"/>
                <w:szCs w:val="20"/>
              </w:rPr>
              <w:t>(AEMP $</w:t>
            </w:r>
            <w:r w:rsidR="009E2AA7">
              <w:rPr>
                <w:rFonts w:ascii="Arial Narrow" w:eastAsiaTheme="majorEastAsia" w:hAnsi="Arial Narrow" w:cstheme="majorBidi"/>
                <w:bCs/>
                <w:noProof/>
                <w:color w:val="000000"/>
                <w:sz w:val="20"/>
                <w:szCs w:val="20"/>
                <w:highlight w:val="black"/>
              </w:rPr>
              <w:t>'''''''''''''</w:t>
            </w:r>
            <w:r w:rsidRPr="00540422">
              <w:rPr>
                <w:rFonts w:ascii="Arial Narrow" w:eastAsiaTheme="majorEastAsia" w:hAnsi="Arial Narrow" w:cstheme="majorBidi"/>
                <w:bCs/>
                <w:sz w:val="20"/>
                <w:szCs w:val="20"/>
              </w:rPr>
              <w:t>/day)</w:t>
            </w:r>
          </w:p>
        </w:tc>
        <w:tc>
          <w:tcPr>
            <w:tcW w:w="584" w:type="pct"/>
            <w:shd w:val="clear" w:color="auto" w:fill="FFFFFF" w:themeFill="background1"/>
            <w:vAlign w:val="center"/>
          </w:tcPr>
          <w:p w14:paraId="0538F75C"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304F0A">
              <w:rPr>
                <w:rFonts w:ascii="Arial Narrow" w:eastAsiaTheme="majorEastAsia" w:hAnsi="Arial Narrow" w:cstheme="majorBidi"/>
                <w:bCs/>
                <w:sz w:val="20"/>
                <w:vertAlign w:val="superscript"/>
              </w:rPr>
              <w:t>3</w:t>
            </w:r>
          </w:p>
        </w:tc>
        <w:tc>
          <w:tcPr>
            <w:tcW w:w="585" w:type="pct"/>
            <w:shd w:val="clear" w:color="auto" w:fill="FFFFFF" w:themeFill="background1"/>
            <w:vAlign w:val="center"/>
          </w:tcPr>
          <w:p w14:paraId="75764622"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304F0A">
              <w:rPr>
                <w:rFonts w:ascii="Arial Narrow" w:eastAsiaTheme="majorEastAsia" w:hAnsi="Arial Narrow" w:cstheme="majorBidi"/>
                <w:bCs/>
                <w:sz w:val="20"/>
                <w:vertAlign w:val="superscript"/>
              </w:rPr>
              <w:t>3</w:t>
            </w:r>
          </w:p>
        </w:tc>
        <w:tc>
          <w:tcPr>
            <w:tcW w:w="585" w:type="pct"/>
            <w:shd w:val="clear" w:color="auto" w:fill="FFFFFF" w:themeFill="background1"/>
            <w:vAlign w:val="center"/>
          </w:tcPr>
          <w:p w14:paraId="556D7727"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304F0A">
              <w:rPr>
                <w:rFonts w:ascii="Arial Narrow" w:eastAsiaTheme="majorEastAsia" w:hAnsi="Arial Narrow" w:cstheme="majorBidi"/>
                <w:bCs/>
                <w:sz w:val="20"/>
                <w:vertAlign w:val="superscript"/>
              </w:rPr>
              <w:t>3</w:t>
            </w:r>
          </w:p>
        </w:tc>
        <w:tc>
          <w:tcPr>
            <w:tcW w:w="585" w:type="pct"/>
            <w:shd w:val="clear" w:color="auto" w:fill="FFFFFF" w:themeFill="background1"/>
            <w:vAlign w:val="center"/>
          </w:tcPr>
          <w:p w14:paraId="6380E3DD"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304F0A">
              <w:rPr>
                <w:rFonts w:ascii="Arial Narrow" w:eastAsiaTheme="majorEastAsia" w:hAnsi="Arial Narrow" w:cstheme="majorBidi"/>
                <w:bCs/>
                <w:sz w:val="20"/>
                <w:vertAlign w:val="superscript"/>
              </w:rPr>
              <w:t>3</w:t>
            </w:r>
          </w:p>
        </w:tc>
        <w:tc>
          <w:tcPr>
            <w:tcW w:w="585" w:type="pct"/>
            <w:shd w:val="clear" w:color="auto" w:fill="FFFFFF" w:themeFill="background1"/>
            <w:vAlign w:val="center"/>
          </w:tcPr>
          <w:p w14:paraId="62B2872D"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304F0A">
              <w:rPr>
                <w:rFonts w:ascii="Arial Narrow" w:eastAsiaTheme="majorEastAsia" w:hAnsi="Arial Narrow" w:cstheme="majorBidi"/>
                <w:bCs/>
                <w:sz w:val="20"/>
                <w:vertAlign w:val="superscript"/>
              </w:rPr>
              <w:t>3</w:t>
            </w:r>
          </w:p>
        </w:tc>
        <w:tc>
          <w:tcPr>
            <w:tcW w:w="585" w:type="pct"/>
            <w:shd w:val="clear" w:color="auto" w:fill="FFFFFF" w:themeFill="background1"/>
            <w:vAlign w:val="center"/>
          </w:tcPr>
          <w:p w14:paraId="75F8A6C8"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304F0A">
              <w:rPr>
                <w:rFonts w:ascii="Arial Narrow" w:eastAsiaTheme="majorEastAsia" w:hAnsi="Arial Narrow" w:cstheme="majorBidi"/>
                <w:bCs/>
                <w:sz w:val="20"/>
                <w:vertAlign w:val="superscript"/>
              </w:rPr>
              <w:t>3</w:t>
            </w:r>
          </w:p>
        </w:tc>
      </w:tr>
      <w:tr w:rsidR="00367110" w:rsidRPr="00540422" w14:paraId="4FD033C7" w14:textId="77777777" w:rsidTr="00395CD4">
        <w:tc>
          <w:tcPr>
            <w:tcW w:w="1491" w:type="pct"/>
            <w:shd w:val="clear" w:color="auto" w:fill="FFFFFF" w:themeFill="background1"/>
            <w:vAlign w:val="center"/>
          </w:tcPr>
          <w:p w14:paraId="648AF876" w14:textId="77777777" w:rsidR="00367110" w:rsidRPr="00540422" w:rsidRDefault="00B65FBB" w:rsidP="00395CD4">
            <w:pPr>
              <w:keepNext/>
              <w:tabs>
                <w:tab w:val="right" w:pos="2361"/>
              </w:tabs>
              <w:jc w:val="left"/>
              <w:rPr>
                <w:rFonts w:ascii="Arial Narrow" w:eastAsiaTheme="majorEastAsia" w:hAnsi="Arial Narrow" w:cstheme="majorBidi"/>
                <w:sz w:val="20"/>
                <w:szCs w:val="20"/>
              </w:rPr>
            </w:pPr>
            <w:r>
              <w:rPr>
                <w:rFonts w:ascii="Arial Narrow" w:eastAsiaTheme="majorEastAsia" w:hAnsi="Arial Narrow" w:cstheme="majorBidi"/>
                <w:sz w:val="20"/>
                <w:szCs w:val="20"/>
              </w:rPr>
              <w:t>Net difference in cost to PBS</w:t>
            </w:r>
          </w:p>
        </w:tc>
        <w:tc>
          <w:tcPr>
            <w:tcW w:w="584" w:type="pct"/>
            <w:shd w:val="clear" w:color="auto" w:fill="FFFFFF" w:themeFill="background1"/>
            <w:vAlign w:val="center"/>
          </w:tcPr>
          <w:p w14:paraId="426AB503" w14:textId="77777777" w:rsidR="00367110" w:rsidRPr="009E2AA7" w:rsidRDefault="009E2AA7" w:rsidP="00395CD4">
            <w:pPr>
              <w:keepNext/>
              <w:jc w:val="center"/>
              <w:rPr>
                <w:rFonts w:ascii="Arial Narrow" w:eastAsiaTheme="majorEastAsia" w:hAnsi="Arial Narrow" w:cstheme="majorBidi"/>
                <w:b/>
                <w:sz w:val="20"/>
                <w:szCs w:val="20"/>
              </w:rPr>
            </w:pPr>
            <w:r>
              <w:rPr>
                <w:rFonts w:ascii="Arial Narrow" w:eastAsiaTheme="majorEastAsia" w:hAnsi="Arial Narrow" w:cstheme="majorBidi"/>
                <w:b/>
                <w:noProof/>
                <w:color w:val="000000"/>
                <w:sz w:val="20"/>
                <w:szCs w:val="20"/>
                <w:highlight w:val="black"/>
              </w:rPr>
              <w:t>'''''''''''''''''''''</w:t>
            </w:r>
            <w:r w:rsidR="00C8183E">
              <w:rPr>
                <w:rFonts w:ascii="Arial Narrow" w:eastAsiaTheme="majorEastAsia" w:hAnsi="Arial Narrow" w:cstheme="majorBidi"/>
                <w:bCs/>
                <w:sz w:val="20"/>
                <w:vertAlign w:val="superscript"/>
              </w:rPr>
              <w:t>4</w:t>
            </w:r>
          </w:p>
        </w:tc>
        <w:tc>
          <w:tcPr>
            <w:tcW w:w="585" w:type="pct"/>
            <w:shd w:val="clear" w:color="auto" w:fill="FFFFFF" w:themeFill="background1"/>
            <w:vAlign w:val="center"/>
          </w:tcPr>
          <w:p w14:paraId="12AF0E62" w14:textId="77777777" w:rsidR="00367110" w:rsidRPr="009E2AA7" w:rsidRDefault="009E2AA7" w:rsidP="00395CD4">
            <w:pPr>
              <w:keepNext/>
              <w:jc w:val="center"/>
              <w:rPr>
                <w:rFonts w:ascii="Arial Narrow" w:eastAsiaTheme="majorEastAsia" w:hAnsi="Arial Narrow" w:cstheme="majorBidi"/>
                <w:b/>
                <w:sz w:val="20"/>
                <w:szCs w:val="20"/>
              </w:rPr>
            </w:pPr>
            <w:r>
              <w:rPr>
                <w:rFonts w:ascii="Arial Narrow" w:eastAsiaTheme="majorEastAsia" w:hAnsi="Arial Narrow" w:cstheme="majorBidi"/>
                <w:b/>
                <w:noProof/>
                <w:color w:val="000000"/>
                <w:sz w:val="20"/>
                <w:szCs w:val="20"/>
                <w:highlight w:val="black"/>
              </w:rPr>
              <w:t>'''''''''''''''''''''</w:t>
            </w:r>
            <w:r w:rsidR="00C8183E">
              <w:rPr>
                <w:rFonts w:ascii="Arial Narrow" w:eastAsiaTheme="majorEastAsia" w:hAnsi="Arial Narrow" w:cstheme="majorBidi"/>
                <w:bCs/>
                <w:sz w:val="20"/>
                <w:vertAlign w:val="superscript"/>
              </w:rPr>
              <w:t>4</w:t>
            </w:r>
          </w:p>
        </w:tc>
        <w:tc>
          <w:tcPr>
            <w:tcW w:w="585" w:type="pct"/>
            <w:shd w:val="clear" w:color="auto" w:fill="FFFFFF" w:themeFill="background1"/>
            <w:vAlign w:val="center"/>
          </w:tcPr>
          <w:p w14:paraId="60C7745B" w14:textId="77777777" w:rsidR="00367110" w:rsidRPr="009E2AA7" w:rsidRDefault="009E2AA7" w:rsidP="00395CD4">
            <w:pPr>
              <w:keepNext/>
              <w:jc w:val="center"/>
              <w:rPr>
                <w:rFonts w:ascii="Arial Narrow" w:eastAsiaTheme="majorEastAsia" w:hAnsi="Arial Narrow" w:cstheme="majorBidi"/>
                <w:b/>
                <w:sz w:val="20"/>
                <w:szCs w:val="20"/>
              </w:rPr>
            </w:pPr>
            <w:r>
              <w:rPr>
                <w:rFonts w:ascii="Arial Narrow" w:eastAsiaTheme="majorEastAsia" w:hAnsi="Arial Narrow" w:cstheme="majorBidi"/>
                <w:b/>
                <w:noProof/>
                <w:color w:val="000000"/>
                <w:sz w:val="20"/>
                <w:szCs w:val="20"/>
                <w:highlight w:val="black"/>
              </w:rPr>
              <w:t>'''''''''''''''''''''</w:t>
            </w:r>
            <w:r w:rsidR="00C8183E">
              <w:rPr>
                <w:rFonts w:ascii="Arial Narrow" w:eastAsiaTheme="majorEastAsia" w:hAnsi="Arial Narrow" w:cstheme="majorBidi"/>
                <w:bCs/>
                <w:sz w:val="20"/>
                <w:vertAlign w:val="superscript"/>
              </w:rPr>
              <w:t>4</w:t>
            </w:r>
          </w:p>
        </w:tc>
        <w:tc>
          <w:tcPr>
            <w:tcW w:w="585" w:type="pct"/>
            <w:shd w:val="clear" w:color="auto" w:fill="FFFFFF" w:themeFill="background1"/>
            <w:vAlign w:val="center"/>
          </w:tcPr>
          <w:p w14:paraId="5EC7AE15" w14:textId="77777777" w:rsidR="00367110" w:rsidRPr="009E2AA7" w:rsidRDefault="009E2AA7" w:rsidP="00395CD4">
            <w:pPr>
              <w:keepNext/>
              <w:jc w:val="center"/>
              <w:rPr>
                <w:rFonts w:ascii="Arial Narrow" w:eastAsiaTheme="majorEastAsia" w:hAnsi="Arial Narrow" w:cstheme="majorBidi"/>
                <w:b/>
                <w:sz w:val="20"/>
                <w:szCs w:val="20"/>
              </w:rPr>
            </w:pPr>
            <w:r>
              <w:rPr>
                <w:rFonts w:ascii="Arial Narrow" w:eastAsiaTheme="majorEastAsia" w:hAnsi="Arial Narrow" w:cstheme="majorBidi"/>
                <w:b/>
                <w:noProof/>
                <w:color w:val="000000"/>
                <w:sz w:val="20"/>
                <w:szCs w:val="20"/>
                <w:highlight w:val="black"/>
              </w:rPr>
              <w:t>'''''''''''''''''''</w:t>
            </w:r>
            <w:r w:rsidR="00C8183E">
              <w:rPr>
                <w:rFonts w:ascii="Arial Narrow" w:eastAsiaTheme="majorEastAsia" w:hAnsi="Arial Narrow" w:cstheme="majorBidi"/>
                <w:bCs/>
                <w:sz w:val="20"/>
                <w:vertAlign w:val="superscript"/>
              </w:rPr>
              <w:t>4</w:t>
            </w:r>
          </w:p>
        </w:tc>
        <w:tc>
          <w:tcPr>
            <w:tcW w:w="585" w:type="pct"/>
            <w:shd w:val="clear" w:color="auto" w:fill="FFFFFF" w:themeFill="background1"/>
            <w:vAlign w:val="center"/>
          </w:tcPr>
          <w:p w14:paraId="2D6E5277" w14:textId="77777777" w:rsidR="00367110" w:rsidRPr="009E2AA7" w:rsidRDefault="009E2AA7" w:rsidP="00395CD4">
            <w:pPr>
              <w:keepNext/>
              <w:jc w:val="center"/>
              <w:rPr>
                <w:rFonts w:ascii="Arial Narrow" w:eastAsiaTheme="majorEastAsia" w:hAnsi="Arial Narrow" w:cstheme="majorBidi"/>
                <w:b/>
                <w:sz w:val="20"/>
                <w:szCs w:val="20"/>
              </w:rPr>
            </w:pPr>
            <w:r>
              <w:rPr>
                <w:rFonts w:ascii="Arial Narrow" w:eastAsiaTheme="majorEastAsia" w:hAnsi="Arial Narrow" w:cstheme="majorBidi"/>
                <w:b/>
                <w:noProof/>
                <w:color w:val="000000"/>
                <w:sz w:val="20"/>
                <w:szCs w:val="20"/>
                <w:highlight w:val="black"/>
              </w:rPr>
              <w:t>'''''''''''''''''''</w:t>
            </w:r>
            <w:r w:rsidR="00C8183E">
              <w:rPr>
                <w:rFonts w:ascii="Arial Narrow" w:eastAsiaTheme="majorEastAsia" w:hAnsi="Arial Narrow" w:cstheme="majorBidi"/>
                <w:bCs/>
                <w:sz w:val="20"/>
                <w:vertAlign w:val="superscript"/>
              </w:rPr>
              <w:t>4</w:t>
            </w:r>
          </w:p>
        </w:tc>
        <w:tc>
          <w:tcPr>
            <w:tcW w:w="585" w:type="pct"/>
            <w:shd w:val="clear" w:color="auto" w:fill="FFFFFF" w:themeFill="background1"/>
            <w:vAlign w:val="center"/>
          </w:tcPr>
          <w:p w14:paraId="7C5E7C37" w14:textId="77777777" w:rsidR="00367110" w:rsidRPr="009E2AA7" w:rsidRDefault="009E2AA7" w:rsidP="00395CD4">
            <w:pPr>
              <w:keepNext/>
              <w:jc w:val="center"/>
              <w:rPr>
                <w:rFonts w:ascii="Arial Narrow" w:eastAsiaTheme="majorEastAsia" w:hAnsi="Arial Narrow" w:cstheme="majorBidi"/>
                <w:b/>
                <w:sz w:val="20"/>
                <w:szCs w:val="20"/>
              </w:rPr>
            </w:pPr>
            <w:r>
              <w:rPr>
                <w:rFonts w:ascii="Arial Narrow" w:eastAsiaTheme="majorEastAsia" w:hAnsi="Arial Narrow" w:cstheme="majorBidi"/>
                <w:b/>
                <w:noProof/>
                <w:color w:val="000000"/>
                <w:sz w:val="20"/>
                <w:szCs w:val="20"/>
                <w:highlight w:val="black"/>
              </w:rPr>
              <w:t>''''''''''''''''''''</w:t>
            </w:r>
            <w:r w:rsidR="00C8183E">
              <w:rPr>
                <w:rFonts w:ascii="Arial Narrow" w:eastAsiaTheme="majorEastAsia" w:hAnsi="Arial Narrow" w:cstheme="majorBidi"/>
                <w:bCs/>
                <w:sz w:val="20"/>
                <w:vertAlign w:val="superscript"/>
              </w:rPr>
              <w:t>4</w:t>
            </w:r>
          </w:p>
        </w:tc>
      </w:tr>
      <w:tr w:rsidR="00367110" w:rsidRPr="00540422" w14:paraId="3EF6D178" w14:textId="77777777" w:rsidTr="00395CD4">
        <w:tc>
          <w:tcPr>
            <w:tcW w:w="5000" w:type="pct"/>
            <w:gridSpan w:val="7"/>
            <w:vAlign w:val="center"/>
          </w:tcPr>
          <w:p w14:paraId="015F456B" w14:textId="77777777" w:rsidR="00367110" w:rsidRPr="00540422" w:rsidRDefault="00367110" w:rsidP="00395CD4">
            <w:pPr>
              <w:keepNext/>
              <w:tabs>
                <w:tab w:val="right" w:pos="2361"/>
              </w:tabs>
              <w:jc w:val="left"/>
              <w:rPr>
                <w:rFonts w:ascii="Arial Narrow" w:eastAsiaTheme="majorEastAsia" w:hAnsi="Arial Narrow" w:cstheme="majorBidi"/>
                <w:b/>
                <w:bCs/>
                <w:sz w:val="20"/>
                <w:szCs w:val="20"/>
              </w:rPr>
            </w:pPr>
            <w:r w:rsidRPr="00540422">
              <w:rPr>
                <w:rFonts w:ascii="Arial Narrow" w:eastAsiaTheme="majorEastAsia" w:hAnsi="Arial Narrow" w:cstheme="majorBidi"/>
                <w:b/>
                <w:bCs/>
                <w:sz w:val="20"/>
                <w:szCs w:val="20"/>
              </w:rPr>
              <w:t>Scenario 2: Section 85 listing (DPMQ, excluding copayments), current price</w:t>
            </w:r>
          </w:p>
        </w:tc>
      </w:tr>
      <w:tr w:rsidR="00367110" w:rsidRPr="00540422" w14:paraId="2DB7B885" w14:textId="77777777" w:rsidTr="00395CD4">
        <w:tc>
          <w:tcPr>
            <w:tcW w:w="1491" w:type="pct"/>
            <w:shd w:val="clear" w:color="auto" w:fill="FFFFFF" w:themeFill="background1"/>
            <w:vAlign w:val="center"/>
          </w:tcPr>
          <w:p w14:paraId="1DCEB9E5" w14:textId="77777777" w:rsidR="00367110" w:rsidRPr="00540422" w:rsidRDefault="00367110" w:rsidP="00395CD4">
            <w:pPr>
              <w:keepNext/>
              <w:tabs>
                <w:tab w:val="right" w:pos="2361"/>
              </w:tabs>
              <w:jc w:val="left"/>
              <w:rPr>
                <w:rFonts w:ascii="Arial Narrow" w:eastAsiaTheme="majorEastAsia" w:hAnsi="Arial Narrow" w:cstheme="majorBidi"/>
                <w:bCs/>
                <w:sz w:val="20"/>
                <w:szCs w:val="20"/>
              </w:rPr>
            </w:pPr>
            <w:r w:rsidRPr="00540422">
              <w:rPr>
                <w:rFonts w:ascii="Arial Narrow" w:eastAsiaTheme="majorEastAsia" w:hAnsi="Arial Narrow" w:cstheme="majorBidi"/>
                <w:bCs/>
                <w:sz w:val="20"/>
                <w:szCs w:val="20"/>
              </w:rPr>
              <w:t xml:space="preserve">Current price, cost to PBS </w:t>
            </w:r>
          </w:p>
          <w:p w14:paraId="1EBE4835" w14:textId="77777777" w:rsidR="00367110" w:rsidRPr="00540422" w:rsidRDefault="00367110" w:rsidP="00395CD4">
            <w:pPr>
              <w:keepNext/>
              <w:tabs>
                <w:tab w:val="right" w:pos="2361"/>
              </w:tabs>
              <w:jc w:val="left"/>
              <w:rPr>
                <w:rFonts w:ascii="Arial Narrow" w:eastAsiaTheme="majorEastAsia" w:hAnsi="Arial Narrow" w:cstheme="majorBidi"/>
                <w:bCs/>
                <w:sz w:val="20"/>
                <w:szCs w:val="20"/>
              </w:rPr>
            </w:pPr>
            <w:r w:rsidRPr="00540422">
              <w:rPr>
                <w:rFonts w:ascii="Arial Narrow" w:eastAsiaTheme="majorEastAsia" w:hAnsi="Arial Narrow" w:cstheme="majorBidi"/>
                <w:bCs/>
                <w:sz w:val="20"/>
                <w:szCs w:val="20"/>
              </w:rPr>
              <w:t>(DPMQ $15.65/day</w:t>
            </w:r>
            <w:r w:rsidRPr="00540422">
              <w:rPr>
                <w:rFonts w:ascii="Arial Narrow" w:eastAsiaTheme="majorEastAsia" w:hAnsi="Arial Narrow" w:cstheme="majorBidi"/>
                <w:bCs/>
                <w:sz w:val="20"/>
                <w:szCs w:val="20"/>
                <w:vertAlign w:val="superscript"/>
              </w:rPr>
              <w:t>a</w:t>
            </w:r>
            <w:r w:rsidRPr="00540422">
              <w:rPr>
                <w:rFonts w:ascii="Arial Narrow" w:eastAsiaTheme="majorEastAsia" w:hAnsi="Arial Narrow" w:cstheme="majorBidi"/>
                <w:bCs/>
                <w:sz w:val="20"/>
                <w:szCs w:val="20"/>
              </w:rPr>
              <w:t>)</w:t>
            </w:r>
          </w:p>
        </w:tc>
        <w:tc>
          <w:tcPr>
            <w:tcW w:w="584" w:type="pct"/>
            <w:shd w:val="clear" w:color="auto" w:fill="FFFFFF" w:themeFill="background1"/>
            <w:vAlign w:val="center"/>
          </w:tcPr>
          <w:p w14:paraId="04E4CDB5"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304F0A">
              <w:rPr>
                <w:rFonts w:ascii="Arial Narrow" w:eastAsiaTheme="majorEastAsia" w:hAnsi="Arial Narrow" w:cstheme="majorBidi"/>
                <w:bCs/>
                <w:sz w:val="20"/>
                <w:vertAlign w:val="superscript"/>
              </w:rPr>
              <w:t>3</w:t>
            </w:r>
          </w:p>
        </w:tc>
        <w:tc>
          <w:tcPr>
            <w:tcW w:w="585" w:type="pct"/>
            <w:shd w:val="clear" w:color="auto" w:fill="FFFFFF" w:themeFill="background1"/>
            <w:vAlign w:val="center"/>
          </w:tcPr>
          <w:p w14:paraId="58B451EC"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304F0A">
              <w:rPr>
                <w:rFonts w:ascii="Arial Narrow" w:eastAsiaTheme="majorEastAsia" w:hAnsi="Arial Narrow" w:cstheme="majorBidi"/>
                <w:bCs/>
                <w:sz w:val="20"/>
                <w:vertAlign w:val="superscript"/>
              </w:rPr>
              <w:t>3</w:t>
            </w:r>
          </w:p>
        </w:tc>
        <w:tc>
          <w:tcPr>
            <w:tcW w:w="585" w:type="pct"/>
            <w:shd w:val="clear" w:color="auto" w:fill="FFFFFF" w:themeFill="background1"/>
            <w:vAlign w:val="center"/>
          </w:tcPr>
          <w:p w14:paraId="18B7BB48"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304F0A">
              <w:rPr>
                <w:rFonts w:ascii="Arial Narrow" w:eastAsiaTheme="majorEastAsia" w:hAnsi="Arial Narrow" w:cstheme="majorBidi"/>
                <w:bCs/>
                <w:sz w:val="20"/>
                <w:vertAlign w:val="superscript"/>
              </w:rPr>
              <w:t>3</w:t>
            </w:r>
          </w:p>
        </w:tc>
        <w:tc>
          <w:tcPr>
            <w:tcW w:w="585" w:type="pct"/>
            <w:shd w:val="clear" w:color="auto" w:fill="FFFFFF" w:themeFill="background1"/>
            <w:vAlign w:val="center"/>
          </w:tcPr>
          <w:p w14:paraId="5B9865E3"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304F0A">
              <w:rPr>
                <w:rFonts w:ascii="Arial Narrow" w:eastAsiaTheme="majorEastAsia" w:hAnsi="Arial Narrow" w:cstheme="majorBidi"/>
                <w:bCs/>
                <w:sz w:val="20"/>
                <w:vertAlign w:val="superscript"/>
              </w:rPr>
              <w:t>3</w:t>
            </w:r>
          </w:p>
        </w:tc>
        <w:tc>
          <w:tcPr>
            <w:tcW w:w="585" w:type="pct"/>
            <w:shd w:val="clear" w:color="auto" w:fill="FFFFFF" w:themeFill="background1"/>
            <w:vAlign w:val="center"/>
          </w:tcPr>
          <w:p w14:paraId="0089A02B"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C8183E">
              <w:rPr>
                <w:rFonts w:ascii="Arial Narrow" w:eastAsiaTheme="majorEastAsia" w:hAnsi="Arial Narrow" w:cstheme="majorBidi"/>
                <w:bCs/>
                <w:sz w:val="20"/>
                <w:vertAlign w:val="superscript"/>
              </w:rPr>
              <w:t>5</w:t>
            </w:r>
          </w:p>
        </w:tc>
        <w:tc>
          <w:tcPr>
            <w:tcW w:w="585" w:type="pct"/>
            <w:shd w:val="clear" w:color="auto" w:fill="FFFFFF" w:themeFill="background1"/>
            <w:vAlign w:val="center"/>
          </w:tcPr>
          <w:p w14:paraId="3AD237E9"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C8183E">
              <w:rPr>
                <w:rFonts w:ascii="Arial Narrow" w:eastAsiaTheme="majorEastAsia" w:hAnsi="Arial Narrow" w:cstheme="majorBidi"/>
                <w:bCs/>
                <w:sz w:val="20"/>
                <w:vertAlign w:val="superscript"/>
              </w:rPr>
              <w:t>5</w:t>
            </w:r>
          </w:p>
        </w:tc>
      </w:tr>
      <w:tr w:rsidR="00367110" w:rsidRPr="00540422" w14:paraId="194BF25B" w14:textId="77777777" w:rsidTr="00395CD4">
        <w:tc>
          <w:tcPr>
            <w:tcW w:w="1491" w:type="pct"/>
            <w:shd w:val="clear" w:color="auto" w:fill="FFFFFF" w:themeFill="background1"/>
            <w:vAlign w:val="center"/>
          </w:tcPr>
          <w:p w14:paraId="7C2E8135" w14:textId="77777777" w:rsidR="00367110" w:rsidRPr="00540422" w:rsidRDefault="00367110" w:rsidP="00395CD4">
            <w:pPr>
              <w:keepNext/>
              <w:tabs>
                <w:tab w:val="right" w:pos="2361"/>
              </w:tabs>
              <w:jc w:val="left"/>
              <w:rPr>
                <w:rFonts w:ascii="Arial Narrow" w:eastAsiaTheme="majorEastAsia" w:hAnsi="Arial Narrow" w:cstheme="majorBidi"/>
                <w:bCs/>
                <w:sz w:val="20"/>
                <w:szCs w:val="20"/>
              </w:rPr>
            </w:pPr>
            <w:r w:rsidRPr="00540422">
              <w:rPr>
                <w:rFonts w:ascii="Arial Narrow" w:eastAsiaTheme="majorEastAsia" w:hAnsi="Arial Narrow" w:cstheme="majorBidi"/>
                <w:bCs/>
                <w:sz w:val="20"/>
                <w:szCs w:val="20"/>
              </w:rPr>
              <w:t>Patient copayment ($</w:t>
            </w:r>
            <w:r w:rsidR="009E2AA7">
              <w:rPr>
                <w:rFonts w:ascii="Arial Narrow" w:eastAsiaTheme="majorEastAsia" w:hAnsi="Arial Narrow" w:cstheme="majorBidi"/>
                <w:bCs/>
                <w:noProof/>
                <w:color w:val="000000"/>
                <w:sz w:val="20"/>
                <w:szCs w:val="20"/>
                <w:highlight w:val="black"/>
              </w:rPr>
              <w:t>'''''''</w:t>
            </w:r>
            <w:r w:rsidRPr="00540422">
              <w:rPr>
                <w:rFonts w:ascii="Arial Narrow" w:eastAsiaTheme="majorEastAsia" w:hAnsi="Arial Narrow" w:cstheme="majorBidi"/>
                <w:bCs/>
                <w:sz w:val="20"/>
                <w:szCs w:val="20"/>
              </w:rPr>
              <w:t>/script; weighted average $</w:t>
            </w:r>
            <w:r w:rsidR="009E2AA7">
              <w:rPr>
                <w:rFonts w:ascii="Arial Narrow" w:eastAsiaTheme="majorEastAsia" w:hAnsi="Arial Narrow" w:cstheme="majorBidi"/>
                <w:bCs/>
                <w:noProof/>
                <w:color w:val="000000"/>
                <w:sz w:val="20"/>
                <w:szCs w:val="20"/>
                <w:highlight w:val="black"/>
              </w:rPr>
              <w:t>'''''''''''</w:t>
            </w:r>
            <w:r w:rsidRPr="00540422">
              <w:rPr>
                <w:rFonts w:ascii="Arial Narrow" w:eastAsiaTheme="majorEastAsia" w:hAnsi="Arial Narrow" w:cstheme="majorBidi"/>
                <w:bCs/>
                <w:sz w:val="20"/>
                <w:szCs w:val="20"/>
              </w:rPr>
              <w:t>/day</w:t>
            </w:r>
            <w:r w:rsidRPr="00540422">
              <w:rPr>
                <w:rFonts w:ascii="Arial Narrow" w:eastAsiaTheme="majorEastAsia" w:hAnsi="Arial Narrow" w:cstheme="majorBidi"/>
                <w:bCs/>
                <w:sz w:val="20"/>
                <w:szCs w:val="20"/>
                <w:vertAlign w:val="superscript"/>
              </w:rPr>
              <w:t>c</w:t>
            </w:r>
            <w:r w:rsidRPr="00540422">
              <w:rPr>
                <w:rFonts w:ascii="Arial Narrow" w:eastAsiaTheme="majorEastAsia" w:hAnsi="Arial Narrow" w:cstheme="majorBidi"/>
                <w:bCs/>
                <w:sz w:val="20"/>
                <w:szCs w:val="20"/>
              </w:rPr>
              <w:t>)</w:t>
            </w:r>
          </w:p>
        </w:tc>
        <w:tc>
          <w:tcPr>
            <w:tcW w:w="584" w:type="pct"/>
            <w:shd w:val="clear" w:color="auto" w:fill="FFFFFF" w:themeFill="background1"/>
            <w:vAlign w:val="center"/>
          </w:tcPr>
          <w:p w14:paraId="1F1FC59E"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C8183E">
              <w:rPr>
                <w:rFonts w:ascii="Arial Narrow" w:eastAsiaTheme="majorEastAsia" w:hAnsi="Arial Narrow" w:cstheme="majorBidi"/>
                <w:bCs/>
                <w:sz w:val="20"/>
                <w:vertAlign w:val="superscript"/>
              </w:rPr>
              <w:t>4</w:t>
            </w:r>
          </w:p>
        </w:tc>
        <w:tc>
          <w:tcPr>
            <w:tcW w:w="585" w:type="pct"/>
            <w:shd w:val="clear" w:color="auto" w:fill="FFFFFF" w:themeFill="background1"/>
            <w:vAlign w:val="center"/>
          </w:tcPr>
          <w:p w14:paraId="20ECFF83"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C8183E">
              <w:rPr>
                <w:rFonts w:ascii="Arial Narrow" w:eastAsiaTheme="majorEastAsia" w:hAnsi="Arial Narrow" w:cstheme="majorBidi"/>
                <w:bCs/>
                <w:sz w:val="20"/>
                <w:vertAlign w:val="superscript"/>
              </w:rPr>
              <w:t>4</w:t>
            </w:r>
          </w:p>
        </w:tc>
        <w:tc>
          <w:tcPr>
            <w:tcW w:w="585" w:type="pct"/>
            <w:shd w:val="clear" w:color="auto" w:fill="FFFFFF" w:themeFill="background1"/>
            <w:vAlign w:val="center"/>
          </w:tcPr>
          <w:p w14:paraId="3F131883"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C8183E">
              <w:rPr>
                <w:rFonts w:ascii="Arial Narrow" w:eastAsiaTheme="majorEastAsia" w:hAnsi="Arial Narrow" w:cstheme="majorBidi"/>
                <w:bCs/>
                <w:sz w:val="20"/>
                <w:vertAlign w:val="superscript"/>
              </w:rPr>
              <w:t>4</w:t>
            </w:r>
          </w:p>
        </w:tc>
        <w:tc>
          <w:tcPr>
            <w:tcW w:w="585" w:type="pct"/>
            <w:shd w:val="clear" w:color="auto" w:fill="FFFFFF" w:themeFill="background1"/>
            <w:vAlign w:val="center"/>
          </w:tcPr>
          <w:p w14:paraId="5AA01DD9"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C8183E">
              <w:rPr>
                <w:rFonts w:ascii="Arial Narrow" w:eastAsiaTheme="majorEastAsia" w:hAnsi="Arial Narrow" w:cstheme="majorBidi"/>
                <w:bCs/>
                <w:sz w:val="20"/>
                <w:vertAlign w:val="superscript"/>
              </w:rPr>
              <w:t>4</w:t>
            </w:r>
          </w:p>
        </w:tc>
        <w:tc>
          <w:tcPr>
            <w:tcW w:w="585" w:type="pct"/>
            <w:shd w:val="clear" w:color="auto" w:fill="FFFFFF" w:themeFill="background1"/>
            <w:vAlign w:val="center"/>
          </w:tcPr>
          <w:p w14:paraId="4BA5F9E1"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C8183E">
              <w:rPr>
                <w:rFonts w:ascii="Arial Narrow" w:eastAsiaTheme="majorEastAsia" w:hAnsi="Arial Narrow" w:cstheme="majorBidi"/>
                <w:bCs/>
                <w:sz w:val="20"/>
                <w:vertAlign w:val="superscript"/>
              </w:rPr>
              <w:t>4</w:t>
            </w:r>
          </w:p>
        </w:tc>
        <w:tc>
          <w:tcPr>
            <w:tcW w:w="585" w:type="pct"/>
            <w:shd w:val="clear" w:color="auto" w:fill="FFFFFF" w:themeFill="background1"/>
            <w:vAlign w:val="center"/>
          </w:tcPr>
          <w:p w14:paraId="397003BB"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C8183E">
              <w:rPr>
                <w:rFonts w:ascii="Arial Narrow" w:eastAsiaTheme="majorEastAsia" w:hAnsi="Arial Narrow" w:cstheme="majorBidi"/>
                <w:bCs/>
                <w:sz w:val="20"/>
                <w:vertAlign w:val="superscript"/>
              </w:rPr>
              <w:t>4</w:t>
            </w:r>
          </w:p>
        </w:tc>
      </w:tr>
      <w:tr w:rsidR="00367110" w:rsidRPr="00540422" w14:paraId="167510F4" w14:textId="77777777" w:rsidTr="00395CD4">
        <w:tc>
          <w:tcPr>
            <w:tcW w:w="1491" w:type="pct"/>
            <w:shd w:val="clear" w:color="auto" w:fill="FFFFFF" w:themeFill="background1"/>
            <w:vAlign w:val="center"/>
          </w:tcPr>
          <w:p w14:paraId="119D433C" w14:textId="77777777" w:rsidR="00367110" w:rsidRPr="00540422" w:rsidRDefault="00B65FBB" w:rsidP="00395CD4">
            <w:pPr>
              <w:keepNext/>
              <w:tabs>
                <w:tab w:val="right" w:pos="2361"/>
              </w:tabs>
              <w:jc w:val="left"/>
              <w:rPr>
                <w:rFonts w:ascii="Arial Narrow" w:eastAsiaTheme="majorEastAsia" w:hAnsi="Arial Narrow" w:cstheme="majorBidi"/>
                <w:bCs/>
                <w:sz w:val="20"/>
                <w:szCs w:val="20"/>
              </w:rPr>
            </w:pPr>
            <w:r>
              <w:rPr>
                <w:rFonts w:ascii="Arial Narrow" w:eastAsiaTheme="majorEastAsia" w:hAnsi="Arial Narrow" w:cstheme="majorBidi"/>
                <w:bCs/>
                <w:sz w:val="20"/>
                <w:szCs w:val="20"/>
              </w:rPr>
              <w:t>Cost to PBS excl. copayment</w:t>
            </w:r>
          </w:p>
        </w:tc>
        <w:tc>
          <w:tcPr>
            <w:tcW w:w="584" w:type="pct"/>
            <w:shd w:val="clear" w:color="auto" w:fill="FFFFFF" w:themeFill="background1"/>
            <w:vAlign w:val="bottom"/>
          </w:tcPr>
          <w:p w14:paraId="592914C9"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C8183E">
              <w:rPr>
                <w:rFonts w:ascii="Arial Narrow" w:eastAsiaTheme="majorEastAsia" w:hAnsi="Arial Narrow" w:cstheme="majorBidi"/>
                <w:bCs/>
                <w:sz w:val="20"/>
                <w:vertAlign w:val="superscript"/>
              </w:rPr>
              <w:t>3</w:t>
            </w:r>
          </w:p>
        </w:tc>
        <w:tc>
          <w:tcPr>
            <w:tcW w:w="585" w:type="pct"/>
            <w:shd w:val="clear" w:color="auto" w:fill="FFFFFF" w:themeFill="background1"/>
            <w:vAlign w:val="bottom"/>
          </w:tcPr>
          <w:p w14:paraId="180F4182"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C8183E">
              <w:rPr>
                <w:rFonts w:ascii="Arial Narrow" w:eastAsiaTheme="majorEastAsia" w:hAnsi="Arial Narrow" w:cstheme="majorBidi"/>
                <w:bCs/>
                <w:sz w:val="20"/>
                <w:vertAlign w:val="superscript"/>
              </w:rPr>
              <w:t>3</w:t>
            </w:r>
          </w:p>
        </w:tc>
        <w:tc>
          <w:tcPr>
            <w:tcW w:w="585" w:type="pct"/>
            <w:shd w:val="clear" w:color="auto" w:fill="FFFFFF" w:themeFill="background1"/>
            <w:vAlign w:val="bottom"/>
          </w:tcPr>
          <w:p w14:paraId="1C50CD94"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C8183E">
              <w:rPr>
                <w:rFonts w:ascii="Arial Narrow" w:eastAsiaTheme="majorEastAsia" w:hAnsi="Arial Narrow" w:cstheme="majorBidi"/>
                <w:bCs/>
                <w:sz w:val="20"/>
                <w:vertAlign w:val="superscript"/>
              </w:rPr>
              <w:t>3</w:t>
            </w:r>
          </w:p>
        </w:tc>
        <w:tc>
          <w:tcPr>
            <w:tcW w:w="585" w:type="pct"/>
            <w:shd w:val="clear" w:color="auto" w:fill="FFFFFF" w:themeFill="background1"/>
            <w:vAlign w:val="bottom"/>
          </w:tcPr>
          <w:p w14:paraId="62EB66D4"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C8183E">
              <w:rPr>
                <w:rFonts w:ascii="Arial Narrow" w:eastAsiaTheme="majorEastAsia" w:hAnsi="Arial Narrow" w:cstheme="majorBidi"/>
                <w:bCs/>
                <w:sz w:val="20"/>
                <w:vertAlign w:val="superscript"/>
              </w:rPr>
              <w:t>3</w:t>
            </w:r>
          </w:p>
        </w:tc>
        <w:tc>
          <w:tcPr>
            <w:tcW w:w="585" w:type="pct"/>
            <w:shd w:val="clear" w:color="auto" w:fill="FFFFFF" w:themeFill="background1"/>
            <w:vAlign w:val="bottom"/>
          </w:tcPr>
          <w:p w14:paraId="7BD4B877"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C8183E">
              <w:rPr>
                <w:rFonts w:ascii="Arial Narrow" w:eastAsiaTheme="majorEastAsia" w:hAnsi="Arial Narrow" w:cstheme="majorBidi"/>
                <w:bCs/>
                <w:sz w:val="20"/>
                <w:vertAlign w:val="superscript"/>
              </w:rPr>
              <w:t>3</w:t>
            </w:r>
          </w:p>
        </w:tc>
        <w:tc>
          <w:tcPr>
            <w:tcW w:w="585" w:type="pct"/>
            <w:shd w:val="clear" w:color="auto" w:fill="FFFFFF" w:themeFill="background1"/>
            <w:vAlign w:val="bottom"/>
          </w:tcPr>
          <w:p w14:paraId="2AB5AB30"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C8183E">
              <w:rPr>
                <w:rFonts w:ascii="Arial Narrow" w:eastAsiaTheme="majorEastAsia" w:hAnsi="Arial Narrow" w:cstheme="majorBidi"/>
                <w:bCs/>
                <w:sz w:val="20"/>
                <w:vertAlign w:val="superscript"/>
              </w:rPr>
              <w:t>3</w:t>
            </w:r>
          </w:p>
        </w:tc>
      </w:tr>
      <w:tr w:rsidR="00367110" w:rsidRPr="00540422" w14:paraId="0A6DDB6A" w14:textId="77777777" w:rsidTr="00395CD4">
        <w:tc>
          <w:tcPr>
            <w:tcW w:w="1491" w:type="pct"/>
            <w:shd w:val="clear" w:color="auto" w:fill="FFFFFF" w:themeFill="background1"/>
            <w:vAlign w:val="center"/>
          </w:tcPr>
          <w:p w14:paraId="2418232E" w14:textId="77777777" w:rsidR="00367110" w:rsidRPr="00540422" w:rsidRDefault="00367110" w:rsidP="00395CD4">
            <w:pPr>
              <w:keepNext/>
              <w:tabs>
                <w:tab w:val="right" w:pos="2361"/>
              </w:tabs>
              <w:jc w:val="left"/>
              <w:rPr>
                <w:rFonts w:ascii="Arial Narrow" w:eastAsiaTheme="majorEastAsia" w:hAnsi="Arial Narrow" w:cstheme="majorBidi"/>
                <w:bCs/>
                <w:sz w:val="20"/>
                <w:szCs w:val="20"/>
              </w:rPr>
            </w:pPr>
            <w:r w:rsidRPr="00540422">
              <w:rPr>
                <w:rFonts w:ascii="Arial Narrow" w:eastAsiaTheme="majorEastAsia" w:hAnsi="Arial Narrow" w:cstheme="majorBidi"/>
                <w:bCs/>
                <w:sz w:val="20"/>
                <w:szCs w:val="20"/>
              </w:rPr>
              <w:t>Net difference in cost to PBS (excl. copayment)</w:t>
            </w:r>
          </w:p>
        </w:tc>
        <w:tc>
          <w:tcPr>
            <w:tcW w:w="584" w:type="pct"/>
            <w:shd w:val="clear" w:color="auto" w:fill="FFFFFF" w:themeFill="background1"/>
            <w:vAlign w:val="center"/>
          </w:tcPr>
          <w:p w14:paraId="4D0A5A93" w14:textId="77777777" w:rsidR="00367110" w:rsidRPr="009E2AA7" w:rsidRDefault="009E2AA7" w:rsidP="00395CD4">
            <w:pPr>
              <w:keepNext/>
              <w:jc w:val="center"/>
              <w:rPr>
                <w:rFonts w:ascii="Arial Narrow" w:eastAsiaTheme="majorEastAsia" w:hAnsi="Arial Narrow" w:cstheme="majorBidi"/>
                <w:b/>
                <w:bCs/>
                <w:sz w:val="20"/>
                <w:szCs w:val="20"/>
              </w:rPr>
            </w:pPr>
            <w:r>
              <w:rPr>
                <w:rFonts w:ascii="Arial Narrow" w:eastAsiaTheme="majorEastAsia" w:hAnsi="Arial Narrow" w:cstheme="majorBidi"/>
                <w:b/>
                <w:bCs/>
                <w:noProof/>
                <w:color w:val="000000"/>
                <w:sz w:val="20"/>
                <w:szCs w:val="20"/>
                <w:highlight w:val="black"/>
              </w:rPr>
              <w:t>'''''''''''''''''''</w:t>
            </w:r>
            <w:r w:rsidR="00C8183E">
              <w:rPr>
                <w:rFonts w:ascii="Arial Narrow" w:eastAsiaTheme="majorEastAsia" w:hAnsi="Arial Narrow" w:cstheme="majorBidi"/>
                <w:bCs/>
                <w:sz w:val="20"/>
                <w:vertAlign w:val="superscript"/>
              </w:rPr>
              <w:t>4</w:t>
            </w:r>
          </w:p>
        </w:tc>
        <w:tc>
          <w:tcPr>
            <w:tcW w:w="585" w:type="pct"/>
            <w:shd w:val="clear" w:color="auto" w:fill="FFFFFF" w:themeFill="background1"/>
            <w:vAlign w:val="center"/>
          </w:tcPr>
          <w:p w14:paraId="2141A274" w14:textId="77777777" w:rsidR="00367110" w:rsidRPr="009E2AA7" w:rsidRDefault="009E2AA7" w:rsidP="00395CD4">
            <w:pPr>
              <w:keepNext/>
              <w:jc w:val="center"/>
              <w:rPr>
                <w:rFonts w:ascii="Arial Narrow" w:eastAsiaTheme="majorEastAsia" w:hAnsi="Arial Narrow" w:cstheme="majorBidi"/>
                <w:b/>
                <w:bCs/>
                <w:sz w:val="20"/>
                <w:szCs w:val="20"/>
              </w:rPr>
            </w:pPr>
            <w:r>
              <w:rPr>
                <w:rFonts w:ascii="Arial Narrow" w:eastAsiaTheme="majorEastAsia" w:hAnsi="Arial Narrow" w:cstheme="majorBidi"/>
                <w:b/>
                <w:bCs/>
                <w:noProof/>
                <w:color w:val="000000"/>
                <w:sz w:val="20"/>
                <w:szCs w:val="20"/>
                <w:highlight w:val="black"/>
              </w:rPr>
              <w:t>''''''''''''''''''''</w:t>
            </w:r>
            <w:r w:rsidR="00C8183E">
              <w:rPr>
                <w:rFonts w:ascii="Arial Narrow" w:eastAsiaTheme="majorEastAsia" w:hAnsi="Arial Narrow" w:cstheme="majorBidi"/>
                <w:bCs/>
                <w:sz w:val="20"/>
                <w:vertAlign w:val="superscript"/>
              </w:rPr>
              <w:t>4</w:t>
            </w:r>
          </w:p>
        </w:tc>
        <w:tc>
          <w:tcPr>
            <w:tcW w:w="585" w:type="pct"/>
            <w:shd w:val="clear" w:color="auto" w:fill="FFFFFF" w:themeFill="background1"/>
            <w:vAlign w:val="center"/>
          </w:tcPr>
          <w:p w14:paraId="6E0208F1" w14:textId="77777777" w:rsidR="00367110" w:rsidRPr="009E2AA7" w:rsidRDefault="009E2AA7" w:rsidP="00395CD4">
            <w:pPr>
              <w:keepNext/>
              <w:jc w:val="center"/>
              <w:rPr>
                <w:rFonts w:ascii="Arial Narrow" w:eastAsiaTheme="majorEastAsia" w:hAnsi="Arial Narrow" w:cstheme="majorBidi"/>
                <w:b/>
                <w:bCs/>
                <w:sz w:val="20"/>
                <w:szCs w:val="20"/>
              </w:rPr>
            </w:pPr>
            <w:r>
              <w:rPr>
                <w:rFonts w:ascii="Arial Narrow" w:eastAsiaTheme="majorEastAsia" w:hAnsi="Arial Narrow" w:cstheme="majorBidi"/>
                <w:b/>
                <w:bCs/>
                <w:noProof/>
                <w:color w:val="000000"/>
                <w:sz w:val="20"/>
                <w:szCs w:val="20"/>
                <w:highlight w:val="black"/>
              </w:rPr>
              <w:t>'''''''''''''''''''''''</w:t>
            </w:r>
            <w:r w:rsidR="00C8183E">
              <w:rPr>
                <w:rFonts w:ascii="Arial Narrow" w:eastAsiaTheme="majorEastAsia" w:hAnsi="Arial Narrow" w:cstheme="majorBidi"/>
                <w:bCs/>
                <w:sz w:val="20"/>
                <w:vertAlign w:val="superscript"/>
              </w:rPr>
              <w:t>4</w:t>
            </w:r>
          </w:p>
        </w:tc>
        <w:tc>
          <w:tcPr>
            <w:tcW w:w="585" w:type="pct"/>
            <w:shd w:val="clear" w:color="auto" w:fill="FFFFFF" w:themeFill="background1"/>
            <w:vAlign w:val="center"/>
          </w:tcPr>
          <w:p w14:paraId="5F1DE65B" w14:textId="77777777" w:rsidR="00367110" w:rsidRPr="009E2AA7" w:rsidRDefault="009E2AA7" w:rsidP="00395CD4">
            <w:pPr>
              <w:keepNext/>
              <w:jc w:val="center"/>
              <w:rPr>
                <w:rFonts w:ascii="Arial Narrow" w:eastAsiaTheme="majorEastAsia" w:hAnsi="Arial Narrow" w:cstheme="majorBidi"/>
                <w:b/>
                <w:bCs/>
                <w:sz w:val="20"/>
                <w:szCs w:val="20"/>
              </w:rPr>
            </w:pPr>
            <w:r>
              <w:rPr>
                <w:rFonts w:ascii="Arial Narrow" w:eastAsiaTheme="majorEastAsia" w:hAnsi="Arial Narrow" w:cstheme="majorBidi"/>
                <w:b/>
                <w:bCs/>
                <w:noProof/>
                <w:color w:val="000000"/>
                <w:sz w:val="20"/>
                <w:szCs w:val="20"/>
                <w:highlight w:val="black"/>
              </w:rPr>
              <w:t>'''''''''''''''''''''''</w:t>
            </w:r>
            <w:r w:rsidR="00C8183E">
              <w:rPr>
                <w:rFonts w:ascii="Arial Narrow" w:eastAsiaTheme="majorEastAsia" w:hAnsi="Arial Narrow" w:cstheme="majorBidi"/>
                <w:bCs/>
                <w:sz w:val="20"/>
                <w:vertAlign w:val="superscript"/>
              </w:rPr>
              <w:t>4</w:t>
            </w:r>
          </w:p>
        </w:tc>
        <w:tc>
          <w:tcPr>
            <w:tcW w:w="585" w:type="pct"/>
            <w:shd w:val="clear" w:color="auto" w:fill="FFFFFF" w:themeFill="background1"/>
            <w:vAlign w:val="center"/>
          </w:tcPr>
          <w:p w14:paraId="191B24FA" w14:textId="77777777" w:rsidR="00367110" w:rsidRPr="009E2AA7" w:rsidRDefault="009E2AA7" w:rsidP="00395CD4">
            <w:pPr>
              <w:keepNext/>
              <w:jc w:val="center"/>
              <w:rPr>
                <w:rFonts w:ascii="Arial Narrow" w:eastAsiaTheme="majorEastAsia" w:hAnsi="Arial Narrow" w:cstheme="majorBidi"/>
                <w:b/>
                <w:bCs/>
                <w:sz w:val="20"/>
                <w:szCs w:val="20"/>
              </w:rPr>
            </w:pPr>
            <w:r>
              <w:rPr>
                <w:rFonts w:ascii="Arial Narrow" w:eastAsiaTheme="majorEastAsia" w:hAnsi="Arial Narrow" w:cstheme="majorBidi"/>
                <w:b/>
                <w:bCs/>
                <w:noProof/>
                <w:color w:val="000000"/>
                <w:sz w:val="20"/>
                <w:szCs w:val="20"/>
                <w:highlight w:val="black"/>
              </w:rPr>
              <w:t>''''''''''''''''''''''</w:t>
            </w:r>
            <w:r w:rsidR="00C8183E">
              <w:rPr>
                <w:rFonts w:ascii="Arial Narrow" w:eastAsiaTheme="majorEastAsia" w:hAnsi="Arial Narrow" w:cstheme="majorBidi"/>
                <w:bCs/>
                <w:sz w:val="20"/>
                <w:vertAlign w:val="superscript"/>
              </w:rPr>
              <w:t>4</w:t>
            </w:r>
          </w:p>
        </w:tc>
        <w:tc>
          <w:tcPr>
            <w:tcW w:w="585" w:type="pct"/>
            <w:shd w:val="clear" w:color="auto" w:fill="FFFFFF" w:themeFill="background1"/>
            <w:vAlign w:val="center"/>
          </w:tcPr>
          <w:p w14:paraId="41663E39" w14:textId="77777777" w:rsidR="00367110" w:rsidRPr="009E2AA7" w:rsidRDefault="009E2AA7" w:rsidP="00395CD4">
            <w:pPr>
              <w:keepNext/>
              <w:jc w:val="center"/>
              <w:rPr>
                <w:rFonts w:ascii="Arial Narrow" w:eastAsiaTheme="majorEastAsia" w:hAnsi="Arial Narrow" w:cstheme="majorBidi"/>
                <w:b/>
                <w:bCs/>
                <w:sz w:val="20"/>
                <w:szCs w:val="20"/>
              </w:rPr>
            </w:pPr>
            <w:r>
              <w:rPr>
                <w:rFonts w:ascii="Arial Narrow" w:eastAsiaTheme="majorEastAsia" w:hAnsi="Arial Narrow" w:cstheme="majorBidi"/>
                <w:b/>
                <w:bCs/>
                <w:noProof/>
                <w:color w:val="000000"/>
                <w:sz w:val="20"/>
                <w:szCs w:val="20"/>
                <w:highlight w:val="black"/>
              </w:rPr>
              <w:t>''''''''''''''''''''</w:t>
            </w:r>
            <w:r w:rsidR="00C8183E">
              <w:rPr>
                <w:rFonts w:ascii="Arial Narrow" w:eastAsiaTheme="majorEastAsia" w:hAnsi="Arial Narrow" w:cstheme="majorBidi"/>
                <w:bCs/>
                <w:sz w:val="20"/>
                <w:vertAlign w:val="superscript"/>
              </w:rPr>
              <w:t>4</w:t>
            </w:r>
          </w:p>
        </w:tc>
      </w:tr>
      <w:tr w:rsidR="00367110" w:rsidRPr="00540422" w14:paraId="632F82E1" w14:textId="77777777" w:rsidTr="00395CD4">
        <w:tc>
          <w:tcPr>
            <w:tcW w:w="5000" w:type="pct"/>
            <w:gridSpan w:val="7"/>
            <w:vAlign w:val="center"/>
          </w:tcPr>
          <w:p w14:paraId="338728A8" w14:textId="77777777" w:rsidR="00367110" w:rsidRPr="00540422" w:rsidRDefault="00367110" w:rsidP="00395CD4">
            <w:pPr>
              <w:keepNext/>
              <w:tabs>
                <w:tab w:val="right" w:pos="2361"/>
              </w:tabs>
              <w:jc w:val="left"/>
              <w:rPr>
                <w:rFonts w:ascii="Arial Narrow" w:eastAsiaTheme="majorEastAsia" w:hAnsi="Arial Narrow" w:cstheme="majorBidi"/>
                <w:b/>
                <w:bCs/>
                <w:sz w:val="20"/>
                <w:szCs w:val="20"/>
              </w:rPr>
            </w:pPr>
            <w:r w:rsidRPr="00540422">
              <w:rPr>
                <w:rFonts w:ascii="Arial Narrow" w:eastAsiaTheme="majorEastAsia" w:hAnsi="Arial Narrow" w:cstheme="majorBidi"/>
                <w:b/>
                <w:bCs/>
                <w:sz w:val="20"/>
                <w:szCs w:val="20"/>
              </w:rPr>
              <w:t>Scenario 3: Section 85 listing (DPMQ, excluding copayments), higher proposed price</w:t>
            </w:r>
          </w:p>
        </w:tc>
      </w:tr>
      <w:tr w:rsidR="00367110" w:rsidRPr="00540422" w14:paraId="61F72704" w14:textId="77777777" w:rsidTr="00395CD4">
        <w:tc>
          <w:tcPr>
            <w:tcW w:w="1491" w:type="pct"/>
            <w:shd w:val="clear" w:color="auto" w:fill="FFFFFF" w:themeFill="background1"/>
            <w:vAlign w:val="center"/>
          </w:tcPr>
          <w:p w14:paraId="30BCE761" w14:textId="77777777" w:rsidR="00367110" w:rsidRPr="00540422" w:rsidRDefault="00367110" w:rsidP="00395CD4">
            <w:pPr>
              <w:keepNext/>
              <w:tabs>
                <w:tab w:val="right" w:pos="2361"/>
              </w:tabs>
              <w:jc w:val="left"/>
              <w:rPr>
                <w:rFonts w:ascii="Arial Narrow" w:eastAsiaTheme="majorEastAsia" w:hAnsi="Arial Narrow" w:cstheme="majorBidi"/>
                <w:b/>
                <w:bCs/>
                <w:sz w:val="20"/>
                <w:szCs w:val="20"/>
              </w:rPr>
            </w:pPr>
            <w:r w:rsidRPr="00540422">
              <w:rPr>
                <w:rFonts w:ascii="Arial Narrow" w:eastAsiaTheme="majorEastAsia" w:hAnsi="Arial Narrow" w:cstheme="majorBidi"/>
                <w:bCs/>
                <w:sz w:val="20"/>
                <w:szCs w:val="20"/>
              </w:rPr>
              <w:t>Proposed price, cost to PBS (DPMQ $</w:t>
            </w:r>
            <w:r w:rsidR="009E2AA7">
              <w:rPr>
                <w:rFonts w:ascii="Arial Narrow" w:eastAsiaTheme="majorEastAsia" w:hAnsi="Arial Narrow" w:cstheme="majorBidi"/>
                <w:bCs/>
                <w:noProof/>
                <w:color w:val="000000"/>
                <w:sz w:val="20"/>
                <w:szCs w:val="20"/>
                <w:highlight w:val="black"/>
              </w:rPr>
              <w:t>'''''''''''''''</w:t>
            </w:r>
            <w:r w:rsidRPr="00540422">
              <w:rPr>
                <w:rFonts w:ascii="Arial Narrow" w:eastAsiaTheme="majorEastAsia" w:hAnsi="Arial Narrow" w:cstheme="majorBidi"/>
                <w:bCs/>
                <w:sz w:val="20"/>
                <w:szCs w:val="20"/>
              </w:rPr>
              <w:t>/day</w:t>
            </w:r>
            <w:r w:rsidRPr="00540422">
              <w:rPr>
                <w:rFonts w:ascii="Arial Narrow" w:eastAsiaTheme="majorEastAsia" w:hAnsi="Arial Narrow" w:cstheme="majorBidi"/>
                <w:bCs/>
                <w:sz w:val="20"/>
                <w:szCs w:val="20"/>
                <w:vertAlign w:val="superscript"/>
              </w:rPr>
              <w:t>b</w:t>
            </w:r>
            <w:r w:rsidRPr="00540422">
              <w:rPr>
                <w:rFonts w:ascii="Arial Narrow" w:eastAsiaTheme="majorEastAsia" w:hAnsi="Arial Narrow" w:cstheme="majorBidi"/>
                <w:bCs/>
                <w:sz w:val="20"/>
                <w:szCs w:val="20"/>
              </w:rPr>
              <w:t>)</w:t>
            </w:r>
          </w:p>
        </w:tc>
        <w:tc>
          <w:tcPr>
            <w:tcW w:w="584" w:type="pct"/>
            <w:shd w:val="clear" w:color="auto" w:fill="FFFFFF" w:themeFill="background1"/>
            <w:vAlign w:val="center"/>
          </w:tcPr>
          <w:p w14:paraId="5A052E75"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C8183E">
              <w:rPr>
                <w:rFonts w:ascii="Arial Narrow" w:eastAsiaTheme="majorEastAsia" w:hAnsi="Arial Narrow" w:cstheme="majorBidi"/>
                <w:bCs/>
                <w:sz w:val="20"/>
                <w:vertAlign w:val="superscript"/>
              </w:rPr>
              <w:t>5</w:t>
            </w:r>
          </w:p>
        </w:tc>
        <w:tc>
          <w:tcPr>
            <w:tcW w:w="585" w:type="pct"/>
            <w:shd w:val="clear" w:color="auto" w:fill="FFFFFF" w:themeFill="background1"/>
            <w:vAlign w:val="center"/>
          </w:tcPr>
          <w:p w14:paraId="13D41D84"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C8183E">
              <w:rPr>
                <w:rFonts w:ascii="Arial Narrow" w:eastAsiaTheme="majorEastAsia" w:hAnsi="Arial Narrow" w:cstheme="majorBidi"/>
                <w:bCs/>
                <w:sz w:val="20"/>
                <w:vertAlign w:val="superscript"/>
              </w:rPr>
              <w:t>5</w:t>
            </w:r>
          </w:p>
        </w:tc>
        <w:tc>
          <w:tcPr>
            <w:tcW w:w="585" w:type="pct"/>
            <w:shd w:val="clear" w:color="auto" w:fill="FFFFFF" w:themeFill="background1"/>
            <w:vAlign w:val="center"/>
          </w:tcPr>
          <w:p w14:paraId="4B7D10B7"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C8183E">
              <w:rPr>
                <w:rFonts w:ascii="Arial Narrow" w:eastAsiaTheme="majorEastAsia" w:hAnsi="Arial Narrow" w:cstheme="majorBidi"/>
                <w:bCs/>
                <w:sz w:val="20"/>
                <w:vertAlign w:val="superscript"/>
              </w:rPr>
              <w:t>5</w:t>
            </w:r>
          </w:p>
        </w:tc>
        <w:tc>
          <w:tcPr>
            <w:tcW w:w="585" w:type="pct"/>
            <w:shd w:val="clear" w:color="auto" w:fill="FFFFFF" w:themeFill="background1"/>
            <w:vAlign w:val="center"/>
          </w:tcPr>
          <w:p w14:paraId="17F72C6D"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C8183E">
              <w:rPr>
                <w:rFonts w:ascii="Arial Narrow" w:eastAsiaTheme="majorEastAsia" w:hAnsi="Arial Narrow" w:cstheme="majorBidi"/>
                <w:bCs/>
                <w:sz w:val="20"/>
                <w:vertAlign w:val="superscript"/>
              </w:rPr>
              <w:t>5</w:t>
            </w:r>
          </w:p>
        </w:tc>
        <w:tc>
          <w:tcPr>
            <w:tcW w:w="585" w:type="pct"/>
            <w:shd w:val="clear" w:color="auto" w:fill="FFFFFF" w:themeFill="background1"/>
            <w:vAlign w:val="center"/>
          </w:tcPr>
          <w:p w14:paraId="00701350"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C8183E">
              <w:rPr>
                <w:rFonts w:ascii="Arial Narrow" w:eastAsiaTheme="majorEastAsia" w:hAnsi="Arial Narrow" w:cstheme="majorBidi"/>
                <w:bCs/>
                <w:sz w:val="20"/>
                <w:vertAlign w:val="superscript"/>
              </w:rPr>
              <w:t>5</w:t>
            </w:r>
          </w:p>
        </w:tc>
        <w:tc>
          <w:tcPr>
            <w:tcW w:w="585" w:type="pct"/>
            <w:shd w:val="clear" w:color="auto" w:fill="FFFFFF" w:themeFill="background1"/>
            <w:vAlign w:val="center"/>
          </w:tcPr>
          <w:p w14:paraId="66A1A300"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C8183E">
              <w:rPr>
                <w:rFonts w:ascii="Arial Narrow" w:eastAsiaTheme="majorEastAsia" w:hAnsi="Arial Narrow" w:cstheme="majorBidi"/>
                <w:bCs/>
                <w:sz w:val="20"/>
                <w:vertAlign w:val="superscript"/>
              </w:rPr>
              <w:t>5</w:t>
            </w:r>
          </w:p>
        </w:tc>
      </w:tr>
      <w:tr w:rsidR="00367110" w:rsidRPr="00540422" w14:paraId="7615F89A" w14:textId="77777777" w:rsidTr="00395CD4">
        <w:tc>
          <w:tcPr>
            <w:tcW w:w="1491" w:type="pct"/>
            <w:shd w:val="clear" w:color="auto" w:fill="FFFFFF" w:themeFill="background1"/>
            <w:vAlign w:val="center"/>
          </w:tcPr>
          <w:p w14:paraId="61A0BEF6" w14:textId="77777777" w:rsidR="00367110" w:rsidRPr="00540422" w:rsidRDefault="00367110" w:rsidP="00395CD4">
            <w:pPr>
              <w:keepNext/>
              <w:tabs>
                <w:tab w:val="right" w:pos="2361"/>
              </w:tabs>
              <w:jc w:val="left"/>
              <w:rPr>
                <w:rFonts w:ascii="Arial Narrow" w:eastAsiaTheme="majorEastAsia" w:hAnsi="Arial Narrow" w:cstheme="majorBidi"/>
                <w:bCs/>
                <w:sz w:val="20"/>
                <w:szCs w:val="20"/>
              </w:rPr>
            </w:pPr>
            <w:r w:rsidRPr="00540422">
              <w:rPr>
                <w:rFonts w:ascii="Arial Narrow" w:eastAsiaTheme="majorEastAsia" w:hAnsi="Arial Narrow" w:cstheme="majorBidi"/>
                <w:bCs/>
                <w:sz w:val="20"/>
                <w:szCs w:val="20"/>
              </w:rPr>
              <w:t>Patient copayment ($</w:t>
            </w:r>
            <w:r w:rsidR="009E2AA7">
              <w:rPr>
                <w:rFonts w:ascii="Arial Narrow" w:eastAsiaTheme="majorEastAsia" w:hAnsi="Arial Narrow" w:cstheme="majorBidi"/>
                <w:bCs/>
                <w:noProof/>
                <w:color w:val="000000"/>
                <w:sz w:val="20"/>
                <w:szCs w:val="20"/>
                <w:highlight w:val="black"/>
              </w:rPr>
              <w:t>'''''</w:t>
            </w:r>
            <w:r w:rsidRPr="00540422">
              <w:rPr>
                <w:rFonts w:ascii="Arial Narrow" w:eastAsiaTheme="majorEastAsia" w:hAnsi="Arial Narrow" w:cstheme="majorBidi"/>
                <w:bCs/>
                <w:sz w:val="20"/>
                <w:szCs w:val="20"/>
              </w:rPr>
              <w:t>/script; weighted average $</w:t>
            </w:r>
            <w:r w:rsidR="009E2AA7">
              <w:rPr>
                <w:rFonts w:ascii="Arial Narrow" w:eastAsiaTheme="majorEastAsia" w:hAnsi="Arial Narrow" w:cstheme="majorBidi"/>
                <w:bCs/>
                <w:noProof/>
                <w:color w:val="000000"/>
                <w:sz w:val="20"/>
                <w:szCs w:val="20"/>
                <w:highlight w:val="black"/>
              </w:rPr>
              <w:t>'''''''''''</w:t>
            </w:r>
            <w:r w:rsidRPr="00540422">
              <w:rPr>
                <w:rFonts w:ascii="Arial Narrow" w:eastAsiaTheme="majorEastAsia" w:hAnsi="Arial Narrow" w:cstheme="majorBidi"/>
                <w:bCs/>
                <w:sz w:val="20"/>
                <w:szCs w:val="20"/>
              </w:rPr>
              <w:t>/day</w:t>
            </w:r>
            <w:r w:rsidRPr="00540422">
              <w:rPr>
                <w:rFonts w:ascii="Arial Narrow" w:eastAsiaTheme="majorEastAsia" w:hAnsi="Arial Narrow" w:cstheme="majorBidi"/>
                <w:bCs/>
                <w:sz w:val="20"/>
                <w:szCs w:val="20"/>
                <w:vertAlign w:val="superscript"/>
              </w:rPr>
              <w:t>c</w:t>
            </w:r>
            <w:r w:rsidRPr="00540422">
              <w:rPr>
                <w:rFonts w:ascii="Arial Narrow" w:eastAsiaTheme="majorEastAsia" w:hAnsi="Arial Narrow" w:cstheme="majorBidi"/>
                <w:bCs/>
                <w:sz w:val="20"/>
                <w:szCs w:val="20"/>
              </w:rPr>
              <w:t>)</w:t>
            </w:r>
          </w:p>
        </w:tc>
        <w:tc>
          <w:tcPr>
            <w:tcW w:w="584" w:type="pct"/>
            <w:shd w:val="clear" w:color="auto" w:fill="FFFFFF" w:themeFill="background1"/>
            <w:vAlign w:val="center"/>
          </w:tcPr>
          <w:p w14:paraId="6ECABC88"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C8183E">
              <w:rPr>
                <w:rFonts w:ascii="Arial Narrow" w:eastAsiaTheme="majorEastAsia" w:hAnsi="Arial Narrow" w:cstheme="majorBidi"/>
                <w:bCs/>
                <w:sz w:val="20"/>
                <w:vertAlign w:val="superscript"/>
              </w:rPr>
              <w:t>4</w:t>
            </w:r>
          </w:p>
        </w:tc>
        <w:tc>
          <w:tcPr>
            <w:tcW w:w="585" w:type="pct"/>
            <w:shd w:val="clear" w:color="auto" w:fill="FFFFFF" w:themeFill="background1"/>
            <w:vAlign w:val="center"/>
          </w:tcPr>
          <w:p w14:paraId="72AF8D16"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C8183E">
              <w:rPr>
                <w:rFonts w:ascii="Arial Narrow" w:eastAsiaTheme="majorEastAsia" w:hAnsi="Arial Narrow" w:cstheme="majorBidi"/>
                <w:bCs/>
                <w:sz w:val="20"/>
                <w:vertAlign w:val="superscript"/>
              </w:rPr>
              <w:t>4</w:t>
            </w:r>
          </w:p>
        </w:tc>
        <w:tc>
          <w:tcPr>
            <w:tcW w:w="585" w:type="pct"/>
            <w:shd w:val="clear" w:color="auto" w:fill="FFFFFF" w:themeFill="background1"/>
            <w:vAlign w:val="center"/>
          </w:tcPr>
          <w:p w14:paraId="53C4838C"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C8183E">
              <w:rPr>
                <w:rFonts w:ascii="Arial Narrow" w:eastAsiaTheme="majorEastAsia" w:hAnsi="Arial Narrow" w:cstheme="majorBidi"/>
                <w:bCs/>
                <w:sz w:val="20"/>
                <w:vertAlign w:val="superscript"/>
              </w:rPr>
              <w:t>4</w:t>
            </w:r>
          </w:p>
        </w:tc>
        <w:tc>
          <w:tcPr>
            <w:tcW w:w="585" w:type="pct"/>
            <w:shd w:val="clear" w:color="auto" w:fill="FFFFFF" w:themeFill="background1"/>
            <w:vAlign w:val="center"/>
          </w:tcPr>
          <w:p w14:paraId="34F763C2"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C8183E">
              <w:rPr>
                <w:rFonts w:ascii="Arial Narrow" w:eastAsiaTheme="majorEastAsia" w:hAnsi="Arial Narrow" w:cstheme="majorBidi"/>
                <w:bCs/>
                <w:sz w:val="20"/>
                <w:vertAlign w:val="superscript"/>
              </w:rPr>
              <w:t>4</w:t>
            </w:r>
          </w:p>
        </w:tc>
        <w:tc>
          <w:tcPr>
            <w:tcW w:w="585" w:type="pct"/>
            <w:shd w:val="clear" w:color="auto" w:fill="FFFFFF" w:themeFill="background1"/>
            <w:vAlign w:val="center"/>
          </w:tcPr>
          <w:p w14:paraId="11BAD169"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C8183E">
              <w:rPr>
                <w:rFonts w:ascii="Arial Narrow" w:eastAsiaTheme="majorEastAsia" w:hAnsi="Arial Narrow" w:cstheme="majorBidi"/>
                <w:bCs/>
                <w:sz w:val="20"/>
                <w:vertAlign w:val="superscript"/>
              </w:rPr>
              <w:t>4</w:t>
            </w:r>
          </w:p>
        </w:tc>
        <w:tc>
          <w:tcPr>
            <w:tcW w:w="585" w:type="pct"/>
            <w:shd w:val="clear" w:color="auto" w:fill="FFFFFF" w:themeFill="background1"/>
            <w:vAlign w:val="center"/>
          </w:tcPr>
          <w:p w14:paraId="47006B02"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C8183E">
              <w:rPr>
                <w:rFonts w:ascii="Arial Narrow" w:eastAsiaTheme="majorEastAsia" w:hAnsi="Arial Narrow" w:cstheme="majorBidi"/>
                <w:bCs/>
                <w:sz w:val="20"/>
                <w:vertAlign w:val="superscript"/>
              </w:rPr>
              <w:t>4</w:t>
            </w:r>
          </w:p>
        </w:tc>
      </w:tr>
      <w:tr w:rsidR="00367110" w:rsidRPr="00540422" w14:paraId="31625B05" w14:textId="77777777" w:rsidTr="00395CD4">
        <w:tc>
          <w:tcPr>
            <w:tcW w:w="1491" w:type="pct"/>
            <w:shd w:val="clear" w:color="auto" w:fill="FFFFFF" w:themeFill="background1"/>
            <w:vAlign w:val="center"/>
          </w:tcPr>
          <w:p w14:paraId="43EF13B9" w14:textId="77777777" w:rsidR="00367110" w:rsidRPr="00540422" w:rsidRDefault="00B65FBB" w:rsidP="00395CD4">
            <w:pPr>
              <w:keepNext/>
              <w:tabs>
                <w:tab w:val="right" w:pos="2361"/>
              </w:tabs>
              <w:jc w:val="left"/>
              <w:rPr>
                <w:rFonts w:ascii="Arial Narrow" w:eastAsiaTheme="majorEastAsia" w:hAnsi="Arial Narrow" w:cstheme="majorBidi"/>
                <w:bCs/>
                <w:sz w:val="20"/>
                <w:szCs w:val="20"/>
              </w:rPr>
            </w:pPr>
            <w:r>
              <w:rPr>
                <w:rFonts w:ascii="Arial Narrow" w:eastAsiaTheme="majorEastAsia" w:hAnsi="Arial Narrow" w:cstheme="majorBidi"/>
                <w:bCs/>
                <w:sz w:val="20"/>
                <w:szCs w:val="20"/>
              </w:rPr>
              <w:t>Cost to PBS excl. copayment</w:t>
            </w:r>
          </w:p>
        </w:tc>
        <w:tc>
          <w:tcPr>
            <w:tcW w:w="584" w:type="pct"/>
            <w:shd w:val="clear" w:color="auto" w:fill="FFFFFF" w:themeFill="background1"/>
            <w:vAlign w:val="center"/>
          </w:tcPr>
          <w:p w14:paraId="45D469B6"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C8183E">
              <w:rPr>
                <w:rFonts w:ascii="Arial Narrow" w:eastAsiaTheme="majorEastAsia" w:hAnsi="Arial Narrow" w:cstheme="majorBidi"/>
                <w:bCs/>
                <w:sz w:val="20"/>
                <w:vertAlign w:val="superscript"/>
              </w:rPr>
              <w:t>3</w:t>
            </w:r>
          </w:p>
        </w:tc>
        <w:tc>
          <w:tcPr>
            <w:tcW w:w="585" w:type="pct"/>
            <w:shd w:val="clear" w:color="auto" w:fill="FFFFFF" w:themeFill="background1"/>
            <w:vAlign w:val="center"/>
          </w:tcPr>
          <w:p w14:paraId="00E84C3A"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C8183E">
              <w:rPr>
                <w:rFonts w:ascii="Arial Narrow" w:eastAsiaTheme="majorEastAsia" w:hAnsi="Arial Narrow" w:cstheme="majorBidi"/>
                <w:bCs/>
                <w:sz w:val="20"/>
                <w:vertAlign w:val="superscript"/>
              </w:rPr>
              <w:t>3</w:t>
            </w:r>
          </w:p>
        </w:tc>
        <w:tc>
          <w:tcPr>
            <w:tcW w:w="585" w:type="pct"/>
            <w:shd w:val="clear" w:color="auto" w:fill="FFFFFF" w:themeFill="background1"/>
            <w:vAlign w:val="center"/>
          </w:tcPr>
          <w:p w14:paraId="6AC11021"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C8183E">
              <w:rPr>
                <w:rFonts w:ascii="Arial Narrow" w:eastAsiaTheme="majorEastAsia" w:hAnsi="Arial Narrow" w:cstheme="majorBidi"/>
                <w:bCs/>
                <w:sz w:val="20"/>
                <w:vertAlign w:val="superscript"/>
              </w:rPr>
              <w:t>3</w:t>
            </w:r>
          </w:p>
        </w:tc>
        <w:tc>
          <w:tcPr>
            <w:tcW w:w="585" w:type="pct"/>
            <w:shd w:val="clear" w:color="auto" w:fill="FFFFFF" w:themeFill="background1"/>
            <w:vAlign w:val="center"/>
          </w:tcPr>
          <w:p w14:paraId="0B94B1A3"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C8183E">
              <w:rPr>
                <w:rFonts w:ascii="Arial Narrow" w:eastAsiaTheme="majorEastAsia" w:hAnsi="Arial Narrow" w:cstheme="majorBidi"/>
                <w:bCs/>
                <w:sz w:val="20"/>
                <w:vertAlign w:val="superscript"/>
              </w:rPr>
              <w:t>3</w:t>
            </w:r>
          </w:p>
        </w:tc>
        <w:tc>
          <w:tcPr>
            <w:tcW w:w="585" w:type="pct"/>
            <w:shd w:val="clear" w:color="auto" w:fill="FFFFFF" w:themeFill="background1"/>
            <w:vAlign w:val="center"/>
          </w:tcPr>
          <w:p w14:paraId="626F6B84"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C8183E">
              <w:rPr>
                <w:rFonts w:ascii="Arial Narrow" w:eastAsiaTheme="majorEastAsia" w:hAnsi="Arial Narrow" w:cstheme="majorBidi"/>
                <w:bCs/>
                <w:sz w:val="20"/>
                <w:vertAlign w:val="superscript"/>
              </w:rPr>
              <w:t>3</w:t>
            </w:r>
          </w:p>
        </w:tc>
        <w:tc>
          <w:tcPr>
            <w:tcW w:w="585" w:type="pct"/>
            <w:shd w:val="clear" w:color="auto" w:fill="FFFFFF" w:themeFill="background1"/>
            <w:vAlign w:val="center"/>
          </w:tcPr>
          <w:p w14:paraId="677C94B9" w14:textId="77777777" w:rsidR="00367110" w:rsidRPr="009E2AA7" w:rsidRDefault="009E2AA7" w:rsidP="00395CD4">
            <w:pPr>
              <w:keepNext/>
              <w:jc w:val="center"/>
              <w:rPr>
                <w:rFonts w:ascii="Arial Narrow" w:eastAsiaTheme="majorEastAsia" w:hAnsi="Arial Narrow" w:cstheme="majorBidi"/>
                <w:bCs/>
                <w:sz w:val="20"/>
                <w:szCs w:val="20"/>
              </w:rPr>
            </w:pPr>
            <w:r>
              <w:rPr>
                <w:rFonts w:ascii="Arial Narrow" w:eastAsiaTheme="majorEastAsia" w:hAnsi="Arial Narrow" w:cstheme="majorBidi"/>
                <w:bCs/>
                <w:noProof/>
                <w:color w:val="000000"/>
                <w:sz w:val="20"/>
                <w:szCs w:val="20"/>
                <w:highlight w:val="black"/>
              </w:rPr>
              <w:t>'''''''''''''''''''''''''''''</w:t>
            </w:r>
            <w:r w:rsidR="00C8183E">
              <w:rPr>
                <w:rFonts w:ascii="Arial Narrow" w:eastAsiaTheme="majorEastAsia" w:hAnsi="Arial Narrow" w:cstheme="majorBidi"/>
                <w:bCs/>
                <w:sz w:val="20"/>
                <w:vertAlign w:val="superscript"/>
              </w:rPr>
              <w:t>3</w:t>
            </w:r>
          </w:p>
        </w:tc>
      </w:tr>
      <w:tr w:rsidR="00367110" w:rsidRPr="00540422" w14:paraId="38BD41C2" w14:textId="77777777" w:rsidTr="00395CD4">
        <w:tc>
          <w:tcPr>
            <w:tcW w:w="1491" w:type="pct"/>
            <w:shd w:val="clear" w:color="auto" w:fill="FFFFFF" w:themeFill="background1"/>
            <w:vAlign w:val="center"/>
          </w:tcPr>
          <w:p w14:paraId="254A922E" w14:textId="77777777" w:rsidR="00367110" w:rsidRPr="00540422" w:rsidRDefault="00367110" w:rsidP="00395CD4">
            <w:pPr>
              <w:keepNext/>
              <w:tabs>
                <w:tab w:val="right" w:pos="2361"/>
              </w:tabs>
              <w:jc w:val="left"/>
              <w:rPr>
                <w:rFonts w:ascii="Arial Narrow" w:eastAsiaTheme="majorEastAsia" w:hAnsi="Arial Narrow" w:cstheme="majorBidi"/>
                <w:bCs/>
                <w:sz w:val="20"/>
                <w:szCs w:val="20"/>
              </w:rPr>
            </w:pPr>
            <w:r w:rsidRPr="00540422">
              <w:rPr>
                <w:rFonts w:ascii="Arial Narrow" w:eastAsiaTheme="majorEastAsia" w:hAnsi="Arial Narrow" w:cstheme="majorBidi"/>
                <w:bCs/>
                <w:sz w:val="20"/>
                <w:szCs w:val="20"/>
              </w:rPr>
              <w:t>Net difference in cost to PBS (excl. copayment)</w:t>
            </w:r>
          </w:p>
        </w:tc>
        <w:tc>
          <w:tcPr>
            <w:tcW w:w="584" w:type="pct"/>
            <w:shd w:val="clear" w:color="auto" w:fill="FFFFFF" w:themeFill="background1"/>
            <w:vAlign w:val="center"/>
          </w:tcPr>
          <w:p w14:paraId="38D6AD80" w14:textId="77777777" w:rsidR="00367110" w:rsidRPr="009E2AA7" w:rsidRDefault="009E2AA7" w:rsidP="00395CD4">
            <w:pPr>
              <w:keepNext/>
              <w:jc w:val="center"/>
              <w:rPr>
                <w:rFonts w:ascii="Arial Narrow" w:eastAsiaTheme="majorEastAsia" w:hAnsi="Arial Narrow" w:cstheme="majorBidi"/>
                <w:b/>
                <w:bCs/>
                <w:sz w:val="20"/>
                <w:szCs w:val="20"/>
              </w:rPr>
            </w:pPr>
            <w:r>
              <w:rPr>
                <w:rFonts w:ascii="Arial Narrow" w:eastAsiaTheme="majorEastAsia" w:hAnsi="Arial Narrow" w:cstheme="majorBidi"/>
                <w:b/>
                <w:bCs/>
                <w:noProof/>
                <w:color w:val="000000"/>
                <w:sz w:val="20"/>
                <w:szCs w:val="20"/>
                <w:highlight w:val="black"/>
              </w:rPr>
              <w:t>''''''''''''''''''''</w:t>
            </w:r>
            <w:r w:rsidR="00C8183E">
              <w:rPr>
                <w:rFonts w:ascii="Arial Narrow" w:eastAsiaTheme="majorEastAsia" w:hAnsi="Arial Narrow" w:cstheme="majorBidi"/>
                <w:bCs/>
                <w:sz w:val="20"/>
                <w:vertAlign w:val="superscript"/>
              </w:rPr>
              <w:t>4</w:t>
            </w:r>
          </w:p>
        </w:tc>
        <w:tc>
          <w:tcPr>
            <w:tcW w:w="585" w:type="pct"/>
            <w:shd w:val="clear" w:color="auto" w:fill="FFFFFF" w:themeFill="background1"/>
            <w:vAlign w:val="center"/>
          </w:tcPr>
          <w:p w14:paraId="1ECAE995" w14:textId="77777777" w:rsidR="00367110" w:rsidRPr="009E2AA7" w:rsidRDefault="009E2AA7" w:rsidP="00395CD4">
            <w:pPr>
              <w:keepNext/>
              <w:jc w:val="center"/>
              <w:rPr>
                <w:rFonts w:ascii="Arial Narrow" w:eastAsiaTheme="majorEastAsia" w:hAnsi="Arial Narrow" w:cstheme="majorBidi"/>
                <w:b/>
                <w:bCs/>
                <w:sz w:val="20"/>
                <w:szCs w:val="20"/>
              </w:rPr>
            </w:pPr>
            <w:r>
              <w:rPr>
                <w:rFonts w:ascii="Arial Narrow" w:eastAsiaTheme="majorEastAsia" w:hAnsi="Arial Narrow" w:cstheme="majorBidi"/>
                <w:b/>
                <w:bCs/>
                <w:noProof/>
                <w:color w:val="000000"/>
                <w:sz w:val="20"/>
                <w:szCs w:val="20"/>
                <w:highlight w:val="black"/>
              </w:rPr>
              <w:t>'''''''''''''''''''</w:t>
            </w:r>
            <w:r w:rsidR="00C8183E">
              <w:rPr>
                <w:rFonts w:ascii="Arial Narrow" w:eastAsiaTheme="majorEastAsia" w:hAnsi="Arial Narrow" w:cstheme="majorBidi"/>
                <w:bCs/>
                <w:sz w:val="20"/>
                <w:vertAlign w:val="superscript"/>
              </w:rPr>
              <w:t>4</w:t>
            </w:r>
          </w:p>
        </w:tc>
        <w:tc>
          <w:tcPr>
            <w:tcW w:w="585" w:type="pct"/>
            <w:shd w:val="clear" w:color="auto" w:fill="FFFFFF" w:themeFill="background1"/>
            <w:vAlign w:val="center"/>
          </w:tcPr>
          <w:p w14:paraId="696FCA0D" w14:textId="77777777" w:rsidR="00367110" w:rsidRPr="009E2AA7" w:rsidRDefault="009E2AA7" w:rsidP="00395CD4">
            <w:pPr>
              <w:keepNext/>
              <w:jc w:val="center"/>
              <w:rPr>
                <w:rFonts w:ascii="Arial Narrow" w:eastAsiaTheme="majorEastAsia" w:hAnsi="Arial Narrow" w:cstheme="majorBidi"/>
                <w:b/>
                <w:bCs/>
                <w:sz w:val="20"/>
                <w:szCs w:val="20"/>
              </w:rPr>
            </w:pPr>
            <w:r>
              <w:rPr>
                <w:rFonts w:ascii="Arial Narrow" w:eastAsiaTheme="majorEastAsia" w:hAnsi="Arial Narrow" w:cstheme="majorBidi"/>
                <w:b/>
                <w:bCs/>
                <w:noProof/>
                <w:color w:val="000000"/>
                <w:sz w:val="20"/>
                <w:szCs w:val="20"/>
                <w:highlight w:val="black"/>
              </w:rPr>
              <w:t>'''''''''''''''''''</w:t>
            </w:r>
            <w:r w:rsidR="00C8183E">
              <w:rPr>
                <w:rFonts w:ascii="Arial Narrow" w:eastAsiaTheme="majorEastAsia" w:hAnsi="Arial Narrow" w:cstheme="majorBidi"/>
                <w:bCs/>
                <w:sz w:val="20"/>
                <w:vertAlign w:val="superscript"/>
              </w:rPr>
              <w:t>4</w:t>
            </w:r>
          </w:p>
        </w:tc>
        <w:tc>
          <w:tcPr>
            <w:tcW w:w="585" w:type="pct"/>
            <w:shd w:val="clear" w:color="auto" w:fill="FFFFFF" w:themeFill="background1"/>
            <w:vAlign w:val="center"/>
          </w:tcPr>
          <w:p w14:paraId="00A73529" w14:textId="77777777" w:rsidR="00367110" w:rsidRPr="009E2AA7" w:rsidRDefault="009E2AA7" w:rsidP="00395CD4">
            <w:pPr>
              <w:keepNext/>
              <w:jc w:val="center"/>
              <w:rPr>
                <w:rFonts w:ascii="Arial Narrow" w:eastAsiaTheme="majorEastAsia" w:hAnsi="Arial Narrow" w:cstheme="majorBidi"/>
                <w:b/>
                <w:bCs/>
                <w:sz w:val="20"/>
                <w:szCs w:val="20"/>
              </w:rPr>
            </w:pPr>
            <w:r>
              <w:rPr>
                <w:rFonts w:ascii="Arial Narrow" w:eastAsiaTheme="majorEastAsia" w:hAnsi="Arial Narrow" w:cstheme="majorBidi"/>
                <w:b/>
                <w:bCs/>
                <w:noProof/>
                <w:color w:val="000000"/>
                <w:sz w:val="20"/>
                <w:szCs w:val="20"/>
                <w:highlight w:val="black"/>
              </w:rPr>
              <w:t>''''''''''''''''''''''</w:t>
            </w:r>
            <w:r w:rsidR="00C8183E">
              <w:rPr>
                <w:rFonts w:ascii="Arial Narrow" w:eastAsiaTheme="majorEastAsia" w:hAnsi="Arial Narrow" w:cstheme="majorBidi"/>
                <w:bCs/>
                <w:sz w:val="20"/>
                <w:vertAlign w:val="superscript"/>
              </w:rPr>
              <w:t>4</w:t>
            </w:r>
          </w:p>
        </w:tc>
        <w:tc>
          <w:tcPr>
            <w:tcW w:w="585" w:type="pct"/>
            <w:shd w:val="clear" w:color="auto" w:fill="FFFFFF" w:themeFill="background1"/>
            <w:vAlign w:val="center"/>
          </w:tcPr>
          <w:p w14:paraId="29AF109B" w14:textId="77777777" w:rsidR="00367110" w:rsidRPr="009E2AA7" w:rsidRDefault="009E2AA7" w:rsidP="00395CD4">
            <w:pPr>
              <w:keepNext/>
              <w:jc w:val="center"/>
              <w:rPr>
                <w:rFonts w:ascii="Arial Narrow" w:eastAsiaTheme="majorEastAsia" w:hAnsi="Arial Narrow" w:cstheme="majorBidi"/>
                <w:b/>
                <w:bCs/>
                <w:sz w:val="20"/>
                <w:szCs w:val="20"/>
              </w:rPr>
            </w:pPr>
            <w:r>
              <w:rPr>
                <w:rFonts w:ascii="Arial Narrow" w:eastAsiaTheme="majorEastAsia" w:hAnsi="Arial Narrow" w:cstheme="majorBidi"/>
                <w:b/>
                <w:bCs/>
                <w:noProof/>
                <w:color w:val="000000"/>
                <w:sz w:val="20"/>
                <w:szCs w:val="20"/>
                <w:highlight w:val="black"/>
              </w:rPr>
              <w:t>''''''''''''''''''''''</w:t>
            </w:r>
            <w:r w:rsidR="00C8183E">
              <w:rPr>
                <w:rFonts w:ascii="Arial Narrow" w:eastAsiaTheme="majorEastAsia" w:hAnsi="Arial Narrow" w:cstheme="majorBidi"/>
                <w:bCs/>
                <w:sz w:val="20"/>
                <w:vertAlign w:val="superscript"/>
              </w:rPr>
              <w:t>4</w:t>
            </w:r>
          </w:p>
        </w:tc>
        <w:tc>
          <w:tcPr>
            <w:tcW w:w="585" w:type="pct"/>
            <w:shd w:val="clear" w:color="auto" w:fill="FFFFFF" w:themeFill="background1"/>
            <w:vAlign w:val="center"/>
          </w:tcPr>
          <w:p w14:paraId="3C1CD251" w14:textId="77777777" w:rsidR="00367110" w:rsidRPr="009E2AA7" w:rsidRDefault="009E2AA7" w:rsidP="00395CD4">
            <w:pPr>
              <w:keepNext/>
              <w:jc w:val="center"/>
              <w:rPr>
                <w:rFonts w:ascii="Arial Narrow" w:eastAsiaTheme="majorEastAsia" w:hAnsi="Arial Narrow" w:cstheme="majorBidi"/>
                <w:b/>
                <w:bCs/>
                <w:sz w:val="20"/>
                <w:szCs w:val="20"/>
              </w:rPr>
            </w:pPr>
            <w:r>
              <w:rPr>
                <w:rFonts w:ascii="Arial Narrow" w:eastAsiaTheme="majorEastAsia" w:hAnsi="Arial Narrow" w:cstheme="majorBidi"/>
                <w:b/>
                <w:bCs/>
                <w:noProof/>
                <w:color w:val="000000"/>
                <w:sz w:val="20"/>
                <w:szCs w:val="20"/>
                <w:highlight w:val="black"/>
              </w:rPr>
              <w:t>''''''''''''''''''''''</w:t>
            </w:r>
            <w:r w:rsidR="00C8183E">
              <w:rPr>
                <w:rFonts w:ascii="Arial Narrow" w:eastAsiaTheme="majorEastAsia" w:hAnsi="Arial Narrow" w:cstheme="majorBidi"/>
                <w:bCs/>
                <w:sz w:val="20"/>
                <w:vertAlign w:val="superscript"/>
              </w:rPr>
              <w:t>4</w:t>
            </w:r>
          </w:p>
        </w:tc>
      </w:tr>
    </w:tbl>
    <w:p w14:paraId="4F9086D8" w14:textId="77777777" w:rsidR="00367110" w:rsidRPr="00540422" w:rsidRDefault="00367110" w:rsidP="00367110">
      <w:pPr>
        <w:pStyle w:val="TableFigureFooter"/>
      </w:pPr>
      <w:r w:rsidRPr="00540422">
        <w:t>Source: Buvidal_BIM updated_July 2021.xlsx</w:t>
      </w:r>
    </w:p>
    <w:p w14:paraId="7691DE5D" w14:textId="77777777" w:rsidR="00367110" w:rsidRPr="00540422" w:rsidRDefault="00367110" w:rsidP="00367110">
      <w:pPr>
        <w:pStyle w:val="TableFigureFooter"/>
      </w:pPr>
      <w:r w:rsidRPr="00540422">
        <w:t xml:space="preserve">Abbreviations: </w:t>
      </w:r>
      <w:r w:rsidRPr="00540422">
        <w:rPr>
          <w:bCs/>
          <w:szCs w:val="18"/>
        </w:rPr>
        <w:t xml:space="preserve">AEMP, approved ex-manufacturer price; </w:t>
      </w:r>
      <w:r w:rsidRPr="00540422">
        <w:t>BPN, buprenorphine; NX, naloxone; OST, opioid substitution t</w:t>
      </w:r>
      <w:r w:rsidR="00D72510" w:rsidRPr="00540422">
        <w:t>herapy</w:t>
      </w:r>
      <w:r w:rsidRPr="00540422">
        <w:t>; PR, prolonged release; q1w, once weekly; q4w, once every 4 weeks</w:t>
      </w:r>
    </w:p>
    <w:p w14:paraId="550C8414" w14:textId="77777777" w:rsidR="00367110" w:rsidRPr="00540422" w:rsidRDefault="00367110" w:rsidP="00367110">
      <w:pPr>
        <w:pStyle w:val="TableFigureFooter"/>
      </w:pPr>
      <w:r w:rsidRPr="00540422">
        <w:rPr>
          <w:vertAlign w:val="superscript"/>
        </w:rPr>
        <w:t>a</w:t>
      </w:r>
      <w:r w:rsidRPr="00540422">
        <w:t xml:space="preserve"> Based on a DPMQ of $</w:t>
      </w:r>
      <w:r w:rsidRPr="00FA0E2D">
        <w:t>116.24</w:t>
      </w:r>
      <w:r w:rsidRPr="00540422">
        <w:t xml:space="preserve"> for q1w and $</w:t>
      </w:r>
      <w:r w:rsidRPr="00FA0E2D">
        <w:t>429.16</w:t>
      </w:r>
      <w:r w:rsidRPr="00540422">
        <w:t xml:space="preserve"> for q4w PR BPN; and relative use of 25.3% q1w/74.7% q4w from HS-14-499.</w:t>
      </w:r>
    </w:p>
    <w:p w14:paraId="5C33DB7D" w14:textId="77777777" w:rsidR="00367110" w:rsidRPr="00540422" w:rsidRDefault="00367110" w:rsidP="00367110">
      <w:pPr>
        <w:pStyle w:val="TableFigureFooter"/>
      </w:pPr>
      <w:proofErr w:type="gramStart"/>
      <w:r w:rsidRPr="00540422">
        <w:rPr>
          <w:vertAlign w:val="superscript"/>
        </w:rPr>
        <w:t>b</w:t>
      </w:r>
      <w:proofErr w:type="gramEnd"/>
      <w:r w:rsidRPr="00540422">
        <w:t xml:space="preserve"> Based on a DPMQ of $</w:t>
      </w:r>
      <w:r w:rsidR="009E2AA7">
        <w:rPr>
          <w:noProof/>
          <w:color w:val="000000"/>
          <w:highlight w:val="black"/>
        </w:rPr>
        <w:t>'''''''''''''''</w:t>
      </w:r>
      <w:r w:rsidRPr="00540422">
        <w:t xml:space="preserve"> for q1w and $</w:t>
      </w:r>
      <w:r w:rsidR="009E2AA7">
        <w:rPr>
          <w:noProof/>
          <w:color w:val="000000"/>
          <w:highlight w:val="black"/>
        </w:rPr>
        <w:t>''''''''''''''''</w:t>
      </w:r>
      <w:r w:rsidRPr="00540422">
        <w:t xml:space="preserve"> for q4w PR BPN; and relative use of 25.3% q1w/74.7% q4w from HS-14-499.</w:t>
      </w:r>
    </w:p>
    <w:p w14:paraId="4C783DA6" w14:textId="4BB0EB28" w:rsidR="00367110" w:rsidRDefault="001412AD" w:rsidP="00367110">
      <w:pPr>
        <w:pStyle w:val="TableFigureFooter"/>
      </w:pPr>
      <w:proofErr w:type="gramStart"/>
      <w:r>
        <w:rPr>
          <w:vertAlign w:val="superscript"/>
        </w:rPr>
        <w:t>c</w:t>
      </w:r>
      <w:bookmarkStart w:id="27" w:name="_GoBack"/>
      <w:bookmarkEnd w:id="27"/>
      <w:proofErr w:type="gramEnd"/>
      <w:r w:rsidR="00367110" w:rsidRPr="00540422">
        <w:t xml:space="preserve"> Based on 4 scripts per 28 days of q1w and 1 script per 28 days of q4w PR BPN; and relative use of 25.3% q1w/74.7% q4w from HS-14-499.</w:t>
      </w:r>
    </w:p>
    <w:p w14:paraId="3BE1F115" w14:textId="77777777" w:rsidR="00304F0A" w:rsidRDefault="00304F0A" w:rsidP="00304F0A">
      <w:pPr>
        <w:pStyle w:val="TableFigureFooter"/>
        <w:spacing w:after="0"/>
        <w:contextualSpacing w:val="0"/>
        <w:rPr>
          <w:i/>
        </w:rPr>
      </w:pPr>
      <w:r w:rsidRPr="009868C4">
        <w:rPr>
          <w:i/>
        </w:rPr>
        <w:t>The redacted values correspond to the following ranges</w:t>
      </w:r>
      <w:r>
        <w:rPr>
          <w:i/>
        </w:rPr>
        <w:t xml:space="preserve">: </w:t>
      </w:r>
    </w:p>
    <w:p w14:paraId="65EA7C0F" w14:textId="77777777" w:rsidR="00304F0A" w:rsidRPr="00870C5D" w:rsidRDefault="00304F0A" w:rsidP="00304F0A">
      <w:pPr>
        <w:pStyle w:val="TableFigureFooter"/>
        <w:spacing w:after="0"/>
        <w:contextualSpacing w:val="0"/>
      </w:pPr>
      <w:r>
        <w:rPr>
          <w:i/>
          <w:vertAlign w:val="superscript"/>
        </w:rPr>
        <w:t>1</w:t>
      </w:r>
      <w:r>
        <w:rPr>
          <w:i/>
        </w:rPr>
        <w:t xml:space="preserve"> </w:t>
      </w:r>
      <w:r w:rsidRPr="00304F0A">
        <w:rPr>
          <w:i/>
        </w:rPr>
        <w:t>5,000 to &lt; 10,000</w:t>
      </w:r>
    </w:p>
    <w:p w14:paraId="6FA62596" w14:textId="77777777" w:rsidR="00304F0A" w:rsidRPr="00870C5D" w:rsidRDefault="00304F0A" w:rsidP="00304F0A">
      <w:pPr>
        <w:pStyle w:val="TableFigureFooter"/>
        <w:spacing w:after="0"/>
        <w:contextualSpacing w:val="0"/>
      </w:pPr>
      <w:r>
        <w:rPr>
          <w:i/>
          <w:vertAlign w:val="superscript"/>
        </w:rPr>
        <w:t>2</w:t>
      </w:r>
      <w:r>
        <w:rPr>
          <w:i/>
        </w:rPr>
        <w:t xml:space="preserve"> </w:t>
      </w:r>
      <w:r w:rsidRPr="00304F0A">
        <w:rPr>
          <w:i/>
        </w:rPr>
        <w:t>500 to &lt; 5,000</w:t>
      </w:r>
    </w:p>
    <w:p w14:paraId="53FCD909" w14:textId="77777777" w:rsidR="00304F0A" w:rsidRPr="00870C5D" w:rsidRDefault="00304F0A" w:rsidP="00304F0A">
      <w:pPr>
        <w:pStyle w:val="TableFigureFooter"/>
        <w:spacing w:after="0"/>
        <w:contextualSpacing w:val="0"/>
      </w:pPr>
      <w:r>
        <w:rPr>
          <w:i/>
          <w:vertAlign w:val="superscript"/>
        </w:rPr>
        <w:t>3</w:t>
      </w:r>
      <w:r>
        <w:rPr>
          <w:i/>
        </w:rPr>
        <w:t xml:space="preserve"> </w:t>
      </w:r>
      <w:r w:rsidRPr="00304F0A">
        <w:rPr>
          <w:i/>
        </w:rPr>
        <w:t>$30 million to &lt; $40 million</w:t>
      </w:r>
    </w:p>
    <w:p w14:paraId="261F1DB1" w14:textId="77777777" w:rsidR="00304F0A" w:rsidRPr="00870C5D" w:rsidRDefault="00304F0A" w:rsidP="00304F0A">
      <w:pPr>
        <w:pStyle w:val="TableFigureFooter"/>
        <w:spacing w:after="0"/>
        <w:contextualSpacing w:val="0"/>
      </w:pPr>
      <w:r>
        <w:rPr>
          <w:i/>
          <w:vertAlign w:val="superscript"/>
        </w:rPr>
        <w:t>4</w:t>
      </w:r>
      <w:r>
        <w:rPr>
          <w:i/>
        </w:rPr>
        <w:t xml:space="preserve"> </w:t>
      </w:r>
      <w:r w:rsidRPr="00304F0A">
        <w:rPr>
          <w:i/>
        </w:rPr>
        <w:t>$0 to &lt; $10 million</w:t>
      </w:r>
    </w:p>
    <w:p w14:paraId="12C2C69A" w14:textId="77777777" w:rsidR="00304F0A" w:rsidRPr="00870C5D" w:rsidRDefault="00304F0A" w:rsidP="00304F0A">
      <w:pPr>
        <w:pStyle w:val="TableFigureFooter"/>
        <w:spacing w:after="0"/>
        <w:contextualSpacing w:val="0"/>
      </w:pPr>
      <w:r>
        <w:rPr>
          <w:i/>
          <w:vertAlign w:val="superscript"/>
        </w:rPr>
        <w:t>5</w:t>
      </w:r>
      <w:r>
        <w:rPr>
          <w:i/>
        </w:rPr>
        <w:t xml:space="preserve"> </w:t>
      </w:r>
      <w:r w:rsidRPr="00304F0A">
        <w:rPr>
          <w:i/>
        </w:rPr>
        <w:t>$40 million to &lt; $50 million</w:t>
      </w:r>
    </w:p>
    <w:p w14:paraId="5549B75E" w14:textId="77777777" w:rsidR="00304F0A" w:rsidRPr="00540422" w:rsidRDefault="00304F0A" w:rsidP="00367110">
      <w:pPr>
        <w:pStyle w:val="TableFigureFooter"/>
      </w:pPr>
    </w:p>
    <w:p w14:paraId="080C7E8C" w14:textId="77777777" w:rsidR="00367110" w:rsidRPr="00540422" w:rsidRDefault="00367110" w:rsidP="00CF4D41">
      <w:pPr>
        <w:pStyle w:val="ExecSumBodyText"/>
      </w:pPr>
      <w:r w:rsidRPr="00540422">
        <w:t xml:space="preserve">Based on a Section 100 listing at the higher proposed price, the submission estimated that the cost to the PBS of prolonged release buprenorphine was up to </w:t>
      </w:r>
      <w:r w:rsidR="00FA0E2D" w:rsidRPr="00FA0E2D">
        <w:t>$30 million to &lt; $40 million</w:t>
      </w:r>
      <w:r w:rsidRPr="00540422">
        <w:t xml:space="preserve"> in Year 6, a total of </w:t>
      </w:r>
      <w:r w:rsidR="00FA0E2D" w:rsidRPr="00FA0E2D">
        <w:t>$200 million to &lt; $300 million</w:t>
      </w:r>
      <w:r w:rsidR="00894A6C">
        <w:t xml:space="preserve"> </w:t>
      </w:r>
      <w:r w:rsidRPr="00540422">
        <w:t xml:space="preserve">over 6 years, with an incremental cost to the PBS of the proposed price increase of up to </w:t>
      </w:r>
      <w:r w:rsidR="00CF4D41" w:rsidRPr="00CF4D41">
        <w:t>$0 to &lt; $10 million</w:t>
      </w:r>
      <w:r w:rsidR="00CF4D41">
        <w:t xml:space="preserve"> </w:t>
      </w:r>
      <w:r w:rsidRPr="00540422">
        <w:t xml:space="preserve">in Year 6, a total of </w:t>
      </w:r>
      <w:r w:rsidR="00FA0E2D" w:rsidRPr="00FA0E2D">
        <w:t>$10 million to &lt; $20 million</w:t>
      </w:r>
      <w:r w:rsidRPr="00540422">
        <w:t xml:space="preserve"> over 6 years.</w:t>
      </w:r>
    </w:p>
    <w:p w14:paraId="625F7BD4" w14:textId="77777777" w:rsidR="00367110" w:rsidRPr="00540422" w:rsidRDefault="00367110" w:rsidP="00304F0A">
      <w:pPr>
        <w:pStyle w:val="ExecSumBodyText"/>
      </w:pPr>
      <w:r w:rsidRPr="00540422">
        <w:t xml:space="preserve">Based on a Section 85 listing at the current PBS price, the submission estimated that the cost to the PBS of prolonged release buprenorphine was up to </w:t>
      </w:r>
      <w:r w:rsidR="00304F0A" w:rsidRPr="00304F0A">
        <w:t>$30 million to &lt; $40 million</w:t>
      </w:r>
      <w:r w:rsidRPr="00540422">
        <w:t xml:space="preserve"> in Year 6, a total of </w:t>
      </w:r>
      <w:r w:rsidR="00304F0A" w:rsidRPr="00304F0A">
        <w:t>$200 million to &lt; $300 million</w:t>
      </w:r>
      <w:r w:rsidR="006D4F9D">
        <w:t xml:space="preserve"> </w:t>
      </w:r>
      <w:r w:rsidRPr="00540422">
        <w:t xml:space="preserve">over 6 years, with an incremental cost to the PBS of the proposed price increase of up to </w:t>
      </w:r>
      <w:r w:rsidR="00304F0A" w:rsidRPr="00304F0A">
        <w:t>$0 to &lt; $10 million</w:t>
      </w:r>
      <w:r w:rsidRPr="00540422">
        <w:t xml:space="preserve"> in Year 6, a total of </w:t>
      </w:r>
      <w:r w:rsidR="00304F0A" w:rsidRPr="00304F0A">
        <w:t>$10 million to &lt; $20 million</w:t>
      </w:r>
      <w:r w:rsidR="00304F0A">
        <w:t xml:space="preserve"> </w:t>
      </w:r>
      <w:r w:rsidRPr="00540422">
        <w:t>over 6 years.</w:t>
      </w:r>
    </w:p>
    <w:p w14:paraId="041E4BFC" w14:textId="77777777" w:rsidR="00367110" w:rsidRPr="00540422" w:rsidRDefault="00367110" w:rsidP="00304F0A">
      <w:pPr>
        <w:pStyle w:val="ExecSumBodyText"/>
        <w:rPr>
          <w:color w:val="0066FF"/>
        </w:rPr>
      </w:pPr>
      <w:r w:rsidRPr="00540422">
        <w:t xml:space="preserve">Based on a Section 85 listing at the higher proposed price, the submission estimated that the cost to the PBS of prolonged release buprenorphine was up to </w:t>
      </w:r>
      <w:r w:rsidR="00304F0A" w:rsidRPr="00304F0A">
        <w:t>$40 million to &lt; $50 million</w:t>
      </w:r>
      <w:r w:rsidR="00304F0A">
        <w:t xml:space="preserve"> </w:t>
      </w:r>
      <w:r w:rsidRPr="00540422">
        <w:t xml:space="preserve">in Year 6, a total of </w:t>
      </w:r>
      <w:r w:rsidR="00304F0A" w:rsidRPr="00304F0A">
        <w:t>$200 million to &lt; $300 million</w:t>
      </w:r>
      <w:r w:rsidR="00304F0A">
        <w:t xml:space="preserve"> </w:t>
      </w:r>
      <w:r w:rsidRPr="00540422">
        <w:t xml:space="preserve">over 6 years, with an incremental cost to the PBS of the proposed price increase of up to </w:t>
      </w:r>
      <w:r w:rsidR="00304F0A" w:rsidRPr="00304F0A">
        <w:t>$0 to &lt; $10 million</w:t>
      </w:r>
      <w:r w:rsidR="00304F0A">
        <w:t xml:space="preserve"> </w:t>
      </w:r>
      <w:r w:rsidRPr="00540422">
        <w:t xml:space="preserve">in Year 6, a total of </w:t>
      </w:r>
      <w:r w:rsidR="00304F0A" w:rsidRPr="00304F0A">
        <w:t>$30 million to &lt; $40 million</w:t>
      </w:r>
      <w:r w:rsidR="00304F0A">
        <w:t xml:space="preserve"> </w:t>
      </w:r>
      <w:r w:rsidRPr="00540422">
        <w:t>over 6 years.</w:t>
      </w:r>
      <w:r w:rsidRPr="00540422">
        <w:rPr>
          <w:color w:val="0066FF"/>
        </w:rPr>
        <w:t xml:space="preserve"> </w:t>
      </w:r>
    </w:p>
    <w:p w14:paraId="1955BF77" w14:textId="77777777" w:rsidR="00CD3B22" w:rsidRPr="00540422" w:rsidRDefault="00CD3B22" w:rsidP="00304F0A">
      <w:pPr>
        <w:pStyle w:val="ExecSumBodyText"/>
      </w:pPr>
      <w:r w:rsidRPr="00540422">
        <w:t xml:space="preserve">The submission estimated cost offsets from substituted OST medicines of up to </w:t>
      </w:r>
      <w:r w:rsidR="00304F0A" w:rsidRPr="00304F0A">
        <w:t>10 million to &lt; $20 million</w:t>
      </w:r>
      <w:r w:rsidRPr="00540422">
        <w:t xml:space="preserve"> in Year 6, with total cost offsets over 6 years of </w:t>
      </w:r>
      <w:r w:rsidR="00304F0A" w:rsidRPr="00304F0A">
        <w:t>$80 million to &lt; $90 million</w:t>
      </w:r>
      <w:r w:rsidRPr="00540422">
        <w:t>. The cost offsets to the PBS of substituted OST medicines are the same across the current listing and proposed listing scenarios, and therefore do not affect the net financial implications.</w:t>
      </w:r>
    </w:p>
    <w:p w14:paraId="099F058F" w14:textId="77777777" w:rsidR="00CD3B22" w:rsidRPr="00540422" w:rsidRDefault="00215D33" w:rsidP="00954148">
      <w:pPr>
        <w:pStyle w:val="ExecSumBodyText"/>
      </w:pPr>
      <w:r w:rsidRPr="00540422">
        <w:t>The submission estimated the net costs to the MBS associated with the proposed listing compared to the current PBS listing, based on the costs of prescribing and administration estimated in the cost-minimisation analysis. However, the financial impact to the MBS is the same under the current listing scenario and the proposed listing scenarios</w:t>
      </w:r>
      <w:r w:rsidR="0009194D" w:rsidRPr="00540422">
        <w:t>,</w:t>
      </w:r>
      <w:r w:rsidRPr="00540422">
        <w:t xml:space="preserve"> with no net costs to the MBS.</w:t>
      </w:r>
    </w:p>
    <w:p w14:paraId="34A503CF" w14:textId="77777777" w:rsidR="00AC0B43" w:rsidRPr="00540422" w:rsidRDefault="00761B25" w:rsidP="0009194D">
      <w:pPr>
        <w:pStyle w:val="ExecSumBodyText"/>
        <w:numPr>
          <w:ilvl w:val="1"/>
          <w:numId w:val="1"/>
        </w:numPr>
        <w:spacing w:after="0"/>
        <w:contextualSpacing/>
      </w:pPr>
      <w:r w:rsidRPr="002E7996">
        <w:rPr>
          <w:iCs/>
        </w:rPr>
        <w:t xml:space="preserve">The ESC agreed with the evaluation that </w:t>
      </w:r>
      <w:r w:rsidRPr="002E7996">
        <w:t>t</w:t>
      </w:r>
      <w:r w:rsidR="00AC0B43" w:rsidRPr="002E7996">
        <w:t>he estimated financial implications</w:t>
      </w:r>
      <w:r w:rsidR="00AC0B43" w:rsidRPr="00540422">
        <w:t xml:space="preserve"> to the PBS of the proposed Section 85/Section 100 listing and price increase for prolonged release buprenorphine were uncertain for the following reasons:</w:t>
      </w:r>
    </w:p>
    <w:p w14:paraId="398FF344" w14:textId="77777777" w:rsidR="00AC0B43" w:rsidRPr="00540422" w:rsidRDefault="00AC0B43" w:rsidP="00485DE9">
      <w:pPr>
        <w:widowControl w:val="0"/>
        <w:numPr>
          <w:ilvl w:val="0"/>
          <w:numId w:val="10"/>
        </w:numPr>
        <w:spacing w:after="120"/>
        <w:ind w:left="1077" w:hanging="357"/>
        <w:contextualSpacing/>
      </w:pPr>
      <w:r w:rsidRPr="00540422">
        <w:t xml:space="preserve">At the November 2018 and March 2019 meetings the PBAC considered the likely substitution from other </w:t>
      </w:r>
      <w:r w:rsidR="00D72510" w:rsidRPr="00540422">
        <w:t>OST</w:t>
      </w:r>
      <w:r w:rsidRPr="00540422">
        <w:t xml:space="preserve"> could not be reliably determined until the practice model is known (para 7.9, Buprenorphine PSD, November 2018 PBAC meeting; para paragraph 6.16, Buprenorphine PSD, March 2019 PBAC meeting). Prolonged release buprenorphine has been listed on the PBS since September 2019 and several practice models have been established. However, </w:t>
      </w:r>
      <w:r w:rsidR="00954148" w:rsidRPr="00540422">
        <w:t>estimates</w:t>
      </w:r>
      <w:r w:rsidRPr="00540422">
        <w:t xml:space="preserve"> o</w:t>
      </w:r>
      <w:r w:rsidR="005F4578" w:rsidRPr="00540422">
        <w:t>f</w:t>
      </w:r>
      <w:r w:rsidRPr="00540422">
        <w:t xml:space="preserve"> uptake from the overall OST market and the proportions of uptake from other </w:t>
      </w:r>
      <w:r w:rsidR="00D72510" w:rsidRPr="00540422">
        <w:t>OST</w:t>
      </w:r>
      <w:r w:rsidRPr="00540422">
        <w:t xml:space="preserve"> remain unchanged, and were not informed by prolonged release buprenorphine utilisation data from the NOPSAD 2020 </w:t>
      </w:r>
      <w:r w:rsidR="005F4578" w:rsidRPr="00540422">
        <w:t>snapshot</w:t>
      </w:r>
      <w:r w:rsidRPr="00540422">
        <w:t xml:space="preserve"> data.</w:t>
      </w:r>
    </w:p>
    <w:p w14:paraId="62745417" w14:textId="77777777" w:rsidR="00AC0B43" w:rsidRPr="00540422" w:rsidRDefault="00AC0B43" w:rsidP="00485DE9">
      <w:pPr>
        <w:widowControl w:val="0"/>
        <w:numPr>
          <w:ilvl w:val="0"/>
          <w:numId w:val="10"/>
        </w:numPr>
        <w:spacing w:after="120"/>
        <w:ind w:left="1077" w:hanging="357"/>
        <w:contextualSpacing/>
      </w:pPr>
      <w:r w:rsidRPr="00540422">
        <w:t>The assumed market growth of an additional 25% of uptake of prolonged release buprenorphine was not adequately justified or directly related to the estimated numbers of untreated eligible patients. Given this represents approximately 3.1% of the estimated untreated population, the estimated market growth may be underestimated.</w:t>
      </w:r>
    </w:p>
    <w:p w14:paraId="23CACEC6" w14:textId="77777777" w:rsidR="007952CD" w:rsidRPr="00540422" w:rsidRDefault="00AC0B43" w:rsidP="005738C5">
      <w:pPr>
        <w:widowControl w:val="0"/>
        <w:numPr>
          <w:ilvl w:val="0"/>
          <w:numId w:val="10"/>
        </w:numPr>
        <w:spacing w:after="120"/>
        <w:ind w:left="1077" w:hanging="357"/>
      </w:pPr>
      <w:r w:rsidRPr="00540422">
        <w:t xml:space="preserve">While the submission acknowledged that the onset of the COVID-19 pandemic had, to some extent, precipitated the current submission to the PBAC, the impact of COVID-19 was not considered in the estimated utilisation of prolonged release buprenorphine in the Australian setting. The impact of COVID-19 on the updated NOPSAD snapshot 2020 data, </w:t>
      </w:r>
      <w:r w:rsidR="00520DE3" w:rsidRPr="00540422">
        <w:t xml:space="preserve">and </w:t>
      </w:r>
      <w:r w:rsidRPr="00540422">
        <w:t>increased uptake of prolonged release buprenorphine in custodial and health services settings in Australia (Roberts 2021, Arunogiri 2021), may result in higher net costs to the PBS associated with the proposed changes in the submission.</w:t>
      </w:r>
    </w:p>
    <w:p w14:paraId="366B424B" w14:textId="77777777" w:rsidR="004C7C23" w:rsidRPr="002E7996" w:rsidRDefault="005762A7" w:rsidP="00761B25">
      <w:pPr>
        <w:pStyle w:val="ExecSumBodyText"/>
      </w:pPr>
      <w:r w:rsidRPr="002E7996">
        <w:t xml:space="preserve">The PSCR </w:t>
      </w:r>
      <w:r w:rsidR="004C7C23" w:rsidRPr="002E7996">
        <w:t xml:space="preserve">attempted to estimate the financial implications of a dual listing </w:t>
      </w:r>
      <w:r w:rsidR="001103FE" w:rsidRPr="002E7996">
        <w:t>for a</w:t>
      </w:r>
      <w:r w:rsidR="004C7C23" w:rsidRPr="002E7996">
        <w:t xml:space="preserve"> given uptake of Section 85 </w:t>
      </w:r>
      <w:r w:rsidR="001103FE" w:rsidRPr="002E7996">
        <w:t>(</w:t>
      </w:r>
      <w:r w:rsidR="00AD2F02" w:rsidRPr="002E7996">
        <w:t xml:space="preserve">ranging from </w:t>
      </w:r>
      <w:r w:rsidR="001103FE" w:rsidRPr="002E7996">
        <w:t>0-100%)</w:t>
      </w:r>
      <w:r w:rsidR="00FA019B" w:rsidRPr="002E7996">
        <w:t xml:space="preserve">. </w:t>
      </w:r>
      <w:r w:rsidR="004C7C23" w:rsidRPr="002E7996">
        <w:t xml:space="preserve">The PSCR also estimated the potential impact of a Section 85 listing if it were to grow the size of the </w:t>
      </w:r>
      <w:r w:rsidR="00390CC1" w:rsidRPr="002E7996">
        <w:t xml:space="preserve">treated </w:t>
      </w:r>
      <w:r w:rsidR="004C7C23" w:rsidRPr="002E7996">
        <w:t>market by an additional 20</w:t>
      </w:r>
      <w:r w:rsidR="00761B25" w:rsidRPr="002E7996">
        <w:t>-30%</w:t>
      </w:r>
      <w:r w:rsidR="004C7C23" w:rsidRPr="002E7996">
        <w:t xml:space="preserve"> (see Table 11 below).</w:t>
      </w:r>
    </w:p>
    <w:p w14:paraId="4BDB1235" w14:textId="77777777" w:rsidR="004C7C23" w:rsidRPr="002E7996" w:rsidRDefault="004C7C23" w:rsidP="004C7C23">
      <w:pPr>
        <w:pStyle w:val="ExecSumBodyText"/>
        <w:numPr>
          <w:ilvl w:val="0"/>
          <w:numId w:val="0"/>
        </w:numPr>
        <w:rPr>
          <w:rFonts w:ascii="Arial Narrow" w:hAnsi="Arial Narrow"/>
          <w:b/>
          <w:bCs/>
          <w:sz w:val="20"/>
          <w:szCs w:val="20"/>
        </w:rPr>
      </w:pPr>
      <w:r w:rsidRPr="002E7996">
        <w:rPr>
          <w:rFonts w:ascii="Arial Narrow" w:hAnsi="Arial Narrow"/>
          <w:b/>
          <w:bCs/>
          <w:sz w:val="20"/>
          <w:szCs w:val="20"/>
        </w:rPr>
        <w:t xml:space="preserve">Table 11: </w:t>
      </w:r>
      <w:r w:rsidR="001103FE" w:rsidRPr="002E7996">
        <w:rPr>
          <w:rFonts w:ascii="Arial Narrow" w:hAnsi="Arial Narrow"/>
          <w:b/>
          <w:bCs/>
          <w:sz w:val="20"/>
          <w:szCs w:val="20"/>
        </w:rPr>
        <w:t xml:space="preserve">Potential impact of a Section 85 listing if it grows the </w:t>
      </w:r>
      <w:r w:rsidR="00390CC1" w:rsidRPr="002E7996">
        <w:rPr>
          <w:rFonts w:ascii="Arial Narrow" w:hAnsi="Arial Narrow"/>
          <w:b/>
          <w:bCs/>
          <w:sz w:val="20"/>
          <w:szCs w:val="20"/>
        </w:rPr>
        <w:t xml:space="preserve">treated </w:t>
      </w:r>
      <w:r w:rsidR="001103FE" w:rsidRPr="002E7996">
        <w:rPr>
          <w:rFonts w:ascii="Arial Narrow" w:hAnsi="Arial Narrow"/>
          <w:b/>
          <w:bCs/>
          <w:sz w:val="20"/>
          <w:szCs w:val="20"/>
        </w:rPr>
        <w:t xml:space="preserve">market by an additional 20-30%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Potential impact of a Section 85 listing if it grows the treated market by an additional 20-30% "/>
      </w:tblPr>
      <w:tblGrid>
        <w:gridCol w:w="1545"/>
        <w:gridCol w:w="1313"/>
        <w:gridCol w:w="1282"/>
        <w:gridCol w:w="1282"/>
        <w:gridCol w:w="1188"/>
        <w:gridCol w:w="1251"/>
        <w:gridCol w:w="1156"/>
      </w:tblGrid>
      <w:tr w:rsidR="004C7C23" w:rsidRPr="002E7996" w14:paraId="01528A3B" w14:textId="77777777" w:rsidTr="00D72510">
        <w:trPr>
          <w:tblHeader/>
        </w:trPr>
        <w:tc>
          <w:tcPr>
            <w:tcW w:w="1573" w:type="pct"/>
            <w:tcBorders>
              <w:top w:val="single" w:sz="4" w:space="0" w:color="auto"/>
              <w:left w:val="single" w:sz="4" w:space="0" w:color="auto"/>
              <w:bottom w:val="single" w:sz="4" w:space="0" w:color="auto"/>
              <w:right w:val="single" w:sz="4" w:space="0" w:color="auto"/>
            </w:tcBorders>
          </w:tcPr>
          <w:p w14:paraId="2E5668BA" w14:textId="77777777" w:rsidR="004C7C23" w:rsidRPr="002E7996" w:rsidRDefault="004C7C23" w:rsidP="00D72510">
            <w:pPr>
              <w:pStyle w:val="TableText"/>
              <w:rPr>
                <w:b/>
                <w:bCs w:val="0"/>
              </w:rPr>
            </w:pPr>
            <w:r w:rsidRPr="002E7996">
              <w:rPr>
                <w:b/>
              </w:rPr>
              <w:t>Scenario</w:t>
            </w:r>
          </w:p>
        </w:tc>
        <w:tc>
          <w:tcPr>
            <w:tcW w:w="571" w:type="pct"/>
            <w:tcBorders>
              <w:top w:val="single" w:sz="4" w:space="0" w:color="auto"/>
              <w:left w:val="single" w:sz="4" w:space="0" w:color="auto"/>
              <w:bottom w:val="single" w:sz="4" w:space="0" w:color="auto"/>
              <w:right w:val="single" w:sz="4" w:space="0" w:color="auto"/>
            </w:tcBorders>
            <w:hideMark/>
          </w:tcPr>
          <w:p w14:paraId="43FC6982" w14:textId="77777777" w:rsidR="004C7C23" w:rsidRPr="002E7996" w:rsidRDefault="004C7C23" w:rsidP="00D72510">
            <w:pPr>
              <w:pStyle w:val="TableText"/>
              <w:rPr>
                <w:b/>
                <w:bCs w:val="0"/>
              </w:rPr>
            </w:pPr>
            <w:r w:rsidRPr="002E7996">
              <w:rPr>
                <w:b/>
              </w:rPr>
              <w:t>Year 1 (2022)</w:t>
            </w:r>
          </w:p>
        </w:tc>
        <w:tc>
          <w:tcPr>
            <w:tcW w:w="571" w:type="pct"/>
            <w:tcBorders>
              <w:top w:val="single" w:sz="4" w:space="0" w:color="auto"/>
              <w:left w:val="single" w:sz="4" w:space="0" w:color="auto"/>
              <w:bottom w:val="single" w:sz="4" w:space="0" w:color="auto"/>
              <w:right w:val="single" w:sz="4" w:space="0" w:color="auto"/>
            </w:tcBorders>
            <w:hideMark/>
          </w:tcPr>
          <w:p w14:paraId="45687412" w14:textId="77777777" w:rsidR="004C7C23" w:rsidRPr="002E7996" w:rsidRDefault="004C7C23" w:rsidP="00D72510">
            <w:pPr>
              <w:pStyle w:val="TableText"/>
              <w:rPr>
                <w:b/>
                <w:bCs w:val="0"/>
              </w:rPr>
            </w:pPr>
            <w:r w:rsidRPr="002E7996">
              <w:rPr>
                <w:b/>
              </w:rPr>
              <w:t>Year 2 (2023)</w:t>
            </w:r>
          </w:p>
        </w:tc>
        <w:tc>
          <w:tcPr>
            <w:tcW w:w="571" w:type="pct"/>
            <w:tcBorders>
              <w:top w:val="single" w:sz="4" w:space="0" w:color="auto"/>
              <w:left w:val="single" w:sz="4" w:space="0" w:color="auto"/>
              <w:bottom w:val="single" w:sz="4" w:space="0" w:color="auto"/>
              <w:right w:val="single" w:sz="4" w:space="0" w:color="auto"/>
            </w:tcBorders>
            <w:hideMark/>
          </w:tcPr>
          <w:p w14:paraId="5339BA31" w14:textId="77777777" w:rsidR="004C7C23" w:rsidRPr="002E7996" w:rsidRDefault="004C7C23" w:rsidP="00D72510">
            <w:pPr>
              <w:pStyle w:val="TableText"/>
              <w:rPr>
                <w:b/>
                <w:bCs w:val="0"/>
              </w:rPr>
            </w:pPr>
            <w:r w:rsidRPr="002E7996">
              <w:rPr>
                <w:b/>
              </w:rPr>
              <w:t>Year 3 (2024)</w:t>
            </w:r>
          </w:p>
        </w:tc>
        <w:tc>
          <w:tcPr>
            <w:tcW w:w="571" w:type="pct"/>
            <w:tcBorders>
              <w:top w:val="single" w:sz="4" w:space="0" w:color="auto"/>
              <w:left w:val="single" w:sz="4" w:space="0" w:color="auto"/>
              <w:bottom w:val="single" w:sz="4" w:space="0" w:color="auto"/>
              <w:right w:val="single" w:sz="4" w:space="0" w:color="auto"/>
            </w:tcBorders>
            <w:hideMark/>
          </w:tcPr>
          <w:p w14:paraId="68A8D9F7" w14:textId="77777777" w:rsidR="004C7C23" w:rsidRPr="002E7996" w:rsidRDefault="004C7C23" w:rsidP="00D72510">
            <w:pPr>
              <w:pStyle w:val="TableText"/>
              <w:rPr>
                <w:b/>
                <w:bCs w:val="0"/>
              </w:rPr>
            </w:pPr>
            <w:r w:rsidRPr="002E7996">
              <w:rPr>
                <w:b/>
              </w:rPr>
              <w:t>Year 4 (2025)</w:t>
            </w:r>
          </w:p>
        </w:tc>
        <w:tc>
          <w:tcPr>
            <w:tcW w:w="571" w:type="pct"/>
            <w:tcBorders>
              <w:top w:val="single" w:sz="4" w:space="0" w:color="auto"/>
              <w:left w:val="single" w:sz="4" w:space="0" w:color="auto"/>
              <w:bottom w:val="single" w:sz="4" w:space="0" w:color="auto"/>
              <w:right w:val="single" w:sz="4" w:space="0" w:color="auto"/>
            </w:tcBorders>
            <w:hideMark/>
          </w:tcPr>
          <w:p w14:paraId="30BED5B6" w14:textId="77777777" w:rsidR="004C7C23" w:rsidRPr="002E7996" w:rsidRDefault="004C7C23" w:rsidP="00D72510">
            <w:pPr>
              <w:pStyle w:val="TableText"/>
              <w:rPr>
                <w:b/>
                <w:bCs w:val="0"/>
              </w:rPr>
            </w:pPr>
            <w:r w:rsidRPr="002E7996">
              <w:rPr>
                <w:b/>
              </w:rPr>
              <w:t>Year 5 (2026)</w:t>
            </w:r>
          </w:p>
        </w:tc>
        <w:tc>
          <w:tcPr>
            <w:tcW w:w="571" w:type="pct"/>
            <w:tcBorders>
              <w:top w:val="single" w:sz="4" w:space="0" w:color="auto"/>
              <w:left w:val="single" w:sz="4" w:space="0" w:color="auto"/>
              <w:bottom w:val="single" w:sz="4" w:space="0" w:color="auto"/>
              <w:right w:val="single" w:sz="4" w:space="0" w:color="auto"/>
            </w:tcBorders>
            <w:hideMark/>
          </w:tcPr>
          <w:p w14:paraId="2419800F" w14:textId="77777777" w:rsidR="004C7C23" w:rsidRPr="002E7996" w:rsidRDefault="004C7C23" w:rsidP="00D72510">
            <w:pPr>
              <w:pStyle w:val="TableText"/>
              <w:rPr>
                <w:b/>
                <w:bCs w:val="0"/>
              </w:rPr>
            </w:pPr>
            <w:r w:rsidRPr="002E7996">
              <w:rPr>
                <w:b/>
              </w:rPr>
              <w:t>Year 6 (2027)</w:t>
            </w:r>
          </w:p>
        </w:tc>
      </w:tr>
      <w:tr w:rsidR="004C7C23" w:rsidRPr="002E7996" w14:paraId="54910A5D" w14:textId="77777777" w:rsidTr="00D72510">
        <w:tc>
          <w:tcPr>
            <w:tcW w:w="1573" w:type="pct"/>
            <w:tcBorders>
              <w:top w:val="single" w:sz="4" w:space="0" w:color="auto"/>
              <w:left w:val="single" w:sz="4" w:space="0" w:color="auto"/>
              <w:bottom w:val="single" w:sz="4" w:space="0" w:color="auto"/>
              <w:right w:val="single" w:sz="4" w:space="0" w:color="auto"/>
            </w:tcBorders>
          </w:tcPr>
          <w:p w14:paraId="568DB78C" w14:textId="77777777" w:rsidR="004C7C23" w:rsidRPr="00304F0A" w:rsidRDefault="004C7C23" w:rsidP="00D72510">
            <w:pPr>
              <w:pStyle w:val="TableText"/>
              <w:rPr>
                <w:vertAlign w:val="superscript"/>
              </w:rPr>
            </w:pPr>
            <w:r w:rsidRPr="002E7996">
              <w:t>A: Status quo</w:t>
            </w:r>
          </w:p>
          <w:p w14:paraId="15C765F5" w14:textId="77777777" w:rsidR="004C7C23" w:rsidRPr="002E7996" w:rsidRDefault="004C7C23" w:rsidP="00D72510">
            <w:pPr>
              <w:pStyle w:val="TableText"/>
            </w:pPr>
            <w:r w:rsidRPr="002E7996">
              <w:t>S100; Current price; 25% market growth</w:t>
            </w:r>
          </w:p>
        </w:tc>
        <w:tc>
          <w:tcPr>
            <w:tcW w:w="571" w:type="pct"/>
            <w:tcBorders>
              <w:top w:val="single" w:sz="4" w:space="0" w:color="auto"/>
              <w:left w:val="single" w:sz="4" w:space="0" w:color="auto"/>
              <w:bottom w:val="single" w:sz="4" w:space="0" w:color="auto"/>
              <w:right w:val="single" w:sz="4" w:space="0" w:color="auto"/>
            </w:tcBorders>
          </w:tcPr>
          <w:p w14:paraId="1D9F1CC1" w14:textId="77777777" w:rsidR="004C7C23" w:rsidRPr="009E2AA7" w:rsidRDefault="009E2AA7" w:rsidP="00D72510">
            <w:pPr>
              <w:pStyle w:val="TableText"/>
            </w:pPr>
            <w:r>
              <w:rPr>
                <w:noProof/>
                <w:color w:val="000000"/>
                <w:highlight w:val="black"/>
              </w:rPr>
              <w:t>'''''''''''''''''''''''''''''''''</w:t>
            </w:r>
            <w:r w:rsidR="00304F0A">
              <w:rPr>
                <w:vertAlign w:val="superscript"/>
              </w:rPr>
              <w:t>1</w:t>
            </w:r>
          </w:p>
        </w:tc>
        <w:tc>
          <w:tcPr>
            <w:tcW w:w="571" w:type="pct"/>
            <w:tcBorders>
              <w:top w:val="single" w:sz="4" w:space="0" w:color="auto"/>
              <w:left w:val="single" w:sz="4" w:space="0" w:color="auto"/>
              <w:bottom w:val="single" w:sz="4" w:space="0" w:color="auto"/>
              <w:right w:val="single" w:sz="4" w:space="0" w:color="auto"/>
            </w:tcBorders>
          </w:tcPr>
          <w:p w14:paraId="7C1EED27" w14:textId="77777777" w:rsidR="004C7C23" w:rsidRPr="009E2AA7" w:rsidRDefault="009E2AA7" w:rsidP="00D72510">
            <w:pPr>
              <w:pStyle w:val="TableText"/>
            </w:pPr>
            <w:r>
              <w:rPr>
                <w:noProof/>
                <w:color w:val="000000"/>
                <w:highlight w:val="black"/>
              </w:rPr>
              <w:t>''''''''''''''''''''''''''''''''</w:t>
            </w:r>
            <w:r w:rsidR="00304F0A">
              <w:rPr>
                <w:vertAlign w:val="superscript"/>
              </w:rPr>
              <w:t>1</w:t>
            </w:r>
          </w:p>
        </w:tc>
        <w:tc>
          <w:tcPr>
            <w:tcW w:w="571" w:type="pct"/>
            <w:tcBorders>
              <w:top w:val="single" w:sz="4" w:space="0" w:color="auto"/>
              <w:left w:val="single" w:sz="4" w:space="0" w:color="auto"/>
              <w:bottom w:val="single" w:sz="4" w:space="0" w:color="auto"/>
              <w:right w:val="single" w:sz="4" w:space="0" w:color="auto"/>
            </w:tcBorders>
          </w:tcPr>
          <w:p w14:paraId="497CF797" w14:textId="77777777" w:rsidR="004C7C23" w:rsidRPr="009E2AA7" w:rsidRDefault="009E2AA7" w:rsidP="00D72510">
            <w:pPr>
              <w:pStyle w:val="TableText"/>
            </w:pPr>
            <w:r>
              <w:rPr>
                <w:noProof/>
                <w:color w:val="000000"/>
                <w:highlight w:val="black"/>
              </w:rPr>
              <w:t>'''''''''''''''''''''''''''</w:t>
            </w:r>
            <w:r w:rsidR="00304F0A">
              <w:rPr>
                <w:vertAlign w:val="superscript"/>
              </w:rPr>
              <w:t>1</w:t>
            </w:r>
          </w:p>
        </w:tc>
        <w:tc>
          <w:tcPr>
            <w:tcW w:w="571" w:type="pct"/>
            <w:tcBorders>
              <w:top w:val="single" w:sz="4" w:space="0" w:color="auto"/>
              <w:left w:val="single" w:sz="4" w:space="0" w:color="auto"/>
              <w:bottom w:val="single" w:sz="4" w:space="0" w:color="auto"/>
              <w:right w:val="single" w:sz="4" w:space="0" w:color="auto"/>
            </w:tcBorders>
          </w:tcPr>
          <w:p w14:paraId="5A333099" w14:textId="77777777" w:rsidR="004C7C23" w:rsidRPr="009E2AA7" w:rsidRDefault="009E2AA7" w:rsidP="00D72510">
            <w:pPr>
              <w:pStyle w:val="TableText"/>
            </w:pPr>
            <w:r>
              <w:rPr>
                <w:noProof/>
                <w:color w:val="000000"/>
                <w:highlight w:val="black"/>
              </w:rPr>
              <w:t>'''''''''''''''''''''''''''''</w:t>
            </w:r>
            <w:r w:rsidR="00304F0A">
              <w:rPr>
                <w:vertAlign w:val="superscript"/>
              </w:rPr>
              <w:t>2</w:t>
            </w:r>
          </w:p>
        </w:tc>
        <w:tc>
          <w:tcPr>
            <w:tcW w:w="571" w:type="pct"/>
            <w:tcBorders>
              <w:top w:val="single" w:sz="4" w:space="0" w:color="auto"/>
              <w:left w:val="single" w:sz="4" w:space="0" w:color="auto"/>
              <w:bottom w:val="single" w:sz="4" w:space="0" w:color="auto"/>
              <w:right w:val="single" w:sz="4" w:space="0" w:color="auto"/>
            </w:tcBorders>
          </w:tcPr>
          <w:p w14:paraId="78DC4820" w14:textId="77777777" w:rsidR="004C7C23" w:rsidRPr="009E2AA7" w:rsidRDefault="009E2AA7" w:rsidP="00D72510">
            <w:pPr>
              <w:pStyle w:val="TableText"/>
            </w:pPr>
            <w:r>
              <w:rPr>
                <w:noProof/>
                <w:color w:val="000000"/>
                <w:highlight w:val="black"/>
              </w:rPr>
              <w:t>''''''''''''''''''''''''''''</w:t>
            </w:r>
            <w:r w:rsidR="00304F0A">
              <w:rPr>
                <w:vertAlign w:val="superscript"/>
              </w:rPr>
              <w:t>2</w:t>
            </w:r>
          </w:p>
        </w:tc>
        <w:tc>
          <w:tcPr>
            <w:tcW w:w="571" w:type="pct"/>
            <w:tcBorders>
              <w:top w:val="single" w:sz="4" w:space="0" w:color="auto"/>
              <w:left w:val="single" w:sz="4" w:space="0" w:color="auto"/>
              <w:bottom w:val="single" w:sz="4" w:space="0" w:color="auto"/>
              <w:right w:val="single" w:sz="4" w:space="0" w:color="auto"/>
            </w:tcBorders>
          </w:tcPr>
          <w:p w14:paraId="35C7FF11" w14:textId="77777777" w:rsidR="004C7C23" w:rsidRPr="009E2AA7" w:rsidRDefault="009E2AA7" w:rsidP="00D72510">
            <w:pPr>
              <w:pStyle w:val="TableText"/>
            </w:pPr>
            <w:r>
              <w:rPr>
                <w:noProof/>
                <w:color w:val="000000"/>
                <w:highlight w:val="black"/>
              </w:rPr>
              <w:t>''''''''''''''''''''''''''''</w:t>
            </w:r>
            <w:r w:rsidR="00304F0A">
              <w:rPr>
                <w:vertAlign w:val="superscript"/>
              </w:rPr>
              <w:t>2</w:t>
            </w:r>
          </w:p>
        </w:tc>
      </w:tr>
      <w:tr w:rsidR="004C7C23" w:rsidRPr="002E7996" w14:paraId="25EA7C43" w14:textId="77777777" w:rsidTr="00D72510">
        <w:tc>
          <w:tcPr>
            <w:tcW w:w="1573" w:type="pct"/>
            <w:tcBorders>
              <w:top w:val="single" w:sz="4" w:space="0" w:color="auto"/>
              <w:left w:val="single" w:sz="4" w:space="0" w:color="auto"/>
              <w:bottom w:val="single" w:sz="4" w:space="0" w:color="auto"/>
              <w:right w:val="single" w:sz="4" w:space="0" w:color="auto"/>
            </w:tcBorders>
          </w:tcPr>
          <w:p w14:paraId="5B476DCC" w14:textId="77777777" w:rsidR="004C7C23" w:rsidRPr="002E7996" w:rsidRDefault="004C7C23" w:rsidP="00D72510">
            <w:pPr>
              <w:pStyle w:val="TableText"/>
            </w:pPr>
            <w:r w:rsidRPr="002E7996">
              <w:t>B: Proposed scenario:</w:t>
            </w:r>
          </w:p>
          <w:p w14:paraId="5E4C070B" w14:textId="77777777" w:rsidR="004C7C23" w:rsidRPr="002E7996" w:rsidRDefault="004C7C23" w:rsidP="00D72510">
            <w:pPr>
              <w:pStyle w:val="TableText"/>
            </w:pPr>
            <w:r w:rsidRPr="002E7996">
              <w:t>S85; Proposed price; 30% market growth</w:t>
            </w:r>
          </w:p>
        </w:tc>
        <w:tc>
          <w:tcPr>
            <w:tcW w:w="571" w:type="pct"/>
            <w:tcBorders>
              <w:top w:val="single" w:sz="4" w:space="0" w:color="auto"/>
              <w:left w:val="single" w:sz="4" w:space="0" w:color="auto"/>
              <w:bottom w:val="single" w:sz="4" w:space="0" w:color="auto"/>
              <w:right w:val="single" w:sz="4" w:space="0" w:color="auto"/>
            </w:tcBorders>
          </w:tcPr>
          <w:p w14:paraId="25B72C54" w14:textId="77777777" w:rsidR="004C7C23" w:rsidRPr="009E2AA7" w:rsidRDefault="009E2AA7" w:rsidP="00D72510">
            <w:pPr>
              <w:pStyle w:val="TableText"/>
            </w:pPr>
            <w:r>
              <w:rPr>
                <w:noProof/>
                <w:color w:val="000000"/>
                <w:highlight w:val="black"/>
              </w:rPr>
              <w:t>''''''''''''''''''''''''''''''''</w:t>
            </w:r>
            <w:r w:rsidR="00304F0A">
              <w:rPr>
                <w:vertAlign w:val="superscript"/>
              </w:rPr>
              <w:t>2</w:t>
            </w:r>
          </w:p>
        </w:tc>
        <w:tc>
          <w:tcPr>
            <w:tcW w:w="571" w:type="pct"/>
            <w:tcBorders>
              <w:top w:val="single" w:sz="4" w:space="0" w:color="auto"/>
              <w:left w:val="single" w:sz="4" w:space="0" w:color="auto"/>
              <w:bottom w:val="single" w:sz="4" w:space="0" w:color="auto"/>
              <w:right w:val="single" w:sz="4" w:space="0" w:color="auto"/>
            </w:tcBorders>
          </w:tcPr>
          <w:p w14:paraId="7F2C6B9A" w14:textId="77777777" w:rsidR="004C7C23" w:rsidRPr="009E2AA7" w:rsidRDefault="009E2AA7" w:rsidP="00D72510">
            <w:pPr>
              <w:pStyle w:val="TableText"/>
            </w:pPr>
            <w:r>
              <w:rPr>
                <w:noProof/>
                <w:color w:val="000000"/>
                <w:highlight w:val="black"/>
              </w:rPr>
              <w:t>'''''''''''''''''''''''''''</w:t>
            </w:r>
            <w:r w:rsidR="00304F0A">
              <w:rPr>
                <w:vertAlign w:val="superscript"/>
              </w:rPr>
              <w:t>2</w:t>
            </w:r>
          </w:p>
        </w:tc>
        <w:tc>
          <w:tcPr>
            <w:tcW w:w="571" w:type="pct"/>
            <w:tcBorders>
              <w:top w:val="single" w:sz="4" w:space="0" w:color="auto"/>
              <w:left w:val="single" w:sz="4" w:space="0" w:color="auto"/>
              <w:bottom w:val="single" w:sz="4" w:space="0" w:color="auto"/>
              <w:right w:val="single" w:sz="4" w:space="0" w:color="auto"/>
            </w:tcBorders>
          </w:tcPr>
          <w:p w14:paraId="6628F206" w14:textId="77777777" w:rsidR="004C7C23" w:rsidRPr="009E2AA7" w:rsidRDefault="009E2AA7" w:rsidP="00D72510">
            <w:pPr>
              <w:pStyle w:val="TableText"/>
            </w:pPr>
            <w:r>
              <w:rPr>
                <w:noProof/>
                <w:color w:val="000000"/>
                <w:highlight w:val="black"/>
              </w:rPr>
              <w:t>''''''''''''''''''''''''''''''''</w:t>
            </w:r>
            <w:r w:rsidR="00304F0A">
              <w:rPr>
                <w:vertAlign w:val="superscript"/>
              </w:rPr>
              <w:t>2</w:t>
            </w:r>
          </w:p>
        </w:tc>
        <w:tc>
          <w:tcPr>
            <w:tcW w:w="571" w:type="pct"/>
            <w:tcBorders>
              <w:top w:val="single" w:sz="4" w:space="0" w:color="auto"/>
              <w:left w:val="single" w:sz="4" w:space="0" w:color="auto"/>
              <w:bottom w:val="single" w:sz="4" w:space="0" w:color="auto"/>
              <w:right w:val="single" w:sz="4" w:space="0" w:color="auto"/>
            </w:tcBorders>
          </w:tcPr>
          <w:p w14:paraId="4BD9AC6B" w14:textId="77777777" w:rsidR="004C7C23" w:rsidRPr="009E2AA7" w:rsidRDefault="009E2AA7" w:rsidP="00D72510">
            <w:pPr>
              <w:pStyle w:val="TableText"/>
            </w:pPr>
            <w:r>
              <w:rPr>
                <w:noProof/>
                <w:color w:val="000000"/>
                <w:highlight w:val="black"/>
              </w:rPr>
              <w:t>''''''''''''''''''''''''''''</w:t>
            </w:r>
            <w:r w:rsidR="00304F0A">
              <w:rPr>
                <w:vertAlign w:val="superscript"/>
              </w:rPr>
              <w:t>2</w:t>
            </w:r>
          </w:p>
        </w:tc>
        <w:tc>
          <w:tcPr>
            <w:tcW w:w="571" w:type="pct"/>
            <w:tcBorders>
              <w:top w:val="single" w:sz="4" w:space="0" w:color="auto"/>
              <w:left w:val="single" w:sz="4" w:space="0" w:color="auto"/>
              <w:bottom w:val="single" w:sz="4" w:space="0" w:color="auto"/>
              <w:right w:val="single" w:sz="4" w:space="0" w:color="auto"/>
            </w:tcBorders>
          </w:tcPr>
          <w:p w14:paraId="78B84F59" w14:textId="77777777" w:rsidR="004C7C23" w:rsidRPr="009E2AA7" w:rsidRDefault="009E2AA7" w:rsidP="00D72510">
            <w:pPr>
              <w:pStyle w:val="TableText"/>
            </w:pPr>
            <w:r>
              <w:rPr>
                <w:noProof/>
                <w:color w:val="000000"/>
                <w:highlight w:val="black"/>
              </w:rPr>
              <w:t>'''''''''''''''''''''''''''''''</w:t>
            </w:r>
            <w:r w:rsidR="00304F0A">
              <w:rPr>
                <w:vertAlign w:val="superscript"/>
              </w:rPr>
              <w:t>2</w:t>
            </w:r>
          </w:p>
        </w:tc>
        <w:tc>
          <w:tcPr>
            <w:tcW w:w="571" w:type="pct"/>
            <w:tcBorders>
              <w:top w:val="single" w:sz="4" w:space="0" w:color="auto"/>
              <w:left w:val="single" w:sz="4" w:space="0" w:color="auto"/>
              <w:bottom w:val="single" w:sz="4" w:space="0" w:color="auto"/>
              <w:right w:val="single" w:sz="4" w:space="0" w:color="auto"/>
            </w:tcBorders>
          </w:tcPr>
          <w:p w14:paraId="51C8F84D" w14:textId="77777777" w:rsidR="004C7C23" w:rsidRPr="009E2AA7" w:rsidRDefault="009E2AA7" w:rsidP="00D72510">
            <w:pPr>
              <w:pStyle w:val="TableText"/>
            </w:pPr>
            <w:r>
              <w:rPr>
                <w:noProof/>
                <w:color w:val="000000"/>
                <w:highlight w:val="black"/>
              </w:rPr>
              <w:t>'''''''''''''''''''''''''''</w:t>
            </w:r>
            <w:r w:rsidR="00304F0A">
              <w:rPr>
                <w:vertAlign w:val="superscript"/>
              </w:rPr>
              <w:t>2</w:t>
            </w:r>
          </w:p>
        </w:tc>
      </w:tr>
      <w:tr w:rsidR="004C7C23" w:rsidRPr="002E7996" w14:paraId="6C778505" w14:textId="77777777" w:rsidTr="00D72510">
        <w:tc>
          <w:tcPr>
            <w:tcW w:w="1573" w:type="pct"/>
            <w:tcBorders>
              <w:top w:val="single" w:sz="4" w:space="0" w:color="auto"/>
              <w:left w:val="single" w:sz="4" w:space="0" w:color="auto"/>
              <w:bottom w:val="single" w:sz="4" w:space="0" w:color="auto"/>
              <w:right w:val="single" w:sz="4" w:space="0" w:color="auto"/>
            </w:tcBorders>
          </w:tcPr>
          <w:p w14:paraId="2FADEB76" w14:textId="77777777" w:rsidR="004C7C23" w:rsidRPr="002E7996" w:rsidRDefault="004C7C23" w:rsidP="00D72510">
            <w:pPr>
              <w:pStyle w:val="TableText"/>
              <w:rPr>
                <w:b/>
                <w:bCs w:val="0"/>
              </w:rPr>
            </w:pPr>
            <w:r w:rsidRPr="002E7996">
              <w:rPr>
                <w:b/>
              </w:rPr>
              <w:t>Net impact</w:t>
            </w:r>
          </w:p>
        </w:tc>
        <w:tc>
          <w:tcPr>
            <w:tcW w:w="571" w:type="pct"/>
            <w:tcBorders>
              <w:top w:val="single" w:sz="4" w:space="0" w:color="auto"/>
              <w:left w:val="single" w:sz="4" w:space="0" w:color="auto"/>
              <w:bottom w:val="single" w:sz="4" w:space="0" w:color="auto"/>
              <w:right w:val="single" w:sz="4" w:space="0" w:color="auto"/>
            </w:tcBorders>
          </w:tcPr>
          <w:p w14:paraId="3E2ECE88" w14:textId="77777777" w:rsidR="004C7C23" w:rsidRPr="009E2AA7" w:rsidRDefault="009E2AA7" w:rsidP="00D72510">
            <w:pPr>
              <w:pStyle w:val="TableText"/>
              <w:rPr>
                <w:b/>
                <w:bCs w:val="0"/>
              </w:rPr>
            </w:pPr>
            <w:r>
              <w:rPr>
                <w:b/>
                <w:noProof/>
                <w:color w:val="000000"/>
                <w:highlight w:val="black"/>
              </w:rPr>
              <w:t>'''''''''''''''''''''''</w:t>
            </w:r>
            <w:r w:rsidR="00304F0A">
              <w:rPr>
                <w:vertAlign w:val="superscript"/>
              </w:rPr>
              <w:t>3</w:t>
            </w:r>
          </w:p>
        </w:tc>
        <w:tc>
          <w:tcPr>
            <w:tcW w:w="571" w:type="pct"/>
            <w:tcBorders>
              <w:top w:val="single" w:sz="4" w:space="0" w:color="auto"/>
              <w:left w:val="single" w:sz="4" w:space="0" w:color="auto"/>
              <w:bottom w:val="single" w:sz="4" w:space="0" w:color="auto"/>
              <w:right w:val="single" w:sz="4" w:space="0" w:color="auto"/>
            </w:tcBorders>
          </w:tcPr>
          <w:p w14:paraId="24B607E2" w14:textId="77777777" w:rsidR="004C7C23" w:rsidRPr="009E2AA7" w:rsidRDefault="009E2AA7" w:rsidP="00D72510">
            <w:pPr>
              <w:pStyle w:val="TableText"/>
              <w:rPr>
                <w:b/>
                <w:bCs w:val="0"/>
              </w:rPr>
            </w:pPr>
            <w:r>
              <w:rPr>
                <w:b/>
                <w:noProof/>
                <w:color w:val="000000"/>
                <w:highlight w:val="black"/>
              </w:rPr>
              <w:t>''''''''''''''''''''''''</w:t>
            </w:r>
            <w:r w:rsidR="00304F0A">
              <w:rPr>
                <w:vertAlign w:val="superscript"/>
              </w:rPr>
              <w:t>3</w:t>
            </w:r>
          </w:p>
        </w:tc>
        <w:tc>
          <w:tcPr>
            <w:tcW w:w="571" w:type="pct"/>
            <w:tcBorders>
              <w:top w:val="single" w:sz="4" w:space="0" w:color="auto"/>
              <w:left w:val="single" w:sz="4" w:space="0" w:color="auto"/>
              <w:bottom w:val="single" w:sz="4" w:space="0" w:color="auto"/>
              <w:right w:val="single" w:sz="4" w:space="0" w:color="auto"/>
            </w:tcBorders>
          </w:tcPr>
          <w:p w14:paraId="76591FB9" w14:textId="77777777" w:rsidR="004C7C23" w:rsidRPr="009E2AA7" w:rsidRDefault="009E2AA7" w:rsidP="00D72510">
            <w:pPr>
              <w:pStyle w:val="TableText"/>
              <w:rPr>
                <w:b/>
                <w:bCs w:val="0"/>
              </w:rPr>
            </w:pPr>
            <w:r>
              <w:rPr>
                <w:b/>
                <w:noProof/>
                <w:color w:val="000000"/>
                <w:highlight w:val="black"/>
              </w:rPr>
              <w:t>''''''''''''''''''''</w:t>
            </w:r>
            <w:r w:rsidR="00304F0A">
              <w:rPr>
                <w:vertAlign w:val="superscript"/>
              </w:rPr>
              <w:t>3</w:t>
            </w:r>
          </w:p>
        </w:tc>
        <w:tc>
          <w:tcPr>
            <w:tcW w:w="571" w:type="pct"/>
            <w:tcBorders>
              <w:top w:val="single" w:sz="4" w:space="0" w:color="auto"/>
              <w:left w:val="single" w:sz="4" w:space="0" w:color="auto"/>
              <w:bottom w:val="single" w:sz="4" w:space="0" w:color="auto"/>
              <w:right w:val="single" w:sz="4" w:space="0" w:color="auto"/>
            </w:tcBorders>
          </w:tcPr>
          <w:p w14:paraId="5422E601" w14:textId="77777777" w:rsidR="004C7C23" w:rsidRPr="009E2AA7" w:rsidRDefault="009E2AA7" w:rsidP="00D72510">
            <w:pPr>
              <w:pStyle w:val="TableText"/>
              <w:rPr>
                <w:b/>
                <w:bCs w:val="0"/>
              </w:rPr>
            </w:pPr>
            <w:r>
              <w:rPr>
                <w:b/>
                <w:noProof/>
                <w:color w:val="000000"/>
                <w:highlight w:val="black"/>
              </w:rPr>
              <w:t>''''''''''''''''''''</w:t>
            </w:r>
            <w:r w:rsidR="00304F0A">
              <w:rPr>
                <w:vertAlign w:val="superscript"/>
              </w:rPr>
              <w:t>3</w:t>
            </w:r>
          </w:p>
        </w:tc>
        <w:tc>
          <w:tcPr>
            <w:tcW w:w="571" w:type="pct"/>
            <w:tcBorders>
              <w:top w:val="single" w:sz="4" w:space="0" w:color="auto"/>
              <w:left w:val="single" w:sz="4" w:space="0" w:color="auto"/>
              <w:bottom w:val="single" w:sz="4" w:space="0" w:color="auto"/>
              <w:right w:val="single" w:sz="4" w:space="0" w:color="auto"/>
            </w:tcBorders>
          </w:tcPr>
          <w:p w14:paraId="59DEA07C" w14:textId="77777777" w:rsidR="004C7C23" w:rsidRPr="009E2AA7" w:rsidRDefault="009E2AA7" w:rsidP="00D72510">
            <w:pPr>
              <w:pStyle w:val="TableText"/>
              <w:rPr>
                <w:b/>
                <w:bCs w:val="0"/>
              </w:rPr>
            </w:pPr>
            <w:r>
              <w:rPr>
                <w:b/>
                <w:noProof/>
                <w:color w:val="000000"/>
                <w:highlight w:val="black"/>
              </w:rPr>
              <w:t>''''''''''''''''''''''''</w:t>
            </w:r>
            <w:r w:rsidR="00304F0A">
              <w:rPr>
                <w:vertAlign w:val="superscript"/>
              </w:rPr>
              <w:t>3</w:t>
            </w:r>
          </w:p>
        </w:tc>
        <w:tc>
          <w:tcPr>
            <w:tcW w:w="571" w:type="pct"/>
            <w:tcBorders>
              <w:top w:val="single" w:sz="4" w:space="0" w:color="auto"/>
              <w:left w:val="single" w:sz="4" w:space="0" w:color="auto"/>
              <w:bottom w:val="single" w:sz="4" w:space="0" w:color="auto"/>
              <w:right w:val="single" w:sz="4" w:space="0" w:color="auto"/>
            </w:tcBorders>
          </w:tcPr>
          <w:p w14:paraId="4CBF9302" w14:textId="77777777" w:rsidR="004C7C23" w:rsidRPr="009E2AA7" w:rsidRDefault="009E2AA7" w:rsidP="00D72510">
            <w:pPr>
              <w:pStyle w:val="TableText"/>
              <w:rPr>
                <w:b/>
                <w:bCs w:val="0"/>
              </w:rPr>
            </w:pPr>
            <w:r>
              <w:rPr>
                <w:b/>
                <w:noProof/>
                <w:color w:val="000000"/>
                <w:highlight w:val="black"/>
              </w:rPr>
              <w:t>'''''''''''''''''''''</w:t>
            </w:r>
            <w:r w:rsidR="00304F0A">
              <w:rPr>
                <w:vertAlign w:val="superscript"/>
              </w:rPr>
              <w:t>3</w:t>
            </w:r>
          </w:p>
        </w:tc>
      </w:tr>
    </w:tbl>
    <w:p w14:paraId="40371417" w14:textId="77777777" w:rsidR="004C7C23" w:rsidRDefault="001103FE" w:rsidP="00304F0A">
      <w:pPr>
        <w:pStyle w:val="ExecSumBodyText"/>
        <w:numPr>
          <w:ilvl w:val="0"/>
          <w:numId w:val="0"/>
        </w:numPr>
        <w:spacing w:after="0"/>
        <w:rPr>
          <w:rFonts w:ascii="Arial Narrow" w:hAnsi="Arial Narrow"/>
          <w:sz w:val="18"/>
          <w:szCs w:val="18"/>
        </w:rPr>
      </w:pPr>
      <w:r w:rsidRPr="002E7996">
        <w:rPr>
          <w:rFonts w:ascii="Arial Narrow" w:hAnsi="Arial Narrow"/>
          <w:sz w:val="18"/>
          <w:szCs w:val="18"/>
        </w:rPr>
        <w:t>Source: PSCR</w:t>
      </w:r>
    </w:p>
    <w:p w14:paraId="1C0A9930" w14:textId="77777777" w:rsidR="00304F0A" w:rsidRDefault="00304F0A" w:rsidP="00304F0A">
      <w:pPr>
        <w:pStyle w:val="TableFigureFooter"/>
        <w:spacing w:after="0"/>
        <w:contextualSpacing w:val="0"/>
        <w:rPr>
          <w:i/>
        </w:rPr>
      </w:pPr>
      <w:r w:rsidRPr="009868C4">
        <w:rPr>
          <w:i/>
        </w:rPr>
        <w:t>The redacted values correspond to the following ranges</w:t>
      </w:r>
      <w:r>
        <w:rPr>
          <w:i/>
        </w:rPr>
        <w:t xml:space="preserve">: </w:t>
      </w:r>
    </w:p>
    <w:p w14:paraId="5DA39051" w14:textId="77777777" w:rsidR="00304F0A" w:rsidRPr="00870C5D" w:rsidRDefault="00304F0A" w:rsidP="00304F0A">
      <w:pPr>
        <w:pStyle w:val="TableFigureFooter"/>
        <w:spacing w:after="0"/>
        <w:contextualSpacing w:val="0"/>
      </w:pPr>
      <w:r>
        <w:rPr>
          <w:i/>
          <w:vertAlign w:val="superscript"/>
        </w:rPr>
        <w:t>1</w:t>
      </w:r>
      <w:r>
        <w:rPr>
          <w:i/>
        </w:rPr>
        <w:t xml:space="preserve"> </w:t>
      </w:r>
      <w:r w:rsidRPr="00304F0A">
        <w:rPr>
          <w:i/>
        </w:rPr>
        <w:t>$10 million to &lt; $20 million</w:t>
      </w:r>
    </w:p>
    <w:p w14:paraId="66E45102" w14:textId="77777777" w:rsidR="00304F0A" w:rsidRPr="00870C5D" w:rsidRDefault="00304F0A" w:rsidP="00304F0A">
      <w:pPr>
        <w:pStyle w:val="TableFigureFooter"/>
        <w:spacing w:after="0"/>
        <w:contextualSpacing w:val="0"/>
      </w:pPr>
      <w:r>
        <w:rPr>
          <w:i/>
          <w:vertAlign w:val="superscript"/>
        </w:rPr>
        <w:t>2</w:t>
      </w:r>
      <w:r>
        <w:rPr>
          <w:i/>
        </w:rPr>
        <w:t xml:space="preserve"> </w:t>
      </w:r>
      <w:r w:rsidRPr="00304F0A">
        <w:rPr>
          <w:i/>
        </w:rPr>
        <w:t>$20 million to &lt; $30 million</w:t>
      </w:r>
    </w:p>
    <w:p w14:paraId="6004B4E8" w14:textId="77777777" w:rsidR="00304F0A" w:rsidRPr="00870C5D" w:rsidRDefault="00304F0A" w:rsidP="00304F0A">
      <w:pPr>
        <w:pStyle w:val="TableFigureFooter"/>
        <w:spacing w:after="0"/>
        <w:contextualSpacing w:val="0"/>
      </w:pPr>
      <w:r>
        <w:rPr>
          <w:i/>
          <w:vertAlign w:val="superscript"/>
        </w:rPr>
        <w:t>3</w:t>
      </w:r>
      <w:r>
        <w:rPr>
          <w:i/>
        </w:rPr>
        <w:t xml:space="preserve"> </w:t>
      </w:r>
      <w:r w:rsidRPr="00304F0A">
        <w:rPr>
          <w:i/>
        </w:rPr>
        <w:t>$0 to &lt; $10 million</w:t>
      </w:r>
    </w:p>
    <w:p w14:paraId="2F9D19CD" w14:textId="77777777" w:rsidR="00304F0A" w:rsidRPr="002E7996" w:rsidRDefault="00304F0A" w:rsidP="004C7C23">
      <w:pPr>
        <w:pStyle w:val="ExecSumBodyText"/>
        <w:numPr>
          <w:ilvl w:val="0"/>
          <w:numId w:val="0"/>
        </w:numPr>
        <w:rPr>
          <w:rFonts w:ascii="Arial Narrow" w:hAnsi="Arial Narrow"/>
          <w:sz w:val="18"/>
          <w:szCs w:val="18"/>
        </w:rPr>
      </w:pPr>
    </w:p>
    <w:p w14:paraId="38F38811" w14:textId="77777777" w:rsidR="001103FE" w:rsidRPr="002E7996" w:rsidRDefault="00D545B4" w:rsidP="00862FDF">
      <w:pPr>
        <w:pStyle w:val="ExecSumBodyText"/>
      </w:pPr>
      <w:r w:rsidRPr="002E7996">
        <w:t>T</w:t>
      </w:r>
      <w:r w:rsidR="00D855E9" w:rsidRPr="002E7996">
        <w:t>he ESC noted that</w:t>
      </w:r>
      <w:r w:rsidR="00F50530">
        <w:t xml:space="preserve"> the PSCR proposed scenario with</w:t>
      </w:r>
      <w:r w:rsidR="00D855E9" w:rsidRPr="002E7996">
        <w:t xml:space="preserve"> a Section 85 listing</w:t>
      </w:r>
      <w:r w:rsidR="006E7498" w:rsidRPr="002E7996">
        <w:t xml:space="preserve"> </w:t>
      </w:r>
      <w:r w:rsidR="00D855E9" w:rsidRPr="002E7996">
        <w:t>at the proposed price</w:t>
      </w:r>
      <w:r w:rsidR="006E7498" w:rsidRPr="002E7996">
        <w:t>,</w:t>
      </w:r>
      <w:r w:rsidR="00D855E9" w:rsidRPr="002E7996">
        <w:t xml:space="preserve"> </w:t>
      </w:r>
      <w:r w:rsidR="00F50530">
        <w:t>30%</w:t>
      </w:r>
      <w:r w:rsidR="00D855E9" w:rsidRPr="002E7996">
        <w:t xml:space="preserve"> market growth and 100% uptake </w:t>
      </w:r>
      <w:r w:rsidR="00761B25" w:rsidRPr="002E7996">
        <w:t xml:space="preserve">would </w:t>
      </w:r>
      <w:r w:rsidR="006E7498" w:rsidRPr="002E7996">
        <w:t>cost the PBS approximately</w:t>
      </w:r>
      <w:r w:rsidR="00D855E9" w:rsidRPr="002E7996">
        <w:t xml:space="preserve"> $1.5 million</w:t>
      </w:r>
      <w:r w:rsidR="00FA019B" w:rsidRPr="002E7996">
        <w:t>/</w:t>
      </w:r>
      <w:r w:rsidR="00D855E9" w:rsidRPr="002E7996">
        <w:t>year</w:t>
      </w:r>
      <w:r w:rsidR="00761B25" w:rsidRPr="002E7996">
        <w:t xml:space="preserve"> </w:t>
      </w:r>
      <w:r w:rsidR="006E7498" w:rsidRPr="002E7996">
        <w:t xml:space="preserve">more than estimated </w:t>
      </w:r>
      <w:r w:rsidR="00535502" w:rsidRPr="002E7996">
        <w:t>in the submission</w:t>
      </w:r>
      <w:r w:rsidR="00FA019B" w:rsidRPr="002E7996">
        <w:t xml:space="preserve"> </w:t>
      </w:r>
      <w:r w:rsidR="00535502" w:rsidRPr="002E7996">
        <w:t>(</w:t>
      </w:r>
      <w:r w:rsidR="00FA019B" w:rsidRPr="002E7996">
        <w:t>Scenario 3</w:t>
      </w:r>
      <w:r w:rsidR="00535502" w:rsidRPr="002E7996">
        <w:t xml:space="preserve">, </w:t>
      </w:r>
      <w:r w:rsidR="00D855E9" w:rsidRPr="002E7996">
        <w:t>Table 10</w:t>
      </w:r>
      <w:r w:rsidR="006E7498" w:rsidRPr="002E7996">
        <w:t>).</w:t>
      </w:r>
      <w:r w:rsidR="00D855E9" w:rsidRPr="002E7996">
        <w:t xml:space="preserve"> </w:t>
      </w:r>
      <w:r w:rsidR="0027687E">
        <w:t xml:space="preserve">The Pre-PBAC Response </w:t>
      </w:r>
      <w:r w:rsidR="00002087">
        <w:t>noted the growth of 30% represented</w:t>
      </w:r>
      <w:r w:rsidR="00002087" w:rsidRPr="00002087">
        <w:t xml:space="preserve"> 300 more people treated, and those patients </w:t>
      </w:r>
      <w:r w:rsidR="00427ED2">
        <w:t>were</w:t>
      </w:r>
      <w:r w:rsidR="00002087" w:rsidRPr="00002087">
        <w:t xml:space="preserve"> more likely to be those unable to afford the unregulated fees currently</w:t>
      </w:r>
      <w:r w:rsidR="00427ED2">
        <w:t>.</w:t>
      </w:r>
      <w:r w:rsidR="00862FDF">
        <w:t xml:space="preserve"> The PBAC noted lack of evidence for the claim of 300 </w:t>
      </w:r>
      <w:r w:rsidR="00F50530">
        <w:t xml:space="preserve">currently untreated </w:t>
      </w:r>
      <w:r w:rsidR="00862FDF">
        <w:t>patients</w:t>
      </w:r>
      <w:r w:rsidR="00862FDF" w:rsidRPr="00862FDF">
        <w:t xml:space="preserve"> benefiting from li</w:t>
      </w:r>
      <w:r w:rsidR="00862FDF">
        <w:t>sting.</w:t>
      </w:r>
    </w:p>
    <w:p w14:paraId="71B7CFA9" w14:textId="77777777" w:rsidR="00761B25" w:rsidRPr="0027687E" w:rsidRDefault="00761B25" w:rsidP="0027687E">
      <w:pPr>
        <w:pStyle w:val="ExecSumBodyText"/>
        <w:rPr>
          <w:iCs/>
        </w:rPr>
      </w:pPr>
      <w:r w:rsidRPr="002E7996">
        <w:t xml:space="preserve">The ESC noted </w:t>
      </w:r>
      <w:r w:rsidR="00AD2F02" w:rsidRPr="002E7996">
        <w:t xml:space="preserve">that </w:t>
      </w:r>
      <w:r w:rsidR="00C76116" w:rsidRPr="002E7996">
        <w:t xml:space="preserve">recent </w:t>
      </w:r>
      <w:r w:rsidR="00AD2F02" w:rsidRPr="002E7996">
        <w:t xml:space="preserve">PBS data suggests </w:t>
      </w:r>
      <w:r w:rsidRPr="002E7996">
        <w:t xml:space="preserve">there has been </w:t>
      </w:r>
      <w:r w:rsidR="004E30C6" w:rsidRPr="002E7996">
        <w:t>increasing uptake of long acting buprenorphine injections</w:t>
      </w:r>
      <w:r w:rsidR="00F50530">
        <w:t xml:space="preserve"> and consequently increasing expenditure</w:t>
      </w:r>
      <w:r w:rsidR="00AD2F02" w:rsidRPr="002E7996">
        <w:t xml:space="preserve">. The ESC </w:t>
      </w:r>
      <w:r w:rsidRPr="002E7996">
        <w:t xml:space="preserve">considered that this has implications for the robustness of the </w:t>
      </w:r>
      <w:r w:rsidR="00ED6464" w:rsidRPr="002E7996">
        <w:t>sponsor’s</w:t>
      </w:r>
      <w:r w:rsidRPr="002E7996">
        <w:t xml:space="preserve"> financial estimates (which were largely unchanged from estimates in previous submissions). </w:t>
      </w:r>
      <w:r w:rsidR="0027687E">
        <w:t xml:space="preserve">The Pre-PBAC Response claimed </w:t>
      </w:r>
      <w:r w:rsidR="0027687E">
        <w:rPr>
          <w:iCs/>
        </w:rPr>
        <w:t>t</w:t>
      </w:r>
      <w:r w:rsidR="0027687E" w:rsidRPr="0027687E">
        <w:rPr>
          <w:iCs/>
        </w:rPr>
        <w:t>he increasing expenditure and uptake noted by ESC support</w:t>
      </w:r>
      <w:r w:rsidR="00F50530">
        <w:rPr>
          <w:iCs/>
        </w:rPr>
        <w:t>s</w:t>
      </w:r>
      <w:r w:rsidR="0027687E" w:rsidRPr="0027687E">
        <w:rPr>
          <w:iCs/>
        </w:rPr>
        <w:t>, rather than compromise</w:t>
      </w:r>
      <w:r w:rsidR="00F50530">
        <w:rPr>
          <w:iCs/>
        </w:rPr>
        <w:t>s</w:t>
      </w:r>
      <w:r w:rsidR="0027687E" w:rsidRPr="0027687E">
        <w:rPr>
          <w:iCs/>
        </w:rPr>
        <w:t xml:space="preserve">, the robustness of the </w:t>
      </w:r>
      <w:r w:rsidR="006A3A7A">
        <w:rPr>
          <w:iCs/>
        </w:rPr>
        <w:t xml:space="preserve">revised </w:t>
      </w:r>
      <w:r w:rsidR="0027687E" w:rsidRPr="0027687E">
        <w:rPr>
          <w:iCs/>
        </w:rPr>
        <w:t xml:space="preserve">estimates </w:t>
      </w:r>
      <w:r w:rsidR="006A3A7A">
        <w:rPr>
          <w:iCs/>
        </w:rPr>
        <w:t>which include increasing expenditure and uptake</w:t>
      </w:r>
      <w:r w:rsidR="0027687E" w:rsidRPr="0027687E">
        <w:rPr>
          <w:iCs/>
        </w:rPr>
        <w:t>.</w:t>
      </w:r>
    </w:p>
    <w:p w14:paraId="33A67E48" w14:textId="77777777" w:rsidR="00D855E9" w:rsidRPr="00233B34" w:rsidRDefault="00761B25" w:rsidP="003F2782">
      <w:pPr>
        <w:pStyle w:val="ExecSumBodyText"/>
      </w:pPr>
      <w:r w:rsidRPr="002E7996">
        <w:rPr>
          <w:iCs/>
        </w:rPr>
        <w:t xml:space="preserve">The ESC considered that any revisions to the financial estimates would need to account for a mix of Section 85 and Section 100 (ODTP) utilisation as well as the potential market growth </w:t>
      </w:r>
      <w:r w:rsidR="00E93580" w:rsidRPr="002E7996">
        <w:rPr>
          <w:iCs/>
        </w:rPr>
        <w:t>associated with a</w:t>
      </w:r>
      <w:r w:rsidRPr="002E7996">
        <w:rPr>
          <w:iCs/>
        </w:rPr>
        <w:t xml:space="preserve"> Section 85 listing.</w:t>
      </w:r>
    </w:p>
    <w:p w14:paraId="15475B9D" w14:textId="77777777" w:rsidR="001103FE" w:rsidRPr="00DE36E2" w:rsidRDefault="00233B34" w:rsidP="00DE36E2">
      <w:pPr>
        <w:pStyle w:val="ExecSumBodyText"/>
        <w:numPr>
          <w:ilvl w:val="0"/>
          <w:numId w:val="0"/>
        </w:numPr>
        <w:ind w:left="720"/>
        <w:rPr>
          <w:i/>
        </w:rPr>
      </w:pPr>
      <w:r w:rsidRPr="00233B34">
        <w:rPr>
          <w:i/>
        </w:rPr>
        <w:t>For more detail on PBAC’s view, see section 7 PBAC outcome.</w:t>
      </w:r>
    </w:p>
    <w:p w14:paraId="6D924623" w14:textId="77777777" w:rsidR="00DE36E2" w:rsidRPr="0090150D" w:rsidRDefault="00DE36E2" w:rsidP="00690D4B">
      <w:pPr>
        <w:pStyle w:val="2-SectionHeading"/>
      </w:pPr>
      <w:bookmarkStart w:id="28" w:name="_Hlk76381249"/>
      <w:bookmarkStart w:id="29" w:name="_Hlk76377955"/>
      <w:r w:rsidRPr="0090150D">
        <w:t>PBAC Outcome</w:t>
      </w:r>
    </w:p>
    <w:p w14:paraId="1F999E15" w14:textId="77777777" w:rsidR="00601699" w:rsidRDefault="00060B1B" w:rsidP="00DB333B">
      <w:pPr>
        <w:pStyle w:val="ExecSumBodyText"/>
      </w:pPr>
      <w:r w:rsidRPr="00060B1B">
        <w:t xml:space="preserve">The PBAC recommended the listing of the </w:t>
      </w:r>
      <w:r w:rsidR="00C027DC">
        <w:t xml:space="preserve">new </w:t>
      </w:r>
      <w:r>
        <w:t>form</w:t>
      </w:r>
      <w:r w:rsidR="00C027DC">
        <w:t>,</w:t>
      </w:r>
      <w:r w:rsidRPr="00060B1B">
        <w:t xml:space="preserve"> 160 mg monthly prolonged release buprenorphine</w:t>
      </w:r>
      <w:r w:rsidR="00C027DC">
        <w:t>,</w:t>
      </w:r>
      <w:r w:rsidRPr="00060B1B">
        <w:t xml:space="preserve"> for the treatment of opiate dependence</w:t>
      </w:r>
      <w:r w:rsidR="00DB333B">
        <w:t xml:space="preserve"> </w:t>
      </w:r>
      <w:r w:rsidR="00601699" w:rsidRPr="00601699">
        <w:t xml:space="preserve">on the basis that </w:t>
      </w:r>
      <w:r w:rsidR="00DB333B" w:rsidRPr="00DB333B">
        <w:t>it should be available only under special arrangements under Section 100 for opiate dependence with restricted benefit</w:t>
      </w:r>
      <w:r w:rsidR="00DB333B">
        <w:t xml:space="preserve">. </w:t>
      </w:r>
      <w:r w:rsidR="00601699" w:rsidRPr="00601699">
        <w:t xml:space="preserve">The PBAC also recommended the change to </w:t>
      </w:r>
      <w:r w:rsidR="00DB333B">
        <w:t xml:space="preserve">the PBS </w:t>
      </w:r>
      <w:r w:rsidR="00601699" w:rsidRPr="00601699">
        <w:t xml:space="preserve">restriction </w:t>
      </w:r>
      <w:r w:rsidR="00DB333B">
        <w:t>to</w:t>
      </w:r>
      <w:r w:rsidR="00C027DC">
        <w:t xml:space="preserve"> remove</w:t>
      </w:r>
      <w:r w:rsidR="00DB333B" w:rsidRPr="00DB333B">
        <w:t xml:space="preserve"> </w:t>
      </w:r>
      <w:r w:rsidR="00DB333B">
        <w:t>the</w:t>
      </w:r>
      <w:r w:rsidR="00DB333B" w:rsidRPr="00DB333B">
        <w:t xml:space="preserve"> requirement for stabilisation on sublingual buprenorphine or sublingual buprenorphine/naloxone prior to commencing treatment with weekly prolonged release buprenorphine, consistent with the recent amendment to the TGA indication</w:t>
      </w:r>
      <w:r w:rsidR="00DB333B">
        <w:t>.</w:t>
      </w:r>
    </w:p>
    <w:p w14:paraId="63525EB9" w14:textId="77777777" w:rsidR="00A71B4A" w:rsidRDefault="00A71B4A" w:rsidP="00DB333B">
      <w:pPr>
        <w:pStyle w:val="ExecSumBodyText"/>
      </w:pPr>
      <w:r>
        <w:t xml:space="preserve">The listing of the </w:t>
      </w:r>
      <w:r w:rsidR="00892151">
        <w:t>160 mg monthly injection</w:t>
      </w:r>
      <w:r>
        <w:t xml:space="preserve"> form was recommended on a cost-minimisation basis</w:t>
      </w:r>
      <w:r w:rsidR="00892151">
        <w:t xml:space="preserve"> to the other currently listed monthly forms of buprenorphine injection. </w:t>
      </w:r>
    </w:p>
    <w:p w14:paraId="6A08C9E7" w14:textId="77777777" w:rsidR="00601699" w:rsidRDefault="00205CA3" w:rsidP="00322C49">
      <w:pPr>
        <w:pStyle w:val="ExecSumBodyText"/>
        <w:numPr>
          <w:ilvl w:val="1"/>
          <w:numId w:val="1"/>
        </w:numPr>
      </w:pPr>
      <w:r w:rsidRPr="00601699">
        <w:t xml:space="preserve">The PBAC did not recommend </w:t>
      </w:r>
      <w:r>
        <w:t>a price increase</w:t>
      </w:r>
      <w:r w:rsidRPr="00601699">
        <w:t xml:space="preserve"> and </w:t>
      </w:r>
      <w:r w:rsidR="0089697D">
        <w:t>did</w:t>
      </w:r>
      <w:r>
        <w:t xml:space="preserve"> not make a decision for the</w:t>
      </w:r>
      <w:r w:rsidRPr="00601699">
        <w:t xml:space="preserve"> consideration of the </w:t>
      </w:r>
      <w:r w:rsidRPr="00000541">
        <w:t xml:space="preserve">Section 85 (Restricted Benefit) listing in addition to the current Section 100 (ODTP). </w:t>
      </w:r>
      <w:r>
        <w:t>T</w:t>
      </w:r>
      <w:r w:rsidRPr="00000541">
        <w:t xml:space="preserve">he PBAC noted </w:t>
      </w:r>
      <w:r>
        <w:t>the current</w:t>
      </w:r>
      <w:r w:rsidRPr="00000541">
        <w:t xml:space="preserve"> </w:t>
      </w:r>
      <w:r>
        <w:t xml:space="preserve">Post-market Review of </w:t>
      </w:r>
      <w:r w:rsidRPr="00000541">
        <w:t xml:space="preserve">Opiate Dependence Treatment Program </w:t>
      </w:r>
      <w:r>
        <w:t>medicines (ODTP PMR)</w:t>
      </w:r>
      <w:r w:rsidRPr="00000541">
        <w:t xml:space="preserve">, which </w:t>
      </w:r>
      <w:r w:rsidR="0058757B">
        <w:t xml:space="preserve">is </w:t>
      </w:r>
      <w:r>
        <w:t>consider</w:t>
      </w:r>
      <w:r w:rsidR="0058757B">
        <w:t>ing</w:t>
      </w:r>
      <w:r w:rsidRPr="00000541">
        <w:t xml:space="preserve"> </w:t>
      </w:r>
      <w:r>
        <w:t>barriers to access including affordability of</w:t>
      </w:r>
      <w:r w:rsidRPr="00000541">
        <w:t xml:space="preserve"> ODTP medicines.</w:t>
      </w:r>
      <w:r>
        <w:t xml:space="preserve"> </w:t>
      </w:r>
      <w:r w:rsidRPr="00000541">
        <w:t xml:space="preserve">The PBAC </w:t>
      </w:r>
      <w:r>
        <w:t>considered</w:t>
      </w:r>
      <w:r w:rsidRPr="00000541">
        <w:t xml:space="preserve"> that </w:t>
      </w:r>
      <w:r>
        <w:t>the request for dual Section 85/100 listing should be informed by the ODTP PMR. The sponsor may wish to resubmit to the PBAC concerning these matters after</w:t>
      </w:r>
      <w:r w:rsidRPr="00000541">
        <w:t xml:space="preserve"> the outcomes of the </w:t>
      </w:r>
      <w:r>
        <w:t xml:space="preserve">ODTP </w:t>
      </w:r>
      <w:r w:rsidRPr="00000541">
        <w:t>PMR become available.</w:t>
      </w:r>
    </w:p>
    <w:p w14:paraId="6E3695EE" w14:textId="77777777" w:rsidR="00601699" w:rsidRDefault="00601699" w:rsidP="008E5F5F">
      <w:pPr>
        <w:pStyle w:val="ExecSumBodyText"/>
      </w:pPr>
      <w:r>
        <w:t>The</w:t>
      </w:r>
      <w:r w:rsidR="00C027DC">
        <w:t xml:space="preserve"> PBAC noted the submission had</w:t>
      </w:r>
      <w:r>
        <w:t xml:space="preserve"> proposed a restriction</w:t>
      </w:r>
      <w:r w:rsidR="00053CDF" w:rsidRPr="00053CDF">
        <w:t xml:space="preserve"> </w:t>
      </w:r>
      <w:r w:rsidR="00053CDF">
        <w:t>that would</w:t>
      </w:r>
      <w:r w:rsidR="00053CDF" w:rsidRPr="00053CDF">
        <w:t xml:space="preserve"> allow direct initiation on the monthly formulation of prolonged release buprenorphine, which is inconsistent with the TGA</w:t>
      </w:r>
      <w:r w:rsidR="00C027DC">
        <w:t xml:space="preserve"> approved indication, </w:t>
      </w:r>
      <w:r w:rsidR="00053CDF" w:rsidRPr="00053CDF">
        <w:t xml:space="preserve">which </w:t>
      </w:r>
      <w:r w:rsidR="008E5F5F">
        <w:t>o</w:t>
      </w:r>
      <w:r w:rsidR="008E5F5F" w:rsidRPr="008E5F5F">
        <w:t>nly allow</w:t>
      </w:r>
      <w:r w:rsidR="003566C6">
        <w:t>s</w:t>
      </w:r>
      <w:r w:rsidR="008E5F5F" w:rsidRPr="008E5F5F">
        <w:t xml:space="preserve"> direct initiation of the weekly and not the monthly</w:t>
      </w:r>
      <w:r w:rsidR="008E5F5F" w:rsidRPr="008E5F5F" w:rsidDel="008E5F5F">
        <w:t xml:space="preserve"> </w:t>
      </w:r>
      <w:r w:rsidR="00053CDF" w:rsidRPr="00053CDF">
        <w:t xml:space="preserve">formulation of </w:t>
      </w:r>
      <w:r w:rsidR="00C027DC">
        <w:t>prolonged release buprenorphine</w:t>
      </w:r>
      <w:r w:rsidR="00053CDF" w:rsidRPr="00053CDF">
        <w:t>.</w:t>
      </w:r>
      <w:r w:rsidR="00053CDF">
        <w:t xml:space="preserve"> The</w:t>
      </w:r>
      <w:r>
        <w:t xml:space="preserve"> PSCR amended </w:t>
      </w:r>
      <w:r w:rsidR="00025BD1">
        <w:t xml:space="preserve">the proposed </w:t>
      </w:r>
      <w:r w:rsidR="00A5604E">
        <w:t>restriction for the monthly formulation to include</w:t>
      </w:r>
      <w:r w:rsidR="00A5604E" w:rsidRPr="00A5604E">
        <w:t xml:space="preserve"> the need to be stabilised on either the weekly formulation, sublingual buprenorphine, or sublingual buprenorphine/naloxone (whilst removing any reference to</w:t>
      </w:r>
      <w:r w:rsidR="00025BD1">
        <w:t xml:space="preserve"> prior</w:t>
      </w:r>
      <w:r w:rsidR="00A5604E" w:rsidRPr="00A5604E">
        <w:t xml:space="preserve"> stabilisation for the weekly formulation)</w:t>
      </w:r>
      <w:r>
        <w:t>. The PBAC agreed with the ESC that this was appropriate.</w:t>
      </w:r>
      <w:r w:rsidR="00053CDF" w:rsidRPr="00053CDF">
        <w:t xml:space="preserve"> </w:t>
      </w:r>
      <w:r w:rsidR="00A442C1" w:rsidRPr="00BC4D1B">
        <w:rPr>
          <w:lang w:val="en-GB"/>
        </w:rPr>
        <w:t xml:space="preserve">The PBAC supported separate restrictions for </w:t>
      </w:r>
      <w:r w:rsidR="003566C6" w:rsidRPr="00BC4D1B">
        <w:rPr>
          <w:bCs/>
          <w:iCs/>
        </w:rPr>
        <w:t>the weekly and monthly formulations of prolonged release buprenorphine</w:t>
      </w:r>
      <w:r w:rsidR="008C7F43" w:rsidRPr="00BC4D1B">
        <w:rPr>
          <w:bCs/>
          <w:iCs/>
        </w:rPr>
        <w:t xml:space="preserve"> to provide </w:t>
      </w:r>
      <w:r w:rsidR="005826BF" w:rsidRPr="00BC4D1B">
        <w:rPr>
          <w:bCs/>
          <w:iCs/>
        </w:rPr>
        <w:t>for direct initiation of the weekly formulation and retention of the requirement for prior stabilisation for the monthly formulation</w:t>
      </w:r>
      <w:r w:rsidR="00A442C1" w:rsidRPr="00BC4D1B">
        <w:rPr>
          <w:bCs/>
          <w:lang w:val="en-GB"/>
        </w:rPr>
        <w:t xml:space="preserve">. </w:t>
      </w:r>
    </w:p>
    <w:p w14:paraId="3F22C4B2" w14:textId="77777777" w:rsidR="00170FFD" w:rsidRPr="00717574" w:rsidRDefault="00170FFD" w:rsidP="00717574">
      <w:pPr>
        <w:pStyle w:val="ExecSumBodyText"/>
        <w:numPr>
          <w:ilvl w:val="1"/>
          <w:numId w:val="1"/>
        </w:numPr>
        <w:rPr>
          <w:iCs/>
        </w:rPr>
      </w:pPr>
      <w:r>
        <w:t xml:space="preserve">The PBAC noted </w:t>
      </w:r>
      <w:r w:rsidRPr="00540422">
        <w:t>evidence previously considered by the PBAC (HS-11-421, HS-14-499),</w:t>
      </w:r>
      <w:r w:rsidR="00C769BB">
        <w:t xml:space="preserve"> which </w:t>
      </w:r>
      <w:r w:rsidR="00C769BB" w:rsidRPr="002E7996">
        <w:rPr>
          <w:iCs/>
        </w:rPr>
        <w:t>supported a claim of non-inferior efficacy and safety of prolonged release buprenorphine compared to sublingual buprenorphine/</w:t>
      </w:r>
      <w:r w:rsidR="00FE6870">
        <w:rPr>
          <w:iCs/>
        </w:rPr>
        <w:t>naloxone</w:t>
      </w:r>
      <w:r w:rsidR="00FE6870" w:rsidRPr="002E7996">
        <w:rPr>
          <w:iCs/>
        </w:rPr>
        <w:t xml:space="preserve"> </w:t>
      </w:r>
      <w:r w:rsidR="00C769BB" w:rsidRPr="002E7996">
        <w:rPr>
          <w:iCs/>
        </w:rPr>
        <w:t xml:space="preserve">(para 7.8, Buprenorphine PSD, November 2018 PBAC meeting). </w:t>
      </w:r>
      <w:r w:rsidRPr="002E7996">
        <w:rPr>
          <w:iCs/>
        </w:rPr>
        <w:t>Additional evidence presented in the submission from study dBC2531</w:t>
      </w:r>
      <w:r w:rsidR="00C769BB">
        <w:rPr>
          <w:iCs/>
        </w:rPr>
        <w:t>,</w:t>
      </w:r>
      <w:r w:rsidR="00C769BB" w:rsidRPr="00C769BB">
        <w:t xml:space="preserve"> </w:t>
      </w:r>
      <w:r w:rsidR="00C769BB" w:rsidRPr="00540422">
        <w:t>conducted in patients in custo</w:t>
      </w:r>
      <w:r w:rsidR="00C769BB">
        <w:t xml:space="preserve">dial settings in New South Wales, was </w:t>
      </w:r>
      <w:r w:rsidRPr="002E7996">
        <w:rPr>
          <w:iCs/>
        </w:rPr>
        <w:t xml:space="preserve">consistent with non-inferior efficacy and safety. </w:t>
      </w:r>
      <w:r w:rsidRPr="002E7996">
        <w:t xml:space="preserve">The </w:t>
      </w:r>
      <w:r w:rsidR="00C769BB">
        <w:t>PBAC considered that the</w:t>
      </w:r>
      <w:r w:rsidRPr="002E7996">
        <w:t xml:space="preserve"> evidence supported direct initiation with the weekly formulation of prolonged release buprenorphine. </w:t>
      </w:r>
    </w:p>
    <w:p w14:paraId="33E0B69C" w14:textId="77777777" w:rsidR="00C769BB" w:rsidRDefault="00C769BB" w:rsidP="00BE2576">
      <w:pPr>
        <w:pStyle w:val="ExecSumBodyText"/>
        <w:rPr>
          <w:iCs/>
        </w:rPr>
      </w:pPr>
      <w:r>
        <w:t>The PBAC noted</w:t>
      </w:r>
      <w:r w:rsidRPr="002E7996">
        <w:t xml:space="preserve"> evidence previously considered by the PBAC from HS-11-421 and HS-14-499 included patients receiving </w:t>
      </w:r>
      <w:r w:rsidR="00BE2576">
        <w:t xml:space="preserve">the </w:t>
      </w:r>
      <w:r w:rsidR="00BE2576" w:rsidRPr="00BE2576">
        <w:t>160 mg monthly dose of prolonged release buprenorphine</w:t>
      </w:r>
      <w:r w:rsidRPr="002E7996">
        <w:t xml:space="preserve">, and analysis of the HS-11-421 study data for key outcomes, excluding data from patients receiving the 160 mg dose strength, showed no difference in treatment effect to the ITT population. </w:t>
      </w:r>
      <w:r w:rsidRPr="002E7996">
        <w:rPr>
          <w:iCs/>
        </w:rPr>
        <w:t xml:space="preserve">The ESC noted that </w:t>
      </w:r>
      <w:r w:rsidRPr="002E7996">
        <w:t xml:space="preserve">safety data were presented from studies HS-11-421, HS-14-499 and HS-17-585 for the subgroup of patients who received the 160 mg monthly dose, with results indicating similar proportions of adverse events compared to the ITT populations, and no evidence of a dose response pattern with the monthly formulation. </w:t>
      </w:r>
      <w:r w:rsidRPr="002E7996">
        <w:rPr>
          <w:iCs/>
        </w:rPr>
        <w:t xml:space="preserve">The ESC considered that new data from study dBC2531, in which 40% of patients received 160 mg monthly, supported the efficacy of the higher dose strength. </w:t>
      </w:r>
      <w:r w:rsidR="00717574">
        <w:rPr>
          <w:iCs/>
        </w:rPr>
        <w:t>Overall, the PBAC</w:t>
      </w:r>
      <w:r w:rsidRPr="002E7996">
        <w:rPr>
          <w:iCs/>
        </w:rPr>
        <w:t xml:space="preserve"> </w:t>
      </w:r>
      <w:r w:rsidR="00717574">
        <w:rPr>
          <w:iCs/>
        </w:rPr>
        <w:t>supported</w:t>
      </w:r>
      <w:r w:rsidRPr="002E7996">
        <w:rPr>
          <w:iCs/>
        </w:rPr>
        <w:t xml:space="preserve"> the request to list the 160</w:t>
      </w:r>
      <w:r w:rsidR="00025BD1">
        <w:rPr>
          <w:iCs/>
        </w:rPr>
        <w:t> </w:t>
      </w:r>
      <w:r w:rsidRPr="002E7996">
        <w:rPr>
          <w:iCs/>
        </w:rPr>
        <w:t>mg monthly dose</w:t>
      </w:r>
      <w:r w:rsidR="00717574">
        <w:rPr>
          <w:iCs/>
        </w:rPr>
        <w:t xml:space="preserve"> and </w:t>
      </w:r>
      <w:r w:rsidR="00A1138B">
        <w:rPr>
          <w:iCs/>
        </w:rPr>
        <w:t xml:space="preserve">considered </w:t>
      </w:r>
      <w:r w:rsidRPr="002E7996">
        <w:rPr>
          <w:iCs/>
        </w:rPr>
        <w:t>the same</w:t>
      </w:r>
      <w:r w:rsidR="00717574">
        <w:rPr>
          <w:iCs/>
        </w:rPr>
        <w:t xml:space="preserve"> flat</w:t>
      </w:r>
      <w:r w:rsidRPr="002E7996">
        <w:rPr>
          <w:iCs/>
        </w:rPr>
        <w:t xml:space="preserve"> price as the other monthly formulations</w:t>
      </w:r>
      <w:r w:rsidR="00A1138B">
        <w:rPr>
          <w:iCs/>
        </w:rPr>
        <w:t xml:space="preserve"> was appropriate</w:t>
      </w:r>
      <w:r w:rsidRPr="002E7996">
        <w:rPr>
          <w:iCs/>
        </w:rPr>
        <w:t xml:space="preserve">. </w:t>
      </w:r>
    </w:p>
    <w:p w14:paraId="4ECA3F42" w14:textId="77777777" w:rsidR="00717574" w:rsidRDefault="00717574" w:rsidP="00717574">
      <w:pPr>
        <w:pStyle w:val="ExecSumBodyText"/>
      </w:pPr>
      <w:r>
        <w:t xml:space="preserve">The PBAC noted that the submission claimed there would be a number of advantages of a Section 85 listing. For the claim of </w:t>
      </w:r>
      <w:r>
        <w:rPr>
          <w:lang w:val="en-GB"/>
        </w:rPr>
        <w:t xml:space="preserve">appropriate </w:t>
      </w:r>
      <w:r w:rsidRPr="009B7981">
        <w:rPr>
          <w:lang w:val="en-GB"/>
        </w:rPr>
        <w:t>reimbursement for pharmacies and wholesalers for distribution, storage and dispens</w:t>
      </w:r>
      <w:r>
        <w:rPr>
          <w:lang w:val="en-GB"/>
        </w:rPr>
        <w:t xml:space="preserve">ing, the </w:t>
      </w:r>
      <w:r w:rsidR="00502623">
        <w:rPr>
          <w:lang w:val="en-GB"/>
        </w:rPr>
        <w:t>PBAC</w:t>
      </w:r>
      <w:r w:rsidR="00502623">
        <w:t xml:space="preserve"> </w:t>
      </w:r>
      <w:r w:rsidR="000D372F">
        <w:rPr>
          <w:lang w:val="en-GB"/>
        </w:rPr>
        <w:t>noted that</w:t>
      </w:r>
      <w:r w:rsidR="000D372F" w:rsidRPr="009542FB">
        <w:t xml:space="preserve"> </w:t>
      </w:r>
      <w:r w:rsidR="0086179C">
        <w:t xml:space="preserve">there may be costs </w:t>
      </w:r>
      <w:r w:rsidR="0086179C">
        <w:rPr>
          <w:lang w:val="en-GB"/>
        </w:rPr>
        <w:t>to</w:t>
      </w:r>
      <w:r w:rsidR="000D372F" w:rsidRPr="009542FB">
        <w:rPr>
          <w:lang w:val="en-GB"/>
        </w:rPr>
        <w:t xml:space="preserve"> dispensers and wholesalers given the need to store and dispense these products</w:t>
      </w:r>
      <w:r w:rsidR="000D372F">
        <w:rPr>
          <w:lang w:val="en-GB"/>
        </w:rPr>
        <w:t xml:space="preserve"> and</w:t>
      </w:r>
      <w:r w:rsidR="000D372F">
        <w:t xml:space="preserve"> </w:t>
      </w:r>
      <w:r w:rsidRPr="0098148A">
        <w:rPr>
          <w:iCs/>
        </w:rPr>
        <w:t xml:space="preserve">acknowledged </w:t>
      </w:r>
      <w:r w:rsidR="000D372F">
        <w:rPr>
          <w:iCs/>
        </w:rPr>
        <w:t xml:space="preserve">that </w:t>
      </w:r>
      <w:r w:rsidR="000D372F" w:rsidRPr="009542FB">
        <w:rPr>
          <w:iCs/>
        </w:rPr>
        <w:t>these costs are not currently being reimb</w:t>
      </w:r>
      <w:r w:rsidR="000D372F">
        <w:rPr>
          <w:iCs/>
        </w:rPr>
        <w:t>ursed through the S</w:t>
      </w:r>
      <w:r w:rsidR="0088571E">
        <w:rPr>
          <w:iCs/>
        </w:rPr>
        <w:t xml:space="preserve">ection </w:t>
      </w:r>
      <w:r w:rsidR="000D372F">
        <w:rPr>
          <w:iCs/>
        </w:rPr>
        <w:t xml:space="preserve">100 listing </w:t>
      </w:r>
      <w:r w:rsidR="000D372F" w:rsidRPr="009542FB">
        <w:rPr>
          <w:iCs/>
        </w:rPr>
        <w:t xml:space="preserve">and </w:t>
      </w:r>
      <w:r w:rsidR="004B2A1F">
        <w:rPr>
          <w:iCs/>
        </w:rPr>
        <w:t>in the private sector</w:t>
      </w:r>
      <w:r w:rsidR="000D372F" w:rsidRPr="009542FB">
        <w:rPr>
          <w:iCs/>
        </w:rPr>
        <w:t xml:space="preserve"> </w:t>
      </w:r>
      <w:r w:rsidR="00A1081D">
        <w:rPr>
          <w:iCs/>
        </w:rPr>
        <w:t xml:space="preserve">are </w:t>
      </w:r>
      <w:r w:rsidR="000D372F" w:rsidRPr="009542FB">
        <w:rPr>
          <w:iCs/>
        </w:rPr>
        <w:t>recouped with private fees</w:t>
      </w:r>
      <w:r w:rsidR="000D372F">
        <w:rPr>
          <w:iCs/>
        </w:rPr>
        <w:t xml:space="preserve">. </w:t>
      </w:r>
      <w:r w:rsidR="000D372F" w:rsidRPr="0098148A">
        <w:rPr>
          <w:iCs/>
        </w:rPr>
        <w:t xml:space="preserve"> </w:t>
      </w:r>
      <w:r w:rsidR="000D372F">
        <w:rPr>
          <w:iCs/>
        </w:rPr>
        <w:t xml:space="preserve"> </w:t>
      </w:r>
      <w:r>
        <w:rPr>
          <w:iCs/>
        </w:rPr>
        <w:t xml:space="preserve">For the claim of </w:t>
      </w:r>
      <w:r>
        <w:t xml:space="preserve">standardised patient fees instead of private, unregulated pharmacy-directed service fees, the </w:t>
      </w:r>
      <w:r w:rsidR="00502623">
        <w:t xml:space="preserve">PBAC </w:t>
      </w:r>
      <w:r>
        <w:rPr>
          <w:lang w:val="en-GB"/>
        </w:rPr>
        <w:t xml:space="preserve">noted that the </w:t>
      </w:r>
      <w:r w:rsidRPr="009B7981">
        <w:rPr>
          <w:lang w:val="en-GB"/>
        </w:rPr>
        <w:t xml:space="preserve">survey of dispensers (n=11) indicated </w:t>
      </w:r>
      <w:r>
        <w:rPr>
          <w:lang w:val="en-GB"/>
        </w:rPr>
        <w:t>a Section 85 listing</w:t>
      </w:r>
      <w:r w:rsidRPr="009B7981">
        <w:rPr>
          <w:lang w:val="en-GB"/>
        </w:rPr>
        <w:t xml:space="preserve"> </w:t>
      </w:r>
      <w:r>
        <w:t xml:space="preserve">would not prevent charging of unregulated fees. For the claim of </w:t>
      </w:r>
      <w:r w:rsidRPr="00862FDF">
        <w:rPr>
          <w:lang w:val="en-GB"/>
        </w:rPr>
        <w:t xml:space="preserve">supply </w:t>
      </w:r>
      <w:r>
        <w:rPr>
          <w:lang w:val="en-GB"/>
        </w:rPr>
        <w:t>not being</w:t>
      </w:r>
      <w:r w:rsidRPr="00862FDF">
        <w:rPr>
          <w:lang w:val="en-GB"/>
        </w:rPr>
        <w:t xml:space="preserve"> restricted to pharmacies approved for OST services</w:t>
      </w:r>
      <w:r>
        <w:rPr>
          <w:lang w:val="en-GB"/>
        </w:rPr>
        <w:t xml:space="preserve">, the </w:t>
      </w:r>
      <w:r w:rsidR="00502623">
        <w:rPr>
          <w:iCs/>
        </w:rPr>
        <w:t>PBAC</w:t>
      </w:r>
      <w:r w:rsidR="00502623" w:rsidRPr="0098148A">
        <w:rPr>
          <w:iCs/>
        </w:rPr>
        <w:t xml:space="preserve"> </w:t>
      </w:r>
      <w:r w:rsidRPr="0098148A">
        <w:rPr>
          <w:iCs/>
        </w:rPr>
        <w:t>considered this may not be reasonable</w:t>
      </w:r>
      <w:r w:rsidR="00502623">
        <w:rPr>
          <w:iCs/>
        </w:rPr>
        <w:t xml:space="preserve"> given the current rate of pharmacy approval to provide ODTP (approximately 50%) and supply (</w:t>
      </w:r>
      <w:r w:rsidRPr="0098148A">
        <w:rPr>
          <w:iCs/>
        </w:rPr>
        <w:t>nearly 90% of dosing</w:t>
      </w:r>
      <w:r w:rsidR="00502623">
        <w:rPr>
          <w:iCs/>
        </w:rPr>
        <w:t>)</w:t>
      </w:r>
      <w:r w:rsidRPr="0098148A">
        <w:rPr>
          <w:iCs/>
        </w:rPr>
        <w:t>.</w:t>
      </w:r>
      <w:r>
        <w:rPr>
          <w:iCs/>
        </w:rPr>
        <w:t xml:space="preserve"> </w:t>
      </w:r>
      <w:r>
        <w:t xml:space="preserve">The PBAC </w:t>
      </w:r>
      <w:r w:rsidR="00502623">
        <w:t>considered that the matter of section 85 listing</w:t>
      </w:r>
      <w:r w:rsidR="00C71949">
        <w:t xml:space="preserve"> should be informed by the </w:t>
      </w:r>
      <w:r w:rsidR="00502623">
        <w:t xml:space="preserve">ODTP </w:t>
      </w:r>
      <w:r w:rsidR="00C71949">
        <w:t xml:space="preserve">PMR. </w:t>
      </w:r>
    </w:p>
    <w:p w14:paraId="3FE9B6D8" w14:textId="77777777" w:rsidR="00EA397A" w:rsidRDefault="00FD7A81" w:rsidP="00C71949">
      <w:pPr>
        <w:pStyle w:val="ExecSumBodyText"/>
      </w:pPr>
      <w:r>
        <w:t>The PBAC noted that submission argued for an increase in price from the previous cost-minimised price against sublingual buprenorphine/naloxone. T</w:t>
      </w:r>
      <w:r w:rsidR="001045CE">
        <w:t>he PBAC noted substantial uncertainty associated with the estimated practice model savings included in the cost minimisation analysis (CMA)</w:t>
      </w:r>
      <w:r w:rsidR="00253C8D">
        <w:t xml:space="preserve"> due </w:t>
      </w:r>
      <w:r w:rsidR="002D7FE1">
        <w:t xml:space="preserve">to </w:t>
      </w:r>
      <w:r w:rsidR="00253C8D">
        <w:t>private patient fees</w:t>
      </w:r>
      <w:r w:rsidR="008A7447">
        <w:t xml:space="preserve"> and the sponsor survey</w:t>
      </w:r>
      <w:r w:rsidR="001045CE">
        <w:t xml:space="preserve">. The ESC noted that the inclusion of private patient fees </w:t>
      </w:r>
      <w:r w:rsidR="00AE3D5A">
        <w:t xml:space="preserve">was </w:t>
      </w:r>
      <w:r w:rsidR="001045CE">
        <w:t>previously considered b</w:t>
      </w:r>
      <w:r w:rsidR="007C65C4">
        <w:t xml:space="preserve">y the PBAC to be inappropriate. </w:t>
      </w:r>
      <w:r w:rsidR="001045CE">
        <w:t xml:space="preserve">PBAC </w:t>
      </w:r>
      <w:r w:rsidR="007C65C4">
        <w:t>clarified</w:t>
      </w:r>
      <w:r w:rsidR="001045CE">
        <w:t xml:space="preserve"> that inclu</w:t>
      </w:r>
      <w:r w:rsidR="00AE3D5A">
        <w:t>sion of</w:t>
      </w:r>
      <w:r w:rsidR="001045CE">
        <w:t xml:space="preserve"> private patient fees was </w:t>
      </w:r>
      <w:r w:rsidR="00AE3D5A">
        <w:t xml:space="preserve">inappropriate </w:t>
      </w:r>
      <w:r w:rsidR="001045CE">
        <w:t xml:space="preserve">due to the substantial uncertainty associated </w:t>
      </w:r>
      <w:r w:rsidR="007C65C4">
        <w:t xml:space="preserve">with the measurement of these fees. </w:t>
      </w:r>
      <w:r w:rsidR="00253C8D">
        <w:t>The ESC noted that estimates were informed by a sponsor survey with small numbers of responders and a wide range of responses.</w:t>
      </w:r>
      <w:r w:rsidR="00253C8D" w:rsidRPr="00253C8D">
        <w:t xml:space="preserve"> </w:t>
      </w:r>
      <w:r w:rsidR="00253C8D">
        <w:t>The Pre-PBAC response acknowledged the limitations of the sponsor survey, but argued that the savings are ‘plausible – if not conservative’. PBAC disagreed</w:t>
      </w:r>
      <w:r w:rsidR="00AE3D5A">
        <w:t>, considering the evidence insufficient to support</w:t>
      </w:r>
      <w:r w:rsidR="00253C8D">
        <w:t xml:space="preserve"> plausible savings</w:t>
      </w:r>
      <w:r w:rsidR="00AE3D5A">
        <w:t>,</w:t>
      </w:r>
      <w:r w:rsidR="00253C8D">
        <w:t xml:space="preserve"> and </w:t>
      </w:r>
      <w:r w:rsidR="0052407F">
        <w:t>advised</w:t>
      </w:r>
      <w:r w:rsidR="00253C8D">
        <w:t xml:space="preserve"> that </w:t>
      </w:r>
      <w:r w:rsidR="0052407F">
        <w:t>the revisions required to the economic evaluations were complex and should be informed by the PMR.</w:t>
      </w:r>
      <w:r w:rsidR="00A71B4A">
        <w:t xml:space="preserve"> Further, it was noted that Buvidal is not the only injectable buprenorphine product listed on the PBS and therefore sublingual buprenorphine/naloxone is not the only relevant comparator. </w:t>
      </w:r>
    </w:p>
    <w:p w14:paraId="04185D94" w14:textId="77777777" w:rsidR="008B4072" w:rsidRDefault="003B0F0E" w:rsidP="004C3903">
      <w:pPr>
        <w:pStyle w:val="ExecSumBodyText"/>
      </w:pPr>
      <w:r>
        <w:t>The PBAC noted</w:t>
      </w:r>
      <w:r w:rsidR="00661724">
        <w:t xml:space="preserve"> some issues with the estimated financial implications. The PBAC noted</w:t>
      </w:r>
      <w:r>
        <w:t xml:space="preserve"> that the submission claimed the addition of 160 mg strength would not </w:t>
      </w:r>
      <w:r w:rsidR="00145C7D">
        <w:t>affect</w:t>
      </w:r>
      <w:r>
        <w:t xml:space="preserve"> utilisation</w:t>
      </w:r>
      <w:r w:rsidR="0053482F">
        <w:t>. However, the ESC noted that</w:t>
      </w:r>
      <w:r>
        <w:t xml:space="preserve"> additional patients (10-15% estimated not respond</w:t>
      </w:r>
      <w:r w:rsidR="004C3903">
        <w:t>ing</w:t>
      </w:r>
      <w:r>
        <w:t xml:space="preserve"> to existing strengths) would benefit from this higher strength.</w:t>
      </w:r>
      <w:r w:rsidR="008B4072">
        <w:t xml:space="preserve"> The PBAC agreed that listing of the 160 mg strength may increase utilisation, and thus expenditure, by up to 15%.</w:t>
      </w:r>
      <w:r>
        <w:t xml:space="preserve"> </w:t>
      </w:r>
    </w:p>
    <w:p w14:paraId="35CAB9D4" w14:textId="77777777" w:rsidR="003B0F0E" w:rsidRDefault="0053482F" w:rsidP="004C3903">
      <w:pPr>
        <w:pStyle w:val="ExecSumBodyText"/>
      </w:pPr>
      <w:r>
        <w:t xml:space="preserve">The PBAC noted the </w:t>
      </w:r>
      <w:r w:rsidRPr="0053482F">
        <w:t>submission did not estimate the financial implications of the proposed dual Section 100/Section 85 listing, with estimates provided based on all use under a Section 100 listing, or all use under a Section 85 listing</w:t>
      </w:r>
      <w:r w:rsidR="00922519">
        <w:t xml:space="preserve">, </w:t>
      </w:r>
      <w:r w:rsidR="008B4072">
        <w:t>thus</w:t>
      </w:r>
      <w:r w:rsidR="00922519">
        <w:t xml:space="preserve"> not reflect</w:t>
      </w:r>
      <w:r w:rsidR="008B4072">
        <w:t>ing</w:t>
      </w:r>
      <w:r w:rsidR="00922519">
        <w:t xml:space="preserve"> the proposed </w:t>
      </w:r>
      <w:r w:rsidR="008B4072">
        <w:t xml:space="preserve">clinical </w:t>
      </w:r>
      <w:r w:rsidR="00922519">
        <w:t>place</w:t>
      </w:r>
      <w:r>
        <w:t xml:space="preserve">. </w:t>
      </w:r>
      <w:r w:rsidR="00661724">
        <w:t xml:space="preserve">The PSCR </w:t>
      </w:r>
      <w:r w:rsidR="00B72F84">
        <w:t xml:space="preserve">sought to address this by providing </w:t>
      </w:r>
      <w:r w:rsidR="004C3903">
        <w:t>additional</w:t>
      </w:r>
      <w:r>
        <w:t xml:space="preserve"> </w:t>
      </w:r>
      <w:r w:rsidR="00B72F84">
        <w:t xml:space="preserve">scenarios. </w:t>
      </w:r>
      <w:r w:rsidR="00661724" w:rsidRPr="00661724">
        <w:t xml:space="preserve">The PBAC </w:t>
      </w:r>
      <w:r w:rsidR="00B72F84">
        <w:t>considered the</w:t>
      </w:r>
      <w:r w:rsidR="00A05AC2">
        <w:t>re was a</w:t>
      </w:r>
      <w:r w:rsidR="00661724" w:rsidRPr="00661724">
        <w:t xml:space="preserve"> lack of evidence </w:t>
      </w:r>
      <w:r w:rsidR="00A05AC2">
        <w:t xml:space="preserve">in the submission and PSCR </w:t>
      </w:r>
      <w:r w:rsidR="00B72F84">
        <w:t>to support the</w:t>
      </w:r>
      <w:r w:rsidR="004C3903" w:rsidRPr="004C3903">
        <w:t xml:space="preserve"> utilisation and financial estimates </w:t>
      </w:r>
      <w:r w:rsidR="00B72F84">
        <w:t xml:space="preserve">of a </w:t>
      </w:r>
      <w:r w:rsidR="0026529C">
        <w:t xml:space="preserve">Section 85 listing and the </w:t>
      </w:r>
      <w:r w:rsidR="00B456AB">
        <w:t xml:space="preserve">financial </w:t>
      </w:r>
      <w:r w:rsidR="008D2D9D">
        <w:t>implications</w:t>
      </w:r>
      <w:r w:rsidR="00B456AB" w:rsidRPr="004C3903">
        <w:t xml:space="preserve"> </w:t>
      </w:r>
      <w:r w:rsidR="0026529C">
        <w:t>would best</w:t>
      </w:r>
      <w:r w:rsidR="00661724" w:rsidRPr="00661724">
        <w:t xml:space="preserve"> be informed by the PMR.</w:t>
      </w:r>
    </w:p>
    <w:p w14:paraId="3D47C34C" w14:textId="77777777" w:rsidR="00E4655B" w:rsidRPr="007607DE" w:rsidRDefault="00FF3309" w:rsidP="00FF3309">
      <w:pPr>
        <w:pStyle w:val="ExecSumBodyText"/>
      </w:pPr>
      <w:r w:rsidRPr="00FF3309">
        <w:t xml:space="preserve">The PBAC reaffirmed its </w:t>
      </w:r>
      <w:r>
        <w:t>March 2019</w:t>
      </w:r>
      <w:r w:rsidRPr="00FF3309">
        <w:t xml:space="preserve"> advice</w:t>
      </w:r>
      <w:r w:rsidR="00E4655B" w:rsidRPr="007607DE">
        <w:t xml:space="preserve"> </w:t>
      </w:r>
      <w:r>
        <w:t xml:space="preserve">that </w:t>
      </w:r>
      <w:r w:rsidRPr="00FF3309">
        <w:t>buprenorphine is not interchangeable with any other drugs or medicinal preparations</w:t>
      </w:r>
      <w:r>
        <w:t xml:space="preserve"> on an individual patient basis, </w:t>
      </w:r>
      <w:r w:rsidRPr="00FF3309">
        <w:t>prolonged release buprenorphine is suitable for prescribing by nurse practitioners within a shared care model</w:t>
      </w:r>
      <w:r>
        <w:t xml:space="preserve"> and </w:t>
      </w:r>
      <w:r w:rsidRPr="00FF3309">
        <w:t>the Early Supply Rule should apply.</w:t>
      </w:r>
    </w:p>
    <w:p w14:paraId="051C06D1" w14:textId="77777777" w:rsidR="00E4655B" w:rsidRPr="007607DE" w:rsidRDefault="00E4655B" w:rsidP="0013388C">
      <w:pPr>
        <w:pStyle w:val="ExecSumBodyText"/>
      </w:pPr>
      <w:r w:rsidRPr="00E4655B">
        <w:t xml:space="preserve">The PBAC noted that its recommendation was on a cost-minimisation basis and advised that, because </w:t>
      </w:r>
      <w:r w:rsidR="0013388C">
        <w:t xml:space="preserve">monthly prolonged </w:t>
      </w:r>
      <w:r>
        <w:t>buprenorphine</w:t>
      </w:r>
      <w:r w:rsidRPr="00E4655B">
        <w:t xml:space="preserve"> is not expected to provide a substantial and clinically relevant improvement in efficacy, or reduction of toxicity, over </w:t>
      </w:r>
      <w:r w:rsidR="0013388C" w:rsidRPr="0013388C">
        <w:t>sublingual buprenorphine/naloxone</w:t>
      </w:r>
      <w:r w:rsidRPr="00E4655B">
        <w:t>, or not expected to address a high and urgent unmet clinical need given the presence of an alternative therapy, the criteria prescribed by the National Health (Pharmaceuticals and Vaccines – Cost Recovery) Regulations 2009 for Pricing Pathway A were not met.</w:t>
      </w:r>
    </w:p>
    <w:p w14:paraId="1F3E28FD" w14:textId="77777777" w:rsidR="00E4655B" w:rsidRPr="00E4655B" w:rsidRDefault="00E4655B" w:rsidP="00E4655B">
      <w:pPr>
        <w:pStyle w:val="ExecSumBodyText"/>
      </w:pPr>
      <w:r w:rsidRPr="007607DE">
        <w:t>The PBAC noted that this submission is not eligible for an Independent Review as it received a positive recommendation.</w:t>
      </w:r>
    </w:p>
    <w:p w14:paraId="2EB73A11" w14:textId="77777777" w:rsidR="00DE36E2" w:rsidRPr="00525B39" w:rsidRDefault="00DE36E2" w:rsidP="00DE36E2">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463B74F1" w14:textId="77777777" w:rsidR="007304C4" w:rsidRPr="00DF56D2" w:rsidRDefault="00DF56D2" w:rsidP="007304C4">
      <w:pPr>
        <w:rPr>
          <w:rFonts w:asciiTheme="minorHAnsi" w:hAnsiTheme="minorHAnsi"/>
          <w:bCs/>
          <w:snapToGrid w:val="0"/>
          <w:lang w:val="en-GB"/>
        </w:rPr>
      </w:pPr>
      <w:r>
        <w:rPr>
          <w:rFonts w:asciiTheme="minorHAnsi" w:hAnsiTheme="minorHAnsi"/>
          <w:bCs/>
          <w:snapToGrid w:val="0"/>
          <w:lang w:val="en-GB"/>
        </w:rPr>
        <w:t xml:space="preserve">Recommended </w:t>
      </w:r>
    </w:p>
    <w:bookmarkEnd w:id="28"/>
    <w:p w14:paraId="7202286D" w14:textId="77777777" w:rsidR="00DE36E2" w:rsidRPr="00F237A4" w:rsidRDefault="00DE36E2" w:rsidP="00690D4B">
      <w:pPr>
        <w:pStyle w:val="2-SectionHeading"/>
        <w:rPr>
          <w:b w:val="0"/>
          <w:iCs/>
          <w:lang w:val="en-GB"/>
        </w:rPr>
      </w:pPr>
      <w:r w:rsidRPr="00525B39">
        <w:rPr>
          <w:lang w:val="en-GB"/>
        </w:rPr>
        <w:t>Recommended listing</w:t>
      </w:r>
    </w:p>
    <w:p w14:paraId="57D5C67F" w14:textId="77777777" w:rsidR="00DE36E2" w:rsidRPr="0013388C" w:rsidRDefault="00DE36E2" w:rsidP="0013388C">
      <w:pPr>
        <w:widowControl w:val="0"/>
        <w:numPr>
          <w:ilvl w:val="1"/>
          <w:numId w:val="1"/>
        </w:numPr>
        <w:spacing w:after="120"/>
        <w:contextualSpacing/>
        <w:rPr>
          <w:rFonts w:asciiTheme="minorHAnsi" w:hAnsiTheme="minorHAnsi"/>
          <w:bCs/>
          <w:snapToGrid w:val="0"/>
        </w:rPr>
      </w:pPr>
      <w:r w:rsidRPr="0013388C">
        <w:rPr>
          <w:rFonts w:asciiTheme="minorHAnsi" w:hAnsiTheme="minorHAnsi"/>
          <w:bCs/>
          <w:snapToGrid w:val="0"/>
        </w:rPr>
        <w:t>Add new item</w:t>
      </w:r>
      <w:r w:rsidR="0013388C">
        <w:rPr>
          <w:rFonts w:asciiTheme="minorHAnsi" w:hAnsiTheme="minorHAnsi"/>
          <w:bCs/>
          <w:snapToGrid w:val="0"/>
        </w:rPr>
        <w:t xml:space="preserve"> and a</w:t>
      </w:r>
      <w:r w:rsidRPr="0013388C">
        <w:rPr>
          <w:rFonts w:asciiTheme="minorHAnsi" w:hAnsiTheme="minorHAnsi"/>
          <w:bCs/>
          <w:snapToGrid w:val="0"/>
        </w:rPr>
        <w:t>mend existing/recommended listing as follows:</w:t>
      </w:r>
    </w:p>
    <w:bookmarkEnd w:id="29"/>
    <w:p w14:paraId="3F2CDB5D" w14:textId="77777777" w:rsidR="00B15E6D" w:rsidRPr="0013388C" w:rsidRDefault="00B15E6D" w:rsidP="00B15E6D">
      <w:pPr>
        <w:spacing w:after="120"/>
        <w:rPr>
          <w:rFonts w:ascii="Arial Narrow" w:hAnsi="Arial Narrow" w:cstheme="minorHAnsi"/>
          <w:color w:val="FF0000"/>
          <w:sz w:val="18"/>
          <w:szCs w:val="18"/>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708"/>
        <w:gridCol w:w="2835"/>
        <w:gridCol w:w="993"/>
        <w:gridCol w:w="850"/>
        <w:gridCol w:w="709"/>
        <w:gridCol w:w="709"/>
        <w:gridCol w:w="1842"/>
      </w:tblGrid>
      <w:tr w:rsidR="00B15E6D" w:rsidRPr="0013388C" w14:paraId="023BBA16" w14:textId="77777777" w:rsidTr="00B15E6D">
        <w:trPr>
          <w:cantSplit/>
          <w:trHeight w:val="471"/>
          <w:jc w:val="center"/>
        </w:trPr>
        <w:tc>
          <w:tcPr>
            <w:tcW w:w="3964" w:type="dxa"/>
            <w:gridSpan w:val="3"/>
          </w:tcPr>
          <w:p w14:paraId="36E867D6" w14:textId="77777777" w:rsidR="00B15E6D" w:rsidRPr="0013388C" w:rsidRDefault="00B15E6D" w:rsidP="00B15E6D">
            <w:pPr>
              <w:keepNext/>
              <w:ind w:left="-57"/>
              <w:rPr>
                <w:rFonts w:ascii="Arial Narrow" w:hAnsi="Arial Narrow"/>
                <w:b/>
                <w:bCs/>
                <w:sz w:val="20"/>
                <w:szCs w:val="20"/>
              </w:rPr>
            </w:pPr>
            <w:r w:rsidRPr="0013388C">
              <w:rPr>
                <w:rFonts w:ascii="Arial Narrow" w:hAnsi="Arial Narrow"/>
                <w:b/>
                <w:bCs/>
                <w:sz w:val="20"/>
                <w:szCs w:val="20"/>
              </w:rPr>
              <w:t>MEDICINAL PRODUCT</w:t>
            </w:r>
          </w:p>
          <w:p w14:paraId="0CE4498C" w14:textId="77777777" w:rsidR="00B15E6D" w:rsidRPr="0013388C" w:rsidRDefault="00B15E6D" w:rsidP="00B15E6D">
            <w:pPr>
              <w:keepNext/>
              <w:ind w:left="-57"/>
              <w:rPr>
                <w:rFonts w:ascii="Arial Narrow" w:hAnsi="Arial Narrow"/>
                <w:b/>
                <w:sz w:val="20"/>
                <w:szCs w:val="20"/>
              </w:rPr>
            </w:pPr>
            <w:r w:rsidRPr="0013388C">
              <w:rPr>
                <w:rFonts w:ascii="Arial Narrow" w:hAnsi="Arial Narrow"/>
                <w:b/>
                <w:bCs/>
                <w:sz w:val="20"/>
                <w:szCs w:val="20"/>
              </w:rPr>
              <w:t>medicinal product pack</w:t>
            </w:r>
          </w:p>
        </w:tc>
        <w:tc>
          <w:tcPr>
            <w:tcW w:w="993" w:type="dxa"/>
          </w:tcPr>
          <w:p w14:paraId="2CE63A4E" w14:textId="77777777" w:rsidR="00B15E6D" w:rsidRPr="0013388C" w:rsidRDefault="00B15E6D" w:rsidP="00B15E6D">
            <w:pPr>
              <w:keepNext/>
              <w:ind w:left="-108"/>
              <w:jc w:val="center"/>
              <w:rPr>
                <w:rFonts w:ascii="Arial Narrow" w:hAnsi="Arial Narrow"/>
                <w:b/>
                <w:sz w:val="20"/>
                <w:szCs w:val="20"/>
              </w:rPr>
            </w:pPr>
            <w:r w:rsidRPr="0013388C">
              <w:rPr>
                <w:rFonts w:ascii="Arial Narrow" w:hAnsi="Arial Narrow"/>
                <w:b/>
                <w:sz w:val="20"/>
                <w:szCs w:val="20"/>
              </w:rPr>
              <w:t>PBS item code</w:t>
            </w:r>
          </w:p>
        </w:tc>
        <w:tc>
          <w:tcPr>
            <w:tcW w:w="850" w:type="dxa"/>
          </w:tcPr>
          <w:p w14:paraId="17578FE4" w14:textId="77777777" w:rsidR="00B15E6D" w:rsidRPr="0013388C" w:rsidRDefault="00B15E6D" w:rsidP="00B15E6D">
            <w:pPr>
              <w:keepNext/>
              <w:ind w:left="-108"/>
              <w:jc w:val="center"/>
              <w:rPr>
                <w:rFonts w:ascii="Arial Narrow" w:hAnsi="Arial Narrow"/>
                <w:b/>
                <w:sz w:val="20"/>
                <w:szCs w:val="20"/>
              </w:rPr>
            </w:pPr>
            <w:r w:rsidRPr="0013388C">
              <w:rPr>
                <w:rFonts w:ascii="Arial Narrow" w:hAnsi="Arial Narrow"/>
                <w:b/>
                <w:sz w:val="20"/>
                <w:szCs w:val="20"/>
              </w:rPr>
              <w:t>Max. qty packs</w:t>
            </w:r>
          </w:p>
        </w:tc>
        <w:tc>
          <w:tcPr>
            <w:tcW w:w="709" w:type="dxa"/>
          </w:tcPr>
          <w:p w14:paraId="1537D13B" w14:textId="77777777" w:rsidR="00B15E6D" w:rsidRPr="0013388C" w:rsidRDefault="00B15E6D" w:rsidP="00B15E6D">
            <w:pPr>
              <w:keepNext/>
              <w:ind w:left="-108"/>
              <w:jc w:val="center"/>
              <w:rPr>
                <w:rFonts w:ascii="Arial Narrow" w:hAnsi="Arial Narrow"/>
                <w:b/>
                <w:sz w:val="20"/>
                <w:szCs w:val="20"/>
              </w:rPr>
            </w:pPr>
            <w:r w:rsidRPr="0013388C">
              <w:rPr>
                <w:rFonts w:ascii="Arial Narrow" w:hAnsi="Arial Narrow"/>
                <w:b/>
                <w:sz w:val="20"/>
                <w:szCs w:val="20"/>
              </w:rPr>
              <w:t>Max. qty units</w:t>
            </w:r>
          </w:p>
        </w:tc>
        <w:tc>
          <w:tcPr>
            <w:tcW w:w="709" w:type="dxa"/>
          </w:tcPr>
          <w:p w14:paraId="19628F24" w14:textId="77777777" w:rsidR="00B15E6D" w:rsidRPr="0013388C" w:rsidRDefault="00B15E6D" w:rsidP="00B15E6D">
            <w:pPr>
              <w:keepNext/>
              <w:ind w:left="-108"/>
              <w:jc w:val="center"/>
              <w:rPr>
                <w:rFonts w:ascii="Arial Narrow" w:hAnsi="Arial Narrow"/>
                <w:b/>
                <w:sz w:val="20"/>
                <w:szCs w:val="20"/>
              </w:rPr>
            </w:pPr>
            <w:r w:rsidRPr="0013388C">
              <w:rPr>
                <w:rFonts w:ascii="Arial Narrow" w:hAnsi="Arial Narrow"/>
                <w:b/>
                <w:sz w:val="20"/>
                <w:szCs w:val="20"/>
              </w:rPr>
              <w:t>№.of</w:t>
            </w:r>
          </w:p>
          <w:p w14:paraId="751A0F39" w14:textId="77777777" w:rsidR="00B15E6D" w:rsidRPr="0013388C" w:rsidRDefault="00B15E6D" w:rsidP="00B15E6D">
            <w:pPr>
              <w:keepNext/>
              <w:ind w:left="-108"/>
              <w:jc w:val="center"/>
              <w:rPr>
                <w:rFonts w:ascii="Arial Narrow" w:hAnsi="Arial Narrow"/>
                <w:b/>
                <w:sz w:val="20"/>
                <w:szCs w:val="20"/>
              </w:rPr>
            </w:pPr>
            <w:r w:rsidRPr="0013388C">
              <w:rPr>
                <w:rFonts w:ascii="Arial Narrow" w:hAnsi="Arial Narrow"/>
                <w:b/>
                <w:sz w:val="20"/>
                <w:szCs w:val="20"/>
              </w:rPr>
              <w:t>Rpts</w:t>
            </w:r>
          </w:p>
        </w:tc>
        <w:tc>
          <w:tcPr>
            <w:tcW w:w="1842" w:type="dxa"/>
          </w:tcPr>
          <w:p w14:paraId="03C6F1ED" w14:textId="77777777" w:rsidR="00B15E6D" w:rsidRPr="0013388C" w:rsidRDefault="00B15E6D" w:rsidP="00B15E6D">
            <w:pPr>
              <w:keepNext/>
              <w:rPr>
                <w:rFonts w:ascii="Arial Narrow" w:hAnsi="Arial Narrow"/>
                <w:b/>
                <w:sz w:val="20"/>
                <w:szCs w:val="20"/>
              </w:rPr>
            </w:pPr>
            <w:r w:rsidRPr="0013388C">
              <w:rPr>
                <w:rFonts w:ascii="Arial Narrow" w:hAnsi="Arial Narrow"/>
                <w:b/>
                <w:sz w:val="20"/>
                <w:szCs w:val="20"/>
              </w:rPr>
              <w:t>Available brands</w:t>
            </w:r>
          </w:p>
        </w:tc>
      </w:tr>
      <w:tr w:rsidR="00B15E6D" w:rsidRPr="0013388C" w14:paraId="710D8299" w14:textId="77777777" w:rsidTr="00B15E6D">
        <w:trPr>
          <w:cantSplit/>
          <w:trHeight w:val="224"/>
          <w:jc w:val="center"/>
        </w:trPr>
        <w:tc>
          <w:tcPr>
            <w:tcW w:w="9067" w:type="dxa"/>
            <w:gridSpan w:val="8"/>
          </w:tcPr>
          <w:p w14:paraId="485E9F2E" w14:textId="77777777" w:rsidR="00B15E6D" w:rsidRPr="0013388C" w:rsidRDefault="00B15E6D" w:rsidP="00B15E6D">
            <w:pPr>
              <w:keepNext/>
              <w:ind w:left="-57"/>
              <w:rPr>
                <w:rFonts w:ascii="Arial Narrow" w:hAnsi="Arial Narrow"/>
                <w:b/>
                <w:bCs/>
                <w:sz w:val="20"/>
                <w:szCs w:val="20"/>
              </w:rPr>
            </w:pPr>
            <w:r w:rsidRPr="0013388C">
              <w:rPr>
                <w:rFonts w:ascii="Arial Narrow" w:hAnsi="Arial Narrow"/>
                <w:b/>
                <w:bCs/>
                <w:sz w:val="20"/>
                <w:szCs w:val="20"/>
              </w:rPr>
              <w:t xml:space="preserve">BUPRENORPHINE </w:t>
            </w:r>
          </w:p>
        </w:tc>
      </w:tr>
      <w:tr w:rsidR="00B15E6D" w:rsidRPr="0013388C" w14:paraId="23AA7839" w14:textId="77777777" w:rsidTr="00B15E6D">
        <w:trPr>
          <w:cantSplit/>
          <w:trHeight w:val="503"/>
          <w:jc w:val="center"/>
        </w:trPr>
        <w:tc>
          <w:tcPr>
            <w:tcW w:w="3964" w:type="dxa"/>
            <w:gridSpan w:val="3"/>
          </w:tcPr>
          <w:p w14:paraId="2E582517" w14:textId="77777777" w:rsidR="00B15E6D" w:rsidRPr="0013388C" w:rsidRDefault="00B15E6D" w:rsidP="00B15E6D">
            <w:pPr>
              <w:keepNext/>
              <w:ind w:left="-57"/>
              <w:rPr>
                <w:rFonts w:ascii="Arial Narrow" w:hAnsi="Arial Narrow"/>
                <w:sz w:val="20"/>
                <w:szCs w:val="20"/>
              </w:rPr>
            </w:pPr>
            <w:r w:rsidRPr="0013388C">
              <w:rPr>
                <w:rFonts w:ascii="Arial Narrow" w:hAnsi="Arial Narrow"/>
                <w:sz w:val="20"/>
                <w:szCs w:val="20"/>
              </w:rPr>
              <w:t>Buprenorphine 8 mg/0.16 mL modified release injection, 0.16 mL syringe</w:t>
            </w:r>
          </w:p>
        </w:tc>
        <w:tc>
          <w:tcPr>
            <w:tcW w:w="993" w:type="dxa"/>
          </w:tcPr>
          <w:p w14:paraId="0693A06D" w14:textId="77777777" w:rsidR="00B15E6D" w:rsidRPr="0013388C" w:rsidRDefault="00B15E6D" w:rsidP="00B15E6D">
            <w:pPr>
              <w:keepNext/>
              <w:jc w:val="center"/>
              <w:rPr>
                <w:rFonts w:ascii="Arial Narrow" w:hAnsi="Arial Narrow"/>
                <w:sz w:val="20"/>
                <w:szCs w:val="20"/>
              </w:rPr>
            </w:pPr>
            <w:r w:rsidRPr="0013388C">
              <w:rPr>
                <w:rFonts w:ascii="Arial Narrow" w:hAnsi="Arial Narrow"/>
                <w:sz w:val="20"/>
                <w:szCs w:val="20"/>
              </w:rPr>
              <w:t>11759X</w:t>
            </w:r>
          </w:p>
        </w:tc>
        <w:tc>
          <w:tcPr>
            <w:tcW w:w="850" w:type="dxa"/>
            <w:vMerge w:val="restart"/>
          </w:tcPr>
          <w:p w14:paraId="687E2A7F" w14:textId="77777777" w:rsidR="00B15E6D" w:rsidRPr="0013388C" w:rsidRDefault="00B15E6D" w:rsidP="00B15E6D">
            <w:pPr>
              <w:keepNext/>
              <w:jc w:val="center"/>
              <w:rPr>
                <w:rFonts w:ascii="Arial Narrow" w:hAnsi="Arial Narrow"/>
                <w:sz w:val="20"/>
                <w:szCs w:val="20"/>
              </w:rPr>
            </w:pPr>
            <w:r w:rsidRPr="0013388C">
              <w:rPr>
                <w:rFonts w:ascii="Arial Narrow" w:hAnsi="Arial Narrow"/>
                <w:sz w:val="20"/>
                <w:szCs w:val="20"/>
              </w:rPr>
              <w:t>1</w:t>
            </w:r>
          </w:p>
        </w:tc>
        <w:tc>
          <w:tcPr>
            <w:tcW w:w="709" w:type="dxa"/>
            <w:vMerge w:val="restart"/>
          </w:tcPr>
          <w:p w14:paraId="4B312D1E" w14:textId="77777777" w:rsidR="00B15E6D" w:rsidRPr="0013388C" w:rsidRDefault="00B15E6D" w:rsidP="00B15E6D">
            <w:pPr>
              <w:keepNext/>
              <w:jc w:val="center"/>
              <w:rPr>
                <w:rFonts w:ascii="Arial Narrow" w:hAnsi="Arial Narrow"/>
                <w:sz w:val="20"/>
                <w:szCs w:val="20"/>
              </w:rPr>
            </w:pPr>
            <w:r w:rsidRPr="0013388C">
              <w:rPr>
                <w:rFonts w:ascii="Arial Narrow" w:hAnsi="Arial Narrow"/>
                <w:sz w:val="20"/>
                <w:szCs w:val="20"/>
              </w:rPr>
              <w:t>1</w:t>
            </w:r>
          </w:p>
        </w:tc>
        <w:tc>
          <w:tcPr>
            <w:tcW w:w="709" w:type="dxa"/>
            <w:vMerge w:val="restart"/>
          </w:tcPr>
          <w:p w14:paraId="389CAFB7" w14:textId="77777777" w:rsidR="00B15E6D" w:rsidRPr="0013388C" w:rsidRDefault="00B15E6D" w:rsidP="00B15E6D">
            <w:pPr>
              <w:keepNext/>
              <w:jc w:val="center"/>
              <w:rPr>
                <w:rFonts w:ascii="Arial Narrow" w:hAnsi="Arial Narrow"/>
                <w:sz w:val="20"/>
                <w:szCs w:val="20"/>
              </w:rPr>
            </w:pPr>
            <w:r w:rsidRPr="0013388C">
              <w:rPr>
                <w:rFonts w:ascii="Arial Narrow" w:hAnsi="Arial Narrow"/>
                <w:sz w:val="20"/>
                <w:szCs w:val="20"/>
              </w:rPr>
              <w:t>NA</w:t>
            </w:r>
          </w:p>
        </w:tc>
        <w:tc>
          <w:tcPr>
            <w:tcW w:w="1842" w:type="dxa"/>
            <w:vMerge w:val="restart"/>
          </w:tcPr>
          <w:p w14:paraId="6E0DD4D2" w14:textId="77777777" w:rsidR="00B15E6D" w:rsidRPr="0013388C" w:rsidRDefault="00B15E6D" w:rsidP="00B15E6D">
            <w:pPr>
              <w:keepNext/>
              <w:rPr>
                <w:rFonts w:ascii="Arial Narrow" w:hAnsi="Arial Narrow"/>
                <w:sz w:val="20"/>
                <w:szCs w:val="20"/>
              </w:rPr>
            </w:pPr>
            <w:r w:rsidRPr="0013388C">
              <w:rPr>
                <w:rFonts w:ascii="Arial Narrow" w:hAnsi="Arial Narrow"/>
                <w:sz w:val="20"/>
                <w:szCs w:val="20"/>
              </w:rPr>
              <w:t>Buvidal weekly</w:t>
            </w:r>
          </w:p>
        </w:tc>
      </w:tr>
      <w:tr w:rsidR="00B15E6D" w:rsidRPr="0013388C" w14:paraId="134FACA5" w14:textId="77777777" w:rsidTr="00B15E6D">
        <w:trPr>
          <w:cantSplit/>
          <w:trHeight w:val="501"/>
          <w:jc w:val="center"/>
        </w:trPr>
        <w:tc>
          <w:tcPr>
            <w:tcW w:w="3964" w:type="dxa"/>
            <w:gridSpan w:val="3"/>
          </w:tcPr>
          <w:p w14:paraId="5DD2E6F7" w14:textId="77777777" w:rsidR="00B15E6D" w:rsidRPr="0013388C" w:rsidRDefault="00B15E6D" w:rsidP="00B15E6D">
            <w:pPr>
              <w:keepNext/>
              <w:ind w:left="-57"/>
              <w:rPr>
                <w:rFonts w:ascii="Arial Narrow" w:hAnsi="Arial Narrow"/>
                <w:sz w:val="20"/>
                <w:szCs w:val="20"/>
              </w:rPr>
            </w:pPr>
            <w:r w:rsidRPr="0013388C">
              <w:rPr>
                <w:rFonts w:ascii="Arial Narrow" w:hAnsi="Arial Narrow"/>
                <w:sz w:val="20"/>
                <w:szCs w:val="20"/>
              </w:rPr>
              <w:t>Buprenorphine 16 mg/0.32 mL modified release injection, 0.32 mL syringe</w:t>
            </w:r>
          </w:p>
        </w:tc>
        <w:tc>
          <w:tcPr>
            <w:tcW w:w="993" w:type="dxa"/>
          </w:tcPr>
          <w:p w14:paraId="7EF37DC6" w14:textId="77777777" w:rsidR="00B15E6D" w:rsidRPr="0013388C" w:rsidRDefault="00B15E6D" w:rsidP="00B15E6D">
            <w:pPr>
              <w:keepNext/>
              <w:jc w:val="center"/>
              <w:rPr>
                <w:rFonts w:ascii="Arial Narrow" w:hAnsi="Arial Narrow"/>
                <w:sz w:val="20"/>
                <w:szCs w:val="20"/>
              </w:rPr>
            </w:pPr>
            <w:r w:rsidRPr="0013388C">
              <w:rPr>
                <w:rFonts w:ascii="Arial Narrow" w:hAnsi="Arial Narrow"/>
                <w:sz w:val="20"/>
                <w:szCs w:val="20"/>
              </w:rPr>
              <w:t>11774Q</w:t>
            </w:r>
          </w:p>
        </w:tc>
        <w:tc>
          <w:tcPr>
            <w:tcW w:w="850" w:type="dxa"/>
            <w:vMerge/>
          </w:tcPr>
          <w:p w14:paraId="5E2D1249" w14:textId="77777777" w:rsidR="00B15E6D" w:rsidRPr="0013388C" w:rsidRDefault="00B15E6D" w:rsidP="00B15E6D">
            <w:pPr>
              <w:keepNext/>
              <w:jc w:val="center"/>
              <w:rPr>
                <w:rFonts w:ascii="Arial Narrow" w:hAnsi="Arial Narrow"/>
                <w:sz w:val="20"/>
                <w:szCs w:val="20"/>
              </w:rPr>
            </w:pPr>
          </w:p>
        </w:tc>
        <w:tc>
          <w:tcPr>
            <w:tcW w:w="709" w:type="dxa"/>
            <w:vMerge/>
          </w:tcPr>
          <w:p w14:paraId="02235004" w14:textId="77777777" w:rsidR="00B15E6D" w:rsidRPr="0013388C" w:rsidRDefault="00B15E6D" w:rsidP="00B15E6D">
            <w:pPr>
              <w:keepNext/>
              <w:jc w:val="center"/>
              <w:rPr>
                <w:rFonts w:ascii="Arial Narrow" w:hAnsi="Arial Narrow"/>
                <w:sz w:val="20"/>
                <w:szCs w:val="20"/>
              </w:rPr>
            </w:pPr>
          </w:p>
        </w:tc>
        <w:tc>
          <w:tcPr>
            <w:tcW w:w="709" w:type="dxa"/>
            <w:vMerge/>
          </w:tcPr>
          <w:p w14:paraId="1FC16699" w14:textId="77777777" w:rsidR="00B15E6D" w:rsidRPr="0013388C" w:rsidRDefault="00B15E6D" w:rsidP="00B15E6D">
            <w:pPr>
              <w:keepNext/>
              <w:jc w:val="center"/>
              <w:rPr>
                <w:rFonts w:ascii="Arial Narrow" w:hAnsi="Arial Narrow"/>
                <w:sz w:val="20"/>
                <w:szCs w:val="20"/>
              </w:rPr>
            </w:pPr>
          </w:p>
        </w:tc>
        <w:tc>
          <w:tcPr>
            <w:tcW w:w="1842" w:type="dxa"/>
            <w:vMerge/>
          </w:tcPr>
          <w:p w14:paraId="5989B773" w14:textId="77777777" w:rsidR="00B15E6D" w:rsidRPr="0013388C" w:rsidRDefault="00B15E6D" w:rsidP="00B15E6D">
            <w:pPr>
              <w:keepNext/>
              <w:rPr>
                <w:rFonts w:ascii="Arial Narrow" w:hAnsi="Arial Narrow"/>
                <w:sz w:val="20"/>
                <w:szCs w:val="20"/>
              </w:rPr>
            </w:pPr>
          </w:p>
        </w:tc>
      </w:tr>
      <w:tr w:rsidR="00B15E6D" w:rsidRPr="0013388C" w14:paraId="499F44FA" w14:textId="77777777" w:rsidTr="00B15E6D">
        <w:trPr>
          <w:cantSplit/>
          <w:trHeight w:val="501"/>
          <w:jc w:val="center"/>
        </w:trPr>
        <w:tc>
          <w:tcPr>
            <w:tcW w:w="3964" w:type="dxa"/>
            <w:gridSpan w:val="3"/>
          </w:tcPr>
          <w:p w14:paraId="729EDEB3" w14:textId="77777777" w:rsidR="00B15E6D" w:rsidRPr="0013388C" w:rsidRDefault="00B15E6D" w:rsidP="00B15E6D">
            <w:pPr>
              <w:keepNext/>
              <w:ind w:left="-57"/>
              <w:rPr>
                <w:rFonts w:ascii="Arial Narrow" w:hAnsi="Arial Narrow"/>
                <w:sz w:val="20"/>
                <w:szCs w:val="20"/>
              </w:rPr>
            </w:pPr>
            <w:r w:rsidRPr="0013388C">
              <w:rPr>
                <w:rFonts w:ascii="Arial Narrow" w:hAnsi="Arial Narrow"/>
                <w:sz w:val="20"/>
                <w:szCs w:val="20"/>
              </w:rPr>
              <w:t>Buprenorphine 24 mg/0.48 mL modified release injection, 0.48 mL syringe</w:t>
            </w:r>
          </w:p>
        </w:tc>
        <w:tc>
          <w:tcPr>
            <w:tcW w:w="993" w:type="dxa"/>
          </w:tcPr>
          <w:p w14:paraId="53D27209" w14:textId="77777777" w:rsidR="00B15E6D" w:rsidRPr="0013388C" w:rsidRDefault="00B15E6D" w:rsidP="00B15E6D">
            <w:pPr>
              <w:keepNext/>
              <w:jc w:val="center"/>
              <w:rPr>
                <w:rFonts w:ascii="Arial Narrow" w:hAnsi="Arial Narrow"/>
                <w:sz w:val="20"/>
                <w:szCs w:val="20"/>
              </w:rPr>
            </w:pPr>
            <w:r w:rsidRPr="0013388C">
              <w:rPr>
                <w:rFonts w:ascii="Arial Narrow" w:hAnsi="Arial Narrow"/>
                <w:sz w:val="20"/>
                <w:szCs w:val="20"/>
              </w:rPr>
              <w:t>11773P</w:t>
            </w:r>
          </w:p>
        </w:tc>
        <w:tc>
          <w:tcPr>
            <w:tcW w:w="850" w:type="dxa"/>
            <w:vMerge/>
          </w:tcPr>
          <w:p w14:paraId="4B6DAA98" w14:textId="77777777" w:rsidR="00B15E6D" w:rsidRPr="0013388C" w:rsidRDefault="00B15E6D" w:rsidP="00B15E6D">
            <w:pPr>
              <w:keepNext/>
              <w:jc w:val="center"/>
              <w:rPr>
                <w:rFonts w:ascii="Arial Narrow" w:hAnsi="Arial Narrow"/>
                <w:sz w:val="20"/>
                <w:szCs w:val="20"/>
              </w:rPr>
            </w:pPr>
          </w:p>
        </w:tc>
        <w:tc>
          <w:tcPr>
            <w:tcW w:w="709" w:type="dxa"/>
            <w:vMerge/>
          </w:tcPr>
          <w:p w14:paraId="49367591" w14:textId="77777777" w:rsidR="00B15E6D" w:rsidRPr="0013388C" w:rsidRDefault="00B15E6D" w:rsidP="00B15E6D">
            <w:pPr>
              <w:keepNext/>
              <w:jc w:val="center"/>
              <w:rPr>
                <w:rFonts w:ascii="Arial Narrow" w:hAnsi="Arial Narrow"/>
                <w:sz w:val="20"/>
                <w:szCs w:val="20"/>
              </w:rPr>
            </w:pPr>
          </w:p>
        </w:tc>
        <w:tc>
          <w:tcPr>
            <w:tcW w:w="709" w:type="dxa"/>
            <w:vMerge/>
          </w:tcPr>
          <w:p w14:paraId="4949082D" w14:textId="77777777" w:rsidR="00B15E6D" w:rsidRPr="0013388C" w:rsidRDefault="00B15E6D" w:rsidP="00B15E6D">
            <w:pPr>
              <w:keepNext/>
              <w:jc w:val="center"/>
              <w:rPr>
                <w:rFonts w:ascii="Arial Narrow" w:hAnsi="Arial Narrow"/>
                <w:sz w:val="20"/>
                <w:szCs w:val="20"/>
              </w:rPr>
            </w:pPr>
          </w:p>
        </w:tc>
        <w:tc>
          <w:tcPr>
            <w:tcW w:w="1842" w:type="dxa"/>
            <w:vMerge/>
          </w:tcPr>
          <w:p w14:paraId="11CB91A6" w14:textId="77777777" w:rsidR="00B15E6D" w:rsidRPr="0013388C" w:rsidRDefault="00B15E6D" w:rsidP="00B15E6D">
            <w:pPr>
              <w:keepNext/>
              <w:rPr>
                <w:rFonts w:ascii="Arial Narrow" w:hAnsi="Arial Narrow"/>
                <w:sz w:val="20"/>
                <w:szCs w:val="20"/>
              </w:rPr>
            </w:pPr>
          </w:p>
        </w:tc>
      </w:tr>
      <w:tr w:rsidR="00B15E6D" w:rsidRPr="0013388C" w14:paraId="670FC0BE" w14:textId="77777777" w:rsidTr="00B15E6D">
        <w:trPr>
          <w:cantSplit/>
          <w:trHeight w:val="501"/>
          <w:jc w:val="center"/>
        </w:trPr>
        <w:tc>
          <w:tcPr>
            <w:tcW w:w="3964" w:type="dxa"/>
            <w:gridSpan w:val="3"/>
          </w:tcPr>
          <w:p w14:paraId="7E260315" w14:textId="77777777" w:rsidR="00B15E6D" w:rsidRPr="0013388C" w:rsidRDefault="00B15E6D" w:rsidP="00B15E6D">
            <w:pPr>
              <w:keepNext/>
              <w:ind w:left="-57"/>
              <w:rPr>
                <w:rFonts w:ascii="Arial Narrow" w:hAnsi="Arial Narrow"/>
                <w:sz w:val="20"/>
                <w:szCs w:val="20"/>
              </w:rPr>
            </w:pPr>
            <w:r w:rsidRPr="0013388C">
              <w:rPr>
                <w:rFonts w:ascii="Arial Narrow" w:hAnsi="Arial Narrow"/>
                <w:sz w:val="20"/>
                <w:szCs w:val="20"/>
              </w:rPr>
              <w:t>Buprenorphine 32 mg/0.64 mL modified release injection, 0.64 mL syringe</w:t>
            </w:r>
          </w:p>
        </w:tc>
        <w:tc>
          <w:tcPr>
            <w:tcW w:w="993" w:type="dxa"/>
          </w:tcPr>
          <w:p w14:paraId="13513BC9" w14:textId="77777777" w:rsidR="00B15E6D" w:rsidRPr="0013388C" w:rsidRDefault="00B15E6D" w:rsidP="00B15E6D">
            <w:pPr>
              <w:keepNext/>
              <w:jc w:val="center"/>
              <w:rPr>
                <w:rFonts w:ascii="Arial Narrow" w:hAnsi="Arial Narrow"/>
                <w:sz w:val="20"/>
                <w:szCs w:val="20"/>
              </w:rPr>
            </w:pPr>
            <w:r w:rsidRPr="0013388C">
              <w:rPr>
                <w:rFonts w:ascii="Arial Narrow" w:hAnsi="Arial Narrow"/>
                <w:sz w:val="20"/>
                <w:szCs w:val="20"/>
              </w:rPr>
              <w:t>11766G</w:t>
            </w:r>
          </w:p>
        </w:tc>
        <w:tc>
          <w:tcPr>
            <w:tcW w:w="850" w:type="dxa"/>
            <w:vMerge/>
          </w:tcPr>
          <w:p w14:paraId="2E6F4AF0" w14:textId="77777777" w:rsidR="00B15E6D" w:rsidRPr="0013388C" w:rsidRDefault="00B15E6D" w:rsidP="00B15E6D">
            <w:pPr>
              <w:keepNext/>
              <w:jc w:val="center"/>
              <w:rPr>
                <w:rFonts w:ascii="Arial Narrow" w:hAnsi="Arial Narrow"/>
                <w:sz w:val="20"/>
                <w:szCs w:val="20"/>
              </w:rPr>
            </w:pPr>
          </w:p>
        </w:tc>
        <w:tc>
          <w:tcPr>
            <w:tcW w:w="709" w:type="dxa"/>
            <w:vMerge/>
          </w:tcPr>
          <w:p w14:paraId="7E9AA683" w14:textId="77777777" w:rsidR="00B15E6D" w:rsidRPr="0013388C" w:rsidRDefault="00B15E6D" w:rsidP="00B15E6D">
            <w:pPr>
              <w:keepNext/>
              <w:jc w:val="center"/>
              <w:rPr>
                <w:rFonts w:ascii="Arial Narrow" w:hAnsi="Arial Narrow"/>
                <w:sz w:val="20"/>
                <w:szCs w:val="20"/>
              </w:rPr>
            </w:pPr>
          </w:p>
        </w:tc>
        <w:tc>
          <w:tcPr>
            <w:tcW w:w="709" w:type="dxa"/>
            <w:vMerge/>
          </w:tcPr>
          <w:p w14:paraId="0DF2DAD1" w14:textId="77777777" w:rsidR="00B15E6D" w:rsidRPr="0013388C" w:rsidRDefault="00B15E6D" w:rsidP="00B15E6D">
            <w:pPr>
              <w:keepNext/>
              <w:jc w:val="center"/>
              <w:rPr>
                <w:rFonts w:ascii="Arial Narrow" w:hAnsi="Arial Narrow"/>
                <w:sz w:val="20"/>
                <w:szCs w:val="20"/>
              </w:rPr>
            </w:pPr>
          </w:p>
        </w:tc>
        <w:tc>
          <w:tcPr>
            <w:tcW w:w="1842" w:type="dxa"/>
            <w:vMerge/>
          </w:tcPr>
          <w:p w14:paraId="38C134B4" w14:textId="77777777" w:rsidR="00B15E6D" w:rsidRPr="0013388C" w:rsidRDefault="00B15E6D" w:rsidP="00B15E6D">
            <w:pPr>
              <w:keepNext/>
              <w:rPr>
                <w:rFonts w:ascii="Arial Narrow" w:hAnsi="Arial Narrow"/>
                <w:sz w:val="20"/>
                <w:szCs w:val="20"/>
              </w:rPr>
            </w:pPr>
          </w:p>
        </w:tc>
      </w:tr>
      <w:tr w:rsidR="00B15E6D" w:rsidRPr="0013388C" w14:paraId="6C65814F" w14:textId="77777777" w:rsidTr="00B15E6D">
        <w:tblPrEx>
          <w:tblCellMar>
            <w:top w:w="15" w:type="dxa"/>
            <w:left w:w="15" w:type="dxa"/>
            <w:bottom w:w="15" w:type="dxa"/>
            <w:right w:w="15" w:type="dxa"/>
          </w:tblCellMar>
          <w:tblLook w:val="04A0" w:firstRow="1" w:lastRow="0" w:firstColumn="1" w:lastColumn="0" w:noHBand="0" w:noVBand="1"/>
        </w:tblPrEx>
        <w:trPr>
          <w:jc w:val="center"/>
        </w:trPr>
        <w:tc>
          <w:tcPr>
            <w:tcW w:w="9067" w:type="dxa"/>
            <w:gridSpan w:val="8"/>
            <w:tcBorders>
              <w:top w:val="single" w:sz="4" w:space="0" w:color="auto"/>
              <w:left w:val="single" w:sz="4" w:space="0" w:color="auto"/>
              <w:right w:val="single" w:sz="4" w:space="0" w:color="auto"/>
            </w:tcBorders>
          </w:tcPr>
          <w:p w14:paraId="626233AE" w14:textId="77777777" w:rsidR="00B15E6D" w:rsidRPr="0013388C" w:rsidRDefault="00B15E6D" w:rsidP="00B15E6D">
            <w:pPr>
              <w:rPr>
                <w:rFonts w:ascii="Arial Narrow" w:hAnsi="Arial Narrow"/>
                <w:sz w:val="20"/>
                <w:szCs w:val="20"/>
              </w:rPr>
            </w:pPr>
          </w:p>
        </w:tc>
      </w:tr>
      <w:tr w:rsidR="00B15E6D" w:rsidRPr="0013388C" w14:paraId="6D8C7ACD" w14:textId="77777777" w:rsidTr="00B15E6D">
        <w:tblPrEx>
          <w:tblCellMar>
            <w:top w:w="15" w:type="dxa"/>
            <w:left w:w="15" w:type="dxa"/>
            <w:bottom w:w="15" w:type="dxa"/>
            <w:right w:w="15" w:type="dxa"/>
          </w:tblCellMar>
          <w:tblLook w:val="04A0" w:firstRow="1" w:lastRow="0" w:firstColumn="1" w:lastColumn="0" w:noHBand="0" w:noVBand="1"/>
        </w:tblPrEx>
        <w:trPr>
          <w:jc w:val="center"/>
        </w:trPr>
        <w:tc>
          <w:tcPr>
            <w:tcW w:w="9067" w:type="dxa"/>
            <w:gridSpan w:val="8"/>
            <w:tcBorders>
              <w:top w:val="single" w:sz="4" w:space="0" w:color="auto"/>
              <w:left w:val="single" w:sz="4" w:space="0" w:color="auto"/>
              <w:right w:val="single" w:sz="4" w:space="0" w:color="auto"/>
            </w:tcBorders>
          </w:tcPr>
          <w:p w14:paraId="0D1EB182" w14:textId="77777777" w:rsidR="00B15E6D" w:rsidRPr="0013388C" w:rsidRDefault="00B15E6D" w:rsidP="00B15E6D">
            <w:pPr>
              <w:rPr>
                <w:rFonts w:ascii="Arial Narrow" w:hAnsi="Arial Narrow"/>
                <w:b/>
                <w:sz w:val="20"/>
                <w:szCs w:val="20"/>
              </w:rPr>
            </w:pPr>
            <w:r w:rsidRPr="0013388C">
              <w:rPr>
                <w:rFonts w:ascii="Arial Narrow" w:hAnsi="Arial Narrow"/>
                <w:b/>
                <w:sz w:val="20"/>
                <w:szCs w:val="20"/>
              </w:rPr>
              <w:t>Restriction Summary 9213 / Treatment of Concept: 9212</w:t>
            </w:r>
          </w:p>
        </w:tc>
      </w:tr>
      <w:tr w:rsidR="00B15E6D" w:rsidRPr="0013388C" w14:paraId="785E436C" w14:textId="77777777" w:rsidTr="006027F4">
        <w:tblPrEx>
          <w:tblCellMar>
            <w:top w:w="15" w:type="dxa"/>
            <w:left w:w="15" w:type="dxa"/>
            <w:bottom w:w="15" w:type="dxa"/>
            <w:right w:w="15" w:type="dxa"/>
          </w:tblCellMar>
          <w:tblLook w:val="04A0" w:firstRow="1" w:lastRow="0" w:firstColumn="1" w:lastColumn="0" w:noHBand="0" w:noVBand="1"/>
        </w:tblPrEx>
        <w:trPr>
          <w:jc w:val="center"/>
        </w:trPr>
        <w:tc>
          <w:tcPr>
            <w:tcW w:w="1129" w:type="dxa"/>
            <w:gridSpan w:val="2"/>
            <w:vMerge w:val="restart"/>
            <w:tcBorders>
              <w:top w:val="single" w:sz="4" w:space="0" w:color="auto"/>
              <w:left w:val="single" w:sz="4" w:space="0" w:color="auto"/>
              <w:right w:val="single" w:sz="4" w:space="0" w:color="auto"/>
            </w:tcBorders>
          </w:tcPr>
          <w:p w14:paraId="414FFB9D" w14:textId="77777777" w:rsidR="00B15E6D" w:rsidRPr="0013388C" w:rsidRDefault="00B15E6D" w:rsidP="00B15E6D">
            <w:pPr>
              <w:jc w:val="center"/>
              <w:rPr>
                <w:rFonts w:ascii="Arial Narrow" w:hAnsi="Arial Narrow"/>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14:paraId="34749AAA" w14:textId="77777777" w:rsidR="00B15E6D" w:rsidRPr="0013388C" w:rsidRDefault="00B15E6D" w:rsidP="00B15E6D">
            <w:pPr>
              <w:rPr>
                <w:rFonts w:ascii="Arial Narrow" w:hAnsi="Arial Narrow"/>
                <w:sz w:val="20"/>
                <w:szCs w:val="20"/>
              </w:rPr>
            </w:pPr>
            <w:r w:rsidRPr="0013388C">
              <w:rPr>
                <w:rFonts w:ascii="Arial Narrow" w:hAnsi="Arial Narrow"/>
                <w:sz w:val="20"/>
                <w:szCs w:val="20"/>
              </w:rPr>
              <w:t>Section 100 – Opiate Dependence</w:t>
            </w:r>
          </w:p>
        </w:tc>
      </w:tr>
      <w:tr w:rsidR="00B15E6D" w:rsidRPr="0013388C" w14:paraId="7FDCE993" w14:textId="77777777" w:rsidTr="006027F4">
        <w:tblPrEx>
          <w:tblCellMar>
            <w:top w:w="15" w:type="dxa"/>
            <w:left w:w="15" w:type="dxa"/>
            <w:bottom w:w="15" w:type="dxa"/>
            <w:right w:w="15" w:type="dxa"/>
          </w:tblCellMar>
          <w:tblLook w:val="04A0" w:firstRow="1" w:lastRow="0" w:firstColumn="1" w:lastColumn="0" w:noHBand="0" w:noVBand="1"/>
        </w:tblPrEx>
        <w:trPr>
          <w:trHeight w:val="240"/>
          <w:jc w:val="center"/>
        </w:trPr>
        <w:tc>
          <w:tcPr>
            <w:tcW w:w="1129" w:type="dxa"/>
            <w:gridSpan w:val="2"/>
            <w:vMerge/>
            <w:tcBorders>
              <w:left w:val="single" w:sz="4" w:space="0" w:color="auto"/>
              <w:right w:val="single" w:sz="4" w:space="0" w:color="auto"/>
            </w:tcBorders>
          </w:tcPr>
          <w:p w14:paraId="534D7401" w14:textId="77777777" w:rsidR="00B15E6D" w:rsidRPr="0013388C" w:rsidRDefault="00B15E6D" w:rsidP="00B15E6D">
            <w:pPr>
              <w:rPr>
                <w:rFonts w:ascii="Arial Narrow" w:hAnsi="Arial Narrow"/>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14:paraId="5D68283F" w14:textId="77777777" w:rsidR="00B15E6D" w:rsidRPr="0013388C" w:rsidRDefault="00B15E6D" w:rsidP="004C5E30">
            <w:pPr>
              <w:rPr>
                <w:rFonts w:ascii="Arial Narrow" w:hAnsi="Arial Narrow"/>
                <w:b/>
                <w:sz w:val="20"/>
                <w:szCs w:val="20"/>
              </w:rPr>
            </w:pPr>
            <w:r w:rsidRPr="0013388C">
              <w:rPr>
                <w:rFonts w:ascii="Arial Narrow" w:hAnsi="Arial Narrow"/>
                <w:b/>
                <w:sz w:val="20"/>
                <w:szCs w:val="20"/>
              </w:rPr>
              <w:t xml:space="preserve">Prescriber type: </w:t>
            </w:r>
            <w:r w:rsidRPr="0013388C">
              <w:rPr>
                <w:rFonts w:ascii="Arial Narrow" w:hAnsi="Arial Narrow"/>
                <w:sz w:val="20"/>
                <w:szCs w:val="20"/>
              </w:rPr>
              <w:fldChar w:fldCharType="begin">
                <w:ffData>
                  <w:name w:val="Check1"/>
                  <w:enabled/>
                  <w:calcOnExit w:val="0"/>
                  <w:checkBox>
                    <w:sizeAuto/>
                    <w:default w:val="0"/>
                  </w:checkBox>
                </w:ffData>
              </w:fldChar>
            </w:r>
            <w:r w:rsidRPr="0013388C">
              <w:rPr>
                <w:rFonts w:ascii="Arial Narrow" w:hAnsi="Arial Narrow"/>
                <w:sz w:val="20"/>
                <w:szCs w:val="20"/>
              </w:rPr>
              <w:instrText xml:space="preserve"> FORMCHECKBOX </w:instrText>
            </w:r>
            <w:r w:rsidR="001412AD">
              <w:rPr>
                <w:rFonts w:ascii="Arial Narrow" w:hAnsi="Arial Narrow"/>
                <w:sz w:val="20"/>
                <w:szCs w:val="20"/>
              </w:rPr>
            </w:r>
            <w:r w:rsidR="001412AD">
              <w:rPr>
                <w:rFonts w:ascii="Arial Narrow" w:hAnsi="Arial Narrow"/>
                <w:sz w:val="20"/>
                <w:szCs w:val="20"/>
              </w:rPr>
              <w:fldChar w:fldCharType="separate"/>
            </w:r>
            <w:r w:rsidRPr="0013388C">
              <w:rPr>
                <w:rFonts w:ascii="Arial Narrow" w:hAnsi="Arial Narrow"/>
                <w:sz w:val="20"/>
                <w:szCs w:val="20"/>
              </w:rPr>
              <w:fldChar w:fldCharType="end"/>
            </w:r>
            <w:r w:rsidRPr="0013388C">
              <w:rPr>
                <w:rFonts w:ascii="Arial Narrow" w:hAnsi="Arial Narrow"/>
                <w:sz w:val="20"/>
                <w:szCs w:val="20"/>
              </w:rPr>
              <w:t xml:space="preserve">Dental    </w:t>
            </w:r>
            <w:r w:rsidRPr="0013388C">
              <w:rPr>
                <w:rFonts w:ascii="Arial Narrow" w:hAnsi="Arial Narrow"/>
                <w:sz w:val="20"/>
                <w:szCs w:val="20"/>
              </w:rPr>
              <w:fldChar w:fldCharType="begin">
                <w:ffData>
                  <w:name w:val=""/>
                  <w:enabled/>
                  <w:calcOnExit w:val="0"/>
                  <w:checkBox>
                    <w:sizeAuto/>
                    <w:default w:val="1"/>
                  </w:checkBox>
                </w:ffData>
              </w:fldChar>
            </w:r>
            <w:r w:rsidRPr="0013388C">
              <w:rPr>
                <w:rFonts w:ascii="Arial Narrow" w:hAnsi="Arial Narrow"/>
                <w:sz w:val="20"/>
                <w:szCs w:val="20"/>
              </w:rPr>
              <w:instrText xml:space="preserve"> FORMCHECKBOX </w:instrText>
            </w:r>
            <w:r w:rsidR="001412AD">
              <w:rPr>
                <w:rFonts w:ascii="Arial Narrow" w:hAnsi="Arial Narrow"/>
                <w:sz w:val="20"/>
                <w:szCs w:val="20"/>
              </w:rPr>
            </w:r>
            <w:r w:rsidR="001412AD">
              <w:rPr>
                <w:rFonts w:ascii="Arial Narrow" w:hAnsi="Arial Narrow"/>
                <w:sz w:val="20"/>
                <w:szCs w:val="20"/>
              </w:rPr>
              <w:fldChar w:fldCharType="separate"/>
            </w:r>
            <w:r w:rsidRPr="0013388C">
              <w:rPr>
                <w:rFonts w:ascii="Arial Narrow" w:hAnsi="Arial Narrow"/>
                <w:sz w:val="20"/>
                <w:szCs w:val="20"/>
              </w:rPr>
              <w:fldChar w:fldCharType="end"/>
            </w:r>
            <w:r w:rsidRPr="0013388C">
              <w:rPr>
                <w:rFonts w:ascii="Arial Narrow" w:hAnsi="Arial Narrow"/>
                <w:sz w:val="20"/>
                <w:szCs w:val="20"/>
              </w:rPr>
              <w:t xml:space="preserve">Medical Practitioners    </w:t>
            </w:r>
            <w:r w:rsidRPr="0013388C">
              <w:rPr>
                <w:rFonts w:ascii="Arial Narrow" w:hAnsi="Arial Narrow"/>
                <w:sz w:val="20"/>
                <w:szCs w:val="20"/>
              </w:rPr>
              <w:fldChar w:fldCharType="begin">
                <w:ffData>
                  <w:name w:val="Check3"/>
                  <w:enabled/>
                  <w:calcOnExit w:val="0"/>
                  <w:checkBox>
                    <w:sizeAuto/>
                    <w:default w:val="1"/>
                  </w:checkBox>
                </w:ffData>
              </w:fldChar>
            </w:r>
            <w:r w:rsidRPr="0013388C">
              <w:rPr>
                <w:rFonts w:ascii="Arial Narrow" w:hAnsi="Arial Narrow"/>
                <w:sz w:val="20"/>
                <w:szCs w:val="20"/>
              </w:rPr>
              <w:instrText xml:space="preserve"> FORMCHECKBOX </w:instrText>
            </w:r>
            <w:r w:rsidR="001412AD">
              <w:rPr>
                <w:rFonts w:ascii="Arial Narrow" w:hAnsi="Arial Narrow"/>
                <w:sz w:val="20"/>
                <w:szCs w:val="20"/>
              </w:rPr>
            </w:r>
            <w:r w:rsidR="001412AD">
              <w:rPr>
                <w:rFonts w:ascii="Arial Narrow" w:hAnsi="Arial Narrow"/>
                <w:sz w:val="20"/>
                <w:szCs w:val="20"/>
              </w:rPr>
              <w:fldChar w:fldCharType="separate"/>
            </w:r>
            <w:r w:rsidRPr="0013388C">
              <w:rPr>
                <w:rFonts w:ascii="Arial Narrow" w:hAnsi="Arial Narrow"/>
                <w:sz w:val="20"/>
                <w:szCs w:val="20"/>
              </w:rPr>
              <w:fldChar w:fldCharType="end"/>
            </w:r>
            <w:r w:rsidRPr="0013388C">
              <w:rPr>
                <w:rFonts w:ascii="Arial Narrow" w:hAnsi="Arial Narrow"/>
                <w:sz w:val="20"/>
                <w:szCs w:val="20"/>
              </w:rPr>
              <w:t xml:space="preserve">Nurse practitioners     </w:t>
            </w:r>
            <w:r w:rsidRPr="0013388C">
              <w:rPr>
                <w:rFonts w:ascii="Arial Narrow" w:hAnsi="Arial Narrow"/>
                <w:sz w:val="20"/>
                <w:szCs w:val="20"/>
              </w:rPr>
              <w:fldChar w:fldCharType="begin">
                <w:ffData>
                  <w:name w:val=""/>
                  <w:enabled/>
                  <w:calcOnExit w:val="0"/>
                  <w:checkBox>
                    <w:sizeAuto/>
                    <w:default w:val="0"/>
                  </w:checkBox>
                </w:ffData>
              </w:fldChar>
            </w:r>
            <w:r w:rsidRPr="0013388C">
              <w:rPr>
                <w:rFonts w:ascii="Arial Narrow" w:hAnsi="Arial Narrow"/>
                <w:sz w:val="20"/>
                <w:szCs w:val="20"/>
              </w:rPr>
              <w:instrText xml:space="preserve"> FORMCHECKBOX </w:instrText>
            </w:r>
            <w:r w:rsidR="001412AD">
              <w:rPr>
                <w:rFonts w:ascii="Arial Narrow" w:hAnsi="Arial Narrow"/>
                <w:sz w:val="20"/>
                <w:szCs w:val="20"/>
              </w:rPr>
            </w:r>
            <w:r w:rsidR="001412AD">
              <w:rPr>
                <w:rFonts w:ascii="Arial Narrow" w:hAnsi="Arial Narrow"/>
                <w:sz w:val="20"/>
                <w:szCs w:val="20"/>
              </w:rPr>
              <w:fldChar w:fldCharType="separate"/>
            </w:r>
            <w:r w:rsidRPr="0013388C">
              <w:rPr>
                <w:rFonts w:ascii="Arial Narrow" w:hAnsi="Arial Narrow"/>
                <w:sz w:val="20"/>
                <w:szCs w:val="20"/>
              </w:rPr>
              <w:fldChar w:fldCharType="end"/>
            </w:r>
            <w:r w:rsidRPr="0013388C">
              <w:rPr>
                <w:rFonts w:ascii="Arial Narrow" w:hAnsi="Arial Narrow"/>
                <w:sz w:val="20"/>
                <w:szCs w:val="20"/>
              </w:rPr>
              <w:t xml:space="preserve">Optometrists    </w:t>
            </w:r>
            <w:r w:rsidRPr="0013388C">
              <w:rPr>
                <w:rFonts w:ascii="Arial Narrow" w:hAnsi="Arial Narrow"/>
                <w:sz w:val="20"/>
                <w:szCs w:val="20"/>
              </w:rPr>
              <w:fldChar w:fldCharType="begin">
                <w:ffData>
                  <w:name w:val="Check5"/>
                  <w:enabled/>
                  <w:calcOnExit w:val="0"/>
                  <w:checkBox>
                    <w:sizeAuto/>
                    <w:default w:val="0"/>
                  </w:checkBox>
                </w:ffData>
              </w:fldChar>
            </w:r>
            <w:r w:rsidRPr="0013388C">
              <w:rPr>
                <w:rFonts w:ascii="Arial Narrow" w:hAnsi="Arial Narrow"/>
                <w:sz w:val="20"/>
                <w:szCs w:val="20"/>
              </w:rPr>
              <w:instrText xml:space="preserve"> FORMCHECKBOX </w:instrText>
            </w:r>
            <w:r w:rsidR="001412AD">
              <w:rPr>
                <w:rFonts w:ascii="Arial Narrow" w:hAnsi="Arial Narrow"/>
                <w:sz w:val="20"/>
                <w:szCs w:val="20"/>
              </w:rPr>
            </w:r>
            <w:r w:rsidR="001412AD">
              <w:rPr>
                <w:rFonts w:ascii="Arial Narrow" w:hAnsi="Arial Narrow"/>
                <w:sz w:val="20"/>
                <w:szCs w:val="20"/>
              </w:rPr>
              <w:fldChar w:fldCharType="separate"/>
            </w:r>
            <w:r w:rsidRPr="0013388C">
              <w:rPr>
                <w:rFonts w:ascii="Arial Narrow" w:hAnsi="Arial Narrow"/>
                <w:sz w:val="20"/>
                <w:szCs w:val="20"/>
              </w:rPr>
              <w:fldChar w:fldCharType="end"/>
            </w:r>
            <w:r w:rsidRPr="0013388C">
              <w:rPr>
                <w:rFonts w:ascii="Arial Narrow" w:hAnsi="Arial Narrow"/>
                <w:sz w:val="20"/>
                <w:szCs w:val="20"/>
              </w:rPr>
              <w:t>Midwives</w:t>
            </w:r>
            <w:r w:rsidRPr="0013388C">
              <w:rPr>
                <w:rFonts w:ascii="Arial Narrow" w:hAnsi="Arial Narrow"/>
                <w:color w:val="FF0000"/>
                <w:sz w:val="20"/>
                <w:szCs w:val="20"/>
              </w:rPr>
              <w:t xml:space="preserve"> </w:t>
            </w:r>
          </w:p>
        </w:tc>
      </w:tr>
      <w:tr w:rsidR="00B15E6D" w:rsidRPr="0013388C" w14:paraId="2F5B16F3" w14:textId="77777777" w:rsidTr="006027F4">
        <w:tblPrEx>
          <w:tblCellMar>
            <w:top w:w="15" w:type="dxa"/>
            <w:left w:w="15" w:type="dxa"/>
            <w:bottom w:w="15" w:type="dxa"/>
            <w:right w:w="15" w:type="dxa"/>
          </w:tblCellMar>
          <w:tblLook w:val="04A0" w:firstRow="1" w:lastRow="0" w:firstColumn="1" w:lastColumn="0" w:noHBand="0" w:noVBand="1"/>
        </w:tblPrEx>
        <w:trPr>
          <w:trHeight w:val="238"/>
          <w:jc w:val="center"/>
        </w:trPr>
        <w:tc>
          <w:tcPr>
            <w:tcW w:w="1129" w:type="dxa"/>
            <w:gridSpan w:val="2"/>
            <w:vMerge/>
            <w:tcBorders>
              <w:left w:val="single" w:sz="4" w:space="0" w:color="auto"/>
              <w:bottom w:val="single" w:sz="4" w:space="0" w:color="auto"/>
              <w:right w:val="single" w:sz="4" w:space="0" w:color="auto"/>
            </w:tcBorders>
          </w:tcPr>
          <w:p w14:paraId="58F9B3CC" w14:textId="77777777" w:rsidR="00B15E6D" w:rsidRPr="0013388C" w:rsidRDefault="00B15E6D" w:rsidP="00B15E6D">
            <w:pPr>
              <w:rPr>
                <w:rFonts w:ascii="Arial Narrow" w:hAnsi="Arial Narrow"/>
                <w:sz w:val="20"/>
                <w:szCs w:val="20"/>
              </w:rPr>
            </w:pPr>
          </w:p>
        </w:tc>
        <w:tc>
          <w:tcPr>
            <w:tcW w:w="7938" w:type="dxa"/>
            <w:gridSpan w:val="6"/>
            <w:tcBorders>
              <w:top w:val="single" w:sz="4" w:space="0" w:color="auto"/>
              <w:left w:val="single" w:sz="4" w:space="0" w:color="auto"/>
              <w:bottom w:val="single" w:sz="4" w:space="0" w:color="auto"/>
              <w:right w:val="single" w:sz="4" w:space="0" w:color="auto"/>
            </w:tcBorders>
          </w:tcPr>
          <w:p w14:paraId="7E737BA3" w14:textId="77777777" w:rsidR="00B15E6D" w:rsidRPr="0013388C" w:rsidRDefault="00B15E6D" w:rsidP="00B15E6D">
            <w:pPr>
              <w:rPr>
                <w:rFonts w:ascii="Arial Narrow" w:hAnsi="Arial Narrow"/>
                <w:b/>
                <w:sz w:val="20"/>
                <w:szCs w:val="20"/>
              </w:rPr>
            </w:pPr>
            <w:r w:rsidRPr="0013388C">
              <w:rPr>
                <w:rFonts w:ascii="Arial Narrow" w:hAnsi="Arial Narrow"/>
                <w:b/>
                <w:sz w:val="20"/>
                <w:szCs w:val="20"/>
              </w:rPr>
              <w:t xml:space="preserve">Restriction type: </w:t>
            </w:r>
            <w:r w:rsidRPr="0013388C">
              <w:rPr>
                <w:rFonts w:ascii="Arial Narrow" w:eastAsia="Calibri" w:hAnsi="Arial Narrow"/>
                <w:sz w:val="20"/>
                <w:szCs w:val="20"/>
              </w:rPr>
              <w:fldChar w:fldCharType="begin">
                <w:ffData>
                  <w:name w:val="Check1"/>
                  <w:enabled/>
                  <w:calcOnExit w:val="0"/>
                  <w:checkBox>
                    <w:sizeAuto/>
                    <w:default w:val="1"/>
                  </w:checkBox>
                </w:ffData>
              </w:fldChar>
            </w:r>
            <w:r w:rsidRPr="0013388C">
              <w:rPr>
                <w:rFonts w:ascii="Arial Narrow" w:eastAsia="Calibri" w:hAnsi="Arial Narrow"/>
                <w:sz w:val="20"/>
                <w:szCs w:val="20"/>
              </w:rPr>
              <w:instrText xml:space="preserve"> FORMCHECKBOX </w:instrText>
            </w:r>
            <w:r w:rsidR="001412AD">
              <w:rPr>
                <w:rFonts w:ascii="Arial Narrow" w:eastAsia="Calibri" w:hAnsi="Arial Narrow"/>
                <w:sz w:val="20"/>
                <w:szCs w:val="20"/>
              </w:rPr>
            </w:r>
            <w:r w:rsidR="001412AD">
              <w:rPr>
                <w:rFonts w:ascii="Arial Narrow" w:eastAsia="Calibri" w:hAnsi="Arial Narrow"/>
                <w:sz w:val="20"/>
                <w:szCs w:val="20"/>
              </w:rPr>
              <w:fldChar w:fldCharType="separate"/>
            </w:r>
            <w:r w:rsidRPr="0013388C">
              <w:rPr>
                <w:rFonts w:ascii="Arial Narrow" w:eastAsia="Calibri" w:hAnsi="Arial Narrow"/>
                <w:sz w:val="20"/>
                <w:szCs w:val="20"/>
              </w:rPr>
              <w:fldChar w:fldCharType="end"/>
            </w:r>
            <w:r w:rsidRPr="0013388C">
              <w:rPr>
                <w:rFonts w:ascii="Arial Narrow" w:eastAsia="Calibri" w:hAnsi="Arial Narrow"/>
                <w:sz w:val="20"/>
                <w:szCs w:val="20"/>
              </w:rPr>
              <w:t>Restricted benefit</w:t>
            </w:r>
          </w:p>
        </w:tc>
      </w:tr>
      <w:tr w:rsidR="00B15E6D" w:rsidRPr="0013388C" w14:paraId="016672A3" w14:textId="77777777" w:rsidTr="006027F4">
        <w:tblPrEx>
          <w:tblCellMar>
            <w:top w:w="15" w:type="dxa"/>
            <w:left w:w="15" w:type="dxa"/>
            <w:bottom w:w="15" w:type="dxa"/>
            <w:right w:w="15" w:type="dxa"/>
          </w:tblCellMar>
          <w:tblLook w:val="04A0" w:firstRow="1" w:lastRow="0" w:firstColumn="1" w:lastColumn="0" w:noHBand="0" w:noVBand="1"/>
        </w:tblPrEx>
        <w:trPr>
          <w:jc w:val="center"/>
        </w:trPr>
        <w:tc>
          <w:tcPr>
            <w:tcW w:w="421" w:type="dxa"/>
            <w:vMerge w:val="restart"/>
            <w:tcBorders>
              <w:left w:val="single" w:sz="4" w:space="0" w:color="auto"/>
              <w:right w:val="single" w:sz="4" w:space="0" w:color="auto"/>
            </w:tcBorders>
            <w:textDirection w:val="btLr"/>
            <w:vAlign w:val="center"/>
          </w:tcPr>
          <w:p w14:paraId="548C3022" w14:textId="77777777" w:rsidR="00B15E6D" w:rsidRPr="0013388C" w:rsidRDefault="00B15E6D" w:rsidP="00B15E6D">
            <w:pPr>
              <w:ind w:left="113" w:right="113"/>
              <w:rPr>
                <w:rFonts w:ascii="Arial Narrow" w:hAnsi="Arial Narrow"/>
                <w:sz w:val="20"/>
                <w:szCs w:val="20"/>
              </w:rPr>
            </w:pPr>
          </w:p>
        </w:tc>
        <w:tc>
          <w:tcPr>
            <w:tcW w:w="708" w:type="dxa"/>
            <w:vAlign w:val="center"/>
          </w:tcPr>
          <w:p w14:paraId="211F699C" w14:textId="77777777" w:rsidR="00B15E6D" w:rsidRPr="0013388C" w:rsidRDefault="00B15E6D" w:rsidP="00B15E6D">
            <w:pPr>
              <w:jc w:val="center"/>
              <w:rPr>
                <w:rFonts w:ascii="Arial Narrow" w:hAnsi="Arial Narrow"/>
                <w:color w:val="333333"/>
                <w:sz w:val="20"/>
                <w:szCs w:val="20"/>
              </w:rPr>
            </w:pPr>
          </w:p>
        </w:tc>
        <w:tc>
          <w:tcPr>
            <w:tcW w:w="7938" w:type="dxa"/>
            <w:gridSpan w:val="6"/>
            <w:vAlign w:val="center"/>
          </w:tcPr>
          <w:p w14:paraId="4D2356AB" w14:textId="77777777" w:rsidR="00B15E6D" w:rsidRPr="0013388C" w:rsidRDefault="00B15E6D" w:rsidP="00B15E6D">
            <w:pPr>
              <w:rPr>
                <w:rFonts w:ascii="Arial Narrow" w:hAnsi="Arial Narrow"/>
                <w:b/>
                <w:bCs/>
                <w:color w:val="333333"/>
                <w:sz w:val="20"/>
                <w:szCs w:val="20"/>
              </w:rPr>
            </w:pPr>
            <w:r w:rsidRPr="0013388C">
              <w:rPr>
                <w:rFonts w:ascii="Arial Narrow" w:hAnsi="Arial Narrow"/>
                <w:b/>
                <w:bCs/>
                <w:color w:val="333333"/>
                <w:sz w:val="20"/>
                <w:szCs w:val="20"/>
              </w:rPr>
              <w:t>Administrative Advice:</w:t>
            </w:r>
          </w:p>
          <w:p w14:paraId="5FC0C585" w14:textId="77777777" w:rsidR="00B15E6D" w:rsidRPr="0013388C" w:rsidRDefault="00B15E6D" w:rsidP="00B15E6D">
            <w:pPr>
              <w:rPr>
                <w:rFonts w:ascii="Arial Narrow" w:hAnsi="Arial Narrow"/>
                <w:color w:val="333333"/>
                <w:sz w:val="20"/>
                <w:szCs w:val="20"/>
              </w:rPr>
            </w:pPr>
            <w:r w:rsidRPr="0013388C">
              <w:rPr>
                <w:rFonts w:ascii="Arial Narrow" w:hAnsi="Arial Narrow"/>
                <w:bCs/>
                <w:color w:val="333333"/>
                <w:sz w:val="20"/>
                <w:szCs w:val="20"/>
              </w:rPr>
              <w:t>Care must be taken to comply with the provisions of State/Territory law when prescribing this drug.</w:t>
            </w:r>
          </w:p>
        </w:tc>
      </w:tr>
      <w:tr w:rsidR="00B15E6D" w:rsidRPr="0013388C" w14:paraId="193560B1" w14:textId="77777777" w:rsidTr="006027F4">
        <w:tblPrEx>
          <w:tblCellMar>
            <w:top w:w="15" w:type="dxa"/>
            <w:left w:w="15" w:type="dxa"/>
            <w:bottom w:w="15" w:type="dxa"/>
            <w:right w:w="15" w:type="dxa"/>
          </w:tblCellMar>
          <w:tblLook w:val="04A0" w:firstRow="1" w:lastRow="0" w:firstColumn="1" w:lastColumn="0" w:noHBand="0" w:noVBand="1"/>
        </w:tblPrEx>
        <w:trPr>
          <w:trHeight w:val="1212"/>
          <w:jc w:val="center"/>
        </w:trPr>
        <w:tc>
          <w:tcPr>
            <w:tcW w:w="421" w:type="dxa"/>
            <w:vMerge/>
            <w:tcBorders>
              <w:left w:val="single" w:sz="4" w:space="0" w:color="auto"/>
              <w:right w:val="single" w:sz="4" w:space="0" w:color="auto"/>
            </w:tcBorders>
          </w:tcPr>
          <w:p w14:paraId="5248793B" w14:textId="77777777" w:rsidR="00B15E6D" w:rsidRPr="0013388C" w:rsidRDefault="00B15E6D" w:rsidP="00B15E6D">
            <w:pPr>
              <w:rPr>
                <w:rFonts w:ascii="Arial Narrow" w:hAnsi="Arial Narrow"/>
                <w:sz w:val="20"/>
                <w:szCs w:val="20"/>
              </w:rPr>
            </w:pPr>
          </w:p>
        </w:tc>
        <w:tc>
          <w:tcPr>
            <w:tcW w:w="708" w:type="dxa"/>
            <w:vAlign w:val="center"/>
          </w:tcPr>
          <w:p w14:paraId="415FB81B" w14:textId="77777777" w:rsidR="00B15E6D" w:rsidRPr="0013388C" w:rsidRDefault="00B15E6D" w:rsidP="00B15E6D">
            <w:pPr>
              <w:jc w:val="center"/>
              <w:rPr>
                <w:rFonts w:ascii="Arial Narrow" w:hAnsi="Arial Narrow"/>
                <w:color w:val="333333"/>
                <w:sz w:val="20"/>
                <w:szCs w:val="20"/>
              </w:rPr>
            </w:pPr>
          </w:p>
        </w:tc>
        <w:tc>
          <w:tcPr>
            <w:tcW w:w="7938" w:type="dxa"/>
            <w:gridSpan w:val="6"/>
            <w:vAlign w:val="center"/>
          </w:tcPr>
          <w:p w14:paraId="1026C9CA" w14:textId="77777777" w:rsidR="00B15E6D" w:rsidRPr="0013388C" w:rsidRDefault="00B15E6D" w:rsidP="00B15E6D">
            <w:pPr>
              <w:rPr>
                <w:rFonts w:ascii="Arial Narrow" w:hAnsi="Arial Narrow"/>
                <w:b/>
                <w:bCs/>
                <w:color w:val="333333"/>
                <w:sz w:val="20"/>
                <w:szCs w:val="20"/>
              </w:rPr>
            </w:pPr>
            <w:r w:rsidRPr="0013388C">
              <w:rPr>
                <w:rFonts w:ascii="Arial Narrow" w:hAnsi="Arial Narrow"/>
                <w:b/>
                <w:bCs/>
                <w:color w:val="333333"/>
                <w:sz w:val="20"/>
                <w:szCs w:val="20"/>
              </w:rPr>
              <w:t>Administrative Advice:</w:t>
            </w:r>
          </w:p>
          <w:p w14:paraId="3B180607" w14:textId="77777777" w:rsidR="00B15E6D" w:rsidRPr="0013388C" w:rsidRDefault="00B15E6D" w:rsidP="00B15E6D">
            <w:pPr>
              <w:rPr>
                <w:rFonts w:ascii="Arial Narrow" w:hAnsi="Arial Narrow"/>
                <w:b/>
                <w:bCs/>
                <w:color w:val="333333"/>
                <w:sz w:val="20"/>
                <w:szCs w:val="20"/>
              </w:rPr>
            </w:pPr>
            <w:r w:rsidRPr="0013388C">
              <w:rPr>
                <w:rFonts w:ascii="Arial Narrow" w:hAnsi="Arial Narrow"/>
                <w:b/>
                <w:bCs/>
                <w:color w:val="333333"/>
                <w:sz w:val="20"/>
                <w:szCs w:val="20"/>
              </w:rPr>
              <w:t>Shared Care Model:</w:t>
            </w:r>
          </w:p>
          <w:p w14:paraId="23AC0480" w14:textId="77777777" w:rsidR="00B15E6D" w:rsidRPr="0013388C" w:rsidRDefault="00B15E6D" w:rsidP="00B15E6D">
            <w:pPr>
              <w:rPr>
                <w:rFonts w:ascii="Arial Narrow" w:hAnsi="Arial Narrow"/>
                <w:bCs/>
                <w:color w:val="333333"/>
                <w:sz w:val="20"/>
                <w:szCs w:val="20"/>
              </w:rPr>
            </w:pPr>
            <w:r w:rsidRPr="0013388C">
              <w:rPr>
                <w:rFonts w:ascii="Arial Narrow" w:hAnsi="Arial Narrow"/>
                <w:bCs/>
                <w:color w:val="333333"/>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B15E6D" w:rsidRPr="0013388C" w14:paraId="6C12067A" w14:textId="77777777" w:rsidTr="006027F4">
        <w:tblPrEx>
          <w:tblCellMar>
            <w:top w:w="15" w:type="dxa"/>
            <w:left w:w="15" w:type="dxa"/>
            <w:bottom w:w="15" w:type="dxa"/>
            <w:right w:w="15" w:type="dxa"/>
          </w:tblCellMar>
          <w:tblLook w:val="04A0" w:firstRow="1" w:lastRow="0" w:firstColumn="1" w:lastColumn="0" w:noHBand="0" w:noVBand="1"/>
        </w:tblPrEx>
        <w:trPr>
          <w:jc w:val="center"/>
        </w:trPr>
        <w:tc>
          <w:tcPr>
            <w:tcW w:w="1129" w:type="dxa"/>
            <w:gridSpan w:val="2"/>
          </w:tcPr>
          <w:p w14:paraId="2FCB3700" w14:textId="77777777" w:rsidR="00B15E6D" w:rsidRPr="0013388C" w:rsidRDefault="00B15E6D" w:rsidP="00B15E6D">
            <w:pPr>
              <w:jc w:val="center"/>
              <w:rPr>
                <w:rFonts w:ascii="Arial Narrow" w:hAnsi="Arial Narrow"/>
                <w:bCs/>
                <w:color w:val="333333"/>
                <w:sz w:val="20"/>
                <w:szCs w:val="20"/>
              </w:rPr>
            </w:pPr>
          </w:p>
        </w:tc>
        <w:tc>
          <w:tcPr>
            <w:tcW w:w="7938" w:type="dxa"/>
            <w:gridSpan w:val="6"/>
          </w:tcPr>
          <w:p w14:paraId="2209C688" w14:textId="77777777" w:rsidR="00B15E6D" w:rsidRPr="0013388C" w:rsidRDefault="00B15E6D" w:rsidP="00B15E6D">
            <w:pPr>
              <w:textAlignment w:val="baseline"/>
              <w:rPr>
                <w:rFonts w:ascii="Arial Narrow" w:hAnsi="Arial Narrow"/>
                <w:bCs/>
                <w:color w:val="333333"/>
                <w:sz w:val="20"/>
                <w:szCs w:val="20"/>
              </w:rPr>
            </w:pPr>
            <w:r w:rsidRPr="0013388C">
              <w:rPr>
                <w:rFonts w:ascii="Arial Narrow" w:hAnsi="Arial Narrow"/>
                <w:b/>
                <w:bCs/>
                <w:color w:val="333333"/>
                <w:sz w:val="20"/>
                <w:szCs w:val="20"/>
              </w:rPr>
              <w:t>Indication:</w:t>
            </w:r>
            <w:r w:rsidRPr="0013388C">
              <w:rPr>
                <w:rFonts w:ascii="Arial Narrow" w:hAnsi="Arial Narrow"/>
                <w:bCs/>
                <w:color w:val="333333"/>
                <w:sz w:val="20"/>
                <w:szCs w:val="20"/>
              </w:rPr>
              <w:t xml:space="preserve"> Opiate dependence</w:t>
            </w:r>
          </w:p>
        </w:tc>
      </w:tr>
      <w:tr w:rsidR="00B15E6D" w:rsidRPr="0013388C" w14:paraId="1B62A37E" w14:textId="77777777" w:rsidTr="006027F4">
        <w:tblPrEx>
          <w:tblCellMar>
            <w:top w:w="15" w:type="dxa"/>
            <w:left w:w="15" w:type="dxa"/>
            <w:bottom w:w="15" w:type="dxa"/>
            <w:right w:w="15" w:type="dxa"/>
          </w:tblCellMar>
          <w:tblLook w:val="04A0" w:firstRow="1" w:lastRow="0" w:firstColumn="1" w:lastColumn="0" w:noHBand="0" w:noVBand="1"/>
        </w:tblPrEx>
        <w:trPr>
          <w:jc w:val="center"/>
        </w:trPr>
        <w:tc>
          <w:tcPr>
            <w:tcW w:w="1129" w:type="dxa"/>
            <w:gridSpan w:val="2"/>
          </w:tcPr>
          <w:p w14:paraId="0A8F6392" w14:textId="77777777" w:rsidR="00B15E6D" w:rsidRPr="0013388C" w:rsidRDefault="00B15E6D" w:rsidP="00B15E6D">
            <w:pPr>
              <w:jc w:val="center"/>
              <w:rPr>
                <w:rFonts w:ascii="Arial Narrow" w:hAnsi="Arial Narrow"/>
                <w:bCs/>
                <w:color w:val="333333"/>
                <w:sz w:val="20"/>
                <w:szCs w:val="20"/>
              </w:rPr>
            </w:pPr>
          </w:p>
        </w:tc>
        <w:tc>
          <w:tcPr>
            <w:tcW w:w="7938" w:type="dxa"/>
            <w:gridSpan w:val="6"/>
          </w:tcPr>
          <w:p w14:paraId="39EB8539" w14:textId="77777777" w:rsidR="00B15E6D" w:rsidRPr="0013388C" w:rsidRDefault="00B15E6D" w:rsidP="00B15E6D">
            <w:pPr>
              <w:rPr>
                <w:rFonts w:ascii="Arial Narrow" w:hAnsi="Arial Narrow"/>
                <w:b/>
                <w:bCs/>
                <w:color w:val="333333"/>
                <w:sz w:val="20"/>
                <w:szCs w:val="20"/>
              </w:rPr>
            </w:pPr>
            <w:r w:rsidRPr="0013388C">
              <w:rPr>
                <w:rFonts w:ascii="Arial Narrow" w:hAnsi="Arial Narrow"/>
                <w:b/>
                <w:bCs/>
                <w:color w:val="333333"/>
                <w:sz w:val="20"/>
                <w:szCs w:val="20"/>
              </w:rPr>
              <w:t>Treatment criteria:</w:t>
            </w:r>
          </w:p>
        </w:tc>
      </w:tr>
      <w:tr w:rsidR="00B15E6D" w:rsidRPr="0013388C" w14:paraId="147CA679" w14:textId="77777777" w:rsidTr="006027F4">
        <w:tblPrEx>
          <w:tblCellMar>
            <w:top w:w="15" w:type="dxa"/>
            <w:left w:w="15" w:type="dxa"/>
            <w:bottom w:w="15" w:type="dxa"/>
            <w:right w:w="15" w:type="dxa"/>
          </w:tblCellMar>
          <w:tblLook w:val="04A0" w:firstRow="1" w:lastRow="0" w:firstColumn="1" w:lastColumn="0" w:noHBand="0" w:noVBand="1"/>
        </w:tblPrEx>
        <w:trPr>
          <w:jc w:val="center"/>
        </w:trPr>
        <w:tc>
          <w:tcPr>
            <w:tcW w:w="1129" w:type="dxa"/>
            <w:gridSpan w:val="2"/>
          </w:tcPr>
          <w:p w14:paraId="3226CCB3" w14:textId="77777777" w:rsidR="00B15E6D" w:rsidRPr="0013388C" w:rsidRDefault="00B15E6D" w:rsidP="00B15E6D">
            <w:pPr>
              <w:jc w:val="center"/>
              <w:rPr>
                <w:rFonts w:ascii="Arial Narrow" w:hAnsi="Arial Narrow"/>
                <w:bCs/>
                <w:color w:val="333333"/>
                <w:sz w:val="20"/>
                <w:szCs w:val="20"/>
              </w:rPr>
            </w:pPr>
          </w:p>
        </w:tc>
        <w:tc>
          <w:tcPr>
            <w:tcW w:w="7938" w:type="dxa"/>
            <w:gridSpan w:val="6"/>
          </w:tcPr>
          <w:p w14:paraId="1587C426" w14:textId="77777777" w:rsidR="00B15E6D" w:rsidRPr="0013388C" w:rsidRDefault="00B15E6D" w:rsidP="00B15E6D">
            <w:pPr>
              <w:rPr>
                <w:rFonts w:ascii="Arial Narrow" w:hAnsi="Arial Narrow"/>
                <w:bCs/>
                <w:color w:val="333333"/>
                <w:sz w:val="20"/>
                <w:szCs w:val="20"/>
              </w:rPr>
            </w:pPr>
            <w:r w:rsidRPr="0013388C">
              <w:rPr>
                <w:rFonts w:ascii="Arial Narrow" w:hAnsi="Arial Narrow"/>
                <w:bCs/>
                <w:color w:val="333333"/>
                <w:sz w:val="20"/>
                <w:szCs w:val="20"/>
              </w:rPr>
              <w:t>Must be treated by a health care professional</w:t>
            </w:r>
          </w:p>
        </w:tc>
      </w:tr>
      <w:tr w:rsidR="00B15E6D" w:rsidRPr="0013388C" w14:paraId="0F2B9DB2" w14:textId="77777777" w:rsidTr="006027F4">
        <w:tblPrEx>
          <w:tblCellMar>
            <w:top w:w="15" w:type="dxa"/>
            <w:left w:w="15" w:type="dxa"/>
            <w:bottom w:w="15" w:type="dxa"/>
            <w:right w:w="15" w:type="dxa"/>
          </w:tblCellMar>
          <w:tblLook w:val="04A0" w:firstRow="1" w:lastRow="0" w:firstColumn="1" w:lastColumn="0" w:noHBand="0" w:noVBand="1"/>
        </w:tblPrEx>
        <w:trPr>
          <w:jc w:val="center"/>
        </w:trPr>
        <w:tc>
          <w:tcPr>
            <w:tcW w:w="1129" w:type="dxa"/>
            <w:gridSpan w:val="2"/>
          </w:tcPr>
          <w:p w14:paraId="0D0B1A12" w14:textId="77777777" w:rsidR="00B15E6D" w:rsidRPr="0013388C" w:rsidRDefault="00B15E6D" w:rsidP="00B15E6D">
            <w:pPr>
              <w:jc w:val="center"/>
              <w:rPr>
                <w:rFonts w:ascii="Arial Narrow" w:hAnsi="Arial Narrow"/>
                <w:bCs/>
                <w:color w:val="333333"/>
                <w:sz w:val="20"/>
                <w:szCs w:val="20"/>
              </w:rPr>
            </w:pPr>
          </w:p>
        </w:tc>
        <w:tc>
          <w:tcPr>
            <w:tcW w:w="7938" w:type="dxa"/>
            <w:gridSpan w:val="6"/>
          </w:tcPr>
          <w:p w14:paraId="7DF3DB29" w14:textId="77777777" w:rsidR="00B15E6D" w:rsidRPr="0013388C" w:rsidRDefault="00B15E6D" w:rsidP="00B15E6D">
            <w:pPr>
              <w:rPr>
                <w:rFonts w:ascii="Arial Narrow" w:hAnsi="Arial Narrow"/>
                <w:b/>
                <w:bCs/>
                <w:color w:val="333333"/>
                <w:sz w:val="20"/>
                <w:szCs w:val="20"/>
              </w:rPr>
            </w:pPr>
            <w:r w:rsidRPr="0013388C">
              <w:rPr>
                <w:rFonts w:ascii="Arial Narrow" w:hAnsi="Arial Narrow"/>
                <w:b/>
                <w:bCs/>
                <w:color w:val="333333"/>
                <w:sz w:val="20"/>
                <w:szCs w:val="20"/>
              </w:rPr>
              <w:t>AND</w:t>
            </w:r>
          </w:p>
        </w:tc>
      </w:tr>
      <w:tr w:rsidR="00B15E6D" w:rsidRPr="0013388C" w14:paraId="09349B77" w14:textId="77777777" w:rsidTr="006027F4">
        <w:tblPrEx>
          <w:tblCellMar>
            <w:top w:w="15" w:type="dxa"/>
            <w:left w:w="15" w:type="dxa"/>
            <w:bottom w:w="15" w:type="dxa"/>
            <w:right w:w="15" w:type="dxa"/>
          </w:tblCellMar>
          <w:tblLook w:val="04A0" w:firstRow="1" w:lastRow="0" w:firstColumn="1" w:lastColumn="0" w:noHBand="0" w:noVBand="1"/>
        </w:tblPrEx>
        <w:trPr>
          <w:jc w:val="center"/>
        </w:trPr>
        <w:tc>
          <w:tcPr>
            <w:tcW w:w="1129" w:type="dxa"/>
            <w:gridSpan w:val="2"/>
          </w:tcPr>
          <w:p w14:paraId="174D7B6D" w14:textId="77777777" w:rsidR="00B15E6D" w:rsidRPr="0013388C" w:rsidRDefault="00B15E6D" w:rsidP="00B15E6D">
            <w:pPr>
              <w:jc w:val="center"/>
              <w:rPr>
                <w:rFonts w:ascii="Arial Narrow" w:hAnsi="Arial Narrow"/>
                <w:bCs/>
                <w:color w:val="333333"/>
                <w:sz w:val="20"/>
                <w:szCs w:val="20"/>
              </w:rPr>
            </w:pPr>
          </w:p>
        </w:tc>
        <w:tc>
          <w:tcPr>
            <w:tcW w:w="7938" w:type="dxa"/>
            <w:gridSpan w:val="6"/>
          </w:tcPr>
          <w:p w14:paraId="1284BC33" w14:textId="77777777" w:rsidR="00B15E6D" w:rsidRPr="0013388C" w:rsidRDefault="00B15E6D" w:rsidP="00B15E6D">
            <w:pPr>
              <w:rPr>
                <w:rFonts w:ascii="Arial Narrow" w:hAnsi="Arial Narrow"/>
                <w:b/>
                <w:bCs/>
                <w:color w:val="333333"/>
                <w:sz w:val="20"/>
                <w:szCs w:val="20"/>
              </w:rPr>
            </w:pPr>
            <w:r w:rsidRPr="0013388C">
              <w:rPr>
                <w:rFonts w:ascii="Arial Narrow" w:hAnsi="Arial Narrow"/>
                <w:b/>
                <w:bCs/>
                <w:color w:val="333333"/>
                <w:sz w:val="20"/>
                <w:szCs w:val="20"/>
              </w:rPr>
              <w:t>Clinical criteria:</w:t>
            </w:r>
          </w:p>
        </w:tc>
      </w:tr>
      <w:tr w:rsidR="00B15E6D" w:rsidRPr="0013388C" w14:paraId="652C8081" w14:textId="77777777" w:rsidTr="006027F4">
        <w:tblPrEx>
          <w:tblCellMar>
            <w:top w:w="15" w:type="dxa"/>
            <w:left w:w="15" w:type="dxa"/>
            <w:bottom w:w="15" w:type="dxa"/>
            <w:right w:w="15" w:type="dxa"/>
          </w:tblCellMar>
          <w:tblLook w:val="04A0" w:firstRow="1" w:lastRow="0" w:firstColumn="1" w:lastColumn="0" w:noHBand="0" w:noVBand="1"/>
        </w:tblPrEx>
        <w:trPr>
          <w:jc w:val="center"/>
        </w:trPr>
        <w:tc>
          <w:tcPr>
            <w:tcW w:w="1129" w:type="dxa"/>
            <w:gridSpan w:val="2"/>
          </w:tcPr>
          <w:p w14:paraId="423CDAC7" w14:textId="77777777" w:rsidR="00B15E6D" w:rsidRPr="0013388C" w:rsidRDefault="00B15E6D" w:rsidP="00B15E6D">
            <w:pPr>
              <w:jc w:val="center"/>
              <w:rPr>
                <w:rFonts w:ascii="Arial Narrow" w:hAnsi="Arial Narrow"/>
                <w:bCs/>
                <w:color w:val="333333"/>
                <w:sz w:val="20"/>
                <w:szCs w:val="20"/>
              </w:rPr>
            </w:pPr>
          </w:p>
        </w:tc>
        <w:tc>
          <w:tcPr>
            <w:tcW w:w="7938" w:type="dxa"/>
            <w:gridSpan w:val="6"/>
          </w:tcPr>
          <w:p w14:paraId="33A1E720" w14:textId="77777777" w:rsidR="00B15E6D" w:rsidRPr="0013388C" w:rsidRDefault="00B15E6D" w:rsidP="00B15E6D">
            <w:pPr>
              <w:rPr>
                <w:rFonts w:ascii="Arial Narrow" w:hAnsi="Arial Narrow"/>
                <w:bCs/>
                <w:color w:val="333333"/>
                <w:sz w:val="20"/>
                <w:szCs w:val="20"/>
              </w:rPr>
            </w:pPr>
            <w:r w:rsidRPr="0013388C">
              <w:rPr>
                <w:rFonts w:ascii="Arial Narrow" w:hAnsi="Arial Narrow"/>
                <w:bCs/>
                <w:color w:val="333333"/>
                <w:sz w:val="20"/>
                <w:szCs w:val="20"/>
              </w:rPr>
              <w:t>The treatment must be within a framework of medical, social and psychological treatment</w:t>
            </w:r>
          </w:p>
        </w:tc>
      </w:tr>
    </w:tbl>
    <w:p w14:paraId="774AB272" w14:textId="77777777" w:rsidR="00B15E6D" w:rsidRPr="0013388C" w:rsidRDefault="00B15E6D" w:rsidP="00B15E6D"/>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560"/>
        <w:gridCol w:w="2983"/>
        <w:gridCol w:w="993"/>
        <w:gridCol w:w="850"/>
        <w:gridCol w:w="709"/>
        <w:gridCol w:w="709"/>
        <w:gridCol w:w="1842"/>
      </w:tblGrid>
      <w:tr w:rsidR="00B15E6D" w:rsidRPr="0013388C" w14:paraId="62FA7256" w14:textId="77777777" w:rsidTr="00B15E6D">
        <w:trPr>
          <w:cantSplit/>
          <w:trHeight w:val="471"/>
        </w:trPr>
        <w:tc>
          <w:tcPr>
            <w:tcW w:w="3964" w:type="dxa"/>
            <w:gridSpan w:val="3"/>
          </w:tcPr>
          <w:p w14:paraId="07ACBA9A" w14:textId="77777777" w:rsidR="00B15E6D" w:rsidRPr="0013388C" w:rsidRDefault="00B15E6D" w:rsidP="00B15E6D">
            <w:pPr>
              <w:keepNext/>
              <w:ind w:left="-57"/>
              <w:rPr>
                <w:rFonts w:ascii="Arial Narrow" w:hAnsi="Arial Narrow"/>
                <w:b/>
                <w:bCs/>
                <w:sz w:val="18"/>
                <w:szCs w:val="18"/>
              </w:rPr>
            </w:pPr>
            <w:r w:rsidRPr="0013388C">
              <w:rPr>
                <w:rFonts w:ascii="Arial Narrow" w:hAnsi="Arial Narrow"/>
                <w:b/>
                <w:bCs/>
                <w:sz w:val="18"/>
                <w:szCs w:val="18"/>
              </w:rPr>
              <w:t>MEDICINAL PRODUCT</w:t>
            </w:r>
          </w:p>
          <w:p w14:paraId="087F4ABD" w14:textId="77777777" w:rsidR="00B15E6D" w:rsidRPr="0013388C" w:rsidRDefault="00B15E6D" w:rsidP="00B15E6D">
            <w:pPr>
              <w:keepNext/>
              <w:ind w:left="-57"/>
              <w:rPr>
                <w:rFonts w:ascii="Arial Narrow" w:hAnsi="Arial Narrow"/>
                <w:b/>
                <w:sz w:val="18"/>
                <w:szCs w:val="18"/>
              </w:rPr>
            </w:pPr>
            <w:r w:rsidRPr="0013388C">
              <w:rPr>
                <w:rFonts w:ascii="Arial Narrow" w:hAnsi="Arial Narrow"/>
                <w:b/>
                <w:bCs/>
                <w:sz w:val="18"/>
                <w:szCs w:val="18"/>
              </w:rPr>
              <w:t>medicinal product pack</w:t>
            </w:r>
          </w:p>
        </w:tc>
        <w:tc>
          <w:tcPr>
            <w:tcW w:w="993" w:type="dxa"/>
          </w:tcPr>
          <w:p w14:paraId="1662EF42" w14:textId="77777777" w:rsidR="00B15E6D" w:rsidRPr="0013388C" w:rsidRDefault="00B15E6D" w:rsidP="00B15E6D">
            <w:pPr>
              <w:keepNext/>
              <w:ind w:left="-108"/>
              <w:jc w:val="center"/>
              <w:rPr>
                <w:rFonts w:ascii="Arial Narrow" w:hAnsi="Arial Narrow"/>
                <w:b/>
                <w:sz w:val="18"/>
                <w:szCs w:val="18"/>
              </w:rPr>
            </w:pPr>
            <w:r w:rsidRPr="0013388C">
              <w:rPr>
                <w:rFonts w:ascii="Arial Narrow" w:hAnsi="Arial Narrow"/>
                <w:b/>
                <w:sz w:val="18"/>
                <w:szCs w:val="18"/>
              </w:rPr>
              <w:t>PBS item code</w:t>
            </w:r>
          </w:p>
        </w:tc>
        <w:tc>
          <w:tcPr>
            <w:tcW w:w="850" w:type="dxa"/>
          </w:tcPr>
          <w:p w14:paraId="6C816C19" w14:textId="77777777" w:rsidR="00B15E6D" w:rsidRPr="0013388C" w:rsidRDefault="00B15E6D" w:rsidP="00B15E6D">
            <w:pPr>
              <w:keepNext/>
              <w:ind w:left="-108"/>
              <w:jc w:val="center"/>
              <w:rPr>
                <w:rFonts w:ascii="Arial Narrow" w:hAnsi="Arial Narrow"/>
                <w:b/>
                <w:sz w:val="18"/>
                <w:szCs w:val="18"/>
              </w:rPr>
            </w:pPr>
            <w:r w:rsidRPr="0013388C">
              <w:rPr>
                <w:rFonts w:ascii="Arial Narrow" w:hAnsi="Arial Narrow"/>
                <w:b/>
                <w:sz w:val="18"/>
                <w:szCs w:val="18"/>
              </w:rPr>
              <w:t>Max. qty packs</w:t>
            </w:r>
          </w:p>
        </w:tc>
        <w:tc>
          <w:tcPr>
            <w:tcW w:w="709" w:type="dxa"/>
          </w:tcPr>
          <w:p w14:paraId="3C1CF2F8" w14:textId="77777777" w:rsidR="00B15E6D" w:rsidRPr="0013388C" w:rsidRDefault="00B15E6D" w:rsidP="00B15E6D">
            <w:pPr>
              <w:keepNext/>
              <w:ind w:left="-108"/>
              <w:jc w:val="center"/>
              <w:rPr>
                <w:rFonts w:ascii="Arial Narrow" w:hAnsi="Arial Narrow"/>
                <w:b/>
                <w:sz w:val="18"/>
                <w:szCs w:val="18"/>
              </w:rPr>
            </w:pPr>
            <w:r w:rsidRPr="0013388C">
              <w:rPr>
                <w:rFonts w:ascii="Arial Narrow" w:hAnsi="Arial Narrow"/>
                <w:b/>
                <w:sz w:val="18"/>
                <w:szCs w:val="18"/>
              </w:rPr>
              <w:t>Max. qty units</w:t>
            </w:r>
          </w:p>
        </w:tc>
        <w:tc>
          <w:tcPr>
            <w:tcW w:w="709" w:type="dxa"/>
          </w:tcPr>
          <w:p w14:paraId="3DA1DF8C" w14:textId="77777777" w:rsidR="00B15E6D" w:rsidRPr="0013388C" w:rsidRDefault="00B15E6D" w:rsidP="00B15E6D">
            <w:pPr>
              <w:keepNext/>
              <w:ind w:left="-108"/>
              <w:jc w:val="center"/>
              <w:rPr>
                <w:rFonts w:ascii="Arial Narrow" w:hAnsi="Arial Narrow"/>
                <w:b/>
                <w:sz w:val="18"/>
                <w:szCs w:val="18"/>
              </w:rPr>
            </w:pPr>
            <w:r w:rsidRPr="0013388C">
              <w:rPr>
                <w:rFonts w:ascii="Arial Narrow" w:hAnsi="Arial Narrow"/>
                <w:b/>
                <w:sz w:val="18"/>
                <w:szCs w:val="18"/>
              </w:rPr>
              <w:t>№.of</w:t>
            </w:r>
          </w:p>
          <w:p w14:paraId="0609D455" w14:textId="77777777" w:rsidR="00B15E6D" w:rsidRPr="0013388C" w:rsidRDefault="00B15E6D" w:rsidP="00B15E6D">
            <w:pPr>
              <w:keepNext/>
              <w:ind w:left="-108"/>
              <w:jc w:val="center"/>
              <w:rPr>
                <w:rFonts w:ascii="Arial Narrow" w:hAnsi="Arial Narrow"/>
                <w:b/>
                <w:sz w:val="18"/>
                <w:szCs w:val="18"/>
              </w:rPr>
            </w:pPr>
            <w:r w:rsidRPr="0013388C">
              <w:rPr>
                <w:rFonts w:ascii="Arial Narrow" w:hAnsi="Arial Narrow"/>
                <w:b/>
                <w:sz w:val="18"/>
                <w:szCs w:val="18"/>
              </w:rPr>
              <w:t>Rpts</w:t>
            </w:r>
          </w:p>
        </w:tc>
        <w:tc>
          <w:tcPr>
            <w:tcW w:w="1842" w:type="dxa"/>
          </w:tcPr>
          <w:p w14:paraId="42236585" w14:textId="77777777" w:rsidR="00B15E6D" w:rsidRPr="0013388C" w:rsidRDefault="00B15E6D" w:rsidP="00B15E6D">
            <w:pPr>
              <w:keepNext/>
              <w:rPr>
                <w:rFonts w:ascii="Arial Narrow" w:hAnsi="Arial Narrow"/>
                <w:b/>
                <w:sz w:val="18"/>
                <w:szCs w:val="18"/>
              </w:rPr>
            </w:pPr>
            <w:r w:rsidRPr="0013388C">
              <w:rPr>
                <w:rFonts w:ascii="Arial Narrow" w:hAnsi="Arial Narrow"/>
                <w:b/>
                <w:sz w:val="18"/>
                <w:szCs w:val="18"/>
              </w:rPr>
              <w:t>Available brands</w:t>
            </w:r>
          </w:p>
        </w:tc>
      </w:tr>
      <w:tr w:rsidR="00B15E6D" w:rsidRPr="0013388C" w14:paraId="039056EF" w14:textId="77777777" w:rsidTr="00B15E6D">
        <w:trPr>
          <w:cantSplit/>
          <w:trHeight w:val="217"/>
        </w:trPr>
        <w:tc>
          <w:tcPr>
            <w:tcW w:w="3964" w:type="dxa"/>
            <w:gridSpan w:val="3"/>
          </w:tcPr>
          <w:p w14:paraId="3D0130F9" w14:textId="77777777" w:rsidR="00B15E6D" w:rsidRPr="0013388C" w:rsidRDefault="00B15E6D" w:rsidP="00B15E6D">
            <w:pPr>
              <w:keepNext/>
              <w:ind w:left="-57"/>
              <w:rPr>
                <w:rFonts w:ascii="Arial Narrow" w:hAnsi="Arial Narrow"/>
                <w:b/>
                <w:bCs/>
                <w:sz w:val="18"/>
                <w:szCs w:val="18"/>
              </w:rPr>
            </w:pPr>
            <w:r w:rsidRPr="0013388C">
              <w:rPr>
                <w:rFonts w:ascii="Arial Narrow" w:hAnsi="Arial Narrow"/>
                <w:b/>
                <w:bCs/>
                <w:sz w:val="18"/>
                <w:szCs w:val="18"/>
              </w:rPr>
              <w:t xml:space="preserve">BUPRENORPHINE </w:t>
            </w:r>
          </w:p>
        </w:tc>
        <w:tc>
          <w:tcPr>
            <w:tcW w:w="5103" w:type="dxa"/>
            <w:gridSpan w:val="5"/>
          </w:tcPr>
          <w:p w14:paraId="71C0913A" w14:textId="77777777" w:rsidR="00B15E6D" w:rsidRPr="0013388C" w:rsidRDefault="00B15E6D" w:rsidP="00B15E6D">
            <w:pPr>
              <w:keepNext/>
              <w:rPr>
                <w:rFonts w:ascii="Arial Narrow" w:hAnsi="Arial Narrow"/>
                <w:sz w:val="18"/>
                <w:szCs w:val="18"/>
              </w:rPr>
            </w:pPr>
          </w:p>
        </w:tc>
      </w:tr>
      <w:tr w:rsidR="00B15E6D" w:rsidRPr="0013388C" w14:paraId="49F410D7" w14:textId="77777777" w:rsidTr="00B15E6D">
        <w:trPr>
          <w:cantSplit/>
          <w:trHeight w:val="503"/>
        </w:trPr>
        <w:tc>
          <w:tcPr>
            <w:tcW w:w="3964" w:type="dxa"/>
            <w:gridSpan w:val="3"/>
          </w:tcPr>
          <w:p w14:paraId="5363C1D9" w14:textId="77777777" w:rsidR="00B15E6D" w:rsidRPr="0013388C" w:rsidRDefault="00B15E6D" w:rsidP="00B15E6D">
            <w:pPr>
              <w:keepNext/>
              <w:ind w:left="-57"/>
              <w:rPr>
                <w:rFonts w:ascii="Arial Narrow" w:hAnsi="Arial Narrow"/>
                <w:sz w:val="18"/>
                <w:szCs w:val="18"/>
              </w:rPr>
            </w:pPr>
            <w:r w:rsidRPr="0013388C">
              <w:rPr>
                <w:rFonts w:ascii="Arial Narrow" w:hAnsi="Arial Narrow"/>
                <w:sz w:val="18"/>
                <w:szCs w:val="18"/>
              </w:rPr>
              <w:t>Buprenorphine 64 mg/0.18 mL modified release injection, 0.18 mL syringe</w:t>
            </w:r>
          </w:p>
        </w:tc>
        <w:tc>
          <w:tcPr>
            <w:tcW w:w="993" w:type="dxa"/>
          </w:tcPr>
          <w:p w14:paraId="3510966C" w14:textId="77777777" w:rsidR="00B15E6D" w:rsidRPr="0013388C" w:rsidRDefault="00B15E6D" w:rsidP="00B15E6D">
            <w:pPr>
              <w:keepNext/>
              <w:jc w:val="center"/>
              <w:rPr>
                <w:rFonts w:ascii="Arial Narrow" w:hAnsi="Arial Narrow"/>
                <w:sz w:val="18"/>
                <w:szCs w:val="18"/>
              </w:rPr>
            </w:pPr>
            <w:r w:rsidRPr="0013388C">
              <w:rPr>
                <w:rFonts w:ascii="Arial Narrow" w:hAnsi="Arial Narrow"/>
                <w:sz w:val="18"/>
                <w:szCs w:val="18"/>
              </w:rPr>
              <w:t>11754P</w:t>
            </w:r>
          </w:p>
        </w:tc>
        <w:tc>
          <w:tcPr>
            <w:tcW w:w="850" w:type="dxa"/>
            <w:vMerge w:val="restart"/>
          </w:tcPr>
          <w:p w14:paraId="586778FC" w14:textId="77777777" w:rsidR="00B15E6D" w:rsidRPr="0013388C" w:rsidRDefault="00B15E6D" w:rsidP="00B15E6D">
            <w:pPr>
              <w:keepNext/>
              <w:jc w:val="center"/>
              <w:rPr>
                <w:rFonts w:ascii="Arial Narrow" w:hAnsi="Arial Narrow"/>
                <w:sz w:val="18"/>
                <w:szCs w:val="18"/>
              </w:rPr>
            </w:pPr>
            <w:r w:rsidRPr="0013388C">
              <w:rPr>
                <w:rFonts w:ascii="Arial Narrow" w:hAnsi="Arial Narrow"/>
                <w:sz w:val="18"/>
                <w:szCs w:val="18"/>
              </w:rPr>
              <w:t>1</w:t>
            </w:r>
          </w:p>
        </w:tc>
        <w:tc>
          <w:tcPr>
            <w:tcW w:w="709" w:type="dxa"/>
            <w:vMerge w:val="restart"/>
          </w:tcPr>
          <w:p w14:paraId="14994DE4" w14:textId="77777777" w:rsidR="00B15E6D" w:rsidRPr="0013388C" w:rsidRDefault="00B15E6D" w:rsidP="00B15E6D">
            <w:pPr>
              <w:keepNext/>
              <w:jc w:val="center"/>
              <w:rPr>
                <w:rFonts w:ascii="Arial Narrow" w:hAnsi="Arial Narrow"/>
                <w:sz w:val="18"/>
                <w:szCs w:val="18"/>
              </w:rPr>
            </w:pPr>
            <w:r w:rsidRPr="0013388C">
              <w:rPr>
                <w:rFonts w:ascii="Arial Narrow" w:hAnsi="Arial Narrow"/>
                <w:sz w:val="18"/>
                <w:szCs w:val="18"/>
              </w:rPr>
              <w:t>1</w:t>
            </w:r>
          </w:p>
        </w:tc>
        <w:tc>
          <w:tcPr>
            <w:tcW w:w="709" w:type="dxa"/>
            <w:vMerge w:val="restart"/>
          </w:tcPr>
          <w:p w14:paraId="584DDE59" w14:textId="77777777" w:rsidR="00B15E6D" w:rsidRPr="0013388C" w:rsidRDefault="00B15E6D" w:rsidP="00B15E6D">
            <w:pPr>
              <w:keepNext/>
              <w:jc w:val="center"/>
              <w:rPr>
                <w:rFonts w:ascii="Arial Narrow" w:hAnsi="Arial Narrow"/>
                <w:sz w:val="18"/>
                <w:szCs w:val="18"/>
              </w:rPr>
            </w:pPr>
            <w:r w:rsidRPr="0013388C">
              <w:rPr>
                <w:rFonts w:ascii="Arial Narrow" w:hAnsi="Arial Narrow"/>
                <w:sz w:val="18"/>
                <w:szCs w:val="18"/>
              </w:rPr>
              <w:t>NA</w:t>
            </w:r>
          </w:p>
        </w:tc>
        <w:tc>
          <w:tcPr>
            <w:tcW w:w="1842" w:type="dxa"/>
            <w:vMerge w:val="restart"/>
          </w:tcPr>
          <w:p w14:paraId="3E57D0DA" w14:textId="77777777" w:rsidR="00B15E6D" w:rsidRPr="0013388C" w:rsidRDefault="00B15E6D" w:rsidP="00B15E6D">
            <w:pPr>
              <w:keepNext/>
              <w:rPr>
                <w:rFonts w:ascii="Arial Narrow" w:hAnsi="Arial Narrow"/>
                <w:sz w:val="18"/>
                <w:szCs w:val="18"/>
              </w:rPr>
            </w:pPr>
            <w:r w:rsidRPr="0013388C">
              <w:rPr>
                <w:rFonts w:ascii="Arial Narrow" w:hAnsi="Arial Narrow"/>
                <w:sz w:val="18"/>
                <w:szCs w:val="18"/>
              </w:rPr>
              <w:t>Buvidal Monthly</w:t>
            </w:r>
          </w:p>
        </w:tc>
      </w:tr>
      <w:tr w:rsidR="00B15E6D" w:rsidRPr="0013388C" w14:paraId="4AF852BF" w14:textId="77777777" w:rsidTr="00B15E6D">
        <w:trPr>
          <w:cantSplit/>
          <w:trHeight w:val="501"/>
        </w:trPr>
        <w:tc>
          <w:tcPr>
            <w:tcW w:w="3964" w:type="dxa"/>
            <w:gridSpan w:val="3"/>
          </w:tcPr>
          <w:p w14:paraId="3336D32F" w14:textId="77777777" w:rsidR="00B15E6D" w:rsidRPr="0013388C" w:rsidRDefault="00B15E6D" w:rsidP="00B15E6D">
            <w:pPr>
              <w:keepNext/>
              <w:ind w:left="-57"/>
              <w:rPr>
                <w:rFonts w:ascii="Arial Narrow" w:hAnsi="Arial Narrow"/>
                <w:sz w:val="18"/>
                <w:szCs w:val="18"/>
              </w:rPr>
            </w:pPr>
            <w:r w:rsidRPr="0013388C">
              <w:rPr>
                <w:rFonts w:ascii="Arial Narrow" w:hAnsi="Arial Narrow"/>
                <w:sz w:val="18"/>
                <w:szCs w:val="18"/>
              </w:rPr>
              <w:t>Buprenorphine 96 mg/0.27 mL modified release injection, 0.27 mL syringe</w:t>
            </w:r>
          </w:p>
        </w:tc>
        <w:tc>
          <w:tcPr>
            <w:tcW w:w="993" w:type="dxa"/>
          </w:tcPr>
          <w:p w14:paraId="59508C10" w14:textId="77777777" w:rsidR="00B15E6D" w:rsidRPr="0013388C" w:rsidRDefault="00B15E6D" w:rsidP="00B15E6D">
            <w:pPr>
              <w:keepNext/>
              <w:jc w:val="center"/>
              <w:rPr>
                <w:rFonts w:ascii="Arial Narrow" w:hAnsi="Arial Narrow"/>
                <w:sz w:val="18"/>
                <w:szCs w:val="18"/>
              </w:rPr>
            </w:pPr>
            <w:r w:rsidRPr="0013388C">
              <w:rPr>
                <w:rFonts w:ascii="Arial Narrow" w:hAnsi="Arial Narrow"/>
                <w:sz w:val="18"/>
                <w:szCs w:val="18"/>
              </w:rPr>
              <w:t>11767H</w:t>
            </w:r>
          </w:p>
        </w:tc>
        <w:tc>
          <w:tcPr>
            <w:tcW w:w="850" w:type="dxa"/>
            <w:vMerge/>
          </w:tcPr>
          <w:p w14:paraId="021A216D" w14:textId="77777777" w:rsidR="00B15E6D" w:rsidRPr="0013388C" w:rsidRDefault="00B15E6D" w:rsidP="00B15E6D">
            <w:pPr>
              <w:keepNext/>
              <w:jc w:val="center"/>
              <w:rPr>
                <w:rFonts w:ascii="Arial Narrow" w:hAnsi="Arial Narrow"/>
                <w:sz w:val="18"/>
                <w:szCs w:val="18"/>
              </w:rPr>
            </w:pPr>
          </w:p>
        </w:tc>
        <w:tc>
          <w:tcPr>
            <w:tcW w:w="709" w:type="dxa"/>
            <w:vMerge/>
          </w:tcPr>
          <w:p w14:paraId="3F80FD62" w14:textId="77777777" w:rsidR="00B15E6D" w:rsidRPr="0013388C" w:rsidRDefault="00B15E6D" w:rsidP="00B15E6D">
            <w:pPr>
              <w:keepNext/>
              <w:jc w:val="center"/>
              <w:rPr>
                <w:rFonts w:ascii="Arial Narrow" w:hAnsi="Arial Narrow"/>
                <w:sz w:val="18"/>
                <w:szCs w:val="18"/>
              </w:rPr>
            </w:pPr>
          </w:p>
        </w:tc>
        <w:tc>
          <w:tcPr>
            <w:tcW w:w="709" w:type="dxa"/>
            <w:vMerge/>
          </w:tcPr>
          <w:p w14:paraId="52856794" w14:textId="77777777" w:rsidR="00B15E6D" w:rsidRPr="0013388C" w:rsidRDefault="00B15E6D" w:rsidP="00B15E6D">
            <w:pPr>
              <w:keepNext/>
              <w:jc w:val="center"/>
              <w:rPr>
                <w:rFonts w:ascii="Arial Narrow" w:hAnsi="Arial Narrow"/>
                <w:sz w:val="18"/>
                <w:szCs w:val="18"/>
              </w:rPr>
            </w:pPr>
          </w:p>
        </w:tc>
        <w:tc>
          <w:tcPr>
            <w:tcW w:w="1842" w:type="dxa"/>
            <w:vMerge/>
          </w:tcPr>
          <w:p w14:paraId="62E3747A" w14:textId="77777777" w:rsidR="00B15E6D" w:rsidRPr="0013388C" w:rsidRDefault="00B15E6D" w:rsidP="00B15E6D">
            <w:pPr>
              <w:keepNext/>
              <w:rPr>
                <w:rFonts w:ascii="Arial Narrow" w:hAnsi="Arial Narrow"/>
                <w:sz w:val="18"/>
                <w:szCs w:val="18"/>
              </w:rPr>
            </w:pPr>
          </w:p>
        </w:tc>
      </w:tr>
      <w:tr w:rsidR="00B15E6D" w:rsidRPr="0013388C" w14:paraId="442F0D49" w14:textId="77777777" w:rsidTr="00B15E6D">
        <w:trPr>
          <w:cantSplit/>
          <w:trHeight w:val="501"/>
        </w:trPr>
        <w:tc>
          <w:tcPr>
            <w:tcW w:w="3964" w:type="dxa"/>
            <w:gridSpan w:val="3"/>
          </w:tcPr>
          <w:p w14:paraId="338B4ED7" w14:textId="77777777" w:rsidR="00B15E6D" w:rsidRPr="0013388C" w:rsidRDefault="00B15E6D" w:rsidP="00B15E6D">
            <w:pPr>
              <w:keepNext/>
              <w:ind w:left="-57"/>
              <w:rPr>
                <w:rFonts w:ascii="Arial Narrow" w:hAnsi="Arial Narrow"/>
                <w:sz w:val="18"/>
                <w:szCs w:val="18"/>
              </w:rPr>
            </w:pPr>
            <w:r w:rsidRPr="0013388C">
              <w:rPr>
                <w:rFonts w:ascii="Arial Narrow" w:hAnsi="Arial Narrow"/>
                <w:sz w:val="18"/>
                <w:szCs w:val="18"/>
              </w:rPr>
              <w:t>Buprenorphine 128 mg/0.36 mL modified release injection, 0.36 mL syringe</w:t>
            </w:r>
          </w:p>
        </w:tc>
        <w:tc>
          <w:tcPr>
            <w:tcW w:w="993" w:type="dxa"/>
          </w:tcPr>
          <w:p w14:paraId="025C65B3" w14:textId="77777777" w:rsidR="00B15E6D" w:rsidRPr="0013388C" w:rsidRDefault="00B15E6D" w:rsidP="00B15E6D">
            <w:pPr>
              <w:keepNext/>
              <w:jc w:val="center"/>
              <w:rPr>
                <w:rFonts w:ascii="Arial Narrow" w:hAnsi="Arial Narrow"/>
                <w:sz w:val="18"/>
                <w:szCs w:val="18"/>
              </w:rPr>
            </w:pPr>
            <w:r w:rsidRPr="0013388C">
              <w:rPr>
                <w:rFonts w:ascii="Arial Narrow" w:hAnsi="Arial Narrow"/>
                <w:sz w:val="18"/>
                <w:szCs w:val="18"/>
              </w:rPr>
              <w:t>11768J</w:t>
            </w:r>
          </w:p>
        </w:tc>
        <w:tc>
          <w:tcPr>
            <w:tcW w:w="850" w:type="dxa"/>
            <w:vMerge/>
          </w:tcPr>
          <w:p w14:paraId="2DB64478" w14:textId="77777777" w:rsidR="00B15E6D" w:rsidRPr="0013388C" w:rsidRDefault="00B15E6D" w:rsidP="00B15E6D">
            <w:pPr>
              <w:keepNext/>
              <w:jc w:val="center"/>
              <w:rPr>
                <w:rFonts w:ascii="Arial Narrow" w:hAnsi="Arial Narrow"/>
                <w:sz w:val="18"/>
                <w:szCs w:val="18"/>
              </w:rPr>
            </w:pPr>
          </w:p>
        </w:tc>
        <w:tc>
          <w:tcPr>
            <w:tcW w:w="709" w:type="dxa"/>
            <w:vMerge/>
          </w:tcPr>
          <w:p w14:paraId="446D6B2A" w14:textId="77777777" w:rsidR="00B15E6D" w:rsidRPr="0013388C" w:rsidRDefault="00B15E6D" w:rsidP="00B15E6D">
            <w:pPr>
              <w:keepNext/>
              <w:jc w:val="center"/>
              <w:rPr>
                <w:rFonts w:ascii="Arial Narrow" w:hAnsi="Arial Narrow"/>
                <w:sz w:val="18"/>
                <w:szCs w:val="18"/>
              </w:rPr>
            </w:pPr>
          </w:p>
        </w:tc>
        <w:tc>
          <w:tcPr>
            <w:tcW w:w="709" w:type="dxa"/>
            <w:vMerge/>
          </w:tcPr>
          <w:p w14:paraId="34B5043F" w14:textId="77777777" w:rsidR="00B15E6D" w:rsidRPr="0013388C" w:rsidRDefault="00B15E6D" w:rsidP="00B15E6D">
            <w:pPr>
              <w:keepNext/>
              <w:jc w:val="center"/>
              <w:rPr>
                <w:rFonts w:ascii="Arial Narrow" w:hAnsi="Arial Narrow"/>
                <w:sz w:val="18"/>
                <w:szCs w:val="18"/>
              </w:rPr>
            </w:pPr>
          </w:p>
        </w:tc>
        <w:tc>
          <w:tcPr>
            <w:tcW w:w="1842" w:type="dxa"/>
            <w:vMerge/>
          </w:tcPr>
          <w:p w14:paraId="1F70C47F" w14:textId="77777777" w:rsidR="00B15E6D" w:rsidRPr="0013388C" w:rsidRDefault="00B15E6D" w:rsidP="00B15E6D">
            <w:pPr>
              <w:keepNext/>
              <w:rPr>
                <w:rFonts w:ascii="Arial Narrow" w:hAnsi="Arial Narrow"/>
                <w:sz w:val="18"/>
                <w:szCs w:val="18"/>
              </w:rPr>
            </w:pPr>
          </w:p>
        </w:tc>
      </w:tr>
      <w:tr w:rsidR="00B15E6D" w:rsidRPr="0013388C" w14:paraId="7D7AC5D5" w14:textId="77777777" w:rsidTr="00B15E6D">
        <w:trPr>
          <w:cantSplit/>
          <w:trHeight w:val="501"/>
        </w:trPr>
        <w:tc>
          <w:tcPr>
            <w:tcW w:w="3964" w:type="dxa"/>
            <w:gridSpan w:val="3"/>
          </w:tcPr>
          <w:p w14:paraId="5C1D787E" w14:textId="77777777" w:rsidR="00B15E6D" w:rsidRPr="006027F4" w:rsidRDefault="00B15E6D" w:rsidP="00B15E6D">
            <w:pPr>
              <w:keepNext/>
              <w:ind w:left="-57"/>
              <w:rPr>
                <w:rFonts w:ascii="Arial Narrow" w:hAnsi="Arial Narrow"/>
                <w:sz w:val="18"/>
                <w:szCs w:val="18"/>
              </w:rPr>
            </w:pPr>
            <w:r w:rsidRPr="006027F4">
              <w:rPr>
                <w:rFonts w:ascii="Arial Narrow" w:hAnsi="Arial Narrow"/>
                <w:sz w:val="18"/>
                <w:szCs w:val="18"/>
              </w:rPr>
              <w:t>Buprenorphine 160 mg/0.45 mL modified release injection, 0.45 mL syringe</w:t>
            </w:r>
          </w:p>
        </w:tc>
        <w:tc>
          <w:tcPr>
            <w:tcW w:w="993" w:type="dxa"/>
          </w:tcPr>
          <w:p w14:paraId="71A464D8" w14:textId="77777777" w:rsidR="00B15E6D" w:rsidRPr="006027F4" w:rsidRDefault="00B15E6D" w:rsidP="00B15E6D">
            <w:pPr>
              <w:keepNext/>
              <w:jc w:val="center"/>
              <w:rPr>
                <w:rFonts w:ascii="Arial Narrow" w:hAnsi="Arial Narrow"/>
                <w:sz w:val="18"/>
                <w:szCs w:val="18"/>
              </w:rPr>
            </w:pPr>
            <w:r w:rsidRPr="006027F4">
              <w:rPr>
                <w:rFonts w:ascii="Arial Narrow" w:hAnsi="Arial Narrow"/>
                <w:sz w:val="18"/>
                <w:szCs w:val="18"/>
              </w:rPr>
              <w:t>NEW</w:t>
            </w:r>
          </w:p>
        </w:tc>
        <w:tc>
          <w:tcPr>
            <w:tcW w:w="850" w:type="dxa"/>
            <w:vMerge/>
          </w:tcPr>
          <w:p w14:paraId="4ABDA1F6" w14:textId="77777777" w:rsidR="00B15E6D" w:rsidRPr="0013388C" w:rsidRDefault="00B15E6D" w:rsidP="00B15E6D">
            <w:pPr>
              <w:keepNext/>
              <w:jc w:val="center"/>
              <w:rPr>
                <w:rFonts w:ascii="Arial Narrow" w:hAnsi="Arial Narrow"/>
                <w:sz w:val="18"/>
                <w:szCs w:val="18"/>
              </w:rPr>
            </w:pPr>
          </w:p>
        </w:tc>
        <w:tc>
          <w:tcPr>
            <w:tcW w:w="709" w:type="dxa"/>
            <w:vMerge/>
          </w:tcPr>
          <w:p w14:paraId="67FB3EFE" w14:textId="77777777" w:rsidR="00B15E6D" w:rsidRPr="0013388C" w:rsidRDefault="00B15E6D" w:rsidP="00B15E6D">
            <w:pPr>
              <w:keepNext/>
              <w:jc w:val="center"/>
              <w:rPr>
                <w:rFonts w:ascii="Arial Narrow" w:hAnsi="Arial Narrow"/>
                <w:sz w:val="18"/>
                <w:szCs w:val="18"/>
              </w:rPr>
            </w:pPr>
          </w:p>
        </w:tc>
        <w:tc>
          <w:tcPr>
            <w:tcW w:w="709" w:type="dxa"/>
            <w:vMerge/>
          </w:tcPr>
          <w:p w14:paraId="2CAC944E" w14:textId="77777777" w:rsidR="00B15E6D" w:rsidRPr="0013388C" w:rsidRDefault="00B15E6D" w:rsidP="00B15E6D">
            <w:pPr>
              <w:keepNext/>
              <w:jc w:val="center"/>
              <w:rPr>
                <w:rFonts w:ascii="Arial Narrow" w:hAnsi="Arial Narrow"/>
                <w:sz w:val="18"/>
                <w:szCs w:val="18"/>
              </w:rPr>
            </w:pPr>
          </w:p>
        </w:tc>
        <w:tc>
          <w:tcPr>
            <w:tcW w:w="1842" w:type="dxa"/>
            <w:vMerge/>
          </w:tcPr>
          <w:p w14:paraId="73C23BBD" w14:textId="77777777" w:rsidR="00B15E6D" w:rsidRPr="0013388C" w:rsidRDefault="00B15E6D" w:rsidP="00B15E6D">
            <w:pPr>
              <w:keepNext/>
              <w:rPr>
                <w:rFonts w:ascii="Arial Narrow" w:hAnsi="Arial Narrow"/>
                <w:sz w:val="18"/>
                <w:szCs w:val="18"/>
              </w:rPr>
            </w:pPr>
          </w:p>
        </w:tc>
      </w:tr>
      <w:tr w:rsidR="00B15E6D" w:rsidRPr="0013388C" w14:paraId="45CDD8AC" w14:textId="77777777" w:rsidTr="00B15E6D">
        <w:tblPrEx>
          <w:jc w:val="center"/>
          <w:tblCellMar>
            <w:top w:w="15" w:type="dxa"/>
            <w:left w:w="15" w:type="dxa"/>
            <w:bottom w:w="15" w:type="dxa"/>
            <w:right w:w="15" w:type="dxa"/>
          </w:tblCellMar>
          <w:tblLook w:val="04A0" w:firstRow="1" w:lastRow="0" w:firstColumn="1" w:lastColumn="0" w:noHBand="0" w:noVBand="1"/>
        </w:tblPrEx>
        <w:trPr>
          <w:jc w:val="center"/>
        </w:trPr>
        <w:tc>
          <w:tcPr>
            <w:tcW w:w="9067" w:type="dxa"/>
            <w:gridSpan w:val="8"/>
            <w:tcBorders>
              <w:top w:val="single" w:sz="4" w:space="0" w:color="auto"/>
              <w:left w:val="single" w:sz="4" w:space="0" w:color="auto"/>
              <w:right w:val="single" w:sz="4" w:space="0" w:color="auto"/>
            </w:tcBorders>
          </w:tcPr>
          <w:p w14:paraId="6A04661A" w14:textId="77777777" w:rsidR="00B15E6D" w:rsidRPr="0013388C" w:rsidRDefault="00B15E6D" w:rsidP="00B15E6D">
            <w:pPr>
              <w:rPr>
                <w:rFonts w:ascii="Arial Narrow" w:hAnsi="Arial Narrow"/>
                <w:sz w:val="18"/>
                <w:szCs w:val="18"/>
              </w:rPr>
            </w:pPr>
          </w:p>
        </w:tc>
      </w:tr>
      <w:tr w:rsidR="00B15E6D" w:rsidRPr="0013388C" w14:paraId="253F7F93" w14:textId="77777777" w:rsidTr="00B15E6D">
        <w:tblPrEx>
          <w:jc w:val="center"/>
          <w:tblCellMar>
            <w:top w:w="15" w:type="dxa"/>
            <w:left w:w="15" w:type="dxa"/>
            <w:bottom w:w="15" w:type="dxa"/>
            <w:right w:w="15" w:type="dxa"/>
          </w:tblCellMar>
          <w:tblLook w:val="04A0" w:firstRow="1" w:lastRow="0" w:firstColumn="1" w:lastColumn="0" w:noHBand="0" w:noVBand="1"/>
        </w:tblPrEx>
        <w:trPr>
          <w:jc w:val="center"/>
        </w:trPr>
        <w:tc>
          <w:tcPr>
            <w:tcW w:w="9067" w:type="dxa"/>
            <w:gridSpan w:val="8"/>
            <w:tcBorders>
              <w:top w:val="single" w:sz="4" w:space="0" w:color="auto"/>
              <w:left w:val="single" w:sz="4" w:space="0" w:color="auto"/>
              <w:right w:val="single" w:sz="4" w:space="0" w:color="auto"/>
            </w:tcBorders>
          </w:tcPr>
          <w:p w14:paraId="04FE278A" w14:textId="77777777" w:rsidR="00B15E6D" w:rsidRPr="0013388C" w:rsidRDefault="00B15E6D" w:rsidP="00B15E6D">
            <w:pPr>
              <w:rPr>
                <w:rFonts w:ascii="Arial Narrow" w:hAnsi="Arial Narrow"/>
                <w:b/>
                <w:sz w:val="18"/>
                <w:szCs w:val="18"/>
              </w:rPr>
            </w:pPr>
            <w:r w:rsidRPr="0013388C">
              <w:rPr>
                <w:rFonts w:ascii="Arial Narrow" w:hAnsi="Arial Narrow"/>
                <w:b/>
                <w:sz w:val="18"/>
                <w:szCs w:val="18"/>
              </w:rPr>
              <w:t>Restriction Summary 9213 / Treatment of Concept: 9212</w:t>
            </w:r>
          </w:p>
        </w:tc>
      </w:tr>
      <w:tr w:rsidR="00B15E6D" w:rsidRPr="0013388C" w14:paraId="2CFA575E" w14:textId="77777777" w:rsidTr="00B15E6D">
        <w:tblPrEx>
          <w:jc w:val="center"/>
          <w:tblCellMar>
            <w:top w:w="15" w:type="dxa"/>
            <w:left w:w="15" w:type="dxa"/>
            <w:bottom w:w="15" w:type="dxa"/>
            <w:right w:w="15" w:type="dxa"/>
          </w:tblCellMar>
          <w:tblLook w:val="04A0" w:firstRow="1" w:lastRow="0" w:firstColumn="1" w:lastColumn="0" w:noHBand="0" w:noVBand="1"/>
        </w:tblPrEx>
        <w:trPr>
          <w:jc w:val="center"/>
        </w:trPr>
        <w:tc>
          <w:tcPr>
            <w:tcW w:w="981" w:type="dxa"/>
            <w:gridSpan w:val="2"/>
            <w:vMerge w:val="restart"/>
            <w:tcBorders>
              <w:top w:val="single" w:sz="4" w:space="0" w:color="auto"/>
              <w:left w:val="single" w:sz="4" w:space="0" w:color="auto"/>
              <w:right w:val="single" w:sz="4" w:space="0" w:color="auto"/>
            </w:tcBorders>
          </w:tcPr>
          <w:p w14:paraId="100DE4DA" w14:textId="77777777" w:rsidR="00B15E6D" w:rsidRPr="0013388C" w:rsidRDefault="00B15E6D" w:rsidP="00B15E6D">
            <w:pPr>
              <w:jc w:val="cente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00112663" w14:textId="77777777" w:rsidR="00B15E6D" w:rsidRPr="0013388C" w:rsidRDefault="00B15E6D" w:rsidP="00B15E6D">
            <w:pPr>
              <w:rPr>
                <w:rFonts w:ascii="Arial Narrow" w:hAnsi="Arial Narrow"/>
                <w:sz w:val="18"/>
                <w:szCs w:val="18"/>
              </w:rPr>
            </w:pPr>
            <w:r w:rsidRPr="0013388C">
              <w:rPr>
                <w:rFonts w:ascii="Arial Narrow" w:hAnsi="Arial Narrow"/>
                <w:sz w:val="18"/>
                <w:szCs w:val="18"/>
              </w:rPr>
              <w:t>Section 100 – Opiate Dependence</w:t>
            </w:r>
          </w:p>
        </w:tc>
      </w:tr>
      <w:tr w:rsidR="00B15E6D" w:rsidRPr="0013388C" w14:paraId="28431112" w14:textId="77777777" w:rsidTr="00B15E6D">
        <w:tblPrEx>
          <w:jc w:val="center"/>
          <w:tblCellMar>
            <w:top w:w="15" w:type="dxa"/>
            <w:left w:w="15" w:type="dxa"/>
            <w:bottom w:w="15" w:type="dxa"/>
            <w:right w:w="15" w:type="dxa"/>
          </w:tblCellMar>
          <w:tblLook w:val="04A0" w:firstRow="1" w:lastRow="0" w:firstColumn="1" w:lastColumn="0" w:noHBand="0" w:noVBand="1"/>
        </w:tblPrEx>
        <w:trPr>
          <w:trHeight w:val="240"/>
          <w:jc w:val="center"/>
        </w:trPr>
        <w:tc>
          <w:tcPr>
            <w:tcW w:w="981" w:type="dxa"/>
            <w:gridSpan w:val="2"/>
            <w:vMerge/>
            <w:tcBorders>
              <w:left w:val="single" w:sz="4" w:space="0" w:color="auto"/>
              <w:right w:val="single" w:sz="4" w:space="0" w:color="auto"/>
            </w:tcBorders>
          </w:tcPr>
          <w:p w14:paraId="1AF67BDB" w14:textId="77777777" w:rsidR="00B15E6D" w:rsidRPr="0013388C" w:rsidRDefault="00B15E6D" w:rsidP="00B15E6D">
            <w:pP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7CFA4557" w14:textId="77777777" w:rsidR="00B15E6D" w:rsidRPr="0013388C" w:rsidRDefault="00B15E6D" w:rsidP="00B15E6D">
            <w:pPr>
              <w:rPr>
                <w:rFonts w:ascii="Arial Narrow" w:hAnsi="Arial Narrow"/>
                <w:b/>
                <w:sz w:val="18"/>
                <w:szCs w:val="18"/>
              </w:rPr>
            </w:pPr>
            <w:r w:rsidRPr="0013388C">
              <w:rPr>
                <w:rFonts w:ascii="Arial Narrow" w:hAnsi="Arial Narrow"/>
                <w:b/>
                <w:sz w:val="18"/>
                <w:szCs w:val="18"/>
              </w:rPr>
              <w:t xml:space="preserve">Prescriber type:   </w:t>
            </w:r>
            <w:r w:rsidRPr="0013388C">
              <w:rPr>
                <w:rFonts w:ascii="Arial Narrow" w:hAnsi="Arial Narrow"/>
                <w:sz w:val="18"/>
                <w:szCs w:val="18"/>
              </w:rPr>
              <w:fldChar w:fldCharType="begin">
                <w:ffData>
                  <w:name w:val="Check1"/>
                  <w:enabled/>
                  <w:calcOnExit w:val="0"/>
                  <w:checkBox>
                    <w:sizeAuto/>
                    <w:default w:val="0"/>
                  </w:checkBox>
                </w:ffData>
              </w:fldChar>
            </w:r>
            <w:r w:rsidRPr="0013388C">
              <w:rPr>
                <w:rFonts w:ascii="Arial Narrow" w:hAnsi="Arial Narrow"/>
                <w:sz w:val="18"/>
                <w:szCs w:val="18"/>
              </w:rPr>
              <w:instrText xml:space="preserve"> FORMCHECKBOX </w:instrText>
            </w:r>
            <w:r w:rsidR="001412AD">
              <w:rPr>
                <w:rFonts w:ascii="Arial Narrow" w:hAnsi="Arial Narrow"/>
                <w:sz w:val="18"/>
                <w:szCs w:val="18"/>
              </w:rPr>
            </w:r>
            <w:r w:rsidR="001412AD">
              <w:rPr>
                <w:rFonts w:ascii="Arial Narrow" w:hAnsi="Arial Narrow"/>
                <w:sz w:val="18"/>
                <w:szCs w:val="18"/>
              </w:rPr>
              <w:fldChar w:fldCharType="separate"/>
            </w:r>
            <w:r w:rsidRPr="0013388C">
              <w:rPr>
                <w:rFonts w:ascii="Arial Narrow" w:hAnsi="Arial Narrow"/>
                <w:sz w:val="18"/>
                <w:szCs w:val="18"/>
              </w:rPr>
              <w:fldChar w:fldCharType="end"/>
            </w:r>
            <w:r w:rsidRPr="0013388C">
              <w:rPr>
                <w:rFonts w:ascii="Arial Narrow" w:hAnsi="Arial Narrow"/>
                <w:sz w:val="18"/>
                <w:szCs w:val="18"/>
              </w:rPr>
              <w:t xml:space="preserve">Dental    </w:t>
            </w:r>
            <w:r w:rsidRPr="0013388C">
              <w:rPr>
                <w:rFonts w:ascii="Arial Narrow" w:hAnsi="Arial Narrow"/>
                <w:sz w:val="18"/>
                <w:szCs w:val="18"/>
              </w:rPr>
              <w:fldChar w:fldCharType="begin">
                <w:ffData>
                  <w:name w:val=""/>
                  <w:enabled/>
                  <w:calcOnExit w:val="0"/>
                  <w:checkBox>
                    <w:sizeAuto/>
                    <w:default w:val="1"/>
                  </w:checkBox>
                </w:ffData>
              </w:fldChar>
            </w:r>
            <w:r w:rsidRPr="0013388C">
              <w:rPr>
                <w:rFonts w:ascii="Arial Narrow" w:hAnsi="Arial Narrow"/>
                <w:sz w:val="18"/>
                <w:szCs w:val="18"/>
              </w:rPr>
              <w:instrText xml:space="preserve"> FORMCHECKBOX </w:instrText>
            </w:r>
            <w:r w:rsidR="001412AD">
              <w:rPr>
                <w:rFonts w:ascii="Arial Narrow" w:hAnsi="Arial Narrow"/>
                <w:sz w:val="18"/>
                <w:szCs w:val="18"/>
              </w:rPr>
            </w:r>
            <w:r w:rsidR="001412AD">
              <w:rPr>
                <w:rFonts w:ascii="Arial Narrow" w:hAnsi="Arial Narrow"/>
                <w:sz w:val="18"/>
                <w:szCs w:val="18"/>
              </w:rPr>
              <w:fldChar w:fldCharType="separate"/>
            </w:r>
            <w:r w:rsidRPr="0013388C">
              <w:rPr>
                <w:rFonts w:ascii="Arial Narrow" w:hAnsi="Arial Narrow"/>
                <w:sz w:val="18"/>
                <w:szCs w:val="18"/>
              </w:rPr>
              <w:fldChar w:fldCharType="end"/>
            </w:r>
            <w:r w:rsidRPr="0013388C">
              <w:rPr>
                <w:rFonts w:ascii="Arial Narrow" w:hAnsi="Arial Narrow"/>
                <w:sz w:val="18"/>
                <w:szCs w:val="18"/>
              </w:rPr>
              <w:t xml:space="preserve">Medical Practitioners    </w:t>
            </w:r>
            <w:r w:rsidRPr="0013388C">
              <w:rPr>
                <w:rFonts w:ascii="Arial Narrow" w:hAnsi="Arial Narrow"/>
                <w:sz w:val="18"/>
                <w:szCs w:val="18"/>
              </w:rPr>
              <w:fldChar w:fldCharType="begin">
                <w:ffData>
                  <w:name w:val="Check3"/>
                  <w:enabled/>
                  <w:calcOnExit w:val="0"/>
                  <w:checkBox>
                    <w:sizeAuto/>
                    <w:default w:val="1"/>
                  </w:checkBox>
                </w:ffData>
              </w:fldChar>
            </w:r>
            <w:r w:rsidRPr="0013388C">
              <w:rPr>
                <w:rFonts w:ascii="Arial Narrow" w:hAnsi="Arial Narrow"/>
                <w:sz w:val="18"/>
                <w:szCs w:val="18"/>
              </w:rPr>
              <w:instrText xml:space="preserve"> FORMCHECKBOX </w:instrText>
            </w:r>
            <w:r w:rsidR="001412AD">
              <w:rPr>
                <w:rFonts w:ascii="Arial Narrow" w:hAnsi="Arial Narrow"/>
                <w:sz w:val="18"/>
                <w:szCs w:val="18"/>
              </w:rPr>
            </w:r>
            <w:r w:rsidR="001412AD">
              <w:rPr>
                <w:rFonts w:ascii="Arial Narrow" w:hAnsi="Arial Narrow"/>
                <w:sz w:val="18"/>
                <w:szCs w:val="18"/>
              </w:rPr>
              <w:fldChar w:fldCharType="separate"/>
            </w:r>
            <w:r w:rsidRPr="0013388C">
              <w:rPr>
                <w:rFonts w:ascii="Arial Narrow" w:hAnsi="Arial Narrow"/>
                <w:sz w:val="18"/>
                <w:szCs w:val="18"/>
              </w:rPr>
              <w:fldChar w:fldCharType="end"/>
            </w:r>
            <w:r w:rsidRPr="0013388C">
              <w:rPr>
                <w:rFonts w:ascii="Arial Narrow" w:hAnsi="Arial Narrow"/>
                <w:sz w:val="18"/>
                <w:szCs w:val="18"/>
              </w:rPr>
              <w:t xml:space="preserve">Nurse practitioners     </w:t>
            </w:r>
            <w:r w:rsidRPr="0013388C">
              <w:rPr>
                <w:rFonts w:ascii="Arial Narrow" w:hAnsi="Arial Narrow"/>
                <w:sz w:val="18"/>
                <w:szCs w:val="18"/>
              </w:rPr>
              <w:fldChar w:fldCharType="begin">
                <w:ffData>
                  <w:name w:val=""/>
                  <w:enabled/>
                  <w:calcOnExit w:val="0"/>
                  <w:checkBox>
                    <w:sizeAuto/>
                    <w:default w:val="0"/>
                  </w:checkBox>
                </w:ffData>
              </w:fldChar>
            </w:r>
            <w:r w:rsidRPr="0013388C">
              <w:rPr>
                <w:rFonts w:ascii="Arial Narrow" w:hAnsi="Arial Narrow"/>
                <w:sz w:val="18"/>
                <w:szCs w:val="18"/>
              </w:rPr>
              <w:instrText xml:space="preserve"> FORMCHECKBOX </w:instrText>
            </w:r>
            <w:r w:rsidR="001412AD">
              <w:rPr>
                <w:rFonts w:ascii="Arial Narrow" w:hAnsi="Arial Narrow"/>
                <w:sz w:val="18"/>
                <w:szCs w:val="18"/>
              </w:rPr>
            </w:r>
            <w:r w:rsidR="001412AD">
              <w:rPr>
                <w:rFonts w:ascii="Arial Narrow" w:hAnsi="Arial Narrow"/>
                <w:sz w:val="18"/>
                <w:szCs w:val="18"/>
              </w:rPr>
              <w:fldChar w:fldCharType="separate"/>
            </w:r>
            <w:r w:rsidRPr="0013388C">
              <w:rPr>
                <w:rFonts w:ascii="Arial Narrow" w:hAnsi="Arial Narrow"/>
                <w:sz w:val="18"/>
                <w:szCs w:val="18"/>
              </w:rPr>
              <w:fldChar w:fldCharType="end"/>
            </w:r>
            <w:r w:rsidRPr="0013388C">
              <w:rPr>
                <w:rFonts w:ascii="Arial Narrow" w:hAnsi="Arial Narrow"/>
                <w:sz w:val="18"/>
                <w:szCs w:val="18"/>
              </w:rPr>
              <w:t xml:space="preserve">Optometrists    </w:t>
            </w:r>
            <w:r w:rsidRPr="0013388C">
              <w:rPr>
                <w:rFonts w:ascii="Arial Narrow" w:hAnsi="Arial Narrow"/>
                <w:sz w:val="18"/>
                <w:szCs w:val="18"/>
              </w:rPr>
              <w:fldChar w:fldCharType="begin">
                <w:ffData>
                  <w:name w:val="Check5"/>
                  <w:enabled/>
                  <w:calcOnExit w:val="0"/>
                  <w:checkBox>
                    <w:sizeAuto/>
                    <w:default w:val="0"/>
                  </w:checkBox>
                </w:ffData>
              </w:fldChar>
            </w:r>
            <w:r w:rsidRPr="0013388C">
              <w:rPr>
                <w:rFonts w:ascii="Arial Narrow" w:hAnsi="Arial Narrow"/>
                <w:sz w:val="18"/>
                <w:szCs w:val="18"/>
              </w:rPr>
              <w:instrText xml:space="preserve"> FORMCHECKBOX </w:instrText>
            </w:r>
            <w:r w:rsidR="001412AD">
              <w:rPr>
                <w:rFonts w:ascii="Arial Narrow" w:hAnsi="Arial Narrow"/>
                <w:sz w:val="18"/>
                <w:szCs w:val="18"/>
              </w:rPr>
            </w:r>
            <w:r w:rsidR="001412AD">
              <w:rPr>
                <w:rFonts w:ascii="Arial Narrow" w:hAnsi="Arial Narrow"/>
                <w:sz w:val="18"/>
                <w:szCs w:val="18"/>
              </w:rPr>
              <w:fldChar w:fldCharType="separate"/>
            </w:r>
            <w:r w:rsidRPr="0013388C">
              <w:rPr>
                <w:rFonts w:ascii="Arial Narrow" w:hAnsi="Arial Narrow"/>
                <w:sz w:val="18"/>
                <w:szCs w:val="18"/>
              </w:rPr>
              <w:fldChar w:fldCharType="end"/>
            </w:r>
            <w:r w:rsidRPr="0013388C">
              <w:rPr>
                <w:rFonts w:ascii="Arial Narrow" w:hAnsi="Arial Narrow"/>
                <w:sz w:val="18"/>
                <w:szCs w:val="18"/>
              </w:rPr>
              <w:t>Midwives</w:t>
            </w:r>
            <w:r w:rsidRPr="0013388C">
              <w:rPr>
                <w:rFonts w:ascii="Arial Narrow" w:hAnsi="Arial Narrow"/>
                <w:color w:val="FF0000"/>
                <w:sz w:val="18"/>
                <w:szCs w:val="18"/>
              </w:rPr>
              <w:t xml:space="preserve"> </w:t>
            </w:r>
          </w:p>
        </w:tc>
      </w:tr>
      <w:tr w:rsidR="00B15E6D" w:rsidRPr="0013388C" w14:paraId="1A91292D" w14:textId="77777777" w:rsidTr="00B15E6D">
        <w:tblPrEx>
          <w:jc w:val="center"/>
          <w:tblCellMar>
            <w:top w:w="15" w:type="dxa"/>
            <w:left w:w="15" w:type="dxa"/>
            <w:bottom w:w="15" w:type="dxa"/>
            <w:right w:w="15" w:type="dxa"/>
          </w:tblCellMar>
          <w:tblLook w:val="04A0" w:firstRow="1" w:lastRow="0" w:firstColumn="1" w:lastColumn="0" w:noHBand="0" w:noVBand="1"/>
        </w:tblPrEx>
        <w:trPr>
          <w:trHeight w:val="238"/>
          <w:jc w:val="center"/>
        </w:trPr>
        <w:tc>
          <w:tcPr>
            <w:tcW w:w="981" w:type="dxa"/>
            <w:gridSpan w:val="2"/>
            <w:vMerge/>
            <w:tcBorders>
              <w:left w:val="single" w:sz="4" w:space="0" w:color="auto"/>
              <w:bottom w:val="single" w:sz="4" w:space="0" w:color="auto"/>
              <w:right w:val="single" w:sz="4" w:space="0" w:color="auto"/>
            </w:tcBorders>
          </w:tcPr>
          <w:p w14:paraId="2FF299C2" w14:textId="77777777" w:rsidR="00B15E6D" w:rsidRPr="0013388C" w:rsidRDefault="00B15E6D" w:rsidP="00B15E6D">
            <w:pPr>
              <w:rPr>
                <w:rFonts w:ascii="Arial Narrow" w:hAnsi="Arial Narrow"/>
                <w:sz w:val="18"/>
                <w:szCs w:val="18"/>
              </w:rPr>
            </w:pPr>
          </w:p>
        </w:tc>
        <w:tc>
          <w:tcPr>
            <w:tcW w:w="8086" w:type="dxa"/>
            <w:gridSpan w:val="6"/>
            <w:tcBorders>
              <w:top w:val="single" w:sz="4" w:space="0" w:color="auto"/>
              <w:left w:val="single" w:sz="4" w:space="0" w:color="auto"/>
              <w:bottom w:val="single" w:sz="4" w:space="0" w:color="auto"/>
              <w:right w:val="single" w:sz="4" w:space="0" w:color="auto"/>
            </w:tcBorders>
          </w:tcPr>
          <w:p w14:paraId="0901867D" w14:textId="77777777" w:rsidR="00B15E6D" w:rsidRPr="0013388C" w:rsidRDefault="00B15E6D" w:rsidP="00B15E6D">
            <w:pPr>
              <w:rPr>
                <w:rFonts w:ascii="Arial Narrow" w:hAnsi="Arial Narrow"/>
                <w:b/>
                <w:sz w:val="18"/>
                <w:szCs w:val="18"/>
              </w:rPr>
            </w:pPr>
            <w:r w:rsidRPr="0013388C">
              <w:rPr>
                <w:rFonts w:ascii="Arial Narrow" w:hAnsi="Arial Narrow"/>
                <w:b/>
                <w:sz w:val="18"/>
                <w:szCs w:val="18"/>
              </w:rPr>
              <w:t xml:space="preserve">Restriction type: </w:t>
            </w:r>
            <w:r w:rsidRPr="0013388C">
              <w:rPr>
                <w:rFonts w:ascii="Arial Narrow" w:eastAsia="Calibri" w:hAnsi="Arial Narrow"/>
                <w:sz w:val="18"/>
                <w:szCs w:val="18"/>
              </w:rPr>
              <w:fldChar w:fldCharType="begin">
                <w:ffData>
                  <w:name w:val="Check1"/>
                  <w:enabled/>
                  <w:calcOnExit w:val="0"/>
                  <w:checkBox>
                    <w:sizeAuto/>
                    <w:default w:val="1"/>
                  </w:checkBox>
                </w:ffData>
              </w:fldChar>
            </w:r>
            <w:r w:rsidRPr="0013388C">
              <w:rPr>
                <w:rFonts w:ascii="Arial Narrow" w:eastAsia="Calibri" w:hAnsi="Arial Narrow"/>
                <w:sz w:val="18"/>
                <w:szCs w:val="18"/>
              </w:rPr>
              <w:instrText xml:space="preserve"> FORMCHECKBOX </w:instrText>
            </w:r>
            <w:r w:rsidR="001412AD">
              <w:rPr>
                <w:rFonts w:ascii="Arial Narrow" w:eastAsia="Calibri" w:hAnsi="Arial Narrow"/>
                <w:sz w:val="18"/>
                <w:szCs w:val="18"/>
              </w:rPr>
            </w:r>
            <w:r w:rsidR="001412AD">
              <w:rPr>
                <w:rFonts w:ascii="Arial Narrow" w:eastAsia="Calibri" w:hAnsi="Arial Narrow"/>
                <w:sz w:val="18"/>
                <w:szCs w:val="18"/>
              </w:rPr>
              <w:fldChar w:fldCharType="separate"/>
            </w:r>
            <w:r w:rsidRPr="0013388C">
              <w:rPr>
                <w:rFonts w:ascii="Arial Narrow" w:eastAsia="Calibri" w:hAnsi="Arial Narrow"/>
                <w:sz w:val="18"/>
                <w:szCs w:val="18"/>
              </w:rPr>
              <w:fldChar w:fldCharType="end"/>
            </w:r>
            <w:r w:rsidRPr="0013388C">
              <w:rPr>
                <w:rFonts w:ascii="Arial Narrow" w:eastAsia="Calibri" w:hAnsi="Arial Narrow"/>
                <w:sz w:val="18"/>
                <w:szCs w:val="18"/>
              </w:rPr>
              <w:t>Restricted benefit</w:t>
            </w:r>
          </w:p>
        </w:tc>
      </w:tr>
      <w:tr w:rsidR="00B15E6D" w:rsidRPr="0013388C" w14:paraId="2DB743D1" w14:textId="77777777" w:rsidTr="00B15E6D">
        <w:tblPrEx>
          <w:jc w:val="center"/>
          <w:tblCellMar>
            <w:top w:w="15" w:type="dxa"/>
            <w:left w:w="15" w:type="dxa"/>
            <w:bottom w:w="15" w:type="dxa"/>
            <w:right w:w="15" w:type="dxa"/>
          </w:tblCellMar>
          <w:tblLook w:val="04A0" w:firstRow="1" w:lastRow="0" w:firstColumn="1" w:lastColumn="0" w:noHBand="0" w:noVBand="1"/>
        </w:tblPrEx>
        <w:trPr>
          <w:jc w:val="center"/>
        </w:trPr>
        <w:tc>
          <w:tcPr>
            <w:tcW w:w="421" w:type="dxa"/>
            <w:vMerge w:val="restart"/>
            <w:tcBorders>
              <w:left w:val="single" w:sz="4" w:space="0" w:color="auto"/>
              <w:right w:val="single" w:sz="4" w:space="0" w:color="auto"/>
            </w:tcBorders>
            <w:textDirection w:val="btLr"/>
            <w:vAlign w:val="center"/>
          </w:tcPr>
          <w:p w14:paraId="4DE56CED" w14:textId="77777777" w:rsidR="00B15E6D" w:rsidRPr="0013388C" w:rsidRDefault="00B15E6D" w:rsidP="006E1819">
            <w:pPr>
              <w:ind w:left="113" w:right="113"/>
              <w:rPr>
                <w:rFonts w:ascii="Arial Narrow" w:hAnsi="Arial Narrow"/>
                <w:sz w:val="18"/>
                <w:szCs w:val="18"/>
              </w:rPr>
            </w:pPr>
          </w:p>
        </w:tc>
        <w:tc>
          <w:tcPr>
            <w:tcW w:w="560" w:type="dxa"/>
            <w:vAlign w:val="center"/>
          </w:tcPr>
          <w:p w14:paraId="7590A82C" w14:textId="77777777" w:rsidR="00B15E6D" w:rsidRPr="0013388C" w:rsidRDefault="00B15E6D" w:rsidP="00B15E6D">
            <w:pPr>
              <w:jc w:val="center"/>
              <w:rPr>
                <w:rFonts w:ascii="Arial Narrow" w:hAnsi="Arial Narrow"/>
                <w:color w:val="333333"/>
                <w:sz w:val="18"/>
                <w:szCs w:val="18"/>
              </w:rPr>
            </w:pPr>
          </w:p>
        </w:tc>
        <w:tc>
          <w:tcPr>
            <w:tcW w:w="8086" w:type="dxa"/>
            <w:gridSpan w:val="6"/>
            <w:vAlign w:val="center"/>
          </w:tcPr>
          <w:p w14:paraId="4990854A" w14:textId="77777777" w:rsidR="00B15E6D" w:rsidRPr="0013388C" w:rsidRDefault="00B15E6D" w:rsidP="00B15E6D">
            <w:pPr>
              <w:rPr>
                <w:rFonts w:ascii="Arial Narrow" w:hAnsi="Arial Narrow"/>
                <w:b/>
                <w:bCs/>
                <w:color w:val="333333"/>
                <w:sz w:val="18"/>
                <w:szCs w:val="18"/>
              </w:rPr>
            </w:pPr>
            <w:r w:rsidRPr="0013388C">
              <w:rPr>
                <w:rFonts w:ascii="Arial Narrow" w:hAnsi="Arial Narrow"/>
                <w:b/>
                <w:bCs/>
                <w:color w:val="333333"/>
                <w:sz w:val="18"/>
                <w:szCs w:val="18"/>
              </w:rPr>
              <w:t>Administrative Advice:</w:t>
            </w:r>
          </w:p>
          <w:p w14:paraId="4856318A" w14:textId="77777777" w:rsidR="00B15E6D" w:rsidRPr="0013388C" w:rsidRDefault="00B15E6D" w:rsidP="00B15E6D">
            <w:pPr>
              <w:rPr>
                <w:rFonts w:ascii="Arial Narrow" w:hAnsi="Arial Narrow"/>
                <w:color w:val="333333"/>
                <w:sz w:val="18"/>
                <w:szCs w:val="18"/>
              </w:rPr>
            </w:pPr>
            <w:r w:rsidRPr="0013388C">
              <w:rPr>
                <w:rFonts w:ascii="Arial Narrow" w:hAnsi="Arial Narrow"/>
                <w:bCs/>
                <w:color w:val="333333"/>
                <w:sz w:val="18"/>
                <w:szCs w:val="18"/>
              </w:rPr>
              <w:t>Care must be taken to comply with the provisions of State/Territory law when prescribing this drug.</w:t>
            </w:r>
          </w:p>
        </w:tc>
      </w:tr>
      <w:tr w:rsidR="00B15E6D" w:rsidRPr="0013388C" w14:paraId="0F91C132" w14:textId="77777777" w:rsidTr="00B15E6D">
        <w:tblPrEx>
          <w:jc w:val="center"/>
          <w:tblCellMar>
            <w:top w:w="15" w:type="dxa"/>
            <w:left w:w="15" w:type="dxa"/>
            <w:bottom w:w="15" w:type="dxa"/>
            <w:right w:w="15" w:type="dxa"/>
          </w:tblCellMar>
          <w:tblLook w:val="04A0" w:firstRow="1" w:lastRow="0" w:firstColumn="1" w:lastColumn="0" w:noHBand="0" w:noVBand="1"/>
        </w:tblPrEx>
        <w:trPr>
          <w:trHeight w:val="1212"/>
          <w:jc w:val="center"/>
        </w:trPr>
        <w:tc>
          <w:tcPr>
            <w:tcW w:w="421" w:type="dxa"/>
            <w:vMerge/>
            <w:tcBorders>
              <w:left w:val="single" w:sz="4" w:space="0" w:color="auto"/>
              <w:right w:val="single" w:sz="4" w:space="0" w:color="auto"/>
            </w:tcBorders>
          </w:tcPr>
          <w:p w14:paraId="6AB163BE" w14:textId="77777777" w:rsidR="00B15E6D" w:rsidRPr="0013388C" w:rsidRDefault="00B15E6D" w:rsidP="00B15E6D">
            <w:pPr>
              <w:rPr>
                <w:rFonts w:ascii="Arial Narrow" w:hAnsi="Arial Narrow"/>
                <w:sz w:val="18"/>
                <w:szCs w:val="18"/>
              </w:rPr>
            </w:pPr>
          </w:p>
        </w:tc>
        <w:tc>
          <w:tcPr>
            <w:tcW w:w="560" w:type="dxa"/>
            <w:vAlign w:val="center"/>
          </w:tcPr>
          <w:p w14:paraId="324C606B" w14:textId="77777777" w:rsidR="00B15E6D" w:rsidRPr="0013388C" w:rsidRDefault="00B15E6D" w:rsidP="00B15E6D">
            <w:pPr>
              <w:jc w:val="center"/>
              <w:rPr>
                <w:rFonts w:ascii="Arial Narrow" w:hAnsi="Arial Narrow"/>
                <w:color w:val="333333"/>
                <w:sz w:val="18"/>
                <w:szCs w:val="18"/>
              </w:rPr>
            </w:pPr>
          </w:p>
        </w:tc>
        <w:tc>
          <w:tcPr>
            <w:tcW w:w="8086" w:type="dxa"/>
            <w:gridSpan w:val="6"/>
            <w:vAlign w:val="center"/>
          </w:tcPr>
          <w:p w14:paraId="371BAE08" w14:textId="77777777" w:rsidR="00B15E6D" w:rsidRPr="0013388C" w:rsidRDefault="00B15E6D" w:rsidP="00B15E6D">
            <w:pPr>
              <w:rPr>
                <w:rFonts w:ascii="Arial Narrow" w:hAnsi="Arial Narrow"/>
                <w:b/>
                <w:bCs/>
                <w:color w:val="333333"/>
                <w:sz w:val="18"/>
                <w:szCs w:val="18"/>
              </w:rPr>
            </w:pPr>
            <w:r w:rsidRPr="0013388C">
              <w:rPr>
                <w:rFonts w:ascii="Arial Narrow" w:hAnsi="Arial Narrow"/>
                <w:b/>
                <w:bCs/>
                <w:color w:val="333333"/>
                <w:sz w:val="18"/>
                <w:szCs w:val="18"/>
              </w:rPr>
              <w:t>Administrative Advice:</w:t>
            </w:r>
          </w:p>
          <w:p w14:paraId="3BF0357C" w14:textId="77777777" w:rsidR="00B15E6D" w:rsidRPr="0013388C" w:rsidRDefault="00B15E6D" w:rsidP="00B15E6D">
            <w:pPr>
              <w:rPr>
                <w:rFonts w:ascii="Arial Narrow" w:hAnsi="Arial Narrow"/>
                <w:b/>
                <w:bCs/>
                <w:color w:val="333333"/>
                <w:sz w:val="18"/>
                <w:szCs w:val="18"/>
              </w:rPr>
            </w:pPr>
            <w:r w:rsidRPr="0013388C">
              <w:rPr>
                <w:rFonts w:ascii="Arial Narrow" w:hAnsi="Arial Narrow"/>
                <w:b/>
                <w:bCs/>
                <w:color w:val="333333"/>
                <w:sz w:val="18"/>
                <w:szCs w:val="18"/>
              </w:rPr>
              <w:t>Shared Care Model:</w:t>
            </w:r>
          </w:p>
          <w:p w14:paraId="0940A1F4" w14:textId="77777777" w:rsidR="00B15E6D" w:rsidRPr="0013388C" w:rsidRDefault="00B15E6D" w:rsidP="00B15E6D">
            <w:pPr>
              <w:rPr>
                <w:rFonts w:ascii="Arial Narrow" w:hAnsi="Arial Narrow"/>
                <w:bCs/>
                <w:color w:val="333333"/>
                <w:sz w:val="18"/>
                <w:szCs w:val="18"/>
              </w:rPr>
            </w:pPr>
            <w:r w:rsidRPr="0013388C">
              <w:rPr>
                <w:rFonts w:ascii="Arial Narrow" w:hAnsi="Arial Narrow"/>
                <w:bCs/>
                <w:color w:val="333333"/>
                <w:sz w:val="18"/>
                <w:szCs w:val="18"/>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B15E6D" w:rsidRPr="0013388C" w14:paraId="19EBC164" w14:textId="77777777" w:rsidTr="00B15E6D">
        <w:tblPrEx>
          <w:jc w:val="center"/>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65AD4D70" w14:textId="77777777" w:rsidR="00B15E6D" w:rsidRPr="0013388C" w:rsidRDefault="00B15E6D" w:rsidP="00B15E6D">
            <w:pPr>
              <w:jc w:val="center"/>
              <w:rPr>
                <w:rFonts w:ascii="Arial Narrow" w:hAnsi="Arial Narrow"/>
                <w:bCs/>
                <w:color w:val="333333"/>
                <w:sz w:val="18"/>
                <w:szCs w:val="18"/>
              </w:rPr>
            </w:pPr>
          </w:p>
        </w:tc>
        <w:tc>
          <w:tcPr>
            <w:tcW w:w="8086" w:type="dxa"/>
            <w:gridSpan w:val="6"/>
          </w:tcPr>
          <w:p w14:paraId="4480BD52" w14:textId="77777777" w:rsidR="00B15E6D" w:rsidRPr="0013388C" w:rsidRDefault="00B15E6D" w:rsidP="00B15E6D">
            <w:pPr>
              <w:textAlignment w:val="baseline"/>
              <w:rPr>
                <w:rFonts w:ascii="Arial Narrow" w:hAnsi="Arial Narrow"/>
                <w:bCs/>
                <w:color w:val="333333"/>
                <w:sz w:val="18"/>
                <w:szCs w:val="18"/>
              </w:rPr>
            </w:pPr>
            <w:r w:rsidRPr="0013388C">
              <w:rPr>
                <w:rFonts w:ascii="Arial Narrow" w:hAnsi="Arial Narrow"/>
                <w:b/>
                <w:bCs/>
                <w:color w:val="333333"/>
                <w:sz w:val="18"/>
                <w:szCs w:val="18"/>
              </w:rPr>
              <w:t>Indication:</w:t>
            </w:r>
            <w:r w:rsidRPr="0013388C">
              <w:rPr>
                <w:rFonts w:ascii="Arial Narrow" w:hAnsi="Arial Narrow"/>
                <w:bCs/>
                <w:color w:val="333333"/>
                <w:sz w:val="18"/>
                <w:szCs w:val="18"/>
              </w:rPr>
              <w:t xml:space="preserve"> Opiate dependence</w:t>
            </w:r>
          </w:p>
        </w:tc>
      </w:tr>
      <w:tr w:rsidR="00B15E6D" w:rsidRPr="0013388C" w14:paraId="55A20454" w14:textId="77777777" w:rsidTr="00B15E6D">
        <w:tblPrEx>
          <w:jc w:val="center"/>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0466E190" w14:textId="77777777" w:rsidR="00B15E6D" w:rsidRPr="0013388C" w:rsidRDefault="00B15E6D" w:rsidP="00B15E6D">
            <w:pPr>
              <w:jc w:val="center"/>
              <w:rPr>
                <w:rFonts w:ascii="Arial Narrow" w:hAnsi="Arial Narrow"/>
                <w:bCs/>
                <w:color w:val="333333"/>
                <w:sz w:val="18"/>
                <w:szCs w:val="18"/>
              </w:rPr>
            </w:pPr>
          </w:p>
        </w:tc>
        <w:tc>
          <w:tcPr>
            <w:tcW w:w="8086" w:type="dxa"/>
            <w:gridSpan w:val="6"/>
          </w:tcPr>
          <w:p w14:paraId="79E808AE" w14:textId="77777777" w:rsidR="00B15E6D" w:rsidRPr="0013388C" w:rsidRDefault="00B15E6D" w:rsidP="00B15E6D">
            <w:pPr>
              <w:rPr>
                <w:rFonts w:ascii="Arial Narrow" w:hAnsi="Arial Narrow"/>
                <w:b/>
                <w:bCs/>
                <w:color w:val="333333"/>
                <w:sz w:val="18"/>
                <w:szCs w:val="18"/>
              </w:rPr>
            </w:pPr>
            <w:r w:rsidRPr="0013388C">
              <w:rPr>
                <w:rFonts w:ascii="Arial Narrow" w:hAnsi="Arial Narrow"/>
                <w:b/>
                <w:bCs/>
                <w:color w:val="333333"/>
                <w:sz w:val="18"/>
                <w:szCs w:val="18"/>
              </w:rPr>
              <w:t>Treatment criteria:</w:t>
            </w:r>
          </w:p>
        </w:tc>
      </w:tr>
      <w:tr w:rsidR="00B15E6D" w:rsidRPr="0013388C" w14:paraId="24261095" w14:textId="77777777" w:rsidTr="00B15E6D">
        <w:tblPrEx>
          <w:jc w:val="center"/>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438CF3F1" w14:textId="77777777" w:rsidR="00B15E6D" w:rsidRPr="0013388C" w:rsidRDefault="00B15E6D" w:rsidP="00B15E6D">
            <w:pPr>
              <w:jc w:val="center"/>
              <w:rPr>
                <w:rFonts w:ascii="Arial Narrow" w:hAnsi="Arial Narrow"/>
                <w:bCs/>
                <w:color w:val="333333"/>
                <w:sz w:val="18"/>
                <w:szCs w:val="18"/>
              </w:rPr>
            </w:pPr>
          </w:p>
        </w:tc>
        <w:tc>
          <w:tcPr>
            <w:tcW w:w="8086" w:type="dxa"/>
            <w:gridSpan w:val="6"/>
          </w:tcPr>
          <w:p w14:paraId="11772DD5" w14:textId="77777777" w:rsidR="00B15E6D" w:rsidRPr="0013388C" w:rsidRDefault="00B15E6D" w:rsidP="00B15E6D">
            <w:pPr>
              <w:rPr>
                <w:rFonts w:ascii="Arial Narrow" w:hAnsi="Arial Narrow"/>
                <w:bCs/>
                <w:color w:val="333333"/>
                <w:sz w:val="18"/>
                <w:szCs w:val="18"/>
              </w:rPr>
            </w:pPr>
            <w:r w:rsidRPr="0013388C">
              <w:rPr>
                <w:rFonts w:ascii="Arial Narrow" w:hAnsi="Arial Narrow"/>
                <w:bCs/>
                <w:color w:val="333333"/>
                <w:sz w:val="18"/>
                <w:szCs w:val="18"/>
              </w:rPr>
              <w:t>Must be treated by a health care professional</w:t>
            </w:r>
          </w:p>
        </w:tc>
      </w:tr>
      <w:tr w:rsidR="00B15E6D" w:rsidRPr="0013388C" w14:paraId="026E8DCB" w14:textId="77777777" w:rsidTr="00B15E6D">
        <w:tblPrEx>
          <w:jc w:val="center"/>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6356F38D" w14:textId="77777777" w:rsidR="00B15E6D" w:rsidRPr="0013388C" w:rsidRDefault="00B15E6D" w:rsidP="00B15E6D">
            <w:pPr>
              <w:jc w:val="center"/>
              <w:rPr>
                <w:rFonts w:ascii="Arial Narrow" w:hAnsi="Arial Narrow"/>
                <w:bCs/>
                <w:color w:val="333333"/>
                <w:sz w:val="18"/>
                <w:szCs w:val="18"/>
              </w:rPr>
            </w:pPr>
          </w:p>
        </w:tc>
        <w:tc>
          <w:tcPr>
            <w:tcW w:w="8086" w:type="dxa"/>
            <w:gridSpan w:val="6"/>
          </w:tcPr>
          <w:p w14:paraId="19CA56BF" w14:textId="77777777" w:rsidR="00B15E6D" w:rsidRPr="0013388C" w:rsidRDefault="00B15E6D" w:rsidP="00B15E6D">
            <w:pPr>
              <w:rPr>
                <w:rFonts w:ascii="Arial Narrow" w:hAnsi="Arial Narrow"/>
                <w:b/>
                <w:bCs/>
                <w:color w:val="333333"/>
                <w:sz w:val="18"/>
                <w:szCs w:val="18"/>
              </w:rPr>
            </w:pPr>
            <w:r w:rsidRPr="0013388C">
              <w:rPr>
                <w:rFonts w:ascii="Arial Narrow" w:hAnsi="Arial Narrow"/>
                <w:b/>
                <w:bCs/>
                <w:color w:val="333333"/>
                <w:sz w:val="18"/>
                <w:szCs w:val="18"/>
              </w:rPr>
              <w:t>AND</w:t>
            </w:r>
          </w:p>
        </w:tc>
      </w:tr>
      <w:tr w:rsidR="00B15E6D" w:rsidRPr="0013388C" w14:paraId="7E70F69A" w14:textId="77777777" w:rsidTr="00B15E6D">
        <w:tblPrEx>
          <w:jc w:val="center"/>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66426542" w14:textId="77777777" w:rsidR="00B15E6D" w:rsidRPr="0013388C" w:rsidRDefault="00B15E6D" w:rsidP="00B15E6D">
            <w:pPr>
              <w:jc w:val="center"/>
              <w:rPr>
                <w:rFonts w:ascii="Arial Narrow" w:hAnsi="Arial Narrow"/>
                <w:bCs/>
                <w:color w:val="333333"/>
                <w:sz w:val="18"/>
                <w:szCs w:val="18"/>
              </w:rPr>
            </w:pPr>
          </w:p>
        </w:tc>
        <w:tc>
          <w:tcPr>
            <w:tcW w:w="8086" w:type="dxa"/>
            <w:gridSpan w:val="6"/>
          </w:tcPr>
          <w:p w14:paraId="1C337DE2" w14:textId="77777777" w:rsidR="00B15E6D" w:rsidRPr="0013388C" w:rsidRDefault="00B15E6D" w:rsidP="00B15E6D">
            <w:pPr>
              <w:rPr>
                <w:rFonts w:ascii="Arial Narrow" w:hAnsi="Arial Narrow"/>
                <w:b/>
                <w:bCs/>
                <w:color w:val="333333"/>
                <w:sz w:val="18"/>
                <w:szCs w:val="18"/>
              </w:rPr>
            </w:pPr>
            <w:r w:rsidRPr="0013388C">
              <w:rPr>
                <w:rFonts w:ascii="Arial Narrow" w:hAnsi="Arial Narrow"/>
                <w:b/>
                <w:bCs/>
                <w:color w:val="333333"/>
                <w:sz w:val="18"/>
                <w:szCs w:val="18"/>
              </w:rPr>
              <w:t>Clinical criteria:</w:t>
            </w:r>
          </w:p>
        </w:tc>
      </w:tr>
      <w:tr w:rsidR="00B15E6D" w:rsidRPr="0013388C" w14:paraId="5B58059D" w14:textId="77777777" w:rsidTr="00B15E6D">
        <w:tblPrEx>
          <w:jc w:val="center"/>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4EB1784B" w14:textId="77777777" w:rsidR="00B15E6D" w:rsidRPr="0013388C" w:rsidRDefault="00B15E6D" w:rsidP="00B15E6D">
            <w:pPr>
              <w:jc w:val="center"/>
              <w:rPr>
                <w:rFonts w:ascii="Arial Narrow" w:hAnsi="Arial Narrow"/>
                <w:bCs/>
                <w:color w:val="333333"/>
                <w:sz w:val="18"/>
                <w:szCs w:val="18"/>
              </w:rPr>
            </w:pPr>
          </w:p>
        </w:tc>
        <w:tc>
          <w:tcPr>
            <w:tcW w:w="8086" w:type="dxa"/>
            <w:gridSpan w:val="6"/>
          </w:tcPr>
          <w:p w14:paraId="0960A2F3" w14:textId="77777777" w:rsidR="00B15E6D" w:rsidRPr="0013388C" w:rsidRDefault="00B15E6D" w:rsidP="00B15E6D">
            <w:pPr>
              <w:rPr>
                <w:rFonts w:ascii="Arial Narrow" w:hAnsi="Arial Narrow"/>
                <w:bCs/>
                <w:color w:val="333333"/>
                <w:sz w:val="18"/>
                <w:szCs w:val="18"/>
              </w:rPr>
            </w:pPr>
            <w:r w:rsidRPr="0013388C">
              <w:rPr>
                <w:rFonts w:ascii="Arial Narrow" w:hAnsi="Arial Narrow"/>
                <w:bCs/>
                <w:color w:val="333333"/>
                <w:sz w:val="18"/>
                <w:szCs w:val="18"/>
              </w:rPr>
              <w:t>The treatment must be within a framework of medical, social and psychological treatment</w:t>
            </w:r>
          </w:p>
        </w:tc>
      </w:tr>
      <w:tr w:rsidR="00B15E6D" w:rsidRPr="0013388C" w14:paraId="7AACCFE1" w14:textId="77777777" w:rsidTr="00B15E6D">
        <w:tblPrEx>
          <w:jc w:val="center"/>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5ADC40DC" w14:textId="77777777" w:rsidR="00B15E6D" w:rsidRPr="0013388C" w:rsidRDefault="00B15E6D" w:rsidP="00B15E6D">
            <w:pPr>
              <w:jc w:val="center"/>
              <w:rPr>
                <w:rFonts w:ascii="Arial Narrow" w:hAnsi="Arial Narrow"/>
                <w:bCs/>
                <w:color w:val="333333"/>
                <w:sz w:val="18"/>
                <w:szCs w:val="18"/>
              </w:rPr>
            </w:pPr>
          </w:p>
        </w:tc>
        <w:tc>
          <w:tcPr>
            <w:tcW w:w="8086" w:type="dxa"/>
            <w:gridSpan w:val="6"/>
            <w:hideMark/>
          </w:tcPr>
          <w:p w14:paraId="4EB1162E" w14:textId="77777777" w:rsidR="00B15E6D" w:rsidRPr="0013388C" w:rsidRDefault="00B15E6D" w:rsidP="00B15E6D">
            <w:pPr>
              <w:rPr>
                <w:rFonts w:ascii="Arial Narrow" w:hAnsi="Arial Narrow"/>
                <w:b/>
                <w:bCs/>
                <w:color w:val="333333"/>
                <w:sz w:val="18"/>
                <w:szCs w:val="18"/>
              </w:rPr>
            </w:pPr>
            <w:r w:rsidRPr="0013388C">
              <w:rPr>
                <w:rFonts w:ascii="Arial Narrow" w:hAnsi="Arial Narrow"/>
                <w:b/>
                <w:bCs/>
                <w:color w:val="333333"/>
                <w:sz w:val="18"/>
                <w:szCs w:val="18"/>
              </w:rPr>
              <w:t>AND</w:t>
            </w:r>
          </w:p>
        </w:tc>
      </w:tr>
      <w:tr w:rsidR="00B15E6D" w:rsidRPr="0013388C" w14:paraId="05FAE6AC" w14:textId="77777777" w:rsidTr="00B15E6D">
        <w:tblPrEx>
          <w:jc w:val="center"/>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52AFDD87" w14:textId="77777777" w:rsidR="00B15E6D" w:rsidRPr="0013388C" w:rsidRDefault="00B15E6D" w:rsidP="00B15E6D">
            <w:pPr>
              <w:jc w:val="center"/>
              <w:rPr>
                <w:rFonts w:ascii="Arial Narrow" w:hAnsi="Arial Narrow"/>
                <w:bCs/>
                <w:color w:val="333333"/>
                <w:sz w:val="18"/>
                <w:szCs w:val="18"/>
              </w:rPr>
            </w:pPr>
          </w:p>
        </w:tc>
        <w:tc>
          <w:tcPr>
            <w:tcW w:w="8086" w:type="dxa"/>
            <w:gridSpan w:val="6"/>
            <w:hideMark/>
          </w:tcPr>
          <w:p w14:paraId="3FD2685F" w14:textId="77777777" w:rsidR="00B15E6D" w:rsidRPr="0013388C" w:rsidRDefault="00B15E6D" w:rsidP="00B15E6D">
            <w:pPr>
              <w:rPr>
                <w:rFonts w:ascii="Arial Narrow" w:hAnsi="Arial Narrow"/>
                <w:b/>
                <w:bCs/>
                <w:color w:val="333333"/>
                <w:sz w:val="18"/>
                <w:szCs w:val="18"/>
              </w:rPr>
            </w:pPr>
            <w:r w:rsidRPr="0013388C">
              <w:rPr>
                <w:rFonts w:ascii="Arial Narrow" w:hAnsi="Arial Narrow"/>
                <w:b/>
                <w:bCs/>
                <w:color w:val="333333"/>
                <w:sz w:val="18"/>
                <w:szCs w:val="18"/>
              </w:rPr>
              <w:t>Clinical criteria:</w:t>
            </w:r>
          </w:p>
        </w:tc>
      </w:tr>
      <w:tr w:rsidR="00B15E6D" w:rsidRPr="0013388C" w14:paraId="5C0EA9DD" w14:textId="77777777" w:rsidTr="00B15E6D">
        <w:tblPrEx>
          <w:jc w:val="center"/>
          <w:tblCellMar>
            <w:top w:w="15" w:type="dxa"/>
            <w:left w:w="15" w:type="dxa"/>
            <w:bottom w:w="15" w:type="dxa"/>
            <w:right w:w="15" w:type="dxa"/>
          </w:tblCellMar>
          <w:tblLook w:val="04A0" w:firstRow="1" w:lastRow="0" w:firstColumn="1" w:lastColumn="0" w:noHBand="0" w:noVBand="1"/>
        </w:tblPrEx>
        <w:trPr>
          <w:jc w:val="center"/>
        </w:trPr>
        <w:tc>
          <w:tcPr>
            <w:tcW w:w="981" w:type="dxa"/>
            <w:gridSpan w:val="2"/>
          </w:tcPr>
          <w:p w14:paraId="05700604" w14:textId="77777777" w:rsidR="00B15E6D" w:rsidRPr="006027F4" w:rsidRDefault="00B15E6D" w:rsidP="00B15E6D">
            <w:pPr>
              <w:jc w:val="center"/>
              <w:rPr>
                <w:rFonts w:ascii="Arial Narrow" w:hAnsi="Arial Narrow"/>
                <w:bCs/>
                <w:color w:val="333333"/>
                <w:sz w:val="18"/>
                <w:szCs w:val="18"/>
              </w:rPr>
            </w:pPr>
          </w:p>
        </w:tc>
        <w:tc>
          <w:tcPr>
            <w:tcW w:w="8086" w:type="dxa"/>
            <w:gridSpan w:val="6"/>
            <w:hideMark/>
          </w:tcPr>
          <w:p w14:paraId="35A37D67" w14:textId="77777777" w:rsidR="00B15E6D" w:rsidRPr="006027F4" w:rsidRDefault="00B15E6D" w:rsidP="00B15E6D">
            <w:pPr>
              <w:rPr>
                <w:rFonts w:ascii="Arial Narrow" w:hAnsi="Arial Narrow"/>
                <w:bCs/>
                <w:iCs/>
                <w:color w:val="333333"/>
                <w:sz w:val="18"/>
                <w:szCs w:val="18"/>
              </w:rPr>
            </w:pPr>
            <w:r w:rsidRPr="006027F4">
              <w:rPr>
                <w:rFonts w:ascii="Arial Narrow" w:hAnsi="Arial Narrow"/>
                <w:bCs/>
                <w:iCs/>
                <w:color w:val="333333"/>
                <w:sz w:val="18"/>
                <w:szCs w:val="18"/>
              </w:rPr>
              <w:t>Patient must be stabilised on one of the following prior to commencing treatment with this drug for this condition: (i)weekly prolonged release buprenorphine (Buvidal Weekly) (ii) sublingual buprenorphine (iii) buprenorphine/naloxone</w:t>
            </w:r>
          </w:p>
        </w:tc>
      </w:tr>
    </w:tbl>
    <w:p w14:paraId="39976E22" w14:textId="77777777" w:rsidR="00B15E6D" w:rsidRPr="0013388C" w:rsidRDefault="00B15E6D" w:rsidP="00B15E6D"/>
    <w:p w14:paraId="0168E8F2" w14:textId="77777777" w:rsidR="009343BB" w:rsidRDefault="00740FEE">
      <w:pPr>
        <w:jc w:val="left"/>
        <w:rPr>
          <w:b/>
          <w:caps/>
          <w:sz w:val="32"/>
        </w:rPr>
      </w:pPr>
      <w:r w:rsidRPr="007F262A">
        <w:rPr>
          <w:rFonts w:asciiTheme="minorHAnsi" w:hAnsiTheme="minorHAnsi"/>
          <w:i/>
          <w:szCs w:val="22"/>
        </w:rPr>
        <w:t>This restriction may be subject to further review. Should there be any changes made to the restriction the sponsor will be informed</w:t>
      </w:r>
      <w:r w:rsidRPr="007F262A">
        <w:rPr>
          <w:rFonts w:asciiTheme="minorHAnsi" w:hAnsiTheme="minorHAnsi"/>
          <w:szCs w:val="22"/>
        </w:rPr>
        <w:t>.</w:t>
      </w:r>
    </w:p>
    <w:p w14:paraId="30BD302E" w14:textId="77777777" w:rsidR="00DE36E2" w:rsidRDefault="00DE36E2">
      <w:pPr>
        <w:jc w:val="left"/>
        <w:rPr>
          <w:b/>
          <w:caps/>
          <w:sz w:val="32"/>
        </w:rPr>
      </w:pPr>
    </w:p>
    <w:p w14:paraId="64EE2B41" w14:textId="77777777" w:rsidR="006E1819" w:rsidRDefault="006E1819" w:rsidP="00690D4B">
      <w:pPr>
        <w:pStyle w:val="2-SectionHeading"/>
        <w:rPr>
          <w:lang w:val="en-GB"/>
        </w:rPr>
      </w:pPr>
      <w:r w:rsidRPr="006E1819">
        <w:rPr>
          <w:lang w:val="en-GB"/>
        </w:rPr>
        <w:t>Context for Decision</w:t>
      </w:r>
    </w:p>
    <w:p w14:paraId="1FFE3A17" w14:textId="77777777" w:rsidR="006E1819" w:rsidRPr="007129F2" w:rsidRDefault="006E1819" w:rsidP="006E1819">
      <w:pPr>
        <w:spacing w:after="120"/>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7073B80" w14:textId="77777777" w:rsidR="006E1819" w:rsidRPr="006E1819" w:rsidRDefault="006E1819" w:rsidP="00690D4B">
      <w:pPr>
        <w:pStyle w:val="2-SectionHeading"/>
        <w:rPr>
          <w:lang w:val="en-GB"/>
        </w:rPr>
      </w:pPr>
      <w:r w:rsidRPr="006E1819">
        <w:rPr>
          <w:lang w:val="en-GB"/>
        </w:rPr>
        <w:t>Sponsor’s Comment</w:t>
      </w:r>
    </w:p>
    <w:p w14:paraId="6B8291B6" w14:textId="77777777" w:rsidR="00261119" w:rsidRPr="00261119" w:rsidRDefault="00261119" w:rsidP="00261119">
      <w:pPr>
        <w:ind w:left="720"/>
        <w:jc w:val="left"/>
        <w:rPr>
          <w:bCs/>
          <w:lang w:val="en-GB"/>
        </w:rPr>
      </w:pPr>
      <w:r w:rsidRPr="00261119">
        <w:rPr>
          <w:bCs/>
          <w:lang w:val="en-GB"/>
        </w:rPr>
        <w:t>Camurus are pleased the PBAC has given positive recommendations for the direct initiation and higher strength of Buvidal which will provide greater flexibility in the treatment for opioid dependence. Camurus thanks the PBAC for its continued acknowledgment of the access and compliance benefits of this innovative delivery mechanism for managing opioid dependence, reflecting the outcomes of the clinical trials conducted in Australia.</w:t>
      </w:r>
    </w:p>
    <w:p w14:paraId="0B1CE8D5" w14:textId="77777777" w:rsidR="00261119" w:rsidRPr="00261119" w:rsidRDefault="00261119" w:rsidP="00261119">
      <w:pPr>
        <w:jc w:val="left"/>
        <w:rPr>
          <w:bCs/>
          <w:lang w:val="en-GB"/>
        </w:rPr>
      </w:pPr>
    </w:p>
    <w:p w14:paraId="6F1CF4A4" w14:textId="77777777" w:rsidR="00261119" w:rsidRPr="00261119" w:rsidRDefault="00261119" w:rsidP="00261119">
      <w:pPr>
        <w:ind w:left="720"/>
        <w:jc w:val="left"/>
        <w:rPr>
          <w:bCs/>
          <w:lang w:val="en-GB"/>
        </w:rPr>
      </w:pPr>
      <w:r w:rsidRPr="00261119">
        <w:rPr>
          <w:bCs/>
          <w:lang w:val="en-GB"/>
        </w:rPr>
        <w:t>Opioid addiction is a disease where around only 1 in 3 trying to manage their opioid addiction are currently accessing any form of treatment on the opioid dependence treatment (ODT) program, and where around 3 lives are lost every day as a result of that untreated addiction. Multiple coronial reports and research papers have cited the affordability of the medicines as the barrier to access and continued treatment.</w:t>
      </w:r>
    </w:p>
    <w:p w14:paraId="44E2196F" w14:textId="77777777" w:rsidR="00261119" w:rsidRPr="00261119" w:rsidRDefault="00261119" w:rsidP="00261119">
      <w:pPr>
        <w:jc w:val="left"/>
        <w:rPr>
          <w:bCs/>
          <w:lang w:val="en-GB"/>
        </w:rPr>
      </w:pPr>
    </w:p>
    <w:p w14:paraId="30F699DB" w14:textId="77777777" w:rsidR="00261119" w:rsidRPr="00261119" w:rsidRDefault="00261119" w:rsidP="00261119">
      <w:pPr>
        <w:ind w:left="720"/>
        <w:jc w:val="left"/>
        <w:rPr>
          <w:bCs/>
          <w:lang w:val="en-GB"/>
        </w:rPr>
      </w:pPr>
      <w:r w:rsidRPr="00FB2A75">
        <w:rPr>
          <w:bCs/>
          <w:lang w:val="en-GB"/>
        </w:rPr>
        <w:t>We remain disappointed the cost advantages of the Buvidal practice model relative to supervised dosing seem to be undervalued. Camurus notes that in 2018 the PBAC acknowledged that the private uncapped fees charged by pharmacy were a financial barrier to accessing treatment and that the listing of Buvidal with its reduced frequency of dosing may assist in making the treatments more affordable to patients and therefore improve access and uptake. Camurus notes that significant uncapped fees are being charged for access to Buvidal and other ODT Program products and that a s85 listing would preclude such charges and allow co-payments to be counted towards a patient’s safety net. It is our expectation that given the volumes of dispensing occurring in the community pharmacy setting as cited by the PBAC and its subcommittees, the prevalence of s85 prescribing would see a significant diminution of s100 prescribing for access in the community setting retaining it only for the hospital, correctional and public clinic based setting, where it is our experience such private fees are not charged.</w:t>
      </w:r>
    </w:p>
    <w:p w14:paraId="7F793AED" w14:textId="77777777" w:rsidR="00261119" w:rsidRPr="00261119" w:rsidRDefault="00261119" w:rsidP="00261119">
      <w:pPr>
        <w:jc w:val="left"/>
        <w:rPr>
          <w:bCs/>
          <w:lang w:val="en-GB"/>
        </w:rPr>
      </w:pPr>
    </w:p>
    <w:p w14:paraId="68D6842A" w14:textId="77777777" w:rsidR="006E1819" w:rsidRPr="00540422" w:rsidRDefault="00261119" w:rsidP="00261119">
      <w:pPr>
        <w:ind w:left="720"/>
        <w:jc w:val="left"/>
        <w:rPr>
          <w:b/>
          <w:caps/>
          <w:sz w:val="32"/>
        </w:rPr>
      </w:pPr>
      <w:r w:rsidRPr="00261119">
        <w:rPr>
          <w:bCs/>
          <w:lang w:val="en-GB"/>
        </w:rPr>
        <w:t>Camurus will seek to engage pro-actively with the ODTP Post-market review to fully explore a Section 85 listing for Buvidal.</w:t>
      </w:r>
    </w:p>
    <w:sectPr w:rsidR="006E1819" w:rsidRPr="00540422" w:rsidSect="00DE449F">
      <w:headerReference w:type="default" r:id="rId8"/>
      <w:footerReference w:type="default" r:id="rId9"/>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19D6E" w14:textId="77777777" w:rsidR="00924B71" w:rsidRDefault="00924B71" w:rsidP="00124A51">
      <w:r>
        <w:separator/>
      </w:r>
    </w:p>
    <w:p w14:paraId="26015FDA" w14:textId="77777777" w:rsidR="00924B71" w:rsidRDefault="00924B71"/>
  </w:endnote>
  <w:endnote w:type="continuationSeparator" w:id="0">
    <w:p w14:paraId="73B21F4C" w14:textId="77777777" w:rsidR="00924B71" w:rsidRDefault="00924B71" w:rsidP="00124A51">
      <w:r>
        <w:continuationSeparator/>
      </w:r>
    </w:p>
    <w:p w14:paraId="1367A072" w14:textId="77777777" w:rsidR="00924B71" w:rsidRDefault="00924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fornian FB">
    <w:panose1 w:val="0207040306080B030204"/>
    <w:charset w:val="00"/>
    <w:family w:val="roman"/>
    <w:pitch w:val="variable"/>
    <w:sig w:usb0="00000003" w:usb1="00000000" w:usb2="00000000" w:usb3="00000000" w:csb0="00000001" w:csb1="00000000"/>
  </w:font>
  <w:font w:name="PhotinaMTStd+fb">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29006"/>
      <w:docPartObj>
        <w:docPartGallery w:val="Page Numbers (Bottom of Page)"/>
        <w:docPartUnique/>
      </w:docPartObj>
    </w:sdtPr>
    <w:sdtEndPr>
      <w:rPr>
        <w:b/>
        <w:noProof/>
      </w:rPr>
    </w:sdtEndPr>
    <w:sdtContent>
      <w:p w14:paraId="0B16B646" w14:textId="77777777" w:rsidR="00924B71" w:rsidRDefault="00924B71" w:rsidP="002E7996">
        <w:pPr>
          <w:pStyle w:val="Footer"/>
          <w:jc w:val="center"/>
        </w:pPr>
      </w:p>
      <w:p w14:paraId="015B5F9E" w14:textId="0849DBFE" w:rsidR="00924B71" w:rsidRPr="002E7996" w:rsidRDefault="00924B71" w:rsidP="002E7996">
        <w:pPr>
          <w:pStyle w:val="Footer"/>
          <w:jc w:val="center"/>
          <w:rPr>
            <w:b/>
          </w:rPr>
        </w:pPr>
        <w:r w:rsidRPr="002E7996">
          <w:rPr>
            <w:b/>
          </w:rPr>
          <w:fldChar w:fldCharType="begin"/>
        </w:r>
        <w:r w:rsidRPr="002E7996">
          <w:rPr>
            <w:b/>
          </w:rPr>
          <w:instrText xml:space="preserve"> PAGE   \* MERGEFORMAT </w:instrText>
        </w:r>
        <w:r w:rsidRPr="002E7996">
          <w:rPr>
            <w:b/>
          </w:rPr>
          <w:fldChar w:fldCharType="separate"/>
        </w:r>
        <w:r w:rsidR="001412AD">
          <w:rPr>
            <w:b/>
            <w:noProof/>
          </w:rPr>
          <w:t>33</w:t>
        </w:r>
        <w:r w:rsidRPr="002E7996">
          <w:rPr>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93905" w14:textId="77777777" w:rsidR="00924B71" w:rsidRDefault="00924B71" w:rsidP="00124A51">
      <w:r>
        <w:separator/>
      </w:r>
    </w:p>
    <w:p w14:paraId="792D2EA8" w14:textId="77777777" w:rsidR="00924B71" w:rsidRDefault="00924B71"/>
  </w:footnote>
  <w:footnote w:type="continuationSeparator" w:id="0">
    <w:p w14:paraId="755EB78A" w14:textId="77777777" w:rsidR="00924B71" w:rsidRDefault="00924B71" w:rsidP="00124A51">
      <w:r>
        <w:continuationSeparator/>
      </w:r>
    </w:p>
    <w:p w14:paraId="4DB41E2C" w14:textId="77777777" w:rsidR="00924B71" w:rsidRDefault="00924B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24C8E" w14:textId="605B078A" w:rsidR="00924B71" w:rsidRPr="00056684" w:rsidRDefault="00924B71" w:rsidP="002E7996">
    <w:pPr>
      <w:pStyle w:val="Header"/>
      <w:keepNext/>
      <w:ind w:left="360"/>
      <w:jc w:val="center"/>
      <w:rPr>
        <w:rFonts w:asciiTheme="minorHAnsi" w:hAnsiTheme="minorHAnsi"/>
        <w:i/>
        <w:color w:val="808080"/>
      </w:rPr>
    </w:pPr>
    <w:bookmarkStart w:id="30" w:name="_Hlk76375146"/>
    <w:r w:rsidRPr="006E1819">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November 2021</w:t>
    </w:r>
    <w:r w:rsidRPr="00056684">
      <w:rPr>
        <w:rFonts w:asciiTheme="minorHAnsi" w:hAnsiTheme="minorHAnsi"/>
        <w:i/>
        <w:color w:val="808080"/>
      </w:rPr>
      <w:t xml:space="preserve"> PBAC Meeting</w:t>
    </w:r>
  </w:p>
  <w:bookmarkEnd w:id="30"/>
  <w:p w14:paraId="277FA9A5" w14:textId="77777777" w:rsidR="00924B71" w:rsidRPr="008C7ECB" w:rsidRDefault="00924B7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EC1862"/>
    <w:multiLevelType w:val="multilevel"/>
    <w:tmpl w:val="3FB0BD3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Calibri" w:eastAsia="Times New Roman" w:hAnsi="Calibri" w:cs="Calibr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C87804"/>
    <w:multiLevelType w:val="multilevel"/>
    <w:tmpl w:val="FC98E22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491C9E"/>
    <w:multiLevelType w:val="hybridMultilevel"/>
    <w:tmpl w:val="1FAEC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9365B5"/>
    <w:multiLevelType w:val="hybridMultilevel"/>
    <w:tmpl w:val="E44E4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C866BD"/>
    <w:multiLevelType w:val="hybridMultilevel"/>
    <w:tmpl w:val="45E48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DB3CE3"/>
    <w:multiLevelType w:val="multilevel"/>
    <w:tmpl w:val="25E2A7C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513EBF"/>
    <w:multiLevelType w:val="hybridMultilevel"/>
    <w:tmpl w:val="4864A2CE"/>
    <w:lvl w:ilvl="0" w:tplc="7E3C4F08">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BC0E1E"/>
    <w:multiLevelType w:val="hybridMultilevel"/>
    <w:tmpl w:val="7212A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442297"/>
    <w:multiLevelType w:val="hybridMultilevel"/>
    <w:tmpl w:val="2B1C4A5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A7BEBB14">
      <w:start w:val="1"/>
      <w:numFmt w:val="bullet"/>
      <w:lvlText w:val="-"/>
      <w:lvlJc w:val="left"/>
      <w:pPr>
        <w:ind w:left="2160" w:hanging="360"/>
      </w:pPr>
      <w:rPr>
        <w:rFonts w:ascii="Arial Narrow" w:eastAsiaTheme="majorEastAsia" w:hAnsi="Arial Narrow" w:cstheme="maj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5375FC"/>
    <w:multiLevelType w:val="hybridMultilevel"/>
    <w:tmpl w:val="28A82536"/>
    <w:lvl w:ilvl="0" w:tplc="12CA12B6">
      <w:start w:val="1"/>
      <w:numFmt w:val="bullet"/>
      <w:lvlText w:val="•"/>
      <w:lvlJc w:val="left"/>
      <w:pPr>
        <w:tabs>
          <w:tab w:val="num" w:pos="720"/>
        </w:tabs>
        <w:ind w:left="720" w:hanging="360"/>
      </w:pPr>
      <w:rPr>
        <w:rFonts w:ascii="Arial" w:hAnsi="Arial" w:hint="default"/>
      </w:rPr>
    </w:lvl>
    <w:lvl w:ilvl="1" w:tplc="534AC228">
      <w:start w:val="87"/>
      <w:numFmt w:val="bullet"/>
      <w:lvlText w:val="•"/>
      <w:lvlJc w:val="left"/>
      <w:pPr>
        <w:tabs>
          <w:tab w:val="num" w:pos="1440"/>
        </w:tabs>
        <w:ind w:left="1440" w:hanging="360"/>
      </w:pPr>
      <w:rPr>
        <w:rFonts w:ascii="Arial" w:hAnsi="Arial" w:hint="default"/>
      </w:rPr>
    </w:lvl>
    <w:lvl w:ilvl="2" w:tplc="EAE4ABAA" w:tentative="1">
      <w:start w:val="1"/>
      <w:numFmt w:val="bullet"/>
      <w:lvlText w:val="•"/>
      <w:lvlJc w:val="left"/>
      <w:pPr>
        <w:tabs>
          <w:tab w:val="num" w:pos="2160"/>
        </w:tabs>
        <w:ind w:left="2160" w:hanging="360"/>
      </w:pPr>
      <w:rPr>
        <w:rFonts w:ascii="Arial" w:hAnsi="Arial" w:hint="default"/>
      </w:rPr>
    </w:lvl>
    <w:lvl w:ilvl="3" w:tplc="1B8E7C5C" w:tentative="1">
      <w:start w:val="1"/>
      <w:numFmt w:val="bullet"/>
      <w:lvlText w:val="•"/>
      <w:lvlJc w:val="left"/>
      <w:pPr>
        <w:tabs>
          <w:tab w:val="num" w:pos="2880"/>
        </w:tabs>
        <w:ind w:left="2880" w:hanging="360"/>
      </w:pPr>
      <w:rPr>
        <w:rFonts w:ascii="Arial" w:hAnsi="Arial" w:hint="default"/>
      </w:rPr>
    </w:lvl>
    <w:lvl w:ilvl="4" w:tplc="40CC1C9E" w:tentative="1">
      <w:start w:val="1"/>
      <w:numFmt w:val="bullet"/>
      <w:lvlText w:val="•"/>
      <w:lvlJc w:val="left"/>
      <w:pPr>
        <w:tabs>
          <w:tab w:val="num" w:pos="3600"/>
        </w:tabs>
        <w:ind w:left="3600" w:hanging="360"/>
      </w:pPr>
      <w:rPr>
        <w:rFonts w:ascii="Arial" w:hAnsi="Arial" w:hint="default"/>
      </w:rPr>
    </w:lvl>
    <w:lvl w:ilvl="5" w:tplc="3CE47346" w:tentative="1">
      <w:start w:val="1"/>
      <w:numFmt w:val="bullet"/>
      <w:lvlText w:val="•"/>
      <w:lvlJc w:val="left"/>
      <w:pPr>
        <w:tabs>
          <w:tab w:val="num" w:pos="4320"/>
        </w:tabs>
        <w:ind w:left="4320" w:hanging="360"/>
      </w:pPr>
      <w:rPr>
        <w:rFonts w:ascii="Arial" w:hAnsi="Arial" w:hint="default"/>
      </w:rPr>
    </w:lvl>
    <w:lvl w:ilvl="6" w:tplc="B3E25B52" w:tentative="1">
      <w:start w:val="1"/>
      <w:numFmt w:val="bullet"/>
      <w:lvlText w:val="•"/>
      <w:lvlJc w:val="left"/>
      <w:pPr>
        <w:tabs>
          <w:tab w:val="num" w:pos="5040"/>
        </w:tabs>
        <w:ind w:left="5040" w:hanging="360"/>
      </w:pPr>
      <w:rPr>
        <w:rFonts w:ascii="Arial" w:hAnsi="Arial" w:hint="default"/>
      </w:rPr>
    </w:lvl>
    <w:lvl w:ilvl="7" w:tplc="E640D0A6" w:tentative="1">
      <w:start w:val="1"/>
      <w:numFmt w:val="bullet"/>
      <w:lvlText w:val="•"/>
      <w:lvlJc w:val="left"/>
      <w:pPr>
        <w:tabs>
          <w:tab w:val="num" w:pos="5760"/>
        </w:tabs>
        <w:ind w:left="5760" w:hanging="360"/>
      </w:pPr>
      <w:rPr>
        <w:rFonts w:ascii="Arial" w:hAnsi="Arial" w:hint="default"/>
      </w:rPr>
    </w:lvl>
    <w:lvl w:ilvl="8" w:tplc="FE34B3D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5B8588D"/>
    <w:multiLevelType w:val="hybridMultilevel"/>
    <w:tmpl w:val="BADAF3B8"/>
    <w:lvl w:ilvl="0" w:tplc="6EF04EA0">
      <w:start w:val="1"/>
      <w:numFmt w:val="bullet"/>
      <w:lvlText w:val="•"/>
      <w:lvlJc w:val="left"/>
      <w:pPr>
        <w:tabs>
          <w:tab w:val="num" w:pos="720"/>
        </w:tabs>
        <w:ind w:left="720" w:hanging="360"/>
      </w:pPr>
      <w:rPr>
        <w:rFonts w:ascii="Arial" w:hAnsi="Arial" w:hint="default"/>
      </w:rPr>
    </w:lvl>
    <w:lvl w:ilvl="1" w:tplc="CA3ABB40" w:tentative="1">
      <w:start w:val="1"/>
      <w:numFmt w:val="bullet"/>
      <w:lvlText w:val="•"/>
      <w:lvlJc w:val="left"/>
      <w:pPr>
        <w:tabs>
          <w:tab w:val="num" w:pos="1440"/>
        </w:tabs>
        <w:ind w:left="1440" w:hanging="360"/>
      </w:pPr>
      <w:rPr>
        <w:rFonts w:ascii="Arial" w:hAnsi="Arial" w:hint="default"/>
      </w:rPr>
    </w:lvl>
    <w:lvl w:ilvl="2" w:tplc="11601020" w:tentative="1">
      <w:start w:val="1"/>
      <w:numFmt w:val="bullet"/>
      <w:lvlText w:val="•"/>
      <w:lvlJc w:val="left"/>
      <w:pPr>
        <w:tabs>
          <w:tab w:val="num" w:pos="2160"/>
        </w:tabs>
        <w:ind w:left="2160" w:hanging="360"/>
      </w:pPr>
      <w:rPr>
        <w:rFonts w:ascii="Arial" w:hAnsi="Arial" w:hint="default"/>
      </w:rPr>
    </w:lvl>
    <w:lvl w:ilvl="3" w:tplc="101441DE" w:tentative="1">
      <w:start w:val="1"/>
      <w:numFmt w:val="bullet"/>
      <w:lvlText w:val="•"/>
      <w:lvlJc w:val="left"/>
      <w:pPr>
        <w:tabs>
          <w:tab w:val="num" w:pos="2880"/>
        </w:tabs>
        <w:ind w:left="2880" w:hanging="360"/>
      </w:pPr>
      <w:rPr>
        <w:rFonts w:ascii="Arial" w:hAnsi="Arial" w:hint="default"/>
      </w:rPr>
    </w:lvl>
    <w:lvl w:ilvl="4" w:tplc="4E14DA9A" w:tentative="1">
      <w:start w:val="1"/>
      <w:numFmt w:val="bullet"/>
      <w:lvlText w:val="•"/>
      <w:lvlJc w:val="left"/>
      <w:pPr>
        <w:tabs>
          <w:tab w:val="num" w:pos="3600"/>
        </w:tabs>
        <w:ind w:left="3600" w:hanging="360"/>
      </w:pPr>
      <w:rPr>
        <w:rFonts w:ascii="Arial" w:hAnsi="Arial" w:hint="default"/>
      </w:rPr>
    </w:lvl>
    <w:lvl w:ilvl="5" w:tplc="F9640738" w:tentative="1">
      <w:start w:val="1"/>
      <w:numFmt w:val="bullet"/>
      <w:lvlText w:val="•"/>
      <w:lvlJc w:val="left"/>
      <w:pPr>
        <w:tabs>
          <w:tab w:val="num" w:pos="4320"/>
        </w:tabs>
        <w:ind w:left="4320" w:hanging="360"/>
      </w:pPr>
      <w:rPr>
        <w:rFonts w:ascii="Arial" w:hAnsi="Arial" w:hint="default"/>
      </w:rPr>
    </w:lvl>
    <w:lvl w:ilvl="6" w:tplc="5C466880" w:tentative="1">
      <w:start w:val="1"/>
      <w:numFmt w:val="bullet"/>
      <w:lvlText w:val="•"/>
      <w:lvlJc w:val="left"/>
      <w:pPr>
        <w:tabs>
          <w:tab w:val="num" w:pos="5040"/>
        </w:tabs>
        <w:ind w:left="5040" w:hanging="360"/>
      </w:pPr>
      <w:rPr>
        <w:rFonts w:ascii="Arial" w:hAnsi="Arial" w:hint="default"/>
      </w:rPr>
    </w:lvl>
    <w:lvl w:ilvl="7" w:tplc="4E104D1E" w:tentative="1">
      <w:start w:val="1"/>
      <w:numFmt w:val="bullet"/>
      <w:lvlText w:val="•"/>
      <w:lvlJc w:val="left"/>
      <w:pPr>
        <w:tabs>
          <w:tab w:val="num" w:pos="5760"/>
        </w:tabs>
        <w:ind w:left="5760" w:hanging="360"/>
      </w:pPr>
      <w:rPr>
        <w:rFonts w:ascii="Arial" w:hAnsi="Arial" w:hint="default"/>
      </w:rPr>
    </w:lvl>
    <w:lvl w:ilvl="8" w:tplc="CAA00B0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56793D"/>
    <w:multiLevelType w:val="hybridMultilevel"/>
    <w:tmpl w:val="BA82C49A"/>
    <w:lvl w:ilvl="0" w:tplc="C4CA33F6">
      <w:start w:val="1"/>
      <w:numFmt w:val="bullet"/>
      <w:lvlText w:val="•"/>
      <w:lvlJc w:val="left"/>
      <w:pPr>
        <w:tabs>
          <w:tab w:val="num" w:pos="720"/>
        </w:tabs>
        <w:ind w:left="720" w:hanging="360"/>
      </w:pPr>
      <w:rPr>
        <w:rFonts w:ascii="Arial" w:hAnsi="Arial" w:hint="default"/>
      </w:rPr>
    </w:lvl>
    <w:lvl w:ilvl="1" w:tplc="F064D3C2" w:tentative="1">
      <w:start w:val="1"/>
      <w:numFmt w:val="bullet"/>
      <w:lvlText w:val="•"/>
      <w:lvlJc w:val="left"/>
      <w:pPr>
        <w:tabs>
          <w:tab w:val="num" w:pos="1440"/>
        </w:tabs>
        <w:ind w:left="1440" w:hanging="360"/>
      </w:pPr>
      <w:rPr>
        <w:rFonts w:ascii="Arial" w:hAnsi="Arial" w:hint="default"/>
      </w:rPr>
    </w:lvl>
    <w:lvl w:ilvl="2" w:tplc="7160D83C" w:tentative="1">
      <w:start w:val="1"/>
      <w:numFmt w:val="bullet"/>
      <w:lvlText w:val="•"/>
      <w:lvlJc w:val="left"/>
      <w:pPr>
        <w:tabs>
          <w:tab w:val="num" w:pos="2160"/>
        </w:tabs>
        <w:ind w:left="2160" w:hanging="360"/>
      </w:pPr>
      <w:rPr>
        <w:rFonts w:ascii="Arial" w:hAnsi="Arial" w:hint="default"/>
      </w:rPr>
    </w:lvl>
    <w:lvl w:ilvl="3" w:tplc="22800AB4" w:tentative="1">
      <w:start w:val="1"/>
      <w:numFmt w:val="bullet"/>
      <w:lvlText w:val="•"/>
      <w:lvlJc w:val="left"/>
      <w:pPr>
        <w:tabs>
          <w:tab w:val="num" w:pos="2880"/>
        </w:tabs>
        <w:ind w:left="2880" w:hanging="360"/>
      </w:pPr>
      <w:rPr>
        <w:rFonts w:ascii="Arial" w:hAnsi="Arial" w:hint="default"/>
      </w:rPr>
    </w:lvl>
    <w:lvl w:ilvl="4" w:tplc="D6924E36" w:tentative="1">
      <w:start w:val="1"/>
      <w:numFmt w:val="bullet"/>
      <w:lvlText w:val="•"/>
      <w:lvlJc w:val="left"/>
      <w:pPr>
        <w:tabs>
          <w:tab w:val="num" w:pos="3600"/>
        </w:tabs>
        <w:ind w:left="3600" w:hanging="360"/>
      </w:pPr>
      <w:rPr>
        <w:rFonts w:ascii="Arial" w:hAnsi="Arial" w:hint="default"/>
      </w:rPr>
    </w:lvl>
    <w:lvl w:ilvl="5" w:tplc="D312066E" w:tentative="1">
      <w:start w:val="1"/>
      <w:numFmt w:val="bullet"/>
      <w:lvlText w:val="•"/>
      <w:lvlJc w:val="left"/>
      <w:pPr>
        <w:tabs>
          <w:tab w:val="num" w:pos="4320"/>
        </w:tabs>
        <w:ind w:left="4320" w:hanging="360"/>
      </w:pPr>
      <w:rPr>
        <w:rFonts w:ascii="Arial" w:hAnsi="Arial" w:hint="default"/>
      </w:rPr>
    </w:lvl>
    <w:lvl w:ilvl="6" w:tplc="27A2FDCA" w:tentative="1">
      <w:start w:val="1"/>
      <w:numFmt w:val="bullet"/>
      <w:lvlText w:val="•"/>
      <w:lvlJc w:val="left"/>
      <w:pPr>
        <w:tabs>
          <w:tab w:val="num" w:pos="5040"/>
        </w:tabs>
        <w:ind w:left="5040" w:hanging="360"/>
      </w:pPr>
      <w:rPr>
        <w:rFonts w:ascii="Arial" w:hAnsi="Arial" w:hint="default"/>
      </w:rPr>
    </w:lvl>
    <w:lvl w:ilvl="7" w:tplc="F18AEF5A" w:tentative="1">
      <w:start w:val="1"/>
      <w:numFmt w:val="bullet"/>
      <w:lvlText w:val="•"/>
      <w:lvlJc w:val="left"/>
      <w:pPr>
        <w:tabs>
          <w:tab w:val="num" w:pos="5760"/>
        </w:tabs>
        <w:ind w:left="5760" w:hanging="360"/>
      </w:pPr>
      <w:rPr>
        <w:rFonts w:ascii="Arial" w:hAnsi="Arial" w:hint="default"/>
      </w:rPr>
    </w:lvl>
    <w:lvl w:ilvl="8" w:tplc="E9EEDB5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134EA6"/>
    <w:multiLevelType w:val="hybridMultilevel"/>
    <w:tmpl w:val="F86CF0A0"/>
    <w:lvl w:ilvl="0" w:tplc="C9AEC942">
      <w:start w:val="1"/>
      <w:numFmt w:val="bullet"/>
      <w:lvlText w:val="•"/>
      <w:lvlJc w:val="left"/>
      <w:pPr>
        <w:tabs>
          <w:tab w:val="num" w:pos="720"/>
        </w:tabs>
        <w:ind w:left="720" w:hanging="360"/>
      </w:pPr>
      <w:rPr>
        <w:rFonts w:ascii="Arial" w:hAnsi="Arial" w:hint="default"/>
      </w:rPr>
    </w:lvl>
    <w:lvl w:ilvl="1" w:tplc="879CDD12" w:tentative="1">
      <w:start w:val="1"/>
      <w:numFmt w:val="bullet"/>
      <w:lvlText w:val="•"/>
      <w:lvlJc w:val="left"/>
      <w:pPr>
        <w:tabs>
          <w:tab w:val="num" w:pos="1440"/>
        </w:tabs>
        <w:ind w:left="1440" w:hanging="360"/>
      </w:pPr>
      <w:rPr>
        <w:rFonts w:ascii="Arial" w:hAnsi="Arial" w:hint="default"/>
      </w:rPr>
    </w:lvl>
    <w:lvl w:ilvl="2" w:tplc="AB5A10BC" w:tentative="1">
      <w:start w:val="1"/>
      <w:numFmt w:val="bullet"/>
      <w:lvlText w:val="•"/>
      <w:lvlJc w:val="left"/>
      <w:pPr>
        <w:tabs>
          <w:tab w:val="num" w:pos="2160"/>
        </w:tabs>
        <w:ind w:left="2160" w:hanging="360"/>
      </w:pPr>
      <w:rPr>
        <w:rFonts w:ascii="Arial" w:hAnsi="Arial" w:hint="default"/>
      </w:rPr>
    </w:lvl>
    <w:lvl w:ilvl="3" w:tplc="6F14B8A8" w:tentative="1">
      <w:start w:val="1"/>
      <w:numFmt w:val="bullet"/>
      <w:lvlText w:val="•"/>
      <w:lvlJc w:val="left"/>
      <w:pPr>
        <w:tabs>
          <w:tab w:val="num" w:pos="2880"/>
        </w:tabs>
        <w:ind w:left="2880" w:hanging="360"/>
      </w:pPr>
      <w:rPr>
        <w:rFonts w:ascii="Arial" w:hAnsi="Arial" w:hint="default"/>
      </w:rPr>
    </w:lvl>
    <w:lvl w:ilvl="4" w:tplc="A262F292" w:tentative="1">
      <w:start w:val="1"/>
      <w:numFmt w:val="bullet"/>
      <w:lvlText w:val="•"/>
      <w:lvlJc w:val="left"/>
      <w:pPr>
        <w:tabs>
          <w:tab w:val="num" w:pos="3600"/>
        </w:tabs>
        <w:ind w:left="3600" w:hanging="360"/>
      </w:pPr>
      <w:rPr>
        <w:rFonts w:ascii="Arial" w:hAnsi="Arial" w:hint="default"/>
      </w:rPr>
    </w:lvl>
    <w:lvl w:ilvl="5" w:tplc="54B66236" w:tentative="1">
      <w:start w:val="1"/>
      <w:numFmt w:val="bullet"/>
      <w:lvlText w:val="•"/>
      <w:lvlJc w:val="left"/>
      <w:pPr>
        <w:tabs>
          <w:tab w:val="num" w:pos="4320"/>
        </w:tabs>
        <w:ind w:left="4320" w:hanging="360"/>
      </w:pPr>
      <w:rPr>
        <w:rFonts w:ascii="Arial" w:hAnsi="Arial" w:hint="default"/>
      </w:rPr>
    </w:lvl>
    <w:lvl w:ilvl="6" w:tplc="12D843A8" w:tentative="1">
      <w:start w:val="1"/>
      <w:numFmt w:val="bullet"/>
      <w:lvlText w:val="•"/>
      <w:lvlJc w:val="left"/>
      <w:pPr>
        <w:tabs>
          <w:tab w:val="num" w:pos="5040"/>
        </w:tabs>
        <w:ind w:left="5040" w:hanging="360"/>
      </w:pPr>
      <w:rPr>
        <w:rFonts w:ascii="Arial" w:hAnsi="Arial" w:hint="default"/>
      </w:rPr>
    </w:lvl>
    <w:lvl w:ilvl="7" w:tplc="FFE47686" w:tentative="1">
      <w:start w:val="1"/>
      <w:numFmt w:val="bullet"/>
      <w:lvlText w:val="•"/>
      <w:lvlJc w:val="left"/>
      <w:pPr>
        <w:tabs>
          <w:tab w:val="num" w:pos="5760"/>
        </w:tabs>
        <w:ind w:left="5760" w:hanging="360"/>
      </w:pPr>
      <w:rPr>
        <w:rFonts w:ascii="Arial" w:hAnsi="Arial" w:hint="default"/>
      </w:rPr>
    </w:lvl>
    <w:lvl w:ilvl="8" w:tplc="7554735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5C3B9D"/>
    <w:multiLevelType w:val="hybridMultilevel"/>
    <w:tmpl w:val="848086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A5F2F1B"/>
    <w:multiLevelType w:val="hybridMultilevel"/>
    <w:tmpl w:val="CADCE54A"/>
    <w:lvl w:ilvl="0" w:tplc="0C090001">
      <w:start w:val="1"/>
      <w:numFmt w:val="bullet"/>
      <w:lvlText w:val=""/>
      <w:lvlJc w:val="left"/>
      <w:pPr>
        <w:ind w:left="729" w:hanging="360"/>
      </w:pPr>
      <w:rPr>
        <w:rFonts w:ascii="Symbol" w:hAnsi="Symbol" w:hint="default"/>
      </w:rPr>
    </w:lvl>
    <w:lvl w:ilvl="1" w:tplc="0C090019">
      <w:start w:val="1"/>
      <w:numFmt w:val="lowerLetter"/>
      <w:lvlText w:val="%2."/>
      <w:lvlJc w:val="left"/>
      <w:pPr>
        <w:ind w:left="1449" w:hanging="360"/>
      </w:pPr>
    </w:lvl>
    <w:lvl w:ilvl="2" w:tplc="0C09001B" w:tentative="1">
      <w:start w:val="1"/>
      <w:numFmt w:val="lowerRoman"/>
      <w:lvlText w:val="%3."/>
      <w:lvlJc w:val="right"/>
      <w:pPr>
        <w:ind w:left="2169" w:hanging="180"/>
      </w:pPr>
    </w:lvl>
    <w:lvl w:ilvl="3" w:tplc="0C09000F" w:tentative="1">
      <w:start w:val="1"/>
      <w:numFmt w:val="decimal"/>
      <w:lvlText w:val="%4."/>
      <w:lvlJc w:val="left"/>
      <w:pPr>
        <w:ind w:left="2889" w:hanging="360"/>
      </w:pPr>
    </w:lvl>
    <w:lvl w:ilvl="4" w:tplc="0C090019" w:tentative="1">
      <w:start w:val="1"/>
      <w:numFmt w:val="lowerLetter"/>
      <w:lvlText w:val="%5."/>
      <w:lvlJc w:val="left"/>
      <w:pPr>
        <w:ind w:left="3609" w:hanging="360"/>
      </w:pPr>
    </w:lvl>
    <w:lvl w:ilvl="5" w:tplc="0C09001B" w:tentative="1">
      <w:start w:val="1"/>
      <w:numFmt w:val="lowerRoman"/>
      <w:lvlText w:val="%6."/>
      <w:lvlJc w:val="right"/>
      <w:pPr>
        <w:ind w:left="4329" w:hanging="180"/>
      </w:pPr>
    </w:lvl>
    <w:lvl w:ilvl="6" w:tplc="0C09000F" w:tentative="1">
      <w:start w:val="1"/>
      <w:numFmt w:val="decimal"/>
      <w:lvlText w:val="%7."/>
      <w:lvlJc w:val="left"/>
      <w:pPr>
        <w:ind w:left="5049" w:hanging="360"/>
      </w:pPr>
    </w:lvl>
    <w:lvl w:ilvl="7" w:tplc="0C090019" w:tentative="1">
      <w:start w:val="1"/>
      <w:numFmt w:val="lowerLetter"/>
      <w:lvlText w:val="%8."/>
      <w:lvlJc w:val="left"/>
      <w:pPr>
        <w:ind w:left="5769" w:hanging="360"/>
      </w:pPr>
    </w:lvl>
    <w:lvl w:ilvl="8" w:tplc="0C09001B" w:tentative="1">
      <w:start w:val="1"/>
      <w:numFmt w:val="lowerRoman"/>
      <w:lvlText w:val="%9."/>
      <w:lvlJc w:val="right"/>
      <w:pPr>
        <w:ind w:left="6489" w:hanging="180"/>
      </w:pPr>
    </w:lvl>
  </w:abstractNum>
  <w:abstractNum w:abstractNumId="22" w15:restartNumberingAfterBreak="0">
    <w:nsid w:val="5DAC5FFD"/>
    <w:multiLevelType w:val="multilevel"/>
    <w:tmpl w:val="0CAA3C6C"/>
    <w:lvl w:ilvl="0">
      <w:start w:val="1"/>
      <w:numFmt w:val="decimal"/>
      <w:lvlText w:val="%1"/>
      <w:lvlJc w:val="left"/>
      <w:pPr>
        <w:ind w:left="1287" w:hanging="720"/>
      </w:pPr>
      <w:rPr>
        <w:rFonts w:hint="default"/>
      </w:rPr>
    </w:lvl>
    <w:lvl w:ilvl="1">
      <w:start w:val="1"/>
      <w:numFmt w:val="decimal"/>
      <w:lvlText w:val="%1.%2"/>
      <w:lvlJc w:val="left"/>
      <w:pPr>
        <w:ind w:left="720" w:hanging="720"/>
      </w:pPr>
      <w:rPr>
        <w:rFonts w:hint="default"/>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672624A"/>
    <w:multiLevelType w:val="hybridMultilevel"/>
    <w:tmpl w:val="06DEBCE8"/>
    <w:lvl w:ilvl="0" w:tplc="9A3A0BB6">
      <w:start w:val="1"/>
      <w:numFmt w:val="bullet"/>
      <w:lvlText w:val="•"/>
      <w:lvlJc w:val="left"/>
      <w:pPr>
        <w:tabs>
          <w:tab w:val="num" w:pos="720"/>
        </w:tabs>
        <w:ind w:left="720" w:hanging="360"/>
      </w:pPr>
      <w:rPr>
        <w:rFonts w:ascii="Arial" w:hAnsi="Arial" w:hint="default"/>
      </w:rPr>
    </w:lvl>
    <w:lvl w:ilvl="1" w:tplc="B2620EE8">
      <w:start w:val="1"/>
      <w:numFmt w:val="bullet"/>
      <w:lvlText w:val="•"/>
      <w:lvlJc w:val="left"/>
      <w:pPr>
        <w:tabs>
          <w:tab w:val="num" w:pos="1440"/>
        </w:tabs>
        <w:ind w:left="1440" w:hanging="360"/>
      </w:pPr>
      <w:rPr>
        <w:rFonts w:ascii="Arial" w:hAnsi="Arial" w:hint="default"/>
      </w:rPr>
    </w:lvl>
    <w:lvl w:ilvl="2" w:tplc="53625592" w:tentative="1">
      <w:start w:val="1"/>
      <w:numFmt w:val="bullet"/>
      <w:lvlText w:val="•"/>
      <w:lvlJc w:val="left"/>
      <w:pPr>
        <w:tabs>
          <w:tab w:val="num" w:pos="2160"/>
        </w:tabs>
        <w:ind w:left="2160" w:hanging="360"/>
      </w:pPr>
      <w:rPr>
        <w:rFonts w:ascii="Arial" w:hAnsi="Arial" w:hint="default"/>
      </w:rPr>
    </w:lvl>
    <w:lvl w:ilvl="3" w:tplc="420070C6" w:tentative="1">
      <w:start w:val="1"/>
      <w:numFmt w:val="bullet"/>
      <w:lvlText w:val="•"/>
      <w:lvlJc w:val="left"/>
      <w:pPr>
        <w:tabs>
          <w:tab w:val="num" w:pos="2880"/>
        </w:tabs>
        <w:ind w:left="2880" w:hanging="360"/>
      </w:pPr>
      <w:rPr>
        <w:rFonts w:ascii="Arial" w:hAnsi="Arial" w:hint="default"/>
      </w:rPr>
    </w:lvl>
    <w:lvl w:ilvl="4" w:tplc="B6568496" w:tentative="1">
      <w:start w:val="1"/>
      <w:numFmt w:val="bullet"/>
      <w:lvlText w:val="•"/>
      <w:lvlJc w:val="left"/>
      <w:pPr>
        <w:tabs>
          <w:tab w:val="num" w:pos="3600"/>
        </w:tabs>
        <w:ind w:left="3600" w:hanging="360"/>
      </w:pPr>
      <w:rPr>
        <w:rFonts w:ascii="Arial" w:hAnsi="Arial" w:hint="default"/>
      </w:rPr>
    </w:lvl>
    <w:lvl w:ilvl="5" w:tplc="E1F6224C" w:tentative="1">
      <w:start w:val="1"/>
      <w:numFmt w:val="bullet"/>
      <w:lvlText w:val="•"/>
      <w:lvlJc w:val="left"/>
      <w:pPr>
        <w:tabs>
          <w:tab w:val="num" w:pos="4320"/>
        </w:tabs>
        <w:ind w:left="4320" w:hanging="360"/>
      </w:pPr>
      <w:rPr>
        <w:rFonts w:ascii="Arial" w:hAnsi="Arial" w:hint="default"/>
      </w:rPr>
    </w:lvl>
    <w:lvl w:ilvl="6" w:tplc="1688A90E" w:tentative="1">
      <w:start w:val="1"/>
      <w:numFmt w:val="bullet"/>
      <w:lvlText w:val="•"/>
      <w:lvlJc w:val="left"/>
      <w:pPr>
        <w:tabs>
          <w:tab w:val="num" w:pos="5040"/>
        </w:tabs>
        <w:ind w:left="5040" w:hanging="360"/>
      </w:pPr>
      <w:rPr>
        <w:rFonts w:ascii="Arial" w:hAnsi="Arial" w:hint="default"/>
      </w:rPr>
    </w:lvl>
    <w:lvl w:ilvl="7" w:tplc="20826D02" w:tentative="1">
      <w:start w:val="1"/>
      <w:numFmt w:val="bullet"/>
      <w:lvlText w:val="•"/>
      <w:lvlJc w:val="left"/>
      <w:pPr>
        <w:tabs>
          <w:tab w:val="num" w:pos="5760"/>
        </w:tabs>
        <w:ind w:left="5760" w:hanging="360"/>
      </w:pPr>
      <w:rPr>
        <w:rFonts w:ascii="Arial" w:hAnsi="Arial" w:hint="default"/>
      </w:rPr>
    </w:lvl>
    <w:lvl w:ilvl="8" w:tplc="5A5CCEA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8D7EB5"/>
    <w:multiLevelType w:val="multilevel"/>
    <w:tmpl w:val="60B6ADC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F22442"/>
    <w:multiLevelType w:val="hybridMultilevel"/>
    <w:tmpl w:val="AA9A7D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77C1007"/>
    <w:multiLevelType w:val="multilevel"/>
    <w:tmpl w:val="32E4B39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4D033C"/>
    <w:multiLevelType w:val="multilevel"/>
    <w:tmpl w:val="CC92A716"/>
    <w:lvl w:ilvl="0">
      <w:start w:val="1"/>
      <w:numFmt w:val="decimal"/>
      <w:pStyle w:val="2-SectionHeading"/>
      <w:lvlText w:val="%1"/>
      <w:lvlJc w:val="left"/>
      <w:pPr>
        <w:ind w:left="720" w:hanging="720"/>
      </w:pPr>
      <w:rPr>
        <w:rFonts w:hint="default"/>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E1311E"/>
    <w:multiLevelType w:val="hybridMultilevel"/>
    <w:tmpl w:val="27B81EC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9"/>
  </w:num>
  <w:num w:numId="2">
    <w:abstractNumId w:val="14"/>
  </w:num>
  <w:num w:numId="3">
    <w:abstractNumId w:val="0"/>
  </w:num>
  <w:num w:numId="4">
    <w:abstractNumId w:val="29"/>
  </w:num>
  <w:num w:numId="5">
    <w:abstractNumId w:val="28"/>
  </w:num>
  <w:num w:numId="6">
    <w:abstractNumId w:val="10"/>
  </w:num>
  <w:num w:numId="7">
    <w:abstractNumId w:val="3"/>
  </w:num>
  <w:num w:numId="8">
    <w:abstractNumId w:val="25"/>
  </w:num>
  <w:num w:numId="9">
    <w:abstractNumId w:val="9"/>
  </w:num>
  <w:num w:numId="10">
    <w:abstractNumId w:val="13"/>
  </w:num>
  <w:num w:numId="11">
    <w:abstractNumId w:val="5"/>
  </w:num>
  <w:num w:numId="12">
    <w:abstractNumId w:val="30"/>
  </w:num>
  <w:num w:numId="13">
    <w:abstractNumId w:val="21"/>
  </w:num>
  <w:num w:numId="14">
    <w:abstractNumId w:val="4"/>
  </w:num>
  <w:num w:numId="15">
    <w:abstractNumId w:val="16"/>
  </w:num>
  <w:num w:numId="16">
    <w:abstractNumId w:val="18"/>
  </w:num>
  <w:num w:numId="17">
    <w:abstractNumId w:val="8"/>
  </w:num>
  <w:num w:numId="18">
    <w:abstractNumId w:val="26"/>
  </w:num>
  <w:num w:numId="19">
    <w:abstractNumId w:val="17"/>
  </w:num>
  <w:num w:numId="20">
    <w:abstractNumId w:val="19"/>
  </w:num>
  <w:num w:numId="21">
    <w:abstractNumId w:val="2"/>
  </w:num>
  <w:num w:numId="22">
    <w:abstractNumId w:val="1"/>
  </w:num>
  <w:num w:numId="23">
    <w:abstractNumId w:val="7"/>
  </w:num>
  <w:num w:numId="24">
    <w:abstractNumId w:val="11"/>
  </w:num>
  <w:num w:numId="25">
    <w:abstractNumId w:val="6"/>
  </w:num>
  <w:num w:numId="2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2"/>
  </w:num>
  <w:num w:numId="29">
    <w:abstractNumId w:val="15"/>
  </w:num>
  <w:num w:numId="30">
    <w:abstractNumId w:val="2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2"/>
  </w:num>
  <w:num w:numId="34">
    <w:abstractNumId w:val="29"/>
  </w:num>
  <w:num w:numId="35">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541"/>
    <w:rsid w:val="00000790"/>
    <w:rsid w:val="00000882"/>
    <w:rsid w:val="00000C81"/>
    <w:rsid w:val="000010BD"/>
    <w:rsid w:val="0000110B"/>
    <w:rsid w:val="00002087"/>
    <w:rsid w:val="00002387"/>
    <w:rsid w:val="000028BA"/>
    <w:rsid w:val="00003499"/>
    <w:rsid w:val="0000392A"/>
    <w:rsid w:val="000039AE"/>
    <w:rsid w:val="000039B7"/>
    <w:rsid w:val="00004530"/>
    <w:rsid w:val="00004695"/>
    <w:rsid w:val="000048F6"/>
    <w:rsid w:val="00004BF0"/>
    <w:rsid w:val="00006030"/>
    <w:rsid w:val="00006384"/>
    <w:rsid w:val="0000639A"/>
    <w:rsid w:val="00006698"/>
    <w:rsid w:val="00007A85"/>
    <w:rsid w:val="0001030E"/>
    <w:rsid w:val="00013247"/>
    <w:rsid w:val="000139BF"/>
    <w:rsid w:val="00014008"/>
    <w:rsid w:val="000140BB"/>
    <w:rsid w:val="0001470A"/>
    <w:rsid w:val="000156C7"/>
    <w:rsid w:val="00015886"/>
    <w:rsid w:val="00015887"/>
    <w:rsid w:val="000162EF"/>
    <w:rsid w:val="00016EEE"/>
    <w:rsid w:val="00020094"/>
    <w:rsid w:val="000207C9"/>
    <w:rsid w:val="00020898"/>
    <w:rsid w:val="00020DB4"/>
    <w:rsid w:val="00020F70"/>
    <w:rsid w:val="000213E2"/>
    <w:rsid w:val="0002225F"/>
    <w:rsid w:val="000225F8"/>
    <w:rsid w:val="00022F56"/>
    <w:rsid w:val="00023763"/>
    <w:rsid w:val="00024F95"/>
    <w:rsid w:val="00025BD1"/>
    <w:rsid w:val="0002617B"/>
    <w:rsid w:val="0002632D"/>
    <w:rsid w:val="00026F74"/>
    <w:rsid w:val="0002711F"/>
    <w:rsid w:val="0002727C"/>
    <w:rsid w:val="000274B8"/>
    <w:rsid w:val="000276AC"/>
    <w:rsid w:val="00027847"/>
    <w:rsid w:val="00027890"/>
    <w:rsid w:val="0003073D"/>
    <w:rsid w:val="00030CE3"/>
    <w:rsid w:val="00030D12"/>
    <w:rsid w:val="000310E5"/>
    <w:rsid w:val="00032622"/>
    <w:rsid w:val="00033863"/>
    <w:rsid w:val="000346D5"/>
    <w:rsid w:val="00035DC0"/>
    <w:rsid w:val="00036829"/>
    <w:rsid w:val="00036D9F"/>
    <w:rsid w:val="00040895"/>
    <w:rsid w:val="000418B7"/>
    <w:rsid w:val="00041B59"/>
    <w:rsid w:val="00041EC6"/>
    <w:rsid w:val="000435EE"/>
    <w:rsid w:val="0004360F"/>
    <w:rsid w:val="00043C37"/>
    <w:rsid w:val="00044463"/>
    <w:rsid w:val="00045017"/>
    <w:rsid w:val="00045A2B"/>
    <w:rsid w:val="000463D1"/>
    <w:rsid w:val="0004698F"/>
    <w:rsid w:val="000478D7"/>
    <w:rsid w:val="00050005"/>
    <w:rsid w:val="000513F8"/>
    <w:rsid w:val="00051413"/>
    <w:rsid w:val="000515C5"/>
    <w:rsid w:val="000519FA"/>
    <w:rsid w:val="00051E48"/>
    <w:rsid w:val="000539D0"/>
    <w:rsid w:val="00053ACD"/>
    <w:rsid w:val="00053CDF"/>
    <w:rsid w:val="000540E0"/>
    <w:rsid w:val="00054621"/>
    <w:rsid w:val="000546D7"/>
    <w:rsid w:val="00055C47"/>
    <w:rsid w:val="00056177"/>
    <w:rsid w:val="00056ECF"/>
    <w:rsid w:val="0005731C"/>
    <w:rsid w:val="000601D4"/>
    <w:rsid w:val="00060346"/>
    <w:rsid w:val="000604DF"/>
    <w:rsid w:val="00060828"/>
    <w:rsid w:val="00060B1B"/>
    <w:rsid w:val="0006250D"/>
    <w:rsid w:val="00063A66"/>
    <w:rsid w:val="00063B5F"/>
    <w:rsid w:val="00064439"/>
    <w:rsid w:val="000650D9"/>
    <w:rsid w:val="000653B5"/>
    <w:rsid w:val="000657D2"/>
    <w:rsid w:val="00066226"/>
    <w:rsid w:val="00066360"/>
    <w:rsid w:val="000669BA"/>
    <w:rsid w:val="00066AF8"/>
    <w:rsid w:val="00066F42"/>
    <w:rsid w:val="00067366"/>
    <w:rsid w:val="0006779E"/>
    <w:rsid w:val="000702AC"/>
    <w:rsid w:val="00070421"/>
    <w:rsid w:val="0007070C"/>
    <w:rsid w:val="00070861"/>
    <w:rsid w:val="00071248"/>
    <w:rsid w:val="00071600"/>
    <w:rsid w:val="000720B9"/>
    <w:rsid w:val="00072A8E"/>
    <w:rsid w:val="00072B6C"/>
    <w:rsid w:val="00072C24"/>
    <w:rsid w:val="00072EFB"/>
    <w:rsid w:val="00072F02"/>
    <w:rsid w:val="000737F7"/>
    <w:rsid w:val="00073A9E"/>
    <w:rsid w:val="000747CE"/>
    <w:rsid w:val="000749AE"/>
    <w:rsid w:val="00074DDD"/>
    <w:rsid w:val="0007529F"/>
    <w:rsid w:val="00075807"/>
    <w:rsid w:val="000759A2"/>
    <w:rsid w:val="00075EDF"/>
    <w:rsid w:val="000765C6"/>
    <w:rsid w:val="0007672F"/>
    <w:rsid w:val="00076ABE"/>
    <w:rsid w:val="00076B24"/>
    <w:rsid w:val="00076B54"/>
    <w:rsid w:val="000770EC"/>
    <w:rsid w:val="000774F0"/>
    <w:rsid w:val="000801CE"/>
    <w:rsid w:val="00080909"/>
    <w:rsid w:val="000812CA"/>
    <w:rsid w:val="00081E63"/>
    <w:rsid w:val="0008258D"/>
    <w:rsid w:val="00082BD9"/>
    <w:rsid w:val="00082DD3"/>
    <w:rsid w:val="00083254"/>
    <w:rsid w:val="0008344B"/>
    <w:rsid w:val="00083702"/>
    <w:rsid w:val="00083E99"/>
    <w:rsid w:val="00083F33"/>
    <w:rsid w:val="00084532"/>
    <w:rsid w:val="00084FA8"/>
    <w:rsid w:val="000852F2"/>
    <w:rsid w:val="000856C5"/>
    <w:rsid w:val="00085C31"/>
    <w:rsid w:val="00086423"/>
    <w:rsid w:val="00086725"/>
    <w:rsid w:val="000867C2"/>
    <w:rsid w:val="000870C2"/>
    <w:rsid w:val="00087643"/>
    <w:rsid w:val="00090199"/>
    <w:rsid w:val="000902D9"/>
    <w:rsid w:val="00090B0B"/>
    <w:rsid w:val="00090B69"/>
    <w:rsid w:val="00090C7E"/>
    <w:rsid w:val="000911A1"/>
    <w:rsid w:val="0009194D"/>
    <w:rsid w:val="00092600"/>
    <w:rsid w:val="0009262B"/>
    <w:rsid w:val="00092C33"/>
    <w:rsid w:val="00092F3F"/>
    <w:rsid w:val="0009316A"/>
    <w:rsid w:val="00093310"/>
    <w:rsid w:val="00093516"/>
    <w:rsid w:val="00093720"/>
    <w:rsid w:val="0009445C"/>
    <w:rsid w:val="000948FF"/>
    <w:rsid w:val="00094DBA"/>
    <w:rsid w:val="00095200"/>
    <w:rsid w:val="00095824"/>
    <w:rsid w:val="00095CBB"/>
    <w:rsid w:val="00095FE5"/>
    <w:rsid w:val="00096284"/>
    <w:rsid w:val="000A024B"/>
    <w:rsid w:val="000A09D4"/>
    <w:rsid w:val="000A1B42"/>
    <w:rsid w:val="000A1BC0"/>
    <w:rsid w:val="000A2385"/>
    <w:rsid w:val="000A48C9"/>
    <w:rsid w:val="000A57AF"/>
    <w:rsid w:val="000A5E04"/>
    <w:rsid w:val="000A6039"/>
    <w:rsid w:val="000A7453"/>
    <w:rsid w:val="000A7D08"/>
    <w:rsid w:val="000B0121"/>
    <w:rsid w:val="000B0571"/>
    <w:rsid w:val="000B0670"/>
    <w:rsid w:val="000B0E75"/>
    <w:rsid w:val="000B1F96"/>
    <w:rsid w:val="000B2DCB"/>
    <w:rsid w:val="000B366B"/>
    <w:rsid w:val="000B39A3"/>
    <w:rsid w:val="000B4B1A"/>
    <w:rsid w:val="000B56C2"/>
    <w:rsid w:val="000B5CE0"/>
    <w:rsid w:val="000B5EFF"/>
    <w:rsid w:val="000B6490"/>
    <w:rsid w:val="000B6CAC"/>
    <w:rsid w:val="000B7612"/>
    <w:rsid w:val="000B78AE"/>
    <w:rsid w:val="000B7DC0"/>
    <w:rsid w:val="000B7F50"/>
    <w:rsid w:val="000C0167"/>
    <w:rsid w:val="000C30B6"/>
    <w:rsid w:val="000C3DF9"/>
    <w:rsid w:val="000C4CB4"/>
    <w:rsid w:val="000C5955"/>
    <w:rsid w:val="000C5C8C"/>
    <w:rsid w:val="000C6713"/>
    <w:rsid w:val="000C6A58"/>
    <w:rsid w:val="000D0988"/>
    <w:rsid w:val="000D1690"/>
    <w:rsid w:val="000D1B8F"/>
    <w:rsid w:val="000D1BFC"/>
    <w:rsid w:val="000D1D5D"/>
    <w:rsid w:val="000D2302"/>
    <w:rsid w:val="000D281A"/>
    <w:rsid w:val="000D2848"/>
    <w:rsid w:val="000D326A"/>
    <w:rsid w:val="000D372F"/>
    <w:rsid w:val="000D4743"/>
    <w:rsid w:val="000D51FB"/>
    <w:rsid w:val="000D6510"/>
    <w:rsid w:val="000D6A32"/>
    <w:rsid w:val="000D6B9F"/>
    <w:rsid w:val="000D76C0"/>
    <w:rsid w:val="000E0640"/>
    <w:rsid w:val="000E0751"/>
    <w:rsid w:val="000E135D"/>
    <w:rsid w:val="000E138E"/>
    <w:rsid w:val="000E14AB"/>
    <w:rsid w:val="000E1D8E"/>
    <w:rsid w:val="000E4310"/>
    <w:rsid w:val="000E5306"/>
    <w:rsid w:val="000E5A69"/>
    <w:rsid w:val="000E78F5"/>
    <w:rsid w:val="000F00BA"/>
    <w:rsid w:val="000F0534"/>
    <w:rsid w:val="000F0DD6"/>
    <w:rsid w:val="000F0FB4"/>
    <w:rsid w:val="000F139D"/>
    <w:rsid w:val="000F295B"/>
    <w:rsid w:val="000F2A26"/>
    <w:rsid w:val="000F2FA9"/>
    <w:rsid w:val="000F316A"/>
    <w:rsid w:val="000F339B"/>
    <w:rsid w:val="000F34BD"/>
    <w:rsid w:val="000F35F0"/>
    <w:rsid w:val="000F38FF"/>
    <w:rsid w:val="000F3C74"/>
    <w:rsid w:val="000F41E1"/>
    <w:rsid w:val="000F4551"/>
    <w:rsid w:val="000F45D6"/>
    <w:rsid w:val="000F4BB8"/>
    <w:rsid w:val="000F4FA9"/>
    <w:rsid w:val="000F53FB"/>
    <w:rsid w:val="000F5C87"/>
    <w:rsid w:val="000F5F5C"/>
    <w:rsid w:val="000F6A85"/>
    <w:rsid w:val="000F7127"/>
    <w:rsid w:val="000F7B54"/>
    <w:rsid w:val="000F7C3F"/>
    <w:rsid w:val="000F7DF2"/>
    <w:rsid w:val="00100F8A"/>
    <w:rsid w:val="00101821"/>
    <w:rsid w:val="00102670"/>
    <w:rsid w:val="0010408F"/>
    <w:rsid w:val="0010452E"/>
    <w:rsid w:val="001045CE"/>
    <w:rsid w:val="001047FC"/>
    <w:rsid w:val="00104A38"/>
    <w:rsid w:val="00105AE2"/>
    <w:rsid w:val="001060C6"/>
    <w:rsid w:val="00106B80"/>
    <w:rsid w:val="00106DDB"/>
    <w:rsid w:val="0010728C"/>
    <w:rsid w:val="00107E7E"/>
    <w:rsid w:val="0011032E"/>
    <w:rsid w:val="001103FE"/>
    <w:rsid w:val="00110ACD"/>
    <w:rsid w:val="00110EB1"/>
    <w:rsid w:val="001114B8"/>
    <w:rsid w:val="00111526"/>
    <w:rsid w:val="001129EC"/>
    <w:rsid w:val="0011348B"/>
    <w:rsid w:val="0011377A"/>
    <w:rsid w:val="00113DB9"/>
    <w:rsid w:val="0011412A"/>
    <w:rsid w:val="001151E3"/>
    <w:rsid w:val="00115945"/>
    <w:rsid w:val="00115982"/>
    <w:rsid w:val="00116263"/>
    <w:rsid w:val="0011658B"/>
    <w:rsid w:val="001168EB"/>
    <w:rsid w:val="00116C53"/>
    <w:rsid w:val="001173B1"/>
    <w:rsid w:val="00117725"/>
    <w:rsid w:val="0011787B"/>
    <w:rsid w:val="00117B1C"/>
    <w:rsid w:val="001207E9"/>
    <w:rsid w:val="001208E5"/>
    <w:rsid w:val="00121799"/>
    <w:rsid w:val="001222FC"/>
    <w:rsid w:val="001225C4"/>
    <w:rsid w:val="001232EF"/>
    <w:rsid w:val="00123902"/>
    <w:rsid w:val="00123B5D"/>
    <w:rsid w:val="00123E3A"/>
    <w:rsid w:val="00124811"/>
    <w:rsid w:val="00124A51"/>
    <w:rsid w:val="00126290"/>
    <w:rsid w:val="001262ED"/>
    <w:rsid w:val="00126621"/>
    <w:rsid w:val="00126B1D"/>
    <w:rsid w:val="00127D97"/>
    <w:rsid w:val="001301E9"/>
    <w:rsid w:val="001305CF"/>
    <w:rsid w:val="001308CA"/>
    <w:rsid w:val="00130BE4"/>
    <w:rsid w:val="00131B76"/>
    <w:rsid w:val="00131D82"/>
    <w:rsid w:val="00132272"/>
    <w:rsid w:val="00132B22"/>
    <w:rsid w:val="00132DD5"/>
    <w:rsid w:val="001337FD"/>
    <w:rsid w:val="0013388C"/>
    <w:rsid w:val="00133D36"/>
    <w:rsid w:val="00134BD4"/>
    <w:rsid w:val="001351EB"/>
    <w:rsid w:val="00136782"/>
    <w:rsid w:val="0013692C"/>
    <w:rsid w:val="001370E3"/>
    <w:rsid w:val="00137645"/>
    <w:rsid w:val="0014015A"/>
    <w:rsid w:val="00140570"/>
    <w:rsid w:val="00140578"/>
    <w:rsid w:val="00140E99"/>
    <w:rsid w:val="001412AD"/>
    <w:rsid w:val="001428DE"/>
    <w:rsid w:val="00142BEF"/>
    <w:rsid w:val="00143BD7"/>
    <w:rsid w:val="00143D9D"/>
    <w:rsid w:val="00143F67"/>
    <w:rsid w:val="001453A2"/>
    <w:rsid w:val="00145540"/>
    <w:rsid w:val="001456B0"/>
    <w:rsid w:val="00145C7A"/>
    <w:rsid w:val="00145C7D"/>
    <w:rsid w:val="00145D2A"/>
    <w:rsid w:val="001467C7"/>
    <w:rsid w:val="00146C16"/>
    <w:rsid w:val="00147544"/>
    <w:rsid w:val="001478F3"/>
    <w:rsid w:val="00151BB0"/>
    <w:rsid w:val="00151F13"/>
    <w:rsid w:val="0015287D"/>
    <w:rsid w:val="0015311A"/>
    <w:rsid w:val="001532A1"/>
    <w:rsid w:val="00153A0B"/>
    <w:rsid w:val="00153B2E"/>
    <w:rsid w:val="00153C0A"/>
    <w:rsid w:val="00153E3D"/>
    <w:rsid w:val="00154067"/>
    <w:rsid w:val="001558CD"/>
    <w:rsid w:val="00156294"/>
    <w:rsid w:val="0015638B"/>
    <w:rsid w:val="00156F8F"/>
    <w:rsid w:val="00157130"/>
    <w:rsid w:val="001575C1"/>
    <w:rsid w:val="0015760C"/>
    <w:rsid w:val="001576B1"/>
    <w:rsid w:val="001601E5"/>
    <w:rsid w:val="0016047B"/>
    <w:rsid w:val="0016078A"/>
    <w:rsid w:val="00160A4C"/>
    <w:rsid w:val="001614D4"/>
    <w:rsid w:val="00161522"/>
    <w:rsid w:val="00162913"/>
    <w:rsid w:val="00163EFF"/>
    <w:rsid w:val="00163F66"/>
    <w:rsid w:val="00164349"/>
    <w:rsid w:val="001643C2"/>
    <w:rsid w:val="00166046"/>
    <w:rsid w:val="001661FB"/>
    <w:rsid w:val="001664CF"/>
    <w:rsid w:val="00166E01"/>
    <w:rsid w:val="0016719A"/>
    <w:rsid w:val="001671A0"/>
    <w:rsid w:val="00167235"/>
    <w:rsid w:val="0016767F"/>
    <w:rsid w:val="00167682"/>
    <w:rsid w:val="0017009E"/>
    <w:rsid w:val="00170FFD"/>
    <w:rsid w:val="001716AF"/>
    <w:rsid w:val="001717A8"/>
    <w:rsid w:val="00171E1C"/>
    <w:rsid w:val="001728B8"/>
    <w:rsid w:val="00173565"/>
    <w:rsid w:val="00173B07"/>
    <w:rsid w:val="001740DF"/>
    <w:rsid w:val="00174308"/>
    <w:rsid w:val="00174519"/>
    <w:rsid w:val="001751B4"/>
    <w:rsid w:val="001751FA"/>
    <w:rsid w:val="00176C47"/>
    <w:rsid w:val="00176FA7"/>
    <w:rsid w:val="001775CC"/>
    <w:rsid w:val="00177DA3"/>
    <w:rsid w:val="00177E88"/>
    <w:rsid w:val="00180B13"/>
    <w:rsid w:val="00180B31"/>
    <w:rsid w:val="00181CFA"/>
    <w:rsid w:val="00181D9C"/>
    <w:rsid w:val="001823F5"/>
    <w:rsid w:val="0018402A"/>
    <w:rsid w:val="00184B0E"/>
    <w:rsid w:val="0018673F"/>
    <w:rsid w:val="0018678D"/>
    <w:rsid w:val="00186AE0"/>
    <w:rsid w:val="00186F9C"/>
    <w:rsid w:val="0018752F"/>
    <w:rsid w:val="00187761"/>
    <w:rsid w:val="00190555"/>
    <w:rsid w:val="00190AFA"/>
    <w:rsid w:val="001913BA"/>
    <w:rsid w:val="00192102"/>
    <w:rsid w:val="0019232C"/>
    <w:rsid w:val="0019285E"/>
    <w:rsid w:val="00192AA4"/>
    <w:rsid w:val="00193838"/>
    <w:rsid w:val="00194056"/>
    <w:rsid w:val="0019406E"/>
    <w:rsid w:val="00194525"/>
    <w:rsid w:val="00194AD8"/>
    <w:rsid w:val="00195222"/>
    <w:rsid w:val="001956E3"/>
    <w:rsid w:val="001975D8"/>
    <w:rsid w:val="00197C07"/>
    <w:rsid w:val="00197FF3"/>
    <w:rsid w:val="001A011B"/>
    <w:rsid w:val="001A1624"/>
    <w:rsid w:val="001A178E"/>
    <w:rsid w:val="001A1BC6"/>
    <w:rsid w:val="001A2322"/>
    <w:rsid w:val="001A43FA"/>
    <w:rsid w:val="001A47C5"/>
    <w:rsid w:val="001A48EC"/>
    <w:rsid w:val="001A54A1"/>
    <w:rsid w:val="001A59FB"/>
    <w:rsid w:val="001A5E9E"/>
    <w:rsid w:val="001A6354"/>
    <w:rsid w:val="001A6366"/>
    <w:rsid w:val="001A65ED"/>
    <w:rsid w:val="001A6873"/>
    <w:rsid w:val="001A7AE5"/>
    <w:rsid w:val="001A7AE8"/>
    <w:rsid w:val="001B03D9"/>
    <w:rsid w:val="001B080C"/>
    <w:rsid w:val="001B0A5F"/>
    <w:rsid w:val="001B1CF4"/>
    <w:rsid w:val="001B204E"/>
    <w:rsid w:val="001B2372"/>
    <w:rsid w:val="001B2DDB"/>
    <w:rsid w:val="001B3443"/>
    <w:rsid w:val="001B411F"/>
    <w:rsid w:val="001B427D"/>
    <w:rsid w:val="001B428C"/>
    <w:rsid w:val="001B4D20"/>
    <w:rsid w:val="001B58FD"/>
    <w:rsid w:val="001B6249"/>
    <w:rsid w:val="001B67C6"/>
    <w:rsid w:val="001B6AA0"/>
    <w:rsid w:val="001B6D88"/>
    <w:rsid w:val="001B7C7B"/>
    <w:rsid w:val="001C063C"/>
    <w:rsid w:val="001C06DE"/>
    <w:rsid w:val="001C08CC"/>
    <w:rsid w:val="001C0B81"/>
    <w:rsid w:val="001C11FB"/>
    <w:rsid w:val="001C2A9B"/>
    <w:rsid w:val="001C4299"/>
    <w:rsid w:val="001C42AB"/>
    <w:rsid w:val="001C4874"/>
    <w:rsid w:val="001C488E"/>
    <w:rsid w:val="001C4F2B"/>
    <w:rsid w:val="001C55EB"/>
    <w:rsid w:val="001C5F94"/>
    <w:rsid w:val="001C6A07"/>
    <w:rsid w:val="001C6E66"/>
    <w:rsid w:val="001C6F9A"/>
    <w:rsid w:val="001C7288"/>
    <w:rsid w:val="001C773B"/>
    <w:rsid w:val="001C7F5B"/>
    <w:rsid w:val="001D05F4"/>
    <w:rsid w:val="001D0AB1"/>
    <w:rsid w:val="001D0EEF"/>
    <w:rsid w:val="001D1100"/>
    <w:rsid w:val="001D1391"/>
    <w:rsid w:val="001D1862"/>
    <w:rsid w:val="001D189E"/>
    <w:rsid w:val="001D1E95"/>
    <w:rsid w:val="001D25D7"/>
    <w:rsid w:val="001D3654"/>
    <w:rsid w:val="001D4B0F"/>
    <w:rsid w:val="001D50B2"/>
    <w:rsid w:val="001D7645"/>
    <w:rsid w:val="001D7925"/>
    <w:rsid w:val="001D7C8D"/>
    <w:rsid w:val="001E094C"/>
    <w:rsid w:val="001E1E86"/>
    <w:rsid w:val="001E238E"/>
    <w:rsid w:val="001E2483"/>
    <w:rsid w:val="001E2B1E"/>
    <w:rsid w:val="001E2CFF"/>
    <w:rsid w:val="001E2F24"/>
    <w:rsid w:val="001E30D4"/>
    <w:rsid w:val="001E34DF"/>
    <w:rsid w:val="001E3E5B"/>
    <w:rsid w:val="001E46D9"/>
    <w:rsid w:val="001E52EB"/>
    <w:rsid w:val="001E5D0E"/>
    <w:rsid w:val="001E61D2"/>
    <w:rsid w:val="001E64DB"/>
    <w:rsid w:val="001E68D7"/>
    <w:rsid w:val="001E740C"/>
    <w:rsid w:val="001E7474"/>
    <w:rsid w:val="001E75F8"/>
    <w:rsid w:val="001E7724"/>
    <w:rsid w:val="001F0367"/>
    <w:rsid w:val="001F094A"/>
    <w:rsid w:val="001F0B4B"/>
    <w:rsid w:val="001F0D01"/>
    <w:rsid w:val="001F0FA4"/>
    <w:rsid w:val="001F1235"/>
    <w:rsid w:val="001F15B6"/>
    <w:rsid w:val="001F1AB5"/>
    <w:rsid w:val="001F1CB3"/>
    <w:rsid w:val="001F1FE6"/>
    <w:rsid w:val="001F2DBA"/>
    <w:rsid w:val="001F2E43"/>
    <w:rsid w:val="001F351C"/>
    <w:rsid w:val="001F38B5"/>
    <w:rsid w:val="001F4081"/>
    <w:rsid w:val="001F43BF"/>
    <w:rsid w:val="001F43DF"/>
    <w:rsid w:val="001F543C"/>
    <w:rsid w:val="001F62B5"/>
    <w:rsid w:val="001F67CC"/>
    <w:rsid w:val="001F7361"/>
    <w:rsid w:val="001F7452"/>
    <w:rsid w:val="001F75AB"/>
    <w:rsid w:val="001F7715"/>
    <w:rsid w:val="001F7CBE"/>
    <w:rsid w:val="002002E0"/>
    <w:rsid w:val="0020037B"/>
    <w:rsid w:val="00200EF8"/>
    <w:rsid w:val="00201127"/>
    <w:rsid w:val="002011B0"/>
    <w:rsid w:val="00201AD6"/>
    <w:rsid w:val="00201E80"/>
    <w:rsid w:val="002020F7"/>
    <w:rsid w:val="00203181"/>
    <w:rsid w:val="0020357D"/>
    <w:rsid w:val="00203783"/>
    <w:rsid w:val="0020385F"/>
    <w:rsid w:val="0020393F"/>
    <w:rsid w:val="00204A0B"/>
    <w:rsid w:val="00205845"/>
    <w:rsid w:val="00205CA3"/>
    <w:rsid w:val="002068A0"/>
    <w:rsid w:val="00207021"/>
    <w:rsid w:val="0020732F"/>
    <w:rsid w:val="00207A3B"/>
    <w:rsid w:val="00207D00"/>
    <w:rsid w:val="0021024A"/>
    <w:rsid w:val="002105C1"/>
    <w:rsid w:val="00210E06"/>
    <w:rsid w:val="00210FBC"/>
    <w:rsid w:val="00211104"/>
    <w:rsid w:val="00211436"/>
    <w:rsid w:val="00211C27"/>
    <w:rsid w:val="00211D95"/>
    <w:rsid w:val="002125AB"/>
    <w:rsid w:val="00213EF5"/>
    <w:rsid w:val="00214A40"/>
    <w:rsid w:val="00214FAF"/>
    <w:rsid w:val="00215D33"/>
    <w:rsid w:val="002167BF"/>
    <w:rsid w:val="00216BF5"/>
    <w:rsid w:val="00217764"/>
    <w:rsid w:val="00217BBE"/>
    <w:rsid w:val="00220261"/>
    <w:rsid w:val="002206EB"/>
    <w:rsid w:val="00220DB2"/>
    <w:rsid w:val="0022194F"/>
    <w:rsid w:val="00221D17"/>
    <w:rsid w:val="00222064"/>
    <w:rsid w:val="00222652"/>
    <w:rsid w:val="002229C8"/>
    <w:rsid w:val="00223B49"/>
    <w:rsid w:val="00223D5A"/>
    <w:rsid w:val="00224DD4"/>
    <w:rsid w:val="00225008"/>
    <w:rsid w:val="00225B60"/>
    <w:rsid w:val="00226597"/>
    <w:rsid w:val="00226626"/>
    <w:rsid w:val="00226C7E"/>
    <w:rsid w:val="002278A0"/>
    <w:rsid w:val="00227FE9"/>
    <w:rsid w:val="002309CC"/>
    <w:rsid w:val="00230DB1"/>
    <w:rsid w:val="00231959"/>
    <w:rsid w:val="0023209F"/>
    <w:rsid w:val="00232807"/>
    <w:rsid w:val="0023288B"/>
    <w:rsid w:val="00232AB3"/>
    <w:rsid w:val="00233B34"/>
    <w:rsid w:val="00233C01"/>
    <w:rsid w:val="0023413C"/>
    <w:rsid w:val="002346F0"/>
    <w:rsid w:val="00235650"/>
    <w:rsid w:val="0023598B"/>
    <w:rsid w:val="0023629D"/>
    <w:rsid w:val="00237255"/>
    <w:rsid w:val="002424AF"/>
    <w:rsid w:val="00243078"/>
    <w:rsid w:val="002439DC"/>
    <w:rsid w:val="00244092"/>
    <w:rsid w:val="002441D2"/>
    <w:rsid w:val="002446E3"/>
    <w:rsid w:val="00244DC8"/>
    <w:rsid w:val="002458BA"/>
    <w:rsid w:val="00245CE9"/>
    <w:rsid w:val="00245E41"/>
    <w:rsid w:val="00245F24"/>
    <w:rsid w:val="00246027"/>
    <w:rsid w:val="0024636C"/>
    <w:rsid w:val="00246485"/>
    <w:rsid w:val="00246B85"/>
    <w:rsid w:val="00246F94"/>
    <w:rsid w:val="002475DC"/>
    <w:rsid w:val="00247840"/>
    <w:rsid w:val="00247925"/>
    <w:rsid w:val="00247A8A"/>
    <w:rsid w:val="0025055C"/>
    <w:rsid w:val="00251006"/>
    <w:rsid w:val="002516DE"/>
    <w:rsid w:val="00251964"/>
    <w:rsid w:val="002519E4"/>
    <w:rsid w:val="002524D5"/>
    <w:rsid w:val="002531BC"/>
    <w:rsid w:val="0025365A"/>
    <w:rsid w:val="00253B1D"/>
    <w:rsid w:val="00253C8D"/>
    <w:rsid w:val="00253FA0"/>
    <w:rsid w:val="00254DCF"/>
    <w:rsid w:val="0025534B"/>
    <w:rsid w:val="00255BB7"/>
    <w:rsid w:val="00255C4A"/>
    <w:rsid w:val="00255FE3"/>
    <w:rsid w:val="00256FE6"/>
    <w:rsid w:val="0025709E"/>
    <w:rsid w:val="00257541"/>
    <w:rsid w:val="00257A39"/>
    <w:rsid w:val="00257AC4"/>
    <w:rsid w:val="00257EEA"/>
    <w:rsid w:val="002605EE"/>
    <w:rsid w:val="002607F4"/>
    <w:rsid w:val="002607F5"/>
    <w:rsid w:val="00261119"/>
    <w:rsid w:val="00261276"/>
    <w:rsid w:val="002616BC"/>
    <w:rsid w:val="00261A98"/>
    <w:rsid w:val="00261EEF"/>
    <w:rsid w:val="0026213F"/>
    <w:rsid w:val="002628C3"/>
    <w:rsid w:val="00262A1A"/>
    <w:rsid w:val="00262A2E"/>
    <w:rsid w:val="00262A87"/>
    <w:rsid w:val="00263614"/>
    <w:rsid w:val="00264228"/>
    <w:rsid w:val="00264D26"/>
    <w:rsid w:val="0026529C"/>
    <w:rsid w:val="00265A03"/>
    <w:rsid w:val="00265DDC"/>
    <w:rsid w:val="0026726D"/>
    <w:rsid w:val="00267642"/>
    <w:rsid w:val="00267AEA"/>
    <w:rsid w:val="00267CE6"/>
    <w:rsid w:val="002700E6"/>
    <w:rsid w:val="002720E8"/>
    <w:rsid w:val="00272386"/>
    <w:rsid w:val="0027294B"/>
    <w:rsid w:val="00273DD5"/>
    <w:rsid w:val="00273EB4"/>
    <w:rsid w:val="0027430E"/>
    <w:rsid w:val="00274406"/>
    <w:rsid w:val="00274682"/>
    <w:rsid w:val="00275452"/>
    <w:rsid w:val="0027560B"/>
    <w:rsid w:val="00275817"/>
    <w:rsid w:val="00275C5A"/>
    <w:rsid w:val="002763FD"/>
    <w:rsid w:val="0027687E"/>
    <w:rsid w:val="00276B73"/>
    <w:rsid w:val="002800DA"/>
    <w:rsid w:val="00281014"/>
    <w:rsid w:val="0028154E"/>
    <w:rsid w:val="00282D68"/>
    <w:rsid w:val="00282EC7"/>
    <w:rsid w:val="00283F9B"/>
    <w:rsid w:val="002842B6"/>
    <w:rsid w:val="002842DE"/>
    <w:rsid w:val="0028665D"/>
    <w:rsid w:val="00286891"/>
    <w:rsid w:val="00286D77"/>
    <w:rsid w:val="002871E2"/>
    <w:rsid w:val="002873B5"/>
    <w:rsid w:val="00287DA9"/>
    <w:rsid w:val="00290406"/>
    <w:rsid w:val="00290547"/>
    <w:rsid w:val="00291F08"/>
    <w:rsid w:val="002925A3"/>
    <w:rsid w:val="00293C3A"/>
    <w:rsid w:val="00294804"/>
    <w:rsid w:val="00294E1C"/>
    <w:rsid w:val="00294E97"/>
    <w:rsid w:val="00295C6B"/>
    <w:rsid w:val="00295D65"/>
    <w:rsid w:val="002962C8"/>
    <w:rsid w:val="00296C4F"/>
    <w:rsid w:val="00296C67"/>
    <w:rsid w:val="002A02D0"/>
    <w:rsid w:val="002A106B"/>
    <w:rsid w:val="002A14AB"/>
    <w:rsid w:val="002A2ADE"/>
    <w:rsid w:val="002A2F50"/>
    <w:rsid w:val="002A330C"/>
    <w:rsid w:val="002A4853"/>
    <w:rsid w:val="002A5744"/>
    <w:rsid w:val="002A5D20"/>
    <w:rsid w:val="002A60C6"/>
    <w:rsid w:val="002A713F"/>
    <w:rsid w:val="002B05A1"/>
    <w:rsid w:val="002B09A4"/>
    <w:rsid w:val="002B18F8"/>
    <w:rsid w:val="002B1C1F"/>
    <w:rsid w:val="002B223E"/>
    <w:rsid w:val="002B256E"/>
    <w:rsid w:val="002B2CB3"/>
    <w:rsid w:val="002B38C1"/>
    <w:rsid w:val="002B432F"/>
    <w:rsid w:val="002B4460"/>
    <w:rsid w:val="002B4938"/>
    <w:rsid w:val="002B4A96"/>
    <w:rsid w:val="002B53F0"/>
    <w:rsid w:val="002B62B3"/>
    <w:rsid w:val="002B6754"/>
    <w:rsid w:val="002B6CCE"/>
    <w:rsid w:val="002C0820"/>
    <w:rsid w:val="002C093C"/>
    <w:rsid w:val="002C0A67"/>
    <w:rsid w:val="002C111F"/>
    <w:rsid w:val="002C122A"/>
    <w:rsid w:val="002C1C13"/>
    <w:rsid w:val="002C2022"/>
    <w:rsid w:val="002C2334"/>
    <w:rsid w:val="002C2510"/>
    <w:rsid w:val="002C2775"/>
    <w:rsid w:val="002C27C1"/>
    <w:rsid w:val="002C39D0"/>
    <w:rsid w:val="002C3C77"/>
    <w:rsid w:val="002C3EF9"/>
    <w:rsid w:val="002C4225"/>
    <w:rsid w:val="002C5099"/>
    <w:rsid w:val="002C55C5"/>
    <w:rsid w:val="002C5889"/>
    <w:rsid w:val="002C5EBB"/>
    <w:rsid w:val="002C626F"/>
    <w:rsid w:val="002C6A8E"/>
    <w:rsid w:val="002C6E48"/>
    <w:rsid w:val="002C71CE"/>
    <w:rsid w:val="002C731A"/>
    <w:rsid w:val="002C77B7"/>
    <w:rsid w:val="002C7F85"/>
    <w:rsid w:val="002D08F8"/>
    <w:rsid w:val="002D197E"/>
    <w:rsid w:val="002D2961"/>
    <w:rsid w:val="002D2AE1"/>
    <w:rsid w:val="002D3785"/>
    <w:rsid w:val="002D45FA"/>
    <w:rsid w:val="002D577C"/>
    <w:rsid w:val="002D5876"/>
    <w:rsid w:val="002D5EA3"/>
    <w:rsid w:val="002D62A0"/>
    <w:rsid w:val="002D6790"/>
    <w:rsid w:val="002D7300"/>
    <w:rsid w:val="002D7435"/>
    <w:rsid w:val="002D75AC"/>
    <w:rsid w:val="002D76B7"/>
    <w:rsid w:val="002D7FE1"/>
    <w:rsid w:val="002E052E"/>
    <w:rsid w:val="002E1071"/>
    <w:rsid w:val="002E1492"/>
    <w:rsid w:val="002E15B9"/>
    <w:rsid w:val="002E173D"/>
    <w:rsid w:val="002E17E5"/>
    <w:rsid w:val="002E2158"/>
    <w:rsid w:val="002E2F83"/>
    <w:rsid w:val="002E4392"/>
    <w:rsid w:val="002E4F02"/>
    <w:rsid w:val="002E50F4"/>
    <w:rsid w:val="002E5731"/>
    <w:rsid w:val="002E5854"/>
    <w:rsid w:val="002E5AEA"/>
    <w:rsid w:val="002E5FA2"/>
    <w:rsid w:val="002E6242"/>
    <w:rsid w:val="002E62E9"/>
    <w:rsid w:val="002E6575"/>
    <w:rsid w:val="002E7722"/>
    <w:rsid w:val="002E7996"/>
    <w:rsid w:val="002F00B0"/>
    <w:rsid w:val="002F0405"/>
    <w:rsid w:val="002F072C"/>
    <w:rsid w:val="002F07BA"/>
    <w:rsid w:val="002F083B"/>
    <w:rsid w:val="002F0BDE"/>
    <w:rsid w:val="002F0DA9"/>
    <w:rsid w:val="002F1014"/>
    <w:rsid w:val="002F103A"/>
    <w:rsid w:val="002F1F2B"/>
    <w:rsid w:val="002F212C"/>
    <w:rsid w:val="002F2393"/>
    <w:rsid w:val="002F2BBC"/>
    <w:rsid w:val="002F2C56"/>
    <w:rsid w:val="002F3219"/>
    <w:rsid w:val="002F3303"/>
    <w:rsid w:val="002F35D7"/>
    <w:rsid w:val="002F3682"/>
    <w:rsid w:val="002F4E00"/>
    <w:rsid w:val="002F643C"/>
    <w:rsid w:val="002F64AA"/>
    <w:rsid w:val="002F6B74"/>
    <w:rsid w:val="002F71C0"/>
    <w:rsid w:val="002F74F1"/>
    <w:rsid w:val="002F7684"/>
    <w:rsid w:val="00300083"/>
    <w:rsid w:val="00300526"/>
    <w:rsid w:val="00301017"/>
    <w:rsid w:val="0030155F"/>
    <w:rsid w:val="003016B2"/>
    <w:rsid w:val="00301B13"/>
    <w:rsid w:val="00301D0A"/>
    <w:rsid w:val="00302D85"/>
    <w:rsid w:val="00302E9F"/>
    <w:rsid w:val="0030331D"/>
    <w:rsid w:val="003037BD"/>
    <w:rsid w:val="00304F0A"/>
    <w:rsid w:val="003052AE"/>
    <w:rsid w:val="003055A6"/>
    <w:rsid w:val="00305604"/>
    <w:rsid w:val="0030587B"/>
    <w:rsid w:val="003067DC"/>
    <w:rsid w:val="00306D98"/>
    <w:rsid w:val="00307109"/>
    <w:rsid w:val="00307132"/>
    <w:rsid w:val="0030772F"/>
    <w:rsid w:val="0030786C"/>
    <w:rsid w:val="0031031A"/>
    <w:rsid w:val="003108FB"/>
    <w:rsid w:val="00310981"/>
    <w:rsid w:val="00311925"/>
    <w:rsid w:val="0031234F"/>
    <w:rsid w:val="003124D9"/>
    <w:rsid w:val="00312594"/>
    <w:rsid w:val="00313DD8"/>
    <w:rsid w:val="003147F2"/>
    <w:rsid w:val="00314CD9"/>
    <w:rsid w:val="00315465"/>
    <w:rsid w:val="00315498"/>
    <w:rsid w:val="00315954"/>
    <w:rsid w:val="00315A00"/>
    <w:rsid w:val="00316474"/>
    <w:rsid w:val="00316B2F"/>
    <w:rsid w:val="0031765E"/>
    <w:rsid w:val="00320C94"/>
    <w:rsid w:val="00320F8F"/>
    <w:rsid w:val="0032153A"/>
    <w:rsid w:val="003216E6"/>
    <w:rsid w:val="00322107"/>
    <w:rsid w:val="00322355"/>
    <w:rsid w:val="00322846"/>
    <w:rsid w:val="00322C1E"/>
    <w:rsid w:val="00322C49"/>
    <w:rsid w:val="0032396F"/>
    <w:rsid w:val="0032454B"/>
    <w:rsid w:val="003247F9"/>
    <w:rsid w:val="00326DA7"/>
    <w:rsid w:val="003270E4"/>
    <w:rsid w:val="00327324"/>
    <w:rsid w:val="00327CB1"/>
    <w:rsid w:val="003304E2"/>
    <w:rsid w:val="00330DAA"/>
    <w:rsid w:val="00330F5C"/>
    <w:rsid w:val="00331990"/>
    <w:rsid w:val="003331B9"/>
    <w:rsid w:val="003341C2"/>
    <w:rsid w:val="00334DD6"/>
    <w:rsid w:val="00335B5F"/>
    <w:rsid w:val="00335F8A"/>
    <w:rsid w:val="003361C1"/>
    <w:rsid w:val="003366C9"/>
    <w:rsid w:val="00336EA9"/>
    <w:rsid w:val="003371B0"/>
    <w:rsid w:val="00337924"/>
    <w:rsid w:val="003401B7"/>
    <w:rsid w:val="00340632"/>
    <w:rsid w:val="00340951"/>
    <w:rsid w:val="00340DF1"/>
    <w:rsid w:val="00341786"/>
    <w:rsid w:val="00341941"/>
    <w:rsid w:val="00341D97"/>
    <w:rsid w:val="0034237F"/>
    <w:rsid w:val="00342EA3"/>
    <w:rsid w:val="00342FD3"/>
    <w:rsid w:val="0034325E"/>
    <w:rsid w:val="00343611"/>
    <w:rsid w:val="00343A38"/>
    <w:rsid w:val="003446E6"/>
    <w:rsid w:val="0034509A"/>
    <w:rsid w:val="0034520B"/>
    <w:rsid w:val="00345226"/>
    <w:rsid w:val="00345987"/>
    <w:rsid w:val="00346AE4"/>
    <w:rsid w:val="00346B1E"/>
    <w:rsid w:val="00347D6C"/>
    <w:rsid w:val="00350567"/>
    <w:rsid w:val="0035060A"/>
    <w:rsid w:val="00350CBF"/>
    <w:rsid w:val="0035148F"/>
    <w:rsid w:val="003517F9"/>
    <w:rsid w:val="00351BA9"/>
    <w:rsid w:val="00353162"/>
    <w:rsid w:val="00354ACB"/>
    <w:rsid w:val="00354D34"/>
    <w:rsid w:val="00354F64"/>
    <w:rsid w:val="0035544D"/>
    <w:rsid w:val="003554EB"/>
    <w:rsid w:val="00355DF0"/>
    <w:rsid w:val="0035620E"/>
    <w:rsid w:val="00356271"/>
    <w:rsid w:val="0035662D"/>
    <w:rsid w:val="003566C6"/>
    <w:rsid w:val="00356BD2"/>
    <w:rsid w:val="00357CDE"/>
    <w:rsid w:val="00360021"/>
    <w:rsid w:val="00360345"/>
    <w:rsid w:val="00360CE7"/>
    <w:rsid w:val="0036173D"/>
    <w:rsid w:val="00361A05"/>
    <w:rsid w:val="00361E06"/>
    <w:rsid w:val="003624C4"/>
    <w:rsid w:val="00363142"/>
    <w:rsid w:val="003633F2"/>
    <w:rsid w:val="00363497"/>
    <w:rsid w:val="003637E0"/>
    <w:rsid w:val="00363998"/>
    <w:rsid w:val="00363B00"/>
    <w:rsid w:val="00363DF0"/>
    <w:rsid w:val="0036436B"/>
    <w:rsid w:val="003654AC"/>
    <w:rsid w:val="003654E4"/>
    <w:rsid w:val="00365A9D"/>
    <w:rsid w:val="00365BC7"/>
    <w:rsid w:val="00365C02"/>
    <w:rsid w:val="00365EC7"/>
    <w:rsid w:val="003668B3"/>
    <w:rsid w:val="00366921"/>
    <w:rsid w:val="00366CEC"/>
    <w:rsid w:val="00367110"/>
    <w:rsid w:val="00370987"/>
    <w:rsid w:val="003710CF"/>
    <w:rsid w:val="0037132D"/>
    <w:rsid w:val="00371E89"/>
    <w:rsid w:val="003720B6"/>
    <w:rsid w:val="003728D3"/>
    <w:rsid w:val="00373135"/>
    <w:rsid w:val="0037358A"/>
    <w:rsid w:val="00373B30"/>
    <w:rsid w:val="00373FB4"/>
    <w:rsid w:val="003747D3"/>
    <w:rsid w:val="003750F6"/>
    <w:rsid w:val="00375D34"/>
    <w:rsid w:val="003760FC"/>
    <w:rsid w:val="00376403"/>
    <w:rsid w:val="00376F5F"/>
    <w:rsid w:val="0037791E"/>
    <w:rsid w:val="00377F6F"/>
    <w:rsid w:val="003802A9"/>
    <w:rsid w:val="00381250"/>
    <w:rsid w:val="003816F0"/>
    <w:rsid w:val="003822EF"/>
    <w:rsid w:val="0038365C"/>
    <w:rsid w:val="0038369B"/>
    <w:rsid w:val="00383B78"/>
    <w:rsid w:val="0038528B"/>
    <w:rsid w:val="003852F6"/>
    <w:rsid w:val="00385643"/>
    <w:rsid w:val="003857E3"/>
    <w:rsid w:val="003859C0"/>
    <w:rsid w:val="00385A9D"/>
    <w:rsid w:val="00385DA5"/>
    <w:rsid w:val="00386188"/>
    <w:rsid w:val="0038625B"/>
    <w:rsid w:val="0038690F"/>
    <w:rsid w:val="0038744C"/>
    <w:rsid w:val="003902B1"/>
    <w:rsid w:val="00390CC1"/>
    <w:rsid w:val="00390D5B"/>
    <w:rsid w:val="0039179C"/>
    <w:rsid w:val="00391B32"/>
    <w:rsid w:val="003938D3"/>
    <w:rsid w:val="00393D98"/>
    <w:rsid w:val="00393E2A"/>
    <w:rsid w:val="0039452E"/>
    <w:rsid w:val="0039465A"/>
    <w:rsid w:val="0039512C"/>
    <w:rsid w:val="003953B2"/>
    <w:rsid w:val="00395CD4"/>
    <w:rsid w:val="00395EF5"/>
    <w:rsid w:val="003964EE"/>
    <w:rsid w:val="003965A4"/>
    <w:rsid w:val="00396627"/>
    <w:rsid w:val="00396896"/>
    <w:rsid w:val="00396FD0"/>
    <w:rsid w:val="00397E66"/>
    <w:rsid w:val="003A0A6B"/>
    <w:rsid w:val="003A0F08"/>
    <w:rsid w:val="003A144B"/>
    <w:rsid w:val="003A1A7A"/>
    <w:rsid w:val="003A1F10"/>
    <w:rsid w:val="003A2392"/>
    <w:rsid w:val="003A2831"/>
    <w:rsid w:val="003A3816"/>
    <w:rsid w:val="003A39A9"/>
    <w:rsid w:val="003A3CB6"/>
    <w:rsid w:val="003A3ED1"/>
    <w:rsid w:val="003A435D"/>
    <w:rsid w:val="003A44DB"/>
    <w:rsid w:val="003A4A72"/>
    <w:rsid w:val="003A4D3F"/>
    <w:rsid w:val="003A5059"/>
    <w:rsid w:val="003A50D6"/>
    <w:rsid w:val="003A6CA2"/>
    <w:rsid w:val="003A7048"/>
    <w:rsid w:val="003A7482"/>
    <w:rsid w:val="003A75AB"/>
    <w:rsid w:val="003A79A4"/>
    <w:rsid w:val="003A7C9D"/>
    <w:rsid w:val="003A7E18"/>
    <w:rsid w:val="003B0F0E"/>
    <w:rsid w:val="003B1369"/>
    <w:rsid w:val="003B15F4"/>
    <w:rsid w:val="003B1EB8"/>
    <w:rsid w:val="003B1EC8"/>
    <w:rsid w:val="003B205A"/>
    <w:rsid w:val="003B2382"/>
    <w:rsid w:val="003B3791"/>
    <w:rsid w:val="003B3971"/>
    <w:rsid w:val="003B55D1"/>
    <w:rsid w:val="003B585D"/>
    <w:rsid w:val="003B5B61"/>
    <w:rsid w:val="003B6427"/>
    <w:rsid w:val="003B660C"/>
    <w:rsid w:val="003B6A1C"/>
    <w:rsid w:val="003B6F7A"/>
    <w:rsid w:val="003B7E0B"/>
    <w:rsid w:val="003C0033"/>
    <w:rsid w:val="003C0939"/>
    <w:rsid w:val="003C0FC1"/>
    <w:rsid w:val="003C1654"/>
    <w:rsid w:val="003C1F59"/>
    <w:rsid w:val="003C348D"/>
    <w:rsid w:val="003C3C4F"/>
    <w:rsid w:val="003C41A0"/>
    <w:rsid w:val="003C52DC"/>
    <w:rsid w:val="003C5542"/>
    <w:rsid w:val="003C7D19"/>
    <w:rsid w:val="003C7D2F"/>
    <w:rsid w:val="003D0611"/>
    <w:rsid w:val="003D13B1"/>
    <w:rsid w:val="003D13DC"/>
    <w:rsid w:val="003D1767"/>
    <w:rsid w:val="003D1828"/>
    <w:rsid w:val="003D1D9D"/>
    <w:rsid w:val="003D1DE4"/>
    <w:rsid w:val="003D1E9A"/>
    <w:rsid w:val="003D2422"/>
    <w:rsid w:val="003D268E"/>
    <w:rsid w:val="003D2CD8"/>
    <w:rsid w:val="003D3351"/>
    <w:rsid w:val="003D39A1"/>
    <w:rsid w:val="003D3FBF"/>
    <w:rsid w:val="003D412B"/>
    <w:rsid w:val="003D41BC"/>
    <w:rsid w:val="003D41F9"/>
    <w:rsid w:val="003D462B"/>
    <w:rsid w:val="003D47A7"/>
    <w:rsid w:val="003D4A30"/>
    <w:rsid w:val="003D4D78"/>
    <w:rsid w:val="003D6781"/>
    <w:rsid w:val="003D6952"/>
    <w:rsid w:val="003D7162"/>
    <w:rsid w:val="003D7452"/>
    <w:rsid w:val="003D79BB"/>
    <w:rsid w:val="003D7C98"/>
    <w:rsid w:val="003D7D9D"/>
    <w:rsid w:val="003E03C1"/>
    <w:rsid w:val="003E0543"/>
    <w:rsid w:val="003E0E37"/>
    <w:rsid w:val="003E13BA"/>
    <w:rsid w:val="003E187B"/>
    <w:rsid w:val="003E1F36"/>
    <w:rsid w:val="003E3325"/>
    <w:rsid w:val="003E5158"/>
    <w:rsid w:val="003E5383"/>
    <w:rsid w:val="003E7427"/>
    <w:rsid w:val="003E749E"/>
    <w:rsid w:val="003E787D"/>
    <w:rsid w:val="003E7918"/>
    <w:rsid w:val="003F10CA"/>
    <w:rsid w:val="003F1AB1"/>
    <w:rsid w:val="003F2782"/>
    <w:rsid w:val="003F3116"/>
    <w:rsid w:val="003F3BB4"/>
    <w:rsid w:val="003F4156"/>
    <w:rsid w:val="003F43CA"/>
    <w:rsid w:val="003F4428"/>
    <w:rsid w:val="003F4D17"/>
    <w:rsid w:val="003F4F71"/>
    <w:rsid w:val="003F5273"/>
    <w:rsid w:val="003F5732"/>
    <w:rsid w:val="003F5884"/>
    <w:rsid w:val="003F5ADF"/>
    <w:rsid w:val="003F71DD"/>
    <w:rsid w:val="003F79B7"/>
    <w:rsid w:val="00400082"/>
    <w:rsid w:val="00400B29"/>
    <w:rsid w:val="0040135E"/>
    <w:rsid w:val="0040228F"/>
    <w:rsid w:val="004028C1"/>
    <w:rsid w:val="0040294E"/>
    <w:rsid w:val="00402ECA"/>
    <w:rsid w:val="00403A9B"/>
    <w:rsid w:val="00403FCD"/>
    <w:rsid w:val="004041F3"/>
    <w:rsid w:val="004043CD"/>
    <w:rsid w:val="0040504B"/>
    <w:rsid w:val="004059F4"/>
    <w:rsid w:val="00406FEA"/>
    <w:rsid w:val="00407FE5"/>
    <w:rsid w:val="004101B0"/>
    <w:rsid w:val="00410326"/>
    <w:rsid w:val="00410708"/>
    <w:rsid w:val="00410752"/>
    <w:rsid w:val="00410EC7"/>
    <w:rsid w:val="00411B39"/>
    <w:rsid w:val="00412517"/>
    <w:rsid w:val="00412633"/>
    <w:rsid w:val="004127A7"/>
    <w:rsid w:val="0041298F"/>
    <w:rsid w:val="004129E2"/>
    <w:rsid w:val="00412ED3"/>
    <w:rsid w:val="00413163"/>
    <w:rsid w:val="004137D0"/>
    <w:rsid w:val="00413A1E"/>
    <w:rsid w:val="00413B39"/>
    <w:rsid w:val="00413C8B"/>
    <w:rsid w:val="00414476"/>
    <w:rsid w:val="00414C2E"/>
    <w:rsid w:val="004151CF"/>
    <w:rsid w:val="00415250"/>
    <w:rsid w:val="00415828"/>
    <w:rsid w:val="00415950"/>
    <w:rsid w:val="00415A40"/>
    <w:rsid w:val="00415DEB"/>
    <w:rsid w:val="00416364"/>
    <w:rsid w:val="004166FE"/>
    <w:rsid w:val="004167D8"/>
    <w:rsid w:val="00417230"/>
    <w:rsid w:val="00417FBC"/>
    <w:rsid w:val="004202BE"/>
    <w:rsid w:val="0042047F"/>
    <w:rsid w:val="00420AA6"/>
    <w:rsid w:val="00420B9F"/>
    <w:rsid w:val="0042192C"/>
    <w:rsid w:val="00421E18"/>
    <w:rsid w:val="00422260"/>
    <w:rsid w:val="0042413F"/>
    <w:rsid w:val="00424C95"/>
    <w:rsid w:val="004256EC"/>
    <w:rsid w:val="00425B58"/>
    <w:rsid w:val="00425E73"/>
    <w:rsid w:val="00426124"/>
    <w:rsid w:val="00426282"/>
    <w:rsid w:val="004277EF"/>
    <w:rsid w:val="00427ED2"/>
    <w:rsid w:val="00430373"/>
    <w:rsid w:val="004319F8"/>
    <w:rsid w:val="00431B6E"/>
    <w:rsid w:val="00431DAD"/>
    <w:rsid w:val="00431E55"/>
    <w:rsid w:val="004321F6"/>
    <w:rsid w:val="00433026"/>
    <w:rsid w:val="00433044"/>
    <w:rsid w:val="004337FF"/>
    <w:rsid w:val="00434088"/>
    <w:rsid w:val="004375B9"/>
    <w:rsid w:val="00437DE2"/>
    <w:rsid w:val="00437E35"/>
    <w:rsid w:val="00441B3E"/>
    <w:rsid w:val="004428D0"/>
    <w:rsid w:val="004437B7"/>
    <w:rsid w:val="00443B3C"/>
    <w:rsid w:val="00443B44"/>
    <w:rsid w:val="00444185"/>
    <w:rsid w:val="004441FF"/>
    <w:rsid w:val="00444374"/>
    <w:rsid w:val="004443A7"/>
    <w:rsid w:val="0044442C"/>
    <w:rsid w:val="00444E8C"/>
    <w:rsid w:val="004451DF"/>
    <w:rsid w:val="00445941"/>
    <w:rsid w:val="00445F1F"/>
    <w:rsid w:val="004460CD"/>
    <w:rsid w:val="004464EB"/>
    <w:rsid w:val="0044673A"/>
    <w:rsid w:val="004467E7"/>
    <w:rsid w:val="00447763"/>
    <w:rsid w:val="00447C2D"/>
    <w:rsid w:val="00447D26"/>
    <w:rsid w:val="00447DFC"/>
    <w:rsid w:val="00447E9F"/>
    <w:rsid w:val="00450944"/>
    <w:rsid w:val="00450F38"/>
    <w:rsid w:val="004513CB"/>
    <w:rsid w:val="00452E19"/>
    <w:rsid w:val="00453B02"/>
    <w:rsid w:val="004558FB"/>
    <w:rsid w:val="00455CCA"/>
    <w:rsid w:val="00455D45"/>
    <w:rsid w:val="00456266"/>
    <w:rsid w:val="004575D4"/>
    <w:rsid w:val="0046078C"/>
    <w:rsid w:val="00460F2B"/>
    <w:rsid w:val="00461150"/>
    <w:rsid w:val="00464595"/>
    <w:rsid w:val="004658B5"/>
    <w:rsid w:val="004667F1"/>
    <w:rsid w:val="0047163E"/>
    <w:rsid w:val="0047177B"/>
    <w:rsid w:val="00471EA5"/>
    <w:rsid w:val="00472A79"/>
    <w:rsid w:val="00472FA0"/>
    <w:rsid w:val="00473F19"/>
    <w:rsid w:val="00474828"/>
    <w:rsid w:val="004754FC"/>
    <w:rsid w:val="00475E22"/>
    <w:rsid w:val="00476057"/>
    <w:rsid w:val="004763A3"/>
    <w:rsid w:val="004772BC"/>
    <w:rsid w:val="004777D5"/>
    <w:rsid w:val="0048088E"/>
    <w:rsid w:val="00480F2B"/>
    <w:rsid w:val="00481C1F"/>
    <w:rsid w:val="0048210A"/>
    <w:rsid w:val="00482720"/>
    <w:rsid w:val="00482D51"/>
    <w:rsid w:val="004831F1"/>
    <w:rsid w:val="0048338C"/>
    <w:rsid w:val="004835E7"/>
    <w:rsid w:val="00483C21"/>
    <w:rsid w:val="004840A4"/>
    <w:rsid w:val="00484B83"/>
    <w:rsid w:val="00484CB0"/>
    <w:rsid w:val="00484FC7"/>
    <w:rsid w:val="00485666"/>
    <w:rsid w:val="00485DE9"/>
    <w:rsid w:val="00485E73"/>
    <w:rsid w:val="00486014"/>
    <w:rsid w:val="004867E2"/>
    <w:rsid w:val="004869BA"/>
    <w:rsid w:val="00486C11"/>
    <w:rsid w:val="00487143"/>
    <w:rsid w:val="00490AA5"/>
    <w:rsid w:val="00490B17"/>
    <w:rsid w:val="004915FA"/>
    <w:rsid w:val="00491B3A"/>
    <w:rsid w:val="00491E73"/>
    <w:rsid w:val="00491FD7"/>
    <w:rsid w:val="00492CFD"/>
    <w:rsid w:val="00494207"/>
    <w:rsid w:val="00494DD5"/>
    <w:rsid w:val="00495DCD"/>
    <w:rsid w:val="004962D2"/>
    <w:rsid w:val="00496D3F"/>
    <w:rsid w:val="00496EE5"/>
    <w:rsid w:val="00496F5F"/>
    <w:rsid w:val="004A0DA1"/>
    <w:rsid w:val="004A0DB2"/>
    <w:rsid w:val="004A0F8E"/>
    <w:rsid w:val="004A13D6"/>
    <w:rsid w:val="004A1B3A"/>
    <w:rsid w:val="004A3927"/>
    <w:rsid w:val="004A420F"/>
    <w:rsid w:val="004A4781"/>
    <w:rsid w:val="004A4999"/>
    <w:rsid w:val="004A52E9"/>
    <w:rsid w:val="004A5692"/>
    <w:rsid w:val="004A6040"/>
    <w:rsid w:val="004A6597"/>
    <w:rsid w:val="004A7848"/>
    <w:rsid w:val="004A7CCE"/>
    <w:rsid w:val="004B03ED"/>
    <w:rsid w:val="004B0ED4"/>
    <w:rsid w:val="004B1115"/>
    <w:rsid w:val="004B1CB4"/>
    <w:rsid w:val="004B1CCB"/>
    <w:rsid w:val="004B1E35"/>
    <w:rsid w:val="004B2759"/>
    <w:rsid w:val="004B2A1F"/>
    <w:rsid w:val="004B2F18"/>
    <w:rsid w:val="004B3DDB"/>
    <w:rsid w:val="004B44FD"/>
    <w:rsid w:val="004B4A24"/>
    <w:rsid w:val="004B4ED3"/>
    <w:rsid w:val="004B511A"/>
    <w:rsid w:val="004B5CFC"/>
    <w:rsid w:val="004B6F79"/>
    <w:rsid w:val="004B774D"/>
    <w:rsid w:val="004B778C"/>
    <w:rsid w:val="004C2820"/>
    <w:rsid w:val="004C337F"/>
    <w:rsid w:val="004C33C9"/>
    <w:rsid w:val="004C3903"/>
    <w:rsid w:val="004C3C11"/>
    <w:rsid w:val="004C3C84"/>
    <w:rsid w:val="004C4709"/>
    <w:rsid w:val="004C4AED"/>
    <w:rsid w:val="004C4D7F"/>
    <w:rsid w:val="004C4FA0"/>
    <w:rsid w:val="004C562A"/>
    <w:rsid w:val="004C5E30"/>
    <w:rsid w:val="004C6308"/>
    <w:rsid w:val="004C7AF6"/>
    <w:rsid w:val="004C7C23"/>
    <w:rsid w:val="004D1797"/>
    <w:rsid w:val="004D1D90"/>
    <w:rsid w:val="004D1FAA"/>
    <w:rsid w:val="004D2591"/>
    <w:rsid w:val="004D2C2D"/>
    <w:rsid w:val="004D2C7E"/>
    <w:rsid w:val="004D4D9E"/>
    <w:rsid w:val="004D51C4"/>
    <w:rsid w:val="004D5895"/>
    <w:rsid w:val="004D69B5"/>
    <w:rsid w:val="004D71F8"/>
    <w:rsid w:val="004D7227"/>
    <w:rsid w:val="004D750E"/>
    <w:rsid w:val="004D7E8D"/>
    <w:rsid w:val="004E0420"/>
    <w:rsid w:val="004E0D83"/>
    <w:rsid w:val="004E0E7F"/>
    <w:rsid w:val="004E0EB8"/>
    <w:rsid w:val="004E18E9"/>
    <w:rsid w:val="004E2034"/>
    <w:rsid w:val="004E2422"/>
    <w:rsid w:val="004E27B0"/>
    <w:rsid w:val="004E2ADC"/>
    <w:rsid w:val="004E2B7E"/>
    <w:rsid w:val="004E30C6"/>
    <w:rsid w:val="004E3124"/>
    <w:rsid w:val="004E3E96"/>
    <w:rsid w:val="004E40DF"/>
    <w:rsid w:val="004E420F"/>
    <w:rsid w:val="004E43B2"/>
    <w:rsid w:val="004E5005"/>
    <w:rsid w:val="004E506A"/>
    <w:rsid w:val="004E51F6"/>
    <w:rsid w:val="004E61D7"/>
    <w:rsid w:val="004E6765"/>
    <w:rsid w:val="004E77F4"/>
    <w:rsid w:val="004E7FDA"/>
    <w:rsid w:val="004F0400"/>
    <w:rsid w:val="004F0D8F"/>
    <w:rsid w:val="004F13CE"/>
    <w:rsid w:val="004F1641"/>
    <w:rsid w:val="004F1BC9"/>
    <w:rsid w:val="004F1D02"/>
    <w:rsid w:val="004F1FA0"/>
    <w:rsid w:val="004F2679"/>
    <w:rsid w:val="004F2F21"/>
    <w:rsid w:val="004F3195"/>
    <w:rsid w:val="004F3415"/>
    <w:rsid w:val="004F3DE5"/>
    <w:rsid w:val="004F4200"/>
    <w:rsid w:val="004F4EAA"/>
    <w:rsid w:val="004F4EB2"/>
    <w:rsid w:val="004F55BB"/>
    <w:rsid w:val="004F5AAA"/>
    <w:rsid w:val="004F6913"/>
    <w:rsid w:val="004F6C74"/>
    <w:rsid w:val="004F75C3"/>
    <w:rsid w:val="004F7865"/>
    <w:rsid w:val="004F7E6D"/>
    <w:rsid w:val="00500305"/>
    <w:rsid w:val="0050076A"/>
    <w:rsid w:val="005008B5"/>
    <w:rsid w:val="005009E7"/>
    <w:rsid w:val="00500B4A"/>
    <w:rsid w:val="00501393"/>
    <w:rsid w:val="0050174E"/>
    <w:rsid w:val="00501854"/>
    <w:rsid w:val="005019B5"/>
    <w:rsid w:val="00501E76"/>
    <w:rsid w:val="0050219B"/>
    <w:rsid w:val="00502466"/>
    <w:rsid w:val="00502623"/>
    <w:rsid w:val="00503F17"/>
    <w:rsid w:val="00503F87"/>
    <w:rsid w:val="00503FE3"/>
    <w:rsid w:val="005057A1"/>
    <w:rsid w:val="00506103"/>
    <w:rsid w:val="00506695"/>
    <w:rsid w:val="00506928"/>
    <w:rsid w:val="00506C51"/>
    <w:rsid w:val="00506C94"/>
    <w:rsid w:val="00507074"/>
    <w:rsid w:val="005070C1"/>
    <w:rsid w:val="005077EF"/>
    <w:rsid w:val="00507BDC"/>
    <w:rsid w:val="00511ACA"/>
    <w:rsid w:val="00511AD5"/>
    <w:rsid w:val="00511DC7"/>
    <w:rsid w:val="005123E1"/>
    <w:rsid w:val="005139B3"/>
    <w:rsid w:val="005142C5"/>
    <w:rsid w:val="0051501B"/>
    <w:rsid w:val="00515160"/>
    <w:rsid w:val="00515279"/>
    <w:rsid w:val="005152B5"/>
    <w:rsid w:val="00515BAD"/>
    <w:rsid w:val="005161E8"/>
    <w:rsid w:val="00516570"/>
    <w:rsid w:val="00516A6F"/>
    <w:rsid w:val="005205BD"/>
    <w:rsid w:val="005205F5"/>
    <w:rsid w:val="005206FF"/>
    <w:rsid w:val="00520DE3"/>
    <w:rsid w:val="0052123C"/>
    <w:rsid w:val="00521319"/>
    <w:rsid w:val="005218AE"/>
    <w:rsid w:val="00522800"/>
    <w:rsid w:val="00522BC8"/>
    <w:rsid w:val="00523C28"/>
    <w:rsid w:val="0052407F"/>
    <w:rsid w:val="00524DF3"/>
    <w:rsid w:val="00524FB1"/>
    <w:rsid w:val="00524FE5"/>
    <w:rsid w:val="005308A4"/>
    <w:rsid w:val="0053128A"/>
    <w:rsid w:val="0053176B"/>
    <w:rsid w:val="00531D5F"/>
    <w:rsid w:val="00532021"/>
    <w:rsid w:val="00532E8C"/>
    <w:rsid w:val="00532F0F"/>
    <w:rsid w:val="00532F6C"/>
    <w:rsid w:val="0053342C"/>
    <w:rsid w:val="00533B70"/>
    <w:rsid w:val="0053482F"/>
    <w:rsid w:val="00534E1D"/>
    <w:rsid w:val="00535048"/>
    <w:rsid w:val="00535502"/>
    <w:rsid w:val="0053563D"/>
    <w:rsid w:val="00535AA9"/>
    <w:rsid w:val="00535B86"/>
    <w:rsid w:val="00536151"/>
    <w:rsid w:val="00536437"/>
    <w:rsid w:val="00536DD4"/>
    <w:rsid w:val="00536F42"/>
    <w:rsid w:val="00537182"/>
    <w:rsid w:val="005375B3"/>
    <w:rsid w:val="00537C28"/>
    <w:rsid w:val="00537DEE"/>
    <w:rsid w:val="00540422"/>
    <w:rsid w:val="00541B4C"/>
    <w:rsid w:val="00541EDD"/>
    <w:rsid w:val="00542249"/>
    <w:rsid w:val="005426D2"/>
    <w:rsid w:val="00542743"/>
    <w:rsid w:val="00542C2D"/>
    <w:rsid w:val="00543273"/>
    <w:rsid w:val="0054373C"/>
    <w:rsid w:val="00543E2D"/>
    <w:rsid w:val="005446C1"/>
    <w:rsid w:val="0054471A"/>
    <w:rsid w:val="00545051"/>
    <w:rsid w:val="00545AE9"/>
    <w:rsid w:val="0054788E"/>
    <w:rsid w:val="005478BD"/>
    <w:rsid w:val="005479B2"/>
    <w:rsid w:val="005479E3"/>
    <w:rsid w:val="005515E6"/>
    <w:rsid w:val="005518F6"/>
    <w:rsid w:val="00551985"/>
    <w:rsid w:val="00552BD3"/>
    <w:rsid w:val="005532A0"/>
    <w:rsid w:val="005540B1"/>
    <w:rsid w:val="00554101"/>
    <w:rsid w:val="00554211"/>
    <w:rsid w:val="00555109"/>
    <w:rsid w:val="00555564"/>
    <w:rsid w:val="00555AB5"/>
    <w:rsid w:val="00556B35"/>
    <w:rsid w:val="005572AC"/>
    <w:rsid w:val="0055741A"/>
    <w:rsid w:val="0056079B"/>
    <w:rsid w:val="00560A41"/>
    <w:rsid w:val="00561002"/>
    <w:rsid w:val="005611B7"/>
    <w:rsid w:val="005618D4"/>
    <w:rsid w:val="00562462"/>
    <w:rsid w:val="00562552"/>
    <w:rsid w:val="00562E9B"/>
    <w:rsid w:val="00562FE2"/>
    <w:rsid w:val="005642D5"/>
    <w:rsid w:val="00564F63"/>
    <w:rsid w:val="005657E4"/>
    <w:rsid w:val="00565C97"/>
    <w:rsid w:val="00565DF0"/>
    <w:rsid w:val="0056696F"/>
    <w:rsid w:val="00566EF1"/>
    <w:rsid w:val="00567B0B"/>
    <w:rsid w:val="00567D2C"/>
    <w:rsid w:val="005714FA"/>
    <w:rsid w:val="0057164D"/>
    <w:rsid w:val="00572269"/>
    <w:rsid w:val="0057244A"/>
    <w:rsid w:val="00572F26"/>
    <w:rsid w:val="005731A8"/>
    <w:rsid w:val="0057355E"/>
    <w:rsid w:val="005738C5"/>
    <w:rsid w:val="00573996"/>
    <w:rsid w:val="00574474"/>
    <w:rsid w:val="00574C08"/>
    <w:rsid w:val="005750C5"/>
    <w:rsid w:val="005752DE"/>
    <w:rsid w:val="00575D8D"/>
    <w:rsid w:val="005762A7"/>
    <w:rsid w:val="00576972"/>
    <w:rsid w:val="00577F12"/>
    <w:rsid w:val="00580512"/>
    <w:rsid w:val="00580786"/>
    <w:rsid w:val="00580DC5"/>
    <w:rsid w:val="00580FA0"/>
    <w:rsid w:val="005816FA"/>
    <w:rsid w:val="00581B27"/>
    <w:rsid w:val="005826BF"/>
    <w:rsid w:val="00582FE9"/>
    <w:rsid w:val="00583699"/>
    <w:rsid w:val="0058456D"/>
    <w:rsid w:val="0058470D"/>
    <w:rsid w:val="00584BEA"/>
    <w:rsid w:val="005856A9"/>
    <w:rsid w:val="00585CDD"/>
    <w:rsid w:val="00585DA0"/>
    <w:rsid w:val="00586D35"/>
    <w:rsid w:val="00586E36"/>
    <w:rsid w:val="00587058"/>
    <w:rsid w:val="0058757B"/>
    <w:rsid w:val="00590880"/>
    <w:rsid w:val="00591957"/>
    <w:rsid w:val="00592A72"/>
    <w:rsid w:val="00592B96"/>
    <w:rsid w:val="00592C80"/>
    <w:rsid w:val="00592F68"/>
    <w:rsid w:val="00593752"/>
    <w:rsid w:val="00593C73"/>
    <w:rsid w:val="00594248"/>
    <w:rsid w:val="00594E3B"/>
    <w:rsid w:val="00595150"/>
    <w:rsid w:val="005959C5"/>
    <w:rsid w:val="00597964"/>
    <w:rsid w:val="00597BF9"/>
    <w:rsid w:val="005A0EE0"/>
    <w:rsid w:val="005A0F47"/>
    <w:rsid w:val="005A0FDF"/>
    <w:rsid w:val="005A1403"/>
    <w:rsid w:val="005A2B68"/>
    <w:rsid w:val="005A2E3C"/>
    <w:rsid w:val="005A309A"/>
    <w:rsid w:val="005A373D"/>
    <w:rsid w:val="005A5486"/>
    <w:rsid w:val="005A6490"/>
    <w:rsid w:val="005A7765"/>
    <w:rsid w:val="005B0101"/>
    <w:rsid w:val="005B01E9"/>
    <w:rsid w:val="005B0454"/>
    <w:rsid w:val="005B0B58"/>
    <w:rsid w:val="005B0D82"/>
    <w:rsid w:val="005B1FA7"/>
    <w:rsid w:val="005B2513"/>
    <w:rsid w:val="005B25B5"/>
    <w:rsid w:val="005B2680"/>
    <w:rsid w:val="005B2988"/>
    <w:rsid w:val="005B3A32"/>
    <w:rsid w:val="005B47F6"/>
    <w:rsid w:val="005B49AD"/>
    <w:rsid w:val="005B4E39"/>
    <w:rsid w:val="005B4E53"/>
    <w:rsid w:val="005B5857"/>
    <w:rsid w:val="005B5F87"/>
    <w:rsid w:val="005B6891"/>
    <w:rsid w:val="005B6D3A"/>
    <w:rsid w:val="005B6FE3"/>
    <w:rsid w:val="005C01F2"/>
    <w:rsid w:val="005C0222"/>
    <w:rsid w:val="005C1833"/>
    <w:rsid w:val="005C18D6"/>
    <w:rsid w:val="005C1B83"/>
    <w:rsid w:val="005C1CEE"/>
    <w:rsid w:val="005C2138"/>
    <w:rsid w:val="005C25FF"/>
    <w:rsid w:val="005C2694"/>
    <w:rsid w:val="005C26ED"/>
    <w:rsid w:val="005C2738"/>
    <w:rsid w:val="005C2D55"/>
    <w:rsid w:val="005C306A"/>
    <w:rsid w:val="005C346B"/>
    <w:rsid w:val="005C38DC"/>
    <w:rsid w:val="005C3B58"/>
    <w:rsid w:val="005C4332"/>
    <w:rsid w:val="005C5366"/>
    <w:rsid w:val="005C54B4"/>
    <w:rsid w:val="005C57A5"/>
    <w:rsid w:val="005C5AB7"/>
    <w:rsid w:val="005D02BC"/>
    <w:rsid w:val="005D044D"/>
    <w:rsid w:val="005D09F1"/>
    <w:rsid w:val="005D0ABD"/>
    <w:rsid w:val="005D18AD"/>
    <w:rsid w:val="005D1F21"/>
    <w:rsid w:val="005D26B4"/>
    <w:rsid w:val="005D2A9A"/>
    <w:rsid w:val="005D2ED0"/>
    <w:rsid w:val="005D2F13"/>
    <w:rsid w:val="005D3A70"/>
    <w:rsid w:val="005D5132"/>
    <w:rsid w:val="005D5426"/>
    <w:rsid w:val="005D54CD"/>
    <w:rsid w:val="005D58EE"/>
    <w:rsid w:val="005E013A"/>
    <w:rsid w:val="005E1CA0"/>
    <w:rsid w:val="005E25C2"/>
    <w:rsid w:val="005E3548"/>
    <w:rsid w:val="005E4201"/>
    <w:rsid w:val="005E423B"/>
    <w:rsid w:val="005E42CA"/>
    <w:rsid w:val="005E465D"/>
    <w:rsid w:val="005E47DE"/>
    <w:rsid w:val="005E6421"/>
    <w:rsid w:val="005E6843"/>
    <w:rsid w:val="005E6CBC"/>
    <w:rsid w:val="005E6DBA"/>
    <w:rsid w:val="005E72FF"/>
    <w:rsid w:val="005E73C0"/>
    <w:rsid w:val="005E76EC"/>
    <w:rsid w:val="005E7F4F"/>
    <w:rsid w:val="005F04B4"/>
    <w:rsid w:val="005F1C35"/>
    <w:rsid w:val="005F1DF0"/>
    <w:rsid w:val="005F2706"/>
    <w:rsid w:val="005F350F"/>
    <w:rsid w:val="005F4578"/>
    <w:rsid w:val="005F525C"/>
    <w:rsid w:val="005F6A8F"/>
    <w:rsid w:val="005F6BB7"/>
    <w:rsid w:val="005F7097"/>
    <w:rsid w:val="005F7588"/>
    <w:rsid w:val="006005E9"/>
    <w:rsid w:val="00601699"/>
    <w:rsid w:val="00601A24"/>
    <w:rsid w:val="00601F6B"/>
    <w:rsid w:val="0060262D"/>
    <w:rsid w:val="006027F4"/>
    <w:rsid w:val="006029CC"/>
    <w:rsid w:val="00603054"/>
    <w:rsid w:val="00603223"/>
    <w:rsid w:val="00603DB9"/>
    <w:rsid w:val="00603EBD"/>
    <w:rsid w:val="006045AE"/>
    <w:rsid w:val="006046AE"/>
    <w:rsid w:val="00604E22"/>
    <w:rsid w:val="00604EF1"/>
    <w:rsid w:val="00605349"/>
    <w:rsid w:val="00605ACC"/>
    <w:rsid w:val="00605D81"/>
    <w:rsid w:val="00606BA0"/>
    <w:rsid w:val="00606CB2"/>
    <w:rsid w:val="00606FBA"/>
    <w:rsid w:val="00607669"/>
    <w:rsid w:val="006076F4"/>
    <w:rsid w:val="00607AFD"/>
    <w:rsid w:val="00610513"/>
    <w:rsid w:val="00610FF1"/>
    <w:rsid w:val="0061111D"/>
    <w:rsid w:val="0061112B"/>
    <w:rsid w:val="006123AC"/>
    <w:rsid w:val="006125D5"/>
    <w:rsid w:val="00612F97"/>
    <w:rsid w:val="0061345D"/>
    <w:rsid w:val="00614830"/>
    <w:rsid w:val="00614CFE"/>
    <w:rsid w:val="00614DCA"/>
    <w:rsid w:val="0061549B"/>
    <w:rsid w:val="006165D0"/>
    <w:rsid w:val="00616802"/>
    <w:rsid w:val="006169D5"/>
    <w:rsid w:val="00616A43"/>
    <w:rsid w:val="00616EF3"/>
    <w:rsid w:val="006171BA"/>
    <w:rsid w:val="00617E12"/>
    <w:rsid w:val="0062074D"/>
    <w:rsid w:val="00620C25"/>
    <w:rsid w:val="00621477"/>
    <w:rsid w:val="00621ADA"/>
    <w:rsid w:val="00621E97"/>
    <w:rsid w:val="00621F88"/>
    <w:rsid w:val="00623F7B"/>
    <w:rsid w:val="00624717"/>
    <w:rsid w:val="006247D3"/>
    <w:rsid w:val="00625AC4"/>
    <w:rsid w:val="00625DAE"/>
    <w:rsid w:val="006261E0"/>
    <w:rsid w:val="006266F5"/>
    <w:rsid w:val="00626CF2"/>
    <w:rsid w:val="00626F30"/>
    <w:rsid w:val="006272A8"/>
    <w:rsid w:val="00627C9D"/>
    <w:rsid w:val="00627ECF"/>
    <w:rsid w:val="00627F32"/>
    <w:rsid w:val="00630175"/>
    <w:rsid w:val="00630C30"/>
    <w:rsid w:val="0063158F"/>
    <w:rsid w:val="00631D6B"/>
    <w:rsid w:val="0063203C"/>
    <w:rsid w:val="00632183"/>
    <w:rsid w:val="00632195"/>
    <w:rsid w:val="0063294C"/>
    <w:rsid w:val="00632DDA"/>
    <w:rsid w:val="006330A1"/>
    <w:rsid w:val="006338F9"/>
    <w:rsid w:val="0063479F"/>
    <w:rsid w:val="006353F0"/>
    <w:rsid w:val="0063565E"/>
    <w:rsid w:val="006357B5"/>
    <w:rsid w:val="00635F20"/>
    <w:rsid w:val="006364A1"/>
    <w:rsid w:val="0063678E"/>
    <w:rsid w:val="00636E0B"/>
    <w:rsid w:val="00637BFD"/>
    <w:rsid w:val="00640C63"/>
    <w:rsid w:val="00640E2F"/>
    <w:rsid w:val="00641C4E"/>
    <w:rsid w:val="00641FB3"/>
    <w:rsid w:val="0064210B"/>
    <w:rsid w:val="0064434C"/>
    <w:rsid w:val="00644A91"/>
    <w:rsid w:val="00644AA9"/>
    <w:rsid w:val="00644EC9"/>
    <w:rsid w:val="00644F9F"/>
    <w:rsid w:val="006460F6"/>
    <w:rsid w:val="00646508"/>
    <w:rsid w:val="006471CC"/>
    <w:rsid w:val="00647261"/>
    <w:rsid w:val="00647767"/>
    <w:rsid w:val="00647A29"/>
    <w:rsid w:val="00647E72"/>
    <w:rsid w:val="0065079F"/>
    <w:rsid w:val="00651EB5"/>
    <w:rsid w:val="00652945"/>
    <w:rsid w:val="00652A28"/>
    <w:rsid w:val="0065379F"/>
    <w:rsid w:val="00654B75"/>
    <w:rsid w:val="00656132"/>
    <w:rsid w:val="00656188"/>
    <w:rsid w:val="006565EF"/>
    <w:rsid w:val="006568F0"/>
    <w:rsid w:val="00656F05"/>
    <w:rsid w:val="006570B9"/>
    <w:rsid w:val="0065715A"/>
    <w:rsid w:val="00657BBA"/>
    <w:rsid w:val="0066051A"/>
    <w:rsid w:val="006610F1"/>
    <w:rsid w:val="0066140D"/>
    <w:rsid w:val="00661724"/>
    <w:rsid w:val="00661C6B"/>
    <w:rsid w:val="0066318F"/>
    <w:rsid w:val="0066432D"/>
    <w:rsid w:val="00664E08"/>
    <w:rsid w:val="006665C1"/>
    <w:rsid w:val="0066746F"/>
    <w:rsid w:val="00667540"/>
    <w:rsid w:val="00667A0B"/>
    <w:rsid w:val="00667A8D"/>
    <w:rsid w:val="00671004"/>
    <w:rsid w:val="0067147E"/>
    <w:rsid w:val="00671E07"/>
    <w:rsid w:val="00671E09"/>
    <w:rsid w:val="00671FD6"/>
    <w:rsid w:val="0067243A"/>
    <w:rsid w:val="00672646"/>
    <w:rsid w:val="006732F2"/>
    <w:rsid w:val="00673615"/>
    <w:rsid w:val="00673766"/>
    <w:rsid w:val="00673E73"/>
    <w:rsid w:val="00674785"/>
    <w:rsid w:val="00674D65"/>
    <w:rsid w:val="00674E42"/>
    <w:rsid w:val="00677115"/>
    <w:rsid w:val="00680614"/>
    <w:rsid w:val="00680EA8"/>
    <w:rsid w:val="00681282"/>
    <w:rsid w:val="006813F8"/>
    <w:rsid w:val="0068173F"/>
    <w:rsid w:val="00681E10"/>
    <w:rsid w:val="00682112"/>
    <w:rsid w:val="00682BA6"/>
    <w:rsid w:val="00682D8C"/>
    <w:rsid w:val="00683799"/>
    <w:rsid w:val="0068518B"/>
    <w:rsid w:val="00686957"/>
    <w:rsid w:val="006872BA"/>
    <w:rsid w:val="0068789F"/>
    <w:rsid w:val="0069020A"/>
    <w:rsid w:val="00690795"/>
    <w:rsid w:val="00690D4B"/>
    <w:rsid w:val="00691648"/>
    <w:rsid w:val="006917D7"/>
    <w:rsid w:val="00691F68"/>
    <w:rsid w:val="0069229B"/>
    <w:rsid w:val="00693CEB"/>
    <w:rsid w:val="0069434C"/>
    <w:rsid w:val="00694F44"/>
    <w:rsid w:val="00695A5D"/>
    <w:rsid w:val="00695D23"/>
    <w:rsid w:val="006965D2"/>
    <w:rsid w:val="00696754"/>
    <w:rsid w:val="00696847"/>
    <w:rsid w:val="00696E6D"/>
    <w:rsid w:val="00696F51"/>
    <w:rsid w:val="006979A5"/>
    <w:rsid w:val="00697A0C"/>
    <w:rsid w:val="00697C41"/>
    <w:rsid w:val="006A13D9"/>
    <w:rsid w:val="006A1FE2"/>
    <w:rsid w:val="006A29EF"/>
    <w:rsid w:val="006A3A7A"/>
    <w:rsid w:val="006A4383"/>
    <w:rsid w:val="006A5A3B"/>
    <w:rsid w:val="006A614E"/>
    <w:rsid w:val="006A6B99"/>
    <w:rsid w:val="006A6BF2"/>
    <w:rsid w:val="006A7C53"/>
    <w:rsid w:val="006A7E5F"/>
    <w:rsid w:val="006B0775"/>
    <w:rsid w:val="006B1DCA"/>
    <w:rsid w:val="006B2134"/>
    <w:rsid w:val="006B261B"/>
    <w:rsid w:val="006B2C90"/>
    <w:rsid w:val="006B35CD"/>
    <w:rsid w:val="006B35E6"/>
    <w:rsid w:val="006B39AA"/>
    <w:rsid w:val="006B3C74"/>
    <w:rsid w:val="006B4084"/>
    <w:rsid w:val="006B465A"/>
    <w:rsid w:val="006B46B2"/>
    <w:rsid w:val="006B55FF"/>
    <w:rsid w:val="006B589B"/>
    <w:rsid w:val="006B5B1F"/>
    <w:rsid w:val="006B6695"/>
    <w:rsid w:val="006B6DD0"/>
    <w:rsid w:val="006B7244"/>
    <w:rsid w:val="006B76A3"/>
    <w:rsid w:val="006B7FAC"/>
    <w:rsid w:val="006C0399"/>
    <w:rsid w:val="006C14F3"/>
    <w:rsid w:val="006C1DA8"/>
    <w:rsid w:val="006C2A8E"/>
    <w:rsid w:val="006C3255"/>
    <w:rsid w:val="006C3C9D"/>
    <w:rsid w:val="006C3F26"/>
    <w:rsid w:val="006C4834"/>
    <w:rsid w:val="006C4C62"/>
    <w:rsid w:val="006C5096"/>
    <w:rsid w:val="006C6DA3"/>
    <w:rsid w:val="006C72FE"/>
    <w:rsid w:val="006C7F81"/>
    <w:rsid w:val="006D05D4"/>
    <w:rsid w:val="006D0D17"/>
    <w:rsid w:val="006D123C"/>
    <w:rsid w:val="006D172A"/>
    <w:rsid w:val="006D215A"/>
    <w:rsid w:val="006D2187"/>
    <w:rsid w:val="006D2A5C"/>
    <w:rsid w:val="006D32D2"/>
    <w:rsid w:val="006D3C7D"/>
    <w:rsid w:val="006D4659"/>
    <w:rsid w:val="006D49C2"/>
    <w:rsid w:val="006D4F9D"/>
    <w:rsid w:val="006D51EE"/>
    <w:rsid w:val="006D58EC"/>
    <w:rsid w:val="006D5D5F"/>
    <w:rsid w:val="006D62CD"/>
    <w:rsid w:val="006D68FB"/>
    <w:rsid w:val="006D6B9C"/>
    <w:rsid w:val="006D6F8E"/>
    <w:rsid w:val="006E055C"/>
    <w:rsid w:val="006E0DBF"/>
    <w:rsid w:val="006E1819"/>
    <w:rsid w:val="006E1932"/>
    <w:rsid w:val="006E1E8C"/>
    <w:rsid w:val="006E254F"/>
    <w:rsid w:val="006E2868"/>
    <w:rsid w:val="006E2A40"/>
    <w:rsid w:val="006E2B3E"/>
    <w:rsid w:val="006E319C"/>
    <w:rsid w:val="006E3B2B"/>
    <w:rsid w:val="006E4483"/>
    <w:rsid w:val="006E46CC"/>
    <w:rsid w:val="006E4736"/>
    <w:rsid w:val="006E4983"/>
    <w:rsid w:val="006E5F86"/>
    <w:rsid w:val="006E7498"/>
    <w:rsid w:val="006E7656"/>
    <w:rsid w:val="006E7B81"/>
    <w:rsid w:val="006F0383"/>
    <w:rsid w:val="006F0EF2"/>
    <w:rsid w:val="006F1FFA"/>
    <w:rsid w:val="006F2F93"/>
    <w:rsid w:val="006F306C"/>
    <w:rsid w:val="006F32E9"/>
    <w:rsid w:val="006F3775"/>
    <w:rsid w:val="006F430C"/>
    <w:rsid w:val="006F5376"/>
    <w:rsid w:val="006F5AE3"/>
    <w:rsid w:val="006F63A5"/>
    <w:rsid w:val="006F6E6E"/>
    <w:rsid w:val="006F6FAF"/>
    <w:rsid w:val="006F7A23"/>
    <w:rsid w:val="006F7D95"/>
    <w:rsid w:val="007006AA"/>
    <w:rsid w:val="0070104A"/>
    <w:rsid w:val="00701332"/>
    <w:rsid w:val="0070142B"/>
    <w:rsid w:val="0070276E"/>
    <w:rsid w:val="00702937"/>
    <w:rsid w:val="00702A64"/>
    <w:rsid w:val="00702F8F"/>
    <w:rsid w:val="0070513C"/>
    <w:rsid w:val="00705887"/>
    <w:rsid w:val="0070656E"/>
    <w:rsid w:val="007071F8"/>
    <w:rsid w:val="00707548"/>
    <w:rsid w:val="007078ED"/>
    <w:rsid w:val="007079FC"/>
    <w:rsid w:val="00711A36"/>
    <w:rsid w:val="0071229F"/>
    <w:rsid w:val="00712FE7"/>
    <w:rsid w:val="00713C86"/>
    <w:rsid w:val="00714596"/>
    <w:rsid w:val="00714C26"/>
    <w:rsid w:val="00715170"/>
    <w:rsid w:val="0071529C"/>
    <w:rsid w:val="00715B41"/>
    <w:rsid w:val="00715EFE"/>
    <w:rsid w:val="007170DA"/>
    <w:rsid w:val="007172AD"/>
    <w:rsid w:val="00717574"/>
    <w:rsid w:val="007179F1"/>
    <w:rsid w:val="00717A8B"/>
    <w:rsid w:val="007207E5"/>
    <w:rsid w:val="00720801"/>
    <w:rsid w:val="00720CB4"/>
    <w:rsid w:val="00721360"/>
    <w:rsid w:val="007222C2"/>
    <w:rsid w:val="0072256E"/>
    <w:rsid w:val="00722B1B"/>
    <w:rsid w:val="00722E3A"/>
    <w:rsid w:val="007232FC"/>
    <w:rsid w:val="00723C84"/>
    <w:rsid w:val="00723CED"/>
    <w:rsid w:val="0072416F"/>
    <w:rsid w:val="00724880"/>
    <w:rsid w:val="00724E76"/>
    <w:rsid w:val="007256D0"/>
    <w:rsid w:val="007270C3"/>
    <w:rsid w:val="007273B0"/>
    <w:rsid w:val="00727712"/>
    <w:rsid w:val="00727B51"/>
    <w:rsid w:val="00727C94"/>
    <w:rsid w:val="00727DF9"/>
    <w:rsid w:val="007304C4"/>
    <w:rsid w:val="00730803"/>
    <w:rsid w:val="00730CA5"/>
    <w:rsid w:val="00730F9C"/>
    <w:rsid w:val="00731B0A"/>
    <w:rsid w:val="00731B85"/>
    <w:rsid w:val="00731EAE"/>
    <w:rsid w:val="007321B2"/>
    <w:rsid w:val="00733073"/>
    <w:rsid w:val="007330BD"/>
    <w:rsid w:val="0073409D"/>
    <w:rsid w:val="00734A99"/>
    <w:rsid w:val="00735033"/>
    <w:rsid w:val="00735328"/>
    <w:rsid w:val="0073598F"/>
    <w:rsid w:val="00735F01"/>
    <w:rsid w:val="0073685B"/>
    <w:rsid w:val="00736F7E"/>
    <w:rsid w:val="0073740E"/>
    <w:rsid w:val="00737982"/>
    <w:rsid w:val="0074035B"/>
    <w:rsid w:val="00740A61"/>
    <w:rsid w:val="00740CE9"/>
    <w:rsid w:val="00740FEE"/>
    <w:rsid w:val="00741A83"/>
    <w:rsid w:val="00743792"/>
    <w:rsid w:val="00743913"/>
    <w:rsid w:val="0074466F"/>
    <w:rsid w:val="007449BF"/>
    <w:rsid w:val="00744A40"/>
    <w:rsid w:val="00744C2F"/>
    <w:rsid w:val="00746402"/>
    <w:rsid w:val="00746442"/>
    <w:rsid w:val="00746BC0"/>
    <w:rsid w:val="00746C21"/>
    <w:rsid w:val="0074731D"/>
    <w:rsid w:val="007478D0"/>
    <w:rsid w:val="00747FE5"/>
    <w:rsid w:val="00750557"/>
    <w:rsid w:val="007505AF"/>
    <w:rsid w:val="007506BA"/>
    <w:rsid w:val="00750AC4"/>
    <w:rsid w:val="0075108F"/>
    <w:rsid w:val="007510B4"/>
    <w:rsid w:val="007511E1"/>
    <w:rsid w:val="00752142"/>
    <w:rsid w:val="007523F9"/>
    <w:rsid w:val="0075357E"/>
    <w:rsid w:val="00753802"/>
    <w:rsid w:val="007538AC"/>
    <w:rsid w:val="0075520C"/>
    <w:rsid w:val="007573E8"/>
    <w:rsid w:val="00760C4E"/>
    <w:rsid w:val="00760F9E"/>
    <w:rsid w:val="00761B25"/>
    <w:rsid w:val="00762189"/>
    <w:rsid w:val="007627BE"/>
    <w:rsid w:val="0076353D"/>
    <w:rsid w:val="007635CE"/>
    <w:rsid w:val="00763791"/>
    <w:rsid w:val="0076384B"/>
    <w:rsid w:val="0076441B"/>
    <w:rsid w:val="00764F03"/>
    <w:rsid w:val="00765B1A"/>
    <w:rsid w:val="00766209"/>
    <w:rsid w:val="0076681E"/>
    <w:rsid w:val="007675E2"/>
    <w:rsid w:val="00767B7E"/>
    <w:rsid w:val="00771013"/>
    <w:rsid w:val="00772368"/>
    <w:rsid w:val="0077329D"/>
    <w:rsid w:val="007740FC"/>
    <w:rsid w:val="00774424"/>
    <w:rsid w:val="007744FC"/>
    <w:rsid w:val="0077573B"/>
    <w:rsid w:val="00776F65"/>
    <w:rsid w:val="00777335"/>
    <w:rsid w:val="0077743E"/>
    <w:rsid w:val="00777546"/>
    <w:rsid w:val="00780175"/>
    <w:rsid w:val="007802E9"/>
    <w:rsid w:val="007808EC"/>
    <w:rsid w:val="00780EC3"/>
    <w:rsid w:val="00781B29"/>
    <w:rsid w:val="00781FDB"/>
    <w:rsid w:val="00782519"/>
    <w:rsid w:val="007843F2"/>
    <w:rsid w:val="00784E7C"/>
    <w:rsid w:val="007850F2"/>
    <w:rsid w:val="00785A9F"/>
    <w:rsid w:val="00785EE8"/>
    <w:rsid w:val="00786031"/>
    <w:rsid w:val="007863C6"/>
    <w:rsid w:val="0078646B"/>
    <w:rsid w:val="00786F2B"/>
    <w:rsid w:val="00787C4B"/>
    <w:rsid w:val="00787CCC"/>
    <w:rsid w:val="00787EE0"/>
    <w:rsid w:val="00790AA8"/>
    <w:rsid w:val="007919FE"/>
    <w:rsid w:val="00791A44"/>
    <w:rsid w:val="007923A4"/>
    <w:rsid w:val="007925DF"/>
    <w:rsid w:val="007931D4"/>
    <w:rsid w:val="00793466"/>
    <w:rsid w:val="00793EA7"/>
    <w:rsid w:val="00794154"/>
    <w:rsid w:val="007952CD"/>
    <w:rsid w:val="00797E16"/>
    <w:rsid w:val="007A08AA"/>
    <w:rsid w:val="007A0A12"/>
    <w:rsid w:val="007A132D"/>
    <w:rsid w:val="007A1345"/>
    <w:rsid w:val="007A19D7"/>
    <w:rsid w:val="007A2872"/>
    <w:rsid w:val="007A2BBC"/>
    <w:rsid w:val="007A2DDB"/>
    <w:rsid w:val="007A3804"/>
    <w:rsid w:val="007A3B0B"/>
    <w:rsid w:val="007A3CFE"/>
    <w:rsid w:val="007A44DC"/>
    <w:rsid w:val="007A516E"/>
    <w:rsid w:val="007A5ACC"/>
    <w:rsid w:val="007A6FD1"/>
    <w:rsid w:val="007A70BA"/>
    <w:rsid w:val="007A7F3D"/>
    <w:rsid w:val="007B0112"/>
    <w:rsid w:val="007B0B0C"/>
    <w:rsid w:val="007B0B83"/>
    <w:rsid w:val="007B0D68"/>
    <w:rsid w:val="007B16CE"/>
    <w:rsid w:val="007B194B"/>
    <w:rsid w:val="007B1B9C"/>
    <w:rsid w:val="007B24BF"/>
    <w:rsid w:val="007B251D"/>
    <w:rsid w:val="007B31A4"/>
    <w:rsid w:val="007B32B7"/>
    <w:rsid w:val="007B3EC4"/>
    <w:rsid w:val="007B43C9"/>
    <w:rsid w:val="007B4F58"/>
    <w:rsid w:val="007B528D"/>
    <w:rsid w:val="007B5CDE"/>
    <w:rsid w:val="007B63CA"/>
    <w:rsid w:val="007B77D1"/>
    <w:rsid w:val="007C07C7"/>
    <w:rsid w:val="007C0F91"/>
    <w:rsid w:val="007C1542"/>
    <w:rsid w:val="007C1CD9"/>
    <w:rsid w:val="007C1F3F"/>
    <w:rsid w:val="007C32EF"/>
    <w:rsid w:val="007C361D"/>
    <w:rsid w:val="007C3F42"/>
    <w:rsid w:val="007C4746"/>
    <w:rsid w:val="007C4B84"/>
    <w:rsid w:val="007C59F3"/>
    <w:rsid w:val="007C5B5F"/>
    <w:rsid w:val="007C5D4E"/>
    <w:rsid w:val="007C65C4"/>
    <w:rsid w:val="007C70FF"/>
    <w:rsid w:val="007C7915"/>
    <w:rsid w:val="007C7C25"/>
    <w:rsid w:val="007C7FF2"/>
    <w:rsid w:val="007D004F"/>
    <w:rsid w:val="007D01CE"/>
    <w:rsid w:val="007D099D"/>
    <w:rsid w:val="007D0B38"/>
    <w:rsid w:val="007D29C0"/>
    <w:rsid w:val="007D2AE8"/>
    <w:rsid w:val="007D2CB4"/>
    <w:rsid w:val="007D4439"/>
    <w:rsid w:val="007D45A9"/>
    <w:rsid w:val="007D5114"/>
    <w:rsid w:val="007D5141"/>
    <w:rsid w:val="007D5440"/>
    <w:rsid w:val="007D6208"/>
    <w:rsid w:val="007D62D7"/>
    <w:rsid w:val="007D64F3"/>
    <w:rsid w:val="007D69EB"/>
    <w:rsid w:val="007D768F"/>
    <w:rsid w:val="007D79A2"/>
    <w:rsid w:val="007E0AB0"/>
    <w:rsid w:val="007E128F"/>
    <w:rsid w:val="007E1D67"/>
    <w:rsid w:val="007E2247"/>
    <w:rsid w:val="007E311F"/>
    <w:rsid w:val="007E47E8"/>
    <w:rsid w:val="007E594D"/>
    <w:rsid w:val="007E5C0D"/>
    <w:rsid w:val="007E5F0D"/>
    <w:rsid w:val="007E60B6"/>
    <w:rsid w:val="007E7E05"/>
    <w:rsid w:val="007F0CDB"/>
    <w:rsid w:val="007F1017"/>
    <w:rsid w:val="007F1721"/>
    <w:rsid w:val="007F1B0B"/>
    <w:rsid w:val="007F1DF6"/>
    <w:rsid w:val="007F21D7"/>
    <w:rsid w:val="007F365D"/>
    <w:rsid w:val="007F3A4D"/>
    <w:rsid w:val="007F41B0"/>
    <w:rsid w:val="007F4547"/>
    <w:rsid w:val="007F4A3F"/>
    <w:rsid w:val="007F4A61"/>
    <w:rsid w:val="007F505D"/>
    <w:rsid w:val="007F5255"/>
    <w:rsid w:val="007F56CC"/>
    <w:rsid w:val="007F5CAE"/>
    <w:rsid w:val="007F5F47"/>
    <w:rsid w:val="007F61C2"/>
    <w:rsid w:val="007F630E"/>
    <w:rsid w:val="007F65D0"/>
    <w:rsid w:val="007F6B4C"/>
    <w:rsid w:val="007F6FBD"/>
    <w:rsid w:val="007F77AB"/>
    <w:rsid w:val="00800939"/>
    <w:rsid w:val="00800CEB"/>
    <w:rsid w:val="008013C1"/>
    <w:rsid w:val="00801DBA"/>
    <w:rsid w:val="008029D7"/>
    <w:rsid w:val="00804762"/>
    <w:rsid w:val="00805142"/>
    <w:rsid w:val="00805FCE"/>
    <w:rsid w:val="00806136"/>
    <w:rsid w:val="00806794"/>
    <w:rsid w:val="00806BD0"/>
    <w:rsid w:val="00806FB4"/>
    <w:rsid w:val="008071FE"/>
    <w:rsid w:val="008074B2"/>
    <w:rsid w:val="00807A8B"/>
    <w:rsid w:val="00810801"/>
    <w:rsid w:val="00810F76"/>
    <w:rsid w:val="00811383"/>
    <w:rsid w:val="00812149"/>
    <w:rsid w:val="00812CAC"/>
    <w:rsid w:val="00812E54"/>
    <w:rsid w:val="00813A19"/>
    <w:rsid w:val="00813DF8"/>
    <w:rsid w:val="00814546"/>
    <w:rsid w:val="008147A7"/>
    <w:rsid w:val="00814948"/>
    <w:rsid w:val="00814B70"/>
    <w:rsid w:val="00816361"/>
    <w:rsid w:val="008166EF"/>
    <w:rsid w:val="0081682D"/>
    <w:rsid w:val="00816831"/>
    <w:rsid w:val="00816FEF"/>
    <w:rsid w:val="0082032A"/>
    <w:rsid w:val="008209F1"/>
    <w:rsid w:val="00820A8C"/>
    <w:rsid w:val="008210C4"/>
    <w:rsid w:val="00821246"/>
    <w:rsid w:val="008215FB"/>
    <w:rsid w:val="0082238C"/>
    <w:rsid w:val="00822E93"/>
    <w:rsid w:val="00823174"/>
    <w:rsid w:val="00823828"/>
    <w:rsid w:val="00823A38"/>
    <w:rsid w:val="00824841"/>
    <w:rsid w:val="00824A3F"/>
    <w:rsid w:val="00824CD9"/>
    <w:rsid w:val="00825751"/>
    <w:rsid w:val="008264EB"/>
    <w:rsid w:val="00826667"/>
    <w:rsid w:val="00826E15"/>
    <w:rsid w:val="00827116"/>
    <w:rsid w:val="00827663"/>
    <w:rsid w:val="00827CF6"/>
    <w:rsid w:val="00831806"/>
    <w:rsid w:val="00832160"/>
    <w:rsid w:val="008325B4"/>
    <w:rsid w:val="00832C71"/>
    <w:rsid w:val="008338D0"/>
    <w:rsid w:val="00833AA1"/>
    <w:rsid w:val="00833B05"/>
    <w:rsid w:val="00833EB7"/>
    <w:rsid w:val="0083441C"/>
    <w:rsid w:val="00834A95"/>
    <w:rsid w:val="00835324"/>
    <w:rsid w:val="00835428"/>
    <w:rsid w:val="00835FEE"/>
    <w:rsid w:val="008362B4"/>
    <w:rsid w:val="008363C1"/>
    <w:rsid w:val="008378E4"/>
    <w:rsid w:val="008379EB"/>
    <w:rsid w:val="00837ED7"/>
    <w:rsid w:val="008406BC"/>
    <w:rsid w:val="00840CA2"/>
    <w:rsid w:val="00841472"/>
    <w:rsid w:val="0084158F"/>
    <w:rsid w:val="00842152"/>
    <w:rsid w:val="008422B1"/>
    <w:rsid w:val="008427DC"/>
    <w:rsid w:val="008434D4"/>
    <w:rsid w:val="0084374F"/>
    <w:rsid w:val="00844A22"/>
    <w:rsid w:val="00845C2F"/>
    <w:rsid w:val="00847703"/>
    <w:rsid w:val="00847DF5"/>
    <w:rsid w:val="00850A9A"/>
    <w:rsid w:val="00851DAB"/>
    <w:rsid w:val="00851F80"/>
    <w:rsid w:val="008521BA"/>
    <w:rsid w:val="008523AA"/>
    <w:rsid w:val="008523C1"/>
    <w:rsid w:val="008529DB"/>
    <w:rsid w:val="00852CCE"/>
    <w:rsid w:val="0085309D"/>
    <w:rsid w:val="00853B90"/>
    <w:rsid w:val="00853DF1"/>
    <w:rsid w:val="0085456B"/>
    <w:rsid w:val="008547CC"/>
    <w:rsid w:val="00854D5C"/>
    <w:rsid w:val="00854D5D"/>
    <w:rsid w:val="00856897"/>
    <w:rsid w:val="00856E9A"/>
    <w:rsid w:val="00857152"/>
    <w:rsid w:val="00857328"/>
    <w:rsid w:val="00857BA6"/>
    <w:rsid w:val="0086075D"/>
    <w:rsid w:val="00860DEA"/>
    <w:rsid w:val="0086179C"/>
    <w:rsid w:val="008621F4"/>
    <w:rsid w:val="00862502"/>
    <w:rsid w:val="0086280C"/>
    <w:rsid w:val="0086280E"/>
    <w:rsid w:val="00862CC1"/>
    <w:rsid w:val="00862FDB"/>
    <w:rsid w:val="00862FDF"/>
    <w:rsid w:val="00863D6C"/>
    <w:rsid w:val="0086450C"/>
    <w:rsid w:val="00864AEE"/>
    <w:rsid w:val="00865FF4"/>
    <w:rsid w:val="008660D4"/>
    <w:rsid w:val="00866B12"/>
    <w:rsid w:val="00867EA7"/>
    <w:rsid w:val="00871C01"/>
    <w:rsid w:val="00871D5A"/>
    <w:rsid w:val="00871FA9"/>
    <w:rsid w:val="008722AF"/>
    <w:rsid w:val="0087239F"/>
    <w:rsid w:val="008728E9"/>
    <w:rsid w:val="00874DBC"/>
    <w:rsid w:val="00875BE0"/>
    <w:rsid w:val="008763AE"/>
    <w:rsid w:val="008765E8"/>
    <w:rsid w:val="008767FC"/>
    <w:rsid w:val="00876B6F"/>
    <w:rsid w:val="00877AB6"/>
    <w:rsid w:val="00880970"/>
    <w:rsid w:val="008813F6"/>
    <w:rsid w:val="00881A1E"/>
    <w:rsid w:val="00881CD2"/>
    <w:rsid w:val="00882874"/>
    <w:rsid w:val="00882E3C"/>
    <w:rsid w:val="00882F79"/>
    <w:rsid w:val="00883787"/>
    <w:rsid w:val="00883AE5"/>
    <w:rsid w:val="008844DB"/>
    <w:rsid w:val="008855E4"/>
    <w:rsid w:val="00885670"/>
    <w:rsid w:val="0088571E"/>
    <w:rsid w:val="00885B02"/>
    <w:rsid w:val="00886CD2"/>
    <w:rsid w:val="00886E5D"/>
    <w:rsid w:val="00887F65"/>
    <w:rsid w:val="00890608"/>
    <w:rsid w:val="00890815"/>
    <w:rsid w:val="00891E6F"/>
    <w:rsid w:val="00892151"/>
    <w:rsid w:val="0089261F"/>
    <w:rsid w:val="008926EF"/>
    <w:rsid w:val="0089275D"/>
    <w:rsid w:val="008927AB"/>
    <w:rsid w:val="00892A36"/>
    <w:rsid w:val="00893239"/>
    <w:rsid w:val="00893B36"/>
    <w:rsid w:val="00894489"/>
    <w:rsid w:val="00894A6C"/>
    <w:rsid w:val="00894B60"/>
    <w:rsid w:val="008955DD"/>
    <w:rsid w:val="008963A5"/>
    <w:rsid w:val="0089657F"/>
    <w:rsid w:val="0089697D"/>
    <w:rsid w:val="00896D5D"/>
    <w:rsid w:val="00897239"/>
    <w:rsid w:val="00897362"/>
    <w:rsid w:val="0089784F"/>
    <w:rsid w:val="008A14E4"/>
    <w:rsid w:val="008A1659"/>
    <w:rsid w:val="008A317E"/>
    <w:rsid w:val="008A31F2"/>
    <w:rsid w:val="008A3363"/>
    <w:rsid w:val="008A3371"/>
    <w:rsid w:val="008A36CB"/>
    <w:rsid w:val="008A3C3E"/>
    <w:rsid w:val="008A4A91"/>
    <w:rsid w:val="008A5F39"/>
    <w:rsid w:val="008A7447"/>
    <w:rsid w:val="008A79DE"/>
    <w:rsid w:val="008B0B74"/>
    <w:rsid w:val="008B174D"/>
    <w:rsid w:val="008B1757"/>
    <w:rsid w:val="008B1AF9"/>
    <w:rsid w:val="008B1FF4"/>
    <w:rsid w:val="008B219B"/>
    <w:rsid w:val="008B2CE7"/>
    <w:rsid w:val="008B34A4"/>
    <w:rsid w:val="008B3D8A"/>
    <w:rsid w:val="008B4072"/>
    <w:rsid w:val="008B4241"/>
    <w:rsid w:val="008B4768"/>
    <w:rsid w:val="008B4FB9"/>
    <w:rsid w:val="008B5213"/>
    <w:rsid w:val="008B540D"/>
    <w:rsid w:val="008B5DDF"/>
    <w:rsid w:val="008B6162"/>
    <w:rsid w:val="008B670F"/>
    <w:rsid w:val="008B6A0C"/>
    <w:rsid w:val="008B7992"/>
    <w:rsid w:val="008B7D7E"/>
    <w:rsid w:val="008C0220"/>
    <w:rsid w:val="008C0681"/>
    <w:rsid w:val="008C0A8C"/>
    <w:rsid w:val="008C29B1"/>
    <w:rsid w:val="008C34F4"/>
    <w:rsid w:val="008C4181"/>
    <w:rsid w:val="008C4613"/>
    <w:rsid w:val="008C4CA2"/>
    <w:rsid w:val="008C4D69"/>
    <w:rsid w:val="008C54EA"/>
    <w:rsid w:val="008C5610"/>
    <w:rsid w:val="008C5739"/>
    <w:rsid w:val="008C5876"/>
    <w:rsid w:val="008C59D7"/>
    <w:rsid w:val="008C5DE2"/>
    <w:rsid w:val="008C6B24"/>
    <w:rsid w:val="008C788F"/>
    <w:rsid w:val="008C7ECB"/>
    <w:rsid w:val="008C7F43"/>
    <w:rsid w:val="008D1381"/>
    <w:rsid w:val="008D1ADA"/>
    <w:rsid w:val="008D1E80"/>
    <w:rsid w:val="008D1E9C"/>
    <w:rsid w:val="008D2D9D"/>
    <w:rsid w:val="008D35F9"/>
    <w:rsid w:val="008D3B86"/>
    <w:rsid w:val="008D4755"/>
    <w:rsid w:val="008D4867"/>
    <w:rsid w:val="008D4C3D"/>
    <w:rsid w:val="008D5E56"/>
    <w:rsid w:val="008D63CA"/>
    <w:rsid w:val="008D743C"/>
    <w:rsid w:val="008E00FD"/>
    <w:rsid w:val="008E09D4"/>
    <w:rsid w:val="008E0D3C"/>
    <w:rsid w:val="008E0E91"/>
    <w:rsid w:val="008E193A"/>
    <w:rsid w:val="008E1B9E"/>
    <w:rsid w:val="008E301A"/>
    <w:rsid w:val="008E4841"/>
    <w:rsid w:val="008E49EF"/>
    <w:rsid w:val="008E4B28"/>
    <w:rsid w:val="008E55AB"/>
    <w:rsid w:val="008E5BED"/>
    <w:rsid w:val="008E5C01"/>
    <w:rsid w:val="008E5DF2"/>
    <w:rsid w:val="008E5F5F"/>
    <w:rsid w:val="008E5FCA"/>
    <w:rsid w:val="008E6647"/>
    <w:rsid w:val="008E6A5F"/>
    <w:rsid w:val="008E6CA8"/>
    <w:rsid w:val="008E7148"/>
    <w:rsid w:val="008E7871"/>
    <w:rsid w:val="008F0B07"/>
    <w:rsid w:val="008F120A"/>
    <w:rsid w:val="008F1490"/>
    <w:rsid w:val="008F1539"/>
    <w:rsid w:val="008F27E0"/>
    <w:rsid w:val="008F2E7A"/>
    <w:rsid w:val="008F48EB"/>
    <w:rsid w:val="008F4AAF"/>
    <w:rsid w:val="008F4F0B"/>
    <w:rsid w:val="008F5071"/>
    <w:rsid w:val="008F53BB"/>
    <w:rsid w:val="008F568E"/>
    <w:rsid w:val="008F57E2"/>
    <w:rsid w:val="008F5F33"/>
    <w:rsid w:val="008F705C"/>
    <w:rsid w:val="008F709D"/>
    <w:rsid w:val="00900647"/>
    <w:rsid w:val="00901473"/>
    <w:rsid w:val="009014A9"/>
    <w:rsid w:val="0090173C"/>
    <w:rsid w:val="0090195A"/>
    <w:rsid w:val="0090266C"/>
    <w:rsid w:val="00902B51"/>
    <w:rsid w:val="0090360C"/>
    <w:rsid w:val="009046C4"/>
    <w:rsid w:val="009054A0"/>
    <w:rsid w:val="009058F6"/>
    <w:rsid w:val="009062A5"/>
    <w:rsid w:val="00906C39"/>
    <w:rsid w:val="00906C6C"/>
    <w:rsid w:val="00906E0E"/>
    <w:rsid w:val="009078AF"/>
    <w:rsid w:val="009105B9"/>
    <w:rsid w:val="00910FA7"/>
    <w:rsid w:val="00911272"/>
    <w:rsid w:val="00912319"/>
    <w:rsid w:val="00913042"/>
    <w:rsid w:val="009135D6"/>
    <w:rsid w:val="00913A91"/>
    <w:rsid w:val="00913D21"/>
    <w:rsid w:val="00914172"/>
    <w:rsid w:val="00914C77"/>
    <w:rsid w:val="009150E3"/>
    <w:rsid w:val="00915712"/>
    <w:rsid w:val="00915829"/>
    <w:rsid w:val="00915F3F"/>
    <w:rsid w:val="00916CF4"/>
    <w:rsid w:val="00916D4B"/>
    <w:rsid w:val="00917211"/>
    <w:rsid w:val="00920323"/>
    <w:rsid w:val="0092067D"/>
    <w:rsid w:val="00921ACB"/>
    <w:rsid w:val="00922519"/>
    <w:rsid w:val="00922C08"/>
    <w:rsid w:val="00923147"/>
    <w:rsid w:val="00923219"/>
    <w:rsid w:val="0092369B"/>
    <w:rsid w:val="009236F0"/>
    <w:rsid w:val="009237DB"/>
    <w:rsid w:val="0092392B"/>
    <w:rsid w:val="009248FE"/>
    <w:rsid w:val="00924B71"/>
    <w:rsid w:val="00924F03"/>
    <w:rsid w:val="009263C7"/>
    <w:rsid w:val="009267AD"/>
    <w:rsid w:val="00927409"/>
    <w:rsid w:val="009326A7"/>
    <w:rsid w:val="00932767"/>
    <w:rsid w:val="00933084"/>
    <w:rsid w:val="009333AE"/>
    <w:rsid w:val="009336AD"/>
    <w:rsid w:val="00933AC3"/>
    <w:rsid w:val="009343BB"/>
    <w:rsid w:val="00934988"/>
    <w:rsid w:val="00934FA7"/>
    <w:rsid w:val="00935CFD"/>
    <w:rsid w:val="009367D1"/>
    <w:rsid w:val="00937089"/>
    <w:rsid w:val="009376FA"/>
    <w:rsid w:val="00940668"/>
    <w:rsid w:val="00941311"/>
    <w:rsid w:val="00941DEF"/>
    <w:rsid w:val="00941F13"/>
    <w:rsid w:val="00942158"/>
    <w:rsid w:val="00943AF3"/>
    <w:rsid w:val="009445F4"/>
    <w:rsid w:val="00944E9E"/>
    <w:rsid w:val="00944F8A"/>
    <w:rsid w:val="00946628"/>
    <w:rsid w:val="009473FD"/>
    <w:rsid w:val="009501D0"/>
    <w:rsid w:val="00950906"/>
    <w:rsid w:val="009510A2"/>
    <w:rsid w:val="00953257"/>
    <w:rsid w:val="00953452"/>
    <w:rsid w:val="009534BF"/>
    <w:rsid w:val="009535DB"/>
    <w:rsid w:val="0095390E"/>
    <w:rsid w:val="009540A1"/>
    <w:rsid w:val="0095411B"/>
    <w:rsid w:val="00954148"/>
    <w:rsid w:val="00954604"/>
    <w:rsid w:val="0095474C"/>
    <w:rsid w:val="00954B51"/>
    <w:rsid w:val="00954C79"/>
    <w:rsid w:val="009552F3"/>
    <w:rsid w:val="00955377"/>
    <w:rsid w:val="00955850"/>
    <w:rsid w:val="00956DB5"/>
    <w:rsid w:val="00957486"/>
    <w:rsid w:val="009579E6"/>
    <w:rsid w:val="00960A4C"/>
    <w:rsid w:val="009626D0"/>
    <w:rsid w:val="00962CB9"/>
    <w:rsid w:val="00962D5E"/>
    <w:rsid w:val="0096326A"/>
    <w:rsid w:val="00963291"/>
    <w:rsid w:val="00963327"/>
    <w:rsid w:val="00964312"/>
    <w:rsid w:val="0096484C"/>
    <w:rsid w:val="00965B8A"/>
    <w:rsid w:val="00965F7D"/>
    <w:rsid w:val="00967CF0"/>
    <w:rsid w:val="00967DE2"/>
    <w:rsid w:val="0097059C"/>
    <w:rsid w:val="0097071F"/>
    <w:rsid w:val="00970902"/>
    <w:rsid w:val="00971301"/>
    <w:rsid w:val="009713EE"/>
    <w:rsid w:val="009717AC"/>
    <w:rsid w:val="0097206B"/>
    <w:rsid w:val="0097221C"/>
    <w:rsid w:val="0097395B"/>
    <w:rsid w:val="00973E95"/>
    <w:rsid w:val="0097403E"/>
    <w:rsid w:val="009743A2"/>
    <w:rsid w:val="009751C1"/>
    <w:rsid w:val="009756E1"/>
    <w:rsid w:val="00975B9A"/>
    <w:rsid w:val="00976156"/>
    <w:rsid w:val="00976480"/>
    <w:rsid w:val="00976719"/>
    <w:rsid w:val="00977FE5"/>
    <w:rsid w:val="0098068E"/>
    <w:rsid w:val="009811C4"/>
    <w:rsid w:val="009811F1"/>
    <w:rsid w:val="0098148A"/>
    <w:rsid w:val="00982C9A"/>
    <w:rsid w:val="00982CA5"/>
    <w:rsid w:val="009839D6"/>
    <w:rsid w:val="00983E57"/>
    <w:rsid w:val="00984454"/>
    <w:rsid w:val="00985DE2"/>
    <w:rsid w:val="00986633"/>
    <w:rsid w:val="0098675D"/>
    <w:rsid w:val="00987564"/>
    <w:rsid w:val="0098760A"/>
    <w:rsid w:val="00987CA3"/>
    <w:rsid w:val="00990536"/>
    <w:rsid w:val="00990EC1"/>
    <w:rsid w:val="00991585"/>
    <w:rsid w:val="009926E0"/>
    <w:rsid w:val="00992ABF"/>
    <w:rsid w:val="00993249"/>
    <w:rsid w:val="009935DC"/>
    <w:rsid w:val="00994113"/>
    <w:rsid w:val="0099451E"/>
    <w:rsid w:val="00995134"/>
    <w:rsid w:val="00996B1A"/>
    <w:rsid w:val="00997099"/>
    <w:rsid w:val="00997134"/>
    <w:rsid w:val="009A006B"/>
    <w:rsid w:val="009A0817"/>
    <w:rsid w:val="009A0D78"/>
    <w:rsid w:val="009A0DBE"/>
    <w:rsid w:val="009A0F6C"/>
    <w:rsid w:val="009A0FE5"/>
    <w:rsid w:val="009A17F8"/>
    <w:rsid w:val="009A25BC"/>
    <w:rsid w:val="009A2DCC"/>
    <w:rsid w:val="009A501B"/>
    <w:rsid w:val="009A5674"/>
    <w:rsid w:val="009A5995"/>
    <w:rsid w:val="009A5ABC"/>
    <w:rsid w:val="009A71FA"/>
    <w:rsid w:val="009A778D"/>
    <w:rsid w:val="009A7EB9"/>
    <w:rsid w:val="009A7F06"/>
    <w:rsid w:val="009A7F10"/>
    <w:rsid w:val="009B18C7"/>
    <w:rsid w:val="009B1F9A"/>
    <w:rsid w:val="009B316F"/>
    <w:rsid w:val="009B35F7"/>
    <w:rsid w:val="009B364C"/>
    <w:rsid w:val="009B3E26"/>
    <w:rsid w:val="009B44B5"/>
    <w:rsid w:val="009B4BAE"/>
    <w:rsid w:val="009B53AF"/>
    <w:rsid w:val="009B634C"/>
    <w:rsid w:val="009B6642"/>
    <w:rsid w:val="009B7981"/>
    <w:rsid w:val="009C07CD"/>
    <w:rsid w:val="009C112D"/>
    <w:rsid w:val="009C24DA"/>
    <w:rsid w:val="009C3706"/>
    <w:rsid w:val="009C3A3A"/>
    <w:rsid w:val="009C4551"/>
    <w:rsid w:val="009C5B09"/>
    <w:rsid w:val="009C6CEA"/>
    <w:rsid w:val="009C7329"/>
    <w:rsid w:val="009C7437"/>
    <w:rsid w:val="009C7B85"/>
    <w:rsid w:val="009D01EF"/>
    <w:rsid w:val="009D0254"/>
    <w:rsid w:val="009D0290"/>
    <w:rsid w:val="009D0BCE"/>
    <w:rsid w:val="009D1588"/>
    <w:rsid w:val="009D16B1"/>
    <w:rsid w:val="009D1A64"/>
    <w:rsid w:val="009D24CC"/>
    <w:rsid w:val="009D2891"/>
    <w:rsid w:val="009D39FF"/>
    <w:rsid w:val="009D43B5"/>
    <w:rsid w:val="009D5B91"/>
    <w:rsid w:val="009D60DD"/>
    <w:rsid w:val="009D6AC5"/>
    <w:rsid w:val="009D76CA"/>
    <w:rsid w:val="009D792E"/>
    <w:rsid w:val="009D7EEA"/>
    <w:rsid w:val="009E0DB3"/>
    <w:rsid w:val="009E0DFE"/>
    <w:rsid w:val="009E2AA7"/>
    <w:rsid w:val="009E2AC6"/>
    <w:rsid w:val="009E31F6"/>
    <w:rsid w:val="009E4A0E"/>
    <w:rsid w:val="009E4C07"/>
    <w:rsid w:val="009E4DB9"/>
    <w:rsid w:val="009E4E51"/>
    <w:rsid w:val="009E61FB"/>
    <w:rsid w:val="009E6706"/>
    <w:rsid w:val="009E75C3"/>
    <w:rsid w:val="009E76F5"/>
    <w:rsid w:val="009E7B1C"/>
    <w:rsid w:val="009F03B5"/>
    <w:rsid w:val="009F200E"/>
    <w:rsid w:val="009F2302"/>
    <w:rsid w:val="009F396A"/>
    <w:rsid w:val="009F5F4E"/>
    <w:rsid w:val="009F5FD2"/>
    <w:rsid w:val="009F671A"/>
    <w:rsid w:val="009F6E21"/>
    <w:rsid w:val="009F7D6E"/>
    <w:rsid w:val="00A01184"/>
    <w:rsid w:val="00A02523"/>
    <w:rsid w:val="00A037C2"/>
    <w:rsid w:val="00A03D43"/>
    <w:rsid w:val="00A04380"/>
    <w:rsid w:val="00A048C4"/>
    <w:rsid w:val="00A05472"/>
    <w:rsid w:val="00A0571D"/>
    <w:rsid w:val="00A05AC2"/>
    <w:rsid w:val="00A05C32"/>
    <w:rsid w:val="00A05E89"/>
    <w:rsid w:val="00A0653F"/>
    <w:rsid w:val="00A06DE2"/>
    <w:rsid w:val="00A06DFC"/>
    <w:rsid w:val="00A07099"/>
    <w:rsid w:val="00A07333"/>
    <w:rsid w:val="00A1081D"/>
    <w:rsid w:val="00A10C8E"/>
    <w:rsid w:val="00A1108F"/>
    <w:rsid w:val="00A1138B"/>
    <w:rsid w:val="00A11AE5"/>
    <w:rsid w:val="00A11CD0"/>
    <w:rsid w:val="00A11D1D"/>
    <w:rsid w:val="00A1253C"/>
    <w:rsid w:val="00A13948"/>
    <w:rsid w:val="00A13A00"/>
    <w:rsid w:val="00A1512D"/>
    <w:rsid w:val="00A1555B"/>
    <w:rsid w:val="00A155C5"/>
    <w:rsid w:val="00A167F0"/>
    <w:rsid w:val="00A16AD8"/>
    <w:rsid w:val="00A1754D"/>
    <w:rsid w:val="00A17D7E"/>
    <w:rsid w:val="00A2058C"/>
    <w:rsid w:val="00A20E5B"/>
    <w:rsid w:val="00A21C95"/>
    <w:rsid w:val="00A21CF3"/>
    <w:rsid w:val="00A21EE2"/>
    <w:rsid w:val="00A22911"/>
    <w:rsid w:val="00A24610"/>
    <w:rsid w:val="00A24813"/>
    <w:rsid w:val="00A26396"/>
    <w:rsid w:val="00A27203"/>
    <w:rsid w:val="00A278BF"/>
    <w:rsid w:val="00A27AEC"/>
    <w:rsid w:val="00A30190"/>
    <w:rsid w:val="00A30850"/>
    <w:rsid w:val="00A30E7A"/>
    <w:rsid w:val="00A320DB"/>
    <w:rsid w:val="00A32FB5"/>
    <w:rsid w:val="00A33828"/>
    <w:rsid w:val="00A345E3"/>
    <w:rsid w:val="00A35D16"/>
    <w:rsid w:val="00A35E6D"/>
    <w:rsid w:val="00A35F61"/>
    <w:rsid w:val="00A365DC"/>
    <w:rsid w:val="00A36B6A"/>
    <w:rsid w:val="00A37034"/>
    <w:rsid w:val="00A37703"/>
    <w:rsid w:val="00A37726"/>
    <w:rsid w:val="00A3793A"/>
    <w:rsid w:val="00A37B71"/>
    <w:rsid w:val="00A37BCD"/>
    <w:rsid w:val="00A40051"/>
    <w:rsid w:val="00A40A37"/>
    <w:rsid w:val="00A41689"/>
    <w:rsid w:val="00A41F08"/>
    <w:rsid w:val="00A42592"/>
    <w:rsid w:val="00A4264D"/>
    <w:rsid w:val="00A43248"/>
    <w:rsid w:val="00A432F4"/>
    <w:rsid w:val="00A435E5"/>
    <w:rsid w:val="00A43C59"/>
    <w:rsid w:val="00A44094"/>
    <w:rsid w:val="00A442C1"/>
    <w:rsid w:val="00A4459A"/>
    <w:rsid w:val="00A472AC"/>
    <w:rsid w:val="00A479DA"/>
    <w:rsid w:val="00A5059F"/>
    <w:rsid w:val="00A50B9C"/>
    <w:rsid w:val="00A50ECD"/>
    <w:rsid w:val="00A5104C"/>
    <w:rsid w:val="00A518F3"/>
    <w:rsid w:val="00A52729"/>
    <w:rsid w:val="00A52839"/>
    <w:rsid w:val="00A52BF2"/>
    <w:rsid w:val="00A53675"/>
    <w:rsid w:val="00A542F0"/>
    <w:rsid w:val="00A547A9"/>
    <w:rsid w:val="00A54A6E"/>
    <w:rsid w:val="00A55A46"/>
    <w:rsid w:val="00A55D8E"/>
    <w:rsid w:val="00A5604E"/>
    <w:rsid w:val="00A564D7"/>
    <w:rsid w:val="00A56B6A"/>
    <w:rsid w:val="00A570E8"/>
    <w:rsid w:val="00A5750E"/>
    <w:rsid w:val="00A578DC"/>
    <w:rsid w:val="00A6179E"/>
    <w:rsid w:val="00A62EE5"/>
    <w:rsid w:val="00A63656"/>
    <w:rsid w:val="00A640E2"/>
    <w:rsid w:val="00A64D65"/>
    <w:rsid w:val="00A65EC5"/>
    <w:rsid w:val="00A66A74"/>
    <w:rsid w:val="00A6725B"/>
    <w:rsid w:val="00A677C0"/>
    <w:rsid w:val="00A70605"/>
    <w:rsid w:val="00A707EB"/>
    <w:rsid w:val="00A70869"/>
    <w:rsid w:val="00A70877"/>
    <w:rsid w:val="00A70C58"/>
    <w:rsid w:val="00A71B4A"/>
    <w:rsid w:val="00A71C32"/>
    <w:rsid w:val="00A71F11"/>
    <w:rsid w:val="00A7217E"/>
    <w:rsid w:val="00A72669"/>
    <w:rsid w:val="00A73134"/>
    <w:rsid w:val="00A73376"/>
    <w:rsid w:val="00A736A5"/>
    <w:rsid w:val="00A75735"/>
    <w:rsid w:val="00A76001"/>
    <w:rsid w:val="00A765A6"/>
    <w:rsid w:val="00A767CB"/>
    <w:rsid w:val="00A777B2"/>
    <w:rsid w:val="00A77DAC"/>
    <w:rsid w:val="00A8005B"/>
    <w:rsid w:val="00A80901"/>
    <w:rsid w:val="00A81298"/>
    <w:rsid w:val="00A81F72"/>
    <w:rsid w:val="00A82156"/>
    <w:rsid w:val="00A82521"/>
    <w:rsid w:val="00A825D4"/>
    <w:rsid w:val="00A828F6"/>
    <w:rsid w:val="00A82B73"/>
    <w:rsid w:val="00A82E47"/>
    <w:rsid w:val="00A82F9D"/>
    <w:rsid w:val="00A839A5"/>
    <w:rsid w:val="00A85845"/>
    <w:rsid w:val="00A861D8"/>
    <w:rsid w:val="00A865BA"/>
    <w:rsid w:val="00A86BF5"/>
    <w:rsid w:val="00A86E8B"/>
    <w:rsid w:val="00A87164"/>
    <w:rsid w:val="00A87AC4"/>
    <w:rsid w:val="00A90193"/>
    <w:rsid w:val="00A90522"/>
    <w:rsid w:val="00A91828"/>
    <w:rsid w:val="00A9221A"/>
    <w:rsid w:val="00A92A16"/>
    <w:rsid w:val="00A93072"/>
    <w:rsid w:val="00A93501"/>
    <w:rsid w:val="00A9356A"/>
    <w:rsid w:val="00A938BD"/>
    <w:rsid w:val="00A93953"/>
    <w:rsid w:val="00A94E93"/>
    <w:rsid w:val="00A95046"/>
    <w:rsid w:val="00A958EA"/>
    <w:rsid w:val="00A959D8"/>
    <w:rsid w:val="00A95E70"/>
    <w:rsid w:val="00A96257"/>
    <w:rsid w:val="00A96E08"/>
    <w:rsid w:val="00A97290"/>
    <w:rsid w:val="00A973EC"/>
    <w:rsid w:val="00AA0375"/>
    <w:rsid w:val="00AA0894"/>
    <w:rsid w:val="00AA113D"/>
    <w:rsid w:val="00AA1618"/>
    <w:rsid w:val="00AA1B99"/>
    <w:rsid w:val="00AA1E86"/>
    <w:rsid w:val="00AA220A"/>
    <w:rsid w:val="00AA2A96"/>
    <w:rsid w:val="00AA3245"/>
    <w:rsid w:val="00AA4A98"/>
    <w:rsid w:val="00AA5295"/>
    <w:rsid w:val="00AA5B71"/>
    <w:rsid w:val="00AA6BD5"/>
    <w:rsid w:val="00AA6BD8"/>
    <w:rsid w:val="00AA6C7D"/>
    <w:rsid w:val="00AA7076"/>
    <w:rsid w:val="00AA725E"/>
    <w:rsid w:val="00AA7E02"/>
    <w:rsid w:val="00AA7FD6"/>
    <w:rsid w:val="00AB03E3"/>
    <w:rsid w:val="00AB042A"/>
    <w:rsid w:val="00AB049D"/>
    <w:rsid w:val="00AB061B"/>
    <w:rsid w:val="00AB0B8F"/>
    <w:rsid w:val="00AB19EF"/>
    <w:rsid w:val="00AB1A37"/>
    <w:rsid w:val="00AB292B"/>
    <w:rsid w:val="00AB2D34"/>
    <w:rsid w:val="00AB31B4"/>
    <w:rsid w:val="00AB33F2"/>
    <w:rsid w:val="00AB3430"/>
    <w:rsid w:val="00AB37B9"/>
    <w:rsid w:val="00AB45E9"/>
    <w:rsid w:val="00AB4A05"/>
    <w:rsid w:val="00AB4AD1"/>
    <w:rsid w:val="00AB4B0E"/>
    <w:rsid w:val="00AB4BE5"/>
    <w:rsid w:val="00AB4FA4"/>
    <w:rsid w:val="00AB4FBC"/>
    <w:rsid w:val="00AB5E07"/>
    <w:rsid w:val="00AB63A8"/>
    <w:rsid w:val="00AB6836"/>
    <w:rsid w:val="00AB7CFA"/>
    <w:rsid w:val="00AC0B43"/>
    <w:rsid w:val="00AC1A35"/>
    <w:rsid w:val="00AC1E06"/>
    <w:rsid w:val="00AC246B"/>
    <w:rsid w:val="00AC2756"/>
    <w:rsid w:val="00AC2A44"/>
    <w:rsid w:val="00AC3222"/>
    <w:rsid w:val="00AC3569"/>
    <w:rsid w:val="00AC3AFB"/>
    <w:rsid w:val="00AC3C2D"/>
    <w:rsid w:val="00AC4356"/>
    <w:rsid w:val="00AC4830"/>
    <w:rsid w:val="00AC4A9F"/>
    <w:rsid w:val="00AC5454"/>
    <w:rsid w:val="00AC5B48"/>
    <w:rsid w:val="00AC65CA"/>
    <w:rsid w:val="00AC7A48"/>
    <w:rsid w:val="00AD048F"/>
    <w:rsid w:val="00AD068D"/>
    <w:rsid w:val="00AD0B01"/>
    <w:rsid w:val="00AD1081"/>
    <w:rsid w:val="00AD1450"/>
    <w:rsid w:val="00AD185B"/>
    <w:rsid w:val="00AD2658"/>
    <w:rsid w:val="00AD2C95"/>
    <w:rsid w:val="00AD2F02"/>
    <w:rsid w:val="00AD409C"/>
    <w:rsid w:val="00AD4805"/>
    <w:rsid w:val="00AD5054"/>
    <w:rsid w:val="00AD5AD8"/>
    <w:rsid w:val="00AD62A6"/>
    <w:rsid w:val="00AD6502"/>
    <w:rsid w:val="00AD6D6D"/>
    <w:rsid w:val="00AE0695"/>
    <w:rsid w:val="00AE070B"/>
    <w:rsid w:val="00AE0796"/>
    <w:rsid w:val="00AE3219"/>
    <w:rsid w:val="00AE349F"/>
    <w:rsid w:val="00AE3D5A"/>
    <w:rsid w:val="00AE3E7E"/>
    <w:rsid w:val="00AE50A0"/>
    <w:rsid w:val="00AE548C"/>
    <w:rsid w:val="00AE6830"/>
    <w:rsid w:val="00AE725C"/>
    <w:rsid w:val="00AE780C"/>
    <w:rsid w:val="00AE7FA7"/>
    <w:rsid w:val="00AF029D"/>
    <w:rsid w:val="00AF05B9"/>
    <w:rsid w:val="00AF0D38"/>
    <w:rsid w:val="00AF1315"/>
    <w:rsid w:val="00AF1481"/>
    <w:rsid w:val="00AF1684"/>
    <w:rsid w:val="00AF19BF"/>
    <w:rsid w:val="00AF1E88"/>
    <w:rsid w:val="00AF2784"/>
    <w:rsid w:val="00AF2DC3"/>
    <w:rsid w:val="00AF309A"/>
    <w:rsid w:val="00AF35EA"/>
    <w:rsid w:val="00AF40B8"/>
    <w:rsid w:val="00AF566E"/>
    <w:rsid w:val="00AF610A"/>
    <w:rsid w:val="00AF6176"/>
    <w:rsid w:val="00AF7A97"/>
    <w:rsid w:val="00AF7CA1"/>
    <w:rsid w:val="00AF7D34"/>
    <w:rsid w:val="00AF7DFE"/>
    <w:rsid w:val="00B00084"/>
    <w:rsid w:val="00B0077B"/>
    <w:rsid w:val="00B00857"/>
    <w:rsid w:val="00B01989"/>
    <w:rsid w:val="00B01E51"/>
    <w:rsid w:val="00B02F2D"/>
    <w:rsid w:val="00B0315E"/>
    <w:rsid w:val="00B033E5"/>
    <w:rsid w:val="00B03440"/>
    <w:rsid w:val="00B03836"/>
    <w:rsid w:val="00B03A63"/>
    <w:rsid w:val="00B04A74"/>
    <w:rsid w:val="00B06337"/>
    <w:rsid w:val="00B0644C"/>
    <w:rsid w:val="00B07336"/>
    <w:rsid w:val="00B073B6"/>
    <w:rsid w:val="00B07D98"/>
    <w:rsid w:val="00B07EC8"/>
    <w:rsid w:val="00B10BFC"/>
    <w:rsid w:val="00B1123C"/>
    <w:rsid w:val="00B120B2"/>
    <w:rsid w:val="00B12A61"/>
    <w:rsid w:val="00B12E7A"/>
    <w:rsid w:val="00B13227"/>
    <w:rsid w:val="00B13F34"/>
    <w:rsid w:val="00B13FBC"/>
    <w:rsid w:val="00B15033"/>
    <w:rsid w:val="00B1507B"/>
    <w:rsid w:val="00B15E6D"/>
    <w:rsid w:val="00B161A4"/>
    <w:rsid w:val="00B172A1"/>
    <w:rsid w:val="00B17C4F"/>
    <w:rsid w:val="00B201A4"/>
    <w:rsid w:val="00B201D1"/>
    <w:rsid w:val="00B202B7"/>
    <w:rsid w:val="00B2059A"/>
    <w:rsid w:val="00B20EE4"/>
    <w:rsid w:val="00B20F8A"/>
    <w:rsid w:val="00B213A6"/>
    <w:rsid w:val="00B214DF"/>
    <w:rsid w:val="00B2198C"/>
    <w:rsid w:val="00B21CC4"/>
    <w:rsid w:val="00B227CA"/>
    <w:rsid w:val="00B23279"/>
    <w:rsid w:val="00B235B0"/>
    <w:rsid w:val="00B23936"/>
    <w:rsid w:val="00B23A5D"/>
    <w:rsid w:val="00B24DF6"/>
    <w:rsid w:val="00B25802"/>
    <w:rsid w:val="00B25C4A"/>
    <w:rsid w:val="00B26827"/>
    <w:rsid w:val="00B27397"/>
    <w:rsid w:val="00B30B48"/>
    <w:rsid w:val="00B3164D"/>
    <w:rsid w:val="00B32937"/>
    <w:rsid w:val="00B32A8F"/>
    <w:rsid w:val="00B33821"/>
    <w:rsid w:val="00B33C7F"/>
    <w:rsid w:val="00B346F1"/>
    <w:rsid w:val="00B34999"/>
    <w:rsid w:val="00B34E11"/>
    <w:rsid w:val="00B34FE2"/>
    <w:rsid w:val="00B3514E"/>
    <w:rsid w:val="00B35166"/>
    <w:rsid w:val="00B357D8"/>
    <w:rsid w:val="00B360A3"/>
    <w:rsid w:val="00B360F4"/>
    <w:rsid w:val="00B36A00"/>
    <w:rsid w:val="00B3727E"/>
    <w:rsid w:val="00B37BFC"/>
    <w:rsid w:val="00B40358"/>
    <w:rsid w:val="00B40747"/>
    <w:rsid w:val="00B40836"/>
    <w:rsid w:val="00B41614"/>
    <w:rsid w:val="00B41EF9"/>
    <w:rsid w:val="00B41F5D"/>
    <w:rsid w:val="00B4245A"/>
    <w:rsid w:val="00B427DF"/>
    <w:rsid w:val="00B42851"/>
    <w:rsid w:val="00B42F80"/>
    <w:rsid w:val="00B435CB"/>
    <w:rsid w:val="00B44395"/>
    <w:rsid w:val="00B44975"/>
    <w:rsid w:val="00B44D93"/>
    <w:rsid w:val="00B456AB"/>
    <w:rsid w:val="00B46396"/>
    <w:rsid w:val="00B46B30"/>
    <w:rsid w:val="00B46E87"/>
    <w:rsid w:val="00B476AB"/>
    <w:rsid w:val="00B47824"/>
    <w:rsid w:val="00B478CF"/>
    <w:rsid w:val="00B505C8"/>
    <w:rsid w:val="00B50DB8"/>
    <w:rsid w:val="00B50F45"/>
    <w:rsid w:val="00B50FB2"/>
    <w:rsid w:val="00B51306"/>
    <w:rsid w:val="00B52110"/>
    <w:rsid w:val="00B53329"/>
    <w:rsid w:val="00B534BA"/>
    <w:rsid w:val="00B53654"/>
    <w:rsid w:val="00B53905"/>
    <w:rsid w:val="00B544F4"/>
    <w:rsid w:val="00B54B5B"/>
    <w:rsid w:val="00B54E01"/>
    <w:rsid w:val="00B5562E"/>
    <w:rsid w:val="00B5578B"/>
    <w:rsid w:val="00B5587A"/>
    <w:rsid w:val="00B5588E"/>
    <w:rsid w:val="00B55BFC"/>
    <w:rsid w:val="00B55D65"/>
    <w:rsid w:val="00B55F43"/>
    <w:rsid w:val="00B56DFC"/>
    <w:rsid w:val="00B57000"/>
    <w:rsid w:val="00B57782"/>
    <w:rsid w:val="00B57863"/>
    <w:rsid w:val="00B57DEB"/>
    <w:rsid w:val="00B60206"/>
    <w:rsid w:val="00B60939"/>
    <w:rsid w:val="00B60AFD"/>
    <w:rsid w:val="00B61850"/>
    <w:rsid w:val="00B62715"/>
    <w:rsid w:val="00B628D1"/>
    <w:rsid w:val="00B633AD"/>
    <w:rsid w:val="00B636F1"/>
    <w:rsid w:val="00B63A11"/>
    <w:rsid w:val="00B641F7"/>
    <w:rsid w:val="00B643F7"/>
    <w:rsid w:val="00B64402"/>
    <w:rsid w:val="00B645C7"/>
    <w:rsid w:val="00B647D8"/>
    <w:rsid w:val="00B65611"/>
    <w:rsid w:val="00B65BD2"/>
    <w:rsid w:val="00B65FBB"/>
    <w:rsid w:val="00B66027"/>
    <w:rsid w:val="00B6738D"/>
    <w:rsid w:val="00B7012B"/>
    <w:rsid w:val="00B7063D"/>
    <w:rsid w:val="00B70775"/>
    <w:rsid w:val="00B7089F"/>
    <w:rsid w:val="00B70E8E"/>
    <w:rsid w:val="00B70F8B"/>
    <w:rsid w:val="00B710DE"/>
    <w:rsid w:val="00B7275C"/>
    <w:rsid w:val="00B72F84"/>
    <w:rsid w:val="00B7376B"/>
    <w:rsid w:val="00B73C0F"/>
    <w:rsid w:val="00B74C64"/>
    <w:rsid w:val="00B74ED8"/>
    <w:rsid w:val="00B756E3"/>
    <w:rsid w:val="00B76C92"/>
    <w:rsid w:val="00B76FA4"/>
    <w:rsid w:val="00B77242"/>
    <w:rsid w:val="00B80082"/>
    <w:rsid w:val="00B805D8"/>
    <w:rsid w:val="00B80AEA"/>
    <w:rsid w:val="00B818A4"/>
    <w:rsid w:val="00B8201B"/>
    <w:rsid w:val="00B82560"/>
    <w:rsid w:val="00B827A4"/>
    <w:rsid w:val="00B8299B"/>
    <w:rsid w:val="00B83905"/>
    <w:rsid w:val="00B83993"/>
    <w:rsid w:val="00B83A58"/>
    <w:rsid w:val="00B84117"/>
    <w:rsid w:val="00B858F0"/>
    <w:rsid w:val="00B85AA2"/>
    <w:rsid w:val="00B86180"/>
    <w:rsid w:val="00B8649C"/>
    <w:rsid w:val="00B8695D"/>
    <w:rsid w:val="00B86D89"/>
    <w:rsid w:val="00B8762F"/>
    <w:rsid w:val="00B879C8"/>
    <w:rsid w:val="00B87F0A"/>
    <w:rsid w:val="00B90010"/>
    <w:rsid w:val="00B90647"/>
    <w:rsid w:val="00B91116"/>
    <w:rsid w:val="00B913BA"/>
    <w:rsid w:val="00B91586"/>
    <w:rsid w:val="00B91E36"/>
    <w:rsid w:val="00B926B1"/>
    <w:rsid w:val="00B9285C"/>
    <w:rsid w:val="00B92D0B"/>
    <w:rsid w:val="00B930FD"/>
    <w:rsid w:val="00B93D1D"/>
    <w:rsid w:val="00B946EC"/>
    <w:rsid w:val="00B94945"/>
    <w:rsid w:val="00B94C4A"/>
    <w:rsid w:val="00B94DD6"/>
    <w:rsid w:val="00B95A01"/>
    <w:rsid w:val="00B95E6E"/>
    <w:rsid w:val="00B961E5"/>
    <w:rsid w:val="00B96499"/>
    <w:rsid w:val="00B96588"/>
    <w:rsid w:val="00B96E2E"/>
    <w:rsid w:val="00B9714B"/>
    <w:rsid w:val="00B977A6"/>
    <w:rsid w:val="00B97D03"/>
    <w:rsid w:val="00BA09FE"/>
    <w:rsid w:val="00BA135E"/>
    <w:rsid w:val="00BA1850"/>
    <w:rsid w:val="00BA1D4B"/>
    <w:rsid w:val="00BA2824"/>
    <w:rsid w:val="00BA2ABF"/>
    <w:rsid w:val="00BA322D"/>
    <w:rsid w:val="00BA4FEC"/>
    <w:rsid w:val="00BA5054"/>
    <w:rsid w:val="00BA515F"/>
    <w:rsid w:val="00BA5A8E"/>
    <w:rsid w:val="00BA63FA"/>
    <w:rsid w:val="00BA6566"/>
    <w:rsid w:val="00BA705F"/>
    <w:rsid w:val="00BB00B3"/>
    <w:rsid w:val="00BB0B72"/>
    <w:rsid w:val="00BB0BDD"/>
    <w:rsid w:val="00BB12B4"/>
    <w:rsid w:val="00BB176C"/>
    <w:rsid w:val="00BB2226"/>
    <w:rsid w:val="00BB2A73"/>
    <w:rsid w:val="00BB2D02"/>
    <w:rsid w:val="00BB308E"/>
    <w:rsid w:val="00BB3A45"/>
    <w:rsid w:val="00BB3E83"/>
    <w:rsid w:val="00BB43F1"/>
    <w:rsid w:val="00BB456F"/>
    <w:rsid w:val="00BB4613"/>
    <w:rsid w:val="00BB4ACC"/>
    <w:rsid w:val="00BB5389"/>
    <w:rsid w:val="00BB5517"/>
    <w:rsid w:val="00BB5A79"/>
    <w:rsid w:val="00BB5D6F"/>
    <w:rsid w:val="00BB703E"/>
    <w:rsid w:val="00BB732D"/>
    <w:rsid w:val="00BB7405"/>
    <w:rsid w:val="00BB779F"/>
    <w:rsid w:val="00BB799D"/>
    <w:rsid w:val="00BB7D91"/>
    <w:rsid w:val="00BC09CA"/>
    <w:rsid w:val="00BC16E6"/>
    <w:rsid w:val="00BC1C08"/>
    <w:rsid w:val="00BC25E8"/>
    <w:rsid w:val="00BC26B3"/>
    <w:rsid w:val="00BC2FF6"/>
    <w:rsid w:val="00BC3631"/>
    <w:rsid w:val="00BC489B"/>
    <w:rsid w:val="00BC4A27"/>
    <w:rsid w:val="00BC4D1B"/>
    <w:rsid w:val="00BC4D3C"/>
    <w:rsid w:val="00BC591F"/>
    <w:rsid w:val="00BC5933"/>
    <w:rsid w:val="00BC656C"/>
    <w:rsid w:val="00BC675E"/>
    <w:rsid w:val="00BC67E8"/>
    <w:rsid w:val="00BC6D54"/>
    <w:rsid w:val="00BC6E95"/>
    <w:rsid w:val="00BC7294"/>
    <w:rsid w:val="00BC7CD7"/>
    <w:rsid w:val="00BC7D6D"/>
    <w:rsid w:val="00BD1357"/>
    <w:rsid w:val="00BD1AEE"/>
    <w:rsid w:val="00BD2108"/>
    <w:rsid w:val="00BD2D61"/>
    <w:rsid w:val="00BD3220"/>
    <w:rsid w:val="00BD36A2"/>
    <w:rsid w:val="00BD4F37"/>
    <w:rsid w:val="00BD567C"/>
    <w:rsid w:val="00BD5BEC"/>
    <w:rsid w:val="00BD68A3"/>
    <w:rsid w:val="00BD6911"/>
    <w:rsid w:val="00BD6938"/>
    <w:rsid w:val="00BD6A6D"/>
    <w:rsid w:val="00BD6CF3"/>
    <w:rsid w:val="00BD6F55"/>
    <w:rsid w:val="00BD7C98"/>
    <w:rsid w:val="00BD7DE8"/>
    <w:rsid w:val="00BE0410"/>
    <w:rsid w:val="00BE069A"/>
    <w:rsid w:val="00BE0BA6"/>
    <w:rsid w:val="00BE0ECA"/>
    <w:rsid w:val="00BE0FFE"/>
    <w:rsid w:val="00BE14F4"/>
    <w:rsid w:val="00BE215A"/>
    <w:rsid w:val="00BE2180"/>
    <w:rsid w:val="00BE21F2"/>
    <w:rsid w:val="00BE2576"/>
    <w:rsid w:val="00BE4275"/>
    <w:rsid w:val="00BE4538"/>
    <w:rsid w:val="00BE4799"/>
    <w:rsid w:val="00BE4918"/>
    <w:rsid w:val="00BE4CDF"/>
    <w:rsid w:val="00BE51AE"/>
    <w:rsid w:val="00BE5591"/>
    <w:rsid w:val="00BE5F72"/>
    <w:rsid w:val="00BE6C4C"/>
    <w:rsid w:val="00BE7264"/>
    <w:rsid w:val="00BE75AF"/>
    <w:rsid w:val="00BF06AE"/>
    <w:rsid w:val="00BF0F95"/>
    <w:rsid w:val="00BF1D75"/>
    <w:rsid w:val="00BF2433"/>
    <w:rsid w:val="00BF3AA5"/>
    <w:rsid w:val="00BF3C96"/>
    <w:rsid w:val="00BF3D33"/>
    <w:rsid w:val="00BF5174"/>
    <w:rsid w:val="00BF61C9"/>
    <w:rsid w:val="00BF69CA"/>
    <w:rsid w:val="00BF6C94"/>
    <w:rsid w:val="00C00198"/>
    <w:rsid w:val="00C00424"/>
    <w:rsid w:val="00C01924"/>
    <w:rsid w:val="00C02553"/>
    <w:rsid w:val="00C027DC"/>
    <w:rsid w:val="00C03126"/>
    <w:rsid w:val="00C03450"/>
    <w:rsid w:val="00C0446A"/>
    <w:rsid w:val="00C04E92"/>
    <w:rsid w:val="00C0505E"/>
    <w:rsid w:val="00C0657E"/>
    <w:rsid w:val="00C07A13"/>
    <w:rsid w:val="00C10D09"/>
    <w:rsid w:val="00C10FC3"/>
    <w:rsid w:val="00C1179F"/>
    <w:rsid w:val="00C11C43"/>
    <w:rsid w:val="00C11DA3"/>
    <w:rsid w:val="00C12C14"/>
    <w:rsid w:val="00C132E0"/>
    <w:rsid w:val="00C13E2D"/>
    <w:rsid w:val="00C14220"/>
    <w:rsid w:val="00C147B9"/>
    <w:rsid w:val="00C14C6B"/>
    <w:rsid w:val="00C14FA9"/>
    <w:rsid w:val="00C14FEE"/>
    <w:rsid w:val="00C15F04"/>
    <w:rsid w:val="00C1740A"/>
    <w:rsid w:val="00C179B3"/>
    <w:rsid w:val="00C17E3F"/>
    <w:rsid w:val="00C200AA"/>
    <w:rsid w:val="00C21FB8"/>
    <w:rsid w:val="00C22FC8"/>
    <w:rsid w:val="00C237ED"/>
    <w:rsid w:val="00C23F80"/>
    <w:rsid w:val="00C24632"/>
    <w:rsid w:val="00C2510E"/>
    <w:rsid w:val="00C25418"/>
    <w:rsid w:val="00C25AF5"/>
    <w:rsid w:val="00C25D9C"/>
    <w:rsid w:val="00C26AFA"/>
    <w:rsid w:val="00C26F10"/>
    <w:rsid w:val="00C2778B"/>
    <w:rsid w:val="00C27CA5"/>
    <w:rsid w:val="00C3002E"/>
    <w:rsid w:val="00C301FD"/>
    <w:rsid w:val="00C31649"/>
    <w:rsid w:val="00C32B12"/>
    <w:rsid w:val="00C33ADC"/>
    <w:rsid w:val="00C33E51"/>
    <w:rsid w:val="00C3434C"/>
    <w:rsid w:val="00C37675"/>
    <w:rsid w:val="00C40385"/>
    <w:rsid w:val="00C412D0"/>
    <w:rsid w:val="00C41768"/>
    <w:rsid w:val="00C417A4"/>
    <w:rsid w:val="00C422AA"/>
    <w:rsid w:val="00C4649C"/>
    <w:rsid w:val="00C469C0"/>
    <w:rsid w:val="00C475AA"/>
    <w:rsid w:val="00C50028"/>
    <w:rsid w:val="00C53A72"/>
    <w:rsid w:val="00C53C98"/>
    <w:rsid w:val="00C54431"/>
    <w:rsid w:val="00C5490F"/>
    <w:rsid w:val="00C54A35"/>
    <w:rsid w:val="00C54B0A"/>
    <w:rsid w:val="00C554DD"/>
    <w:rsid w:val="00C55BFC"/>
    <w:rsid w:val="00C5607D"/>
    <w:rsid w:val="00C56611"/>
    <w:rsid w:val="00C56FCF"/>
    <w:rsid w:val="00C57B6C"/>
    <w:rsid w:val="00C625EF"/>
    <w:rsid w:val="00C6277F"/>
    <w:rsid w:val="00C628A6"/>
    <w:rsid w:val="00C62E93"/>
    <w:rsid w:val="00C64344"/>
    <w:rsid w:val="00C6485B"/>
    <w:rsid w:val="00C65061"/>
    <w:rsid w:val="00C65108"/>
    <w:rsid w:val="00C65576"/>
    <w:rsid w:val="00C6575C"/>
    <w:rsid w:val="00C66165"/>
    <w:rsid w:val="00C665EF"/>
    <w:rsid w:val="00C6694F"/>
    <w:rsid w:val="00C67737"/>
    <w:rsid w:val="00C678D1"/>
    <w:rsid w:val="00C70587"/>
    <w:rsid w:val="00C7060A"/>
    <w:rsid w:val="00C70D3F"/>
    <w:rsid w:val="00C7151A"/>
    <w:rsid w:val="00C71700"/>
    <w:rsid w:val="00C717E3"/>
    <w:rsid w:val="00C71949"/>
    <w:rsid w:val="00C71F60"/>
    <w:rsid w:val="00C72241"/>
    <w:rsid w:val="00C72BCC"/>
    <w:rsid w:val="00C731C9"/>
    <w:rsid w:val="00C73856"/>
    <w:rsid w:val="00C73E5E"/>
    <w:rsid w:val="00C743B5"/>
    <w:rsid w:val="00C750C8"/>
    <w:rsid w:val="00C7560F"/>
    <w:rsid w:val="00C76116"/>
    <w:rsid w:val="00C764DB"/>
    <w:rsid w:val="00C769BB"/>
    <w:rsid w:val="00C76C9F"/>
    <w:rsid w:val="00C801C4"/>
    <w:rsid w:val="00C80430"/>
    <w:rsid w:val="00C804EB"/>
    <w:rsid w:val="00C80A0E"/>
    <w:rsid w:val="00C8183E"/>
    <w:rsid w:val="00C81BD9"/>
    <w:rsid w:val="00C8204A"/>
    <w:rsid w:val="00C820AC"/>
    <w:rsid w:val="00C8213F"/>
    <w:rsid w:val="00C828D1"/>
    <w:rsid w:val="00C85154"/>
    <w:rsid w:val="00C86140"/>
    <w:rsid w:val="00C861FD"/>
    <w:rsid w:val="00C86202"/>
    <w:rsid w:val="00C87186"/>
    <w:rsid w:val="00C871EB"/>
    <w:rsid w:val="00C8797A"/>
    <w:rsid w:val="00C9004B"/>
    <w:rsid w:val="00C900B8"/>
    <w:rsid w:val="00C90BCA"/>
    <w:rsid w:val="00C90C71"/>
    <w:rsid w:val="00C91239"/>
    <w:rsid w:val="00C91626"/>
    <w:rsid w:val="00C91B26"/>
    <w:rsid w:val="00C91FD1"/>
    <w:rsid w:val="00C931CF"/>
    <w:rsid w:val="00C9347D"/>
    <w:rsid w:val="00C938CF"/>
    <w:rsid w:val="00C94053"/>
    <w:rsid w:val="00C94631"/>
    <w:rsid w:val="00C95138"/>
    <w:rsid w:val="00C95571"/>
    <w:rsid w:val="00C9624D"/>
    <w:rsid w:val="00C962D3"/>
    <w:rsid w:val="00C966F1"/>
    <w:rsid w:val="00C969DA"/>
    <w:rsid w:val="00C97675"/>
    <w:rsid w:val="00CA0419"/>
    <w:rsid w:val="00CA178F"/>
    <w:rsid w:val="00CA1EEC"/>
    <w:rsid w:val="00CA2545"/>
    <w:rsid w:val="00CA2C77"/>
    <w:rsid w:val="00CA2CDA"/>
    <w:rsid w:val="00CA32E3"/>
    <w:rsid w:val="00CA388C"/>
    <w:rsid w:val="00CA3ABE"/>
    <w:rsid w:val="00CA444F"/>
    <w:rsid w:val="00CA4DFC"/>
    <w:rsid w:val="00CA5245"/>
    <w:rsid w:val="00CA52E8"/>
    <w:rsid w:val="00CA5431"/>
    <w:rsid w:val="00CA57BE"/>
    <w:rsid w:val="00CA5E9C"/>
    <w:rsid w:val="00CA6230"/>
    <w:rsid w:val="00CA71F4"/>
    <w:rsid w:val="00CA76BB"/>
    <w:rsid w:val="00CA7B09"/>
    <w:rsid w:val="00CA7CAA"/>
    <w:rsid w:val="00CB12A5"/>
    <w:rsid w:val="00CB1599"/>
    <w:rsid w:val="00CB167C"/>
    <w:rsid w:val="00CB18F3"/>
    <w:rsid w:val="00CB1CAC"/>
    <w:rsid w:val="00CB1DA8"/>
    <w:rsid w:val="00CB2222"/>
    <w:rsid w:val="00CB2D13"/>
    <w:rsid w:val="00CB2F2A"/>
    <w:rsid w:val="00CB2F6D"/>
    <w:rsid w:val="00CB3432"/>
    <w:rsid w:val="00CB3F50"/>
    <w:rsid w:val="00CB3F57"/>
    <w:rsid w:val="00CB497E"/>
    <w:rsid w:val="00CB5B1A"/>
    <w:rsid w:val="00CB6258"/>
    <w:rsid w:val="00CB6B22"/>
    <w:rsid w:val="00CB7651"/>
    <w:rsid w:val="00CB7F5F"/>
    <w:rsid w:val="00CC019B"/>
    <w:rsid w:val="00CC0841"/>
    <w:rsid w:val="00CC0F27"/>
    <w:rsid w:val="00CC14C8"/>
    <w:rsid w:val="00CC1B39"/>
    <w:rsid w:val="00CC2A22"/>
    <w:rsid w:val="00CC35EA"/>
    <w:rsid w:val="00CC3716"/>
    <w:rsid w:val="00CC3727"/>
    <w:rsid w:val="00CC3848"/>
    <w:rsid w:val="00CC4F91"/>
    <w:rsid w:val="00CC550F"/>
    <w:rsid w:val="00CC5A09"/>
    <w:rsid w:val="00CC6A7C"/>
    <w:rsid w:val="00CC7ABA"/>
    <w:rsid w:val="00CC7DF9"/>
    <w:rsid w:val="00CD03E0"/>
    <w:rsid w:val="00CD0E9D"/>
    <w:rsid w:val="00CD2409"/>
    <w:rsid w:val="00CD2B54"/>
    <w:rsid w:val="00CD343B"/>
    <w:rsid w:val="00CD3B22"/>
    <w:rsid w:val="00CD3C36"/>
    <w:rsid w:val="00CD3F77"/>
    <w:rsid w:val="00CD50CD"/>
    <w:rsid w:val="00CD672A"/>
    <w:rsid w:val="00CD6ADC"/>
    <w:rsid w:val="00CD6BE2"/>
    <w:rsid w:val="00CD7193"/>
    <w:rsid w:val="00CD756B"/>
    <w:rsid w:val="00CD7F13"/>
    <w:rsid w:val="00CD7FA2"/>
    <w:rsid w:val="00CE0ADB"/>
    <w:rsid w:val="00CE1200"/>
    <w:rsid w:val="00CE25EF"/>
    <w:rsid w:val="00CE2776"/>
    <w:rsid w:val="00CE299C"/>
    <w:rsid w:val="00CE2E85"/>
    <w:rsid w:val="00CE3838"/>
    <w:rsid w:val="00CE38C8"/>
    <w:rsid w:val="00CE4536"/>
    <w:rsid w:val="00CE5088"/>
    <w:rsid w:val="00CE5929"/>
    <w:rsid w:val="00CE6274"/>
    <w:rsid w:val="00CE64FD"/>
    <w:rsid w:val="00CE66B3"/>
    <w:rsid w:val="00CE670F"/>
    <w:rsid w:val="00CE77B6"/>
    <w:rsid w:val="00CF2B8D"/>
    <w:rsid w:val="00CF2EF4"/>
    <w:rsid w:val="00CF367E"/>
    <w:rsid w:val="00CF42D5"/>
    <w:rsid w:val="00CF456B"/>
    <w:rsid w:val="00CF4D41"/>
    <w:rsid w:val="00CF5203"/>
    <w:rsid w:val="00CF5A22"/>
    <w:rsid w:val="00CF6048"/>
    <w:rsid w:val="00CF66EB"/>
    <w:rsid w:val="00CF6CDB"/>
    <w:rsid w:val="00CF73E8"/>
    <w:rsid w:val="00CF76BB"/>
    <w:rsid w:val="00CF792B"/>
    <w:rsid w:val="00D02032"/>
    <w:rsid w:val="00D0262E"/>
    <w:rsid w:val="00D048F3"/>
    <w:rsid w:val="00D04F97"/>
    <w:rsid w:val="00D05E3D"/>
    <w:rsid w:val="00D06139"/>
    <w:rsid w:val="00D068FF"/>
    <w:rsid w:val="00D0714F"/>
    <w:rsid w:val="00D0728A"/>
    <w:rsid w:val="00D0744D"/>
    <w:rsid w:val="00D07C00"/>
    <w:rsid w:val="00D07CAC"/>
    <w:rsid w:val="00D10AB4"/>
    <w:rsid w:val="00D110BD"/>
    <w:rsid w:val="00D12CD8"/>
    <w:rsid w:val="00D12F8A"/>
    <w:rsid w:val="00D1308B"/>
    <w:rsid w:val="00D13675"/>
    <w:rsid w:val="00D13C1A"/>
    <w:rsid w:val="00D141E1"/>
    <w:rsid w:val="00D15314"/>
    <w:rsid w:val="00D1547B"/>
    <w:rsid w:val="00D15A1E"/>
    <w:rsid w:val="00D1627B"/>
    <w:rsid w:val="00D16431"/>
    <w:rsid w:val="00D16728"/>
    <w:rsid w:val="00D167B1"/>
    <w:rsid w:val="00D16DA6"/>
    <w:rsid w:val="00D17D6C"/>
    <w:rsid w:val="00D20AA7"/>
    <w:rsid w:val="00D20C5D"/>
    <w:rsid w:val="00D2155B"/>
    <w:rsid w:val="00D21A53"/>
    <w:rsid w:val="00D21C78"/>
    <w:rsid w:val="00D22FE7"/>
    <w:rsid w:val="00D23D11"/>
    <w:rsid w:val="00D244B6"/>
    <w:rsid w:val="00D25F6D"/>
    <w:rsid w:val="00D26CFD"/>
    <w:rsid w:val="00D2754D"/>
    <w:rsid w:val="00D27B27"/>
    <w:rsid w:val="00D304EC"/>
    <w:rsid w:val="00D30898"/>
    <w:rsid w:val="00D309FC"/>
    <w:rsid w:val="00D31673"/>
    <w:rsid w:val="00D33BE9"/>
    <w:rsid w:val="00D33F93"/>
    <w:rsid w:val="00D35009"/>
    <w:rsid w:val="00D357FF"/>
    <w:rsid w:val="00D370DA"/>
    <w:rsid w:val="00D409AE"/>
    <w:rsid w:val="00D41DF3"/>
    <w:rsid w:val="00D424C7"/>
    <w:rsid w:val="00D425C9"/>
    <w:rsid w:val="00D426B2"/>
    <w:rsid w:val="00D43B2A"/>
    <w:rsid w:val="00D43D83"/>
    <w:rsid w:val="00D43ED4"/>
    <w:rsid w:val="00D44689"/>
    <w:rsid w:val="00D44CAD"/>
    <w:rsid w:val="00D44EA2"/>
    <w:rsid w:val="00D45815"/>
    <w:rsid w:val="00D45A2D"/>
    <w:rsid w:val="00D462A1"/>
    <w:rsid w:val="00D46462"/>
    <w:rsid w:val="00D471FB"/>
    <w:rsid w:val="00D47575"/>
    <w:rsid w:val="00D47699"/>
    <w:rsid w:val="00D47C5E"/>
    <w:rsid w:val="00D47CBB"/>
    <w:rsid w:val="00D47CCE"/>
    <w:rsid w:val="00D47FE0"/>
    <w:rsid w:val="00D5243B"/>
    <w:rsid w:val="00D52453"/>
    <w:rsid w:val="00D52633"/>
    <w:rsid w:val="00D53046"/>
    <w:rsid w:val="00D53398"/>
    <w:rsid w:val="00D533EC"/>
    <w:rsid w:val="00D545B4"/>
    <w:rsid w:val="00D54C8E"/>
    <w:rsid w:val="00D55738"/>
    <w:rsid w:val="00D55A71"/>
    <w:rsid w:val="00D56A95"/>
    <w:rsid w:val="00D57F4C"/>
    <w:rsid w:val="00D57FF9"/>
    <w:rsid w:val="00D60A49"/>
    <w:rsid w:val="00D61755"/>
    <w:rsid w:val="00D61814"/>
    <w:rsid w:val="00D61B8A"/>
    <w:rsid w:val="00D635D5"/>
    <w:rsid w:val="00D637C3"/>
    <w:rsid w:val="00D63841"/>
    <w:rsid w:val="00D674CF"/>
    <w:rsid w:val="00D67600"/>
    <w:rsid w:val="00D67762"/>
    <w:rsid w:val="00D67AC0"/>
    <w:rsid w:val="00D70BDD"/>
    <w:rsid w:val="00D70E3B"/>
    <w:rsid w:val="00D70F16"/>
    <w:rsid w:val="00D72510"/>
    <w:rsid w:val="00D72BAE"/>
    <w:rsid w:val="00D72F57"/>
    <w:rsid w:val="00D7463F"/>
    <w:rsid w:val="00D74B50"/>
    <w:rsid w:val="00D75850"/>
    <w:rsid w:val="00D75AF3"/>
    <w:rsid w:val="00D75E41"/>
    <w:rsid w:val="00D7646E"/>
    <w:rsid w:val="00D76A44"/>
    <w:rsid w:val="00D76BEB"/>
    <w:rsid w:val="00D7707D"/>
    <w:rsid w:val="00D8056D"/>
    <w:rsid w:val="00D80EA6"/>
    <w:rsid w:val="00D815EF"/>
    <w:rsid w:val="00D81F26"/>
    <w:rsid w:val="00D82AAA"/>
    <w:rsid w:val="00D82B97"/>
    <w:rsid w:val="00D84142"/>
    <w:rsid w:val="00D8528B"/>
    <w:rsid w:val="00D85378"/>
    <w:rsid w:val="00D855E9"/>
    <w:rsid w:val="00D85E3B"/>
    <w:rsid w:val="00D86231"/>
    <w:rsid w:val="00D87E6F"/>
    <w:rsid w:val="00D91923"/>
    <w:rsid w:val="00D91DAF"/>
    <w:rsid w:val="00D9365B"/>
    <w:rsid w:val="00D93753"/>
    <w:rsid w:val="00D93C26"/>
    <w:rsid w:val="00D94E64"/>
    <w:rsid w:val="00D95F8E"/>
    <w:rsid w:val="00D96167"/>
    <w:rsid w:val="00D961CE"/>
    <w:rsid w:val="00D96AE5"/>
    <w:rsid w:val="00D97D9A"/>
    <w:rsid w:val="00DA00EB"/>
    <w:rsid w:val="00DA0554"/>
    <w:rsid w:val="00DA0939"/>
    <w:rsid w:val="00DA1F56"/>
    <w:rsid w:val="00DA3167"/>
    <w:rsid w:val="00DA3305"/>
    <w:rsid w:val="00DA3574"/>
    <w:rsid w:val="00DA3E4F"/>
    <w:rsid w:val="00DA4319"/>
    <w:rsid w:val="00DA480B"/>
    <w:rsid w:val="00DA4DC3"/>
    <w:rsid w:val="00DA5A44"/>
    <w:rsid w:val="00DA6B0E"/>
    <w:rsid w:val="00DA6D17"/>
    <w:rsid w:val="00DA70C8"/>
    <w:rsid w:val="00DA719F"/>
    <w:rsid w:val="00DA7393"/>
    <w:rsid w:val="00DA748D"/>
    <w:rsid w:val="00DA77A5"/>
    <w:rsid w:val="00DA7A96"/>
    <w:rsid w:val="00DB06A9"/>
    <w:rsid w:val="00DB07E3"/>
    <w:rsid w:val="00DB1371"/>
    <w:rsid w:val="00DB1E89"/>
    <w:rsid w:val="00DB333B"/>
    <w:rsid w:val="00DB3DBF"/>
    <w:rsid w:val="00DB405F"/>
    <w:rsid w:val="00DB4814"/>
    <w:rsid w:val="00DB484F"/>
    <w:rsid w:val="00DB485C"/>
    <w:rsid w:val="00DB51A0"/>
    <w:rsid w:val="00DB5A03"/>
    <w:rsid w:val="00DB5BC4"/>
    <w:rsid w:val="00DB5FA9"/>
    <w:rsid w:val="00DB7B6A"/>
    <w:rsid w:val="00DC0217"/>
    <w:rsid w:val="00DC04F6"/>
    <w:rsid w:val="00DC0690"/>
    <w:rsid w:val="00DC0ACF"/>
    <w:rsid w:val="00DC10E9"/>
    <w:rsid w:val="00DC10FC"/>
    <w:rsid w:val="00DC15BC"/>
    <w:rsid w:val="00DC1D65"/>
    <w:rsid w:val="00DC253B"/>
    <w:rsid w:val="00DC36B2"/>
    <w:rsid w:val="00DC39E6"/>
    <w:rsid w:val="00DC3C57"/>
    <w:rsid w:val="00DC44D8"/>
    <w:rsid w:val="00DC4E40"/>
    <w:rsid w:val="00DC4E5D"/>
    <w:rsid w:val="00DC5501"/>
    <w:rsid w:val="00DC579C"/>
    <w:rsid w:val="00DC5832"/>
    <w:rsid w:val="00DC5A07"/>
    <w:rsid w:val="00DC5B7C"/>
    <w:rsid w:val="00DC6200"/>
    <w:rsid w:val="00DC6A34"/>
    <w:rsid w:val="00DC7154"/>
    <w:rsid w:val="00DC729D"/>
    <w:rsid w:val="00DC7888"/>
    <w:rsid w:val="00DC7E8A"/>
    <w:rsid w:val="00DD00E7"/>
    <w:rsid w:val="00DD01B0"/>
    <w:rsid w:val="00DD02F9"/>
    <w:rsid w:val="00DD0595"/>
    <w:rsid w:val="00DD0626"/>
    <w:rsid w:val="00DD08EC"/>
    <w:rsid w:val="00DD0F78"/>
    <w:rsid w:val="00DD1895"/>
    <w:rsid w:val="00DD21FE"/>
    <w:rsid w:val="00DD273C"/>
    <w:rsid w:val="00DD279B"/>
    <w:rsid w:val="00DD2A16"/>
    <w:rsid w:val="00DD2B59"/>
    <w:rsid w:val="00DD3F28"/>
    <w:rsid w:val="00DD3FB3"/>
    <w:rsid w:val="00DD4537"/>
    <w:rsid w:val="00DD4E15"/>
    <w:rsid w:val="00DD5CED"/>
    <w:rsid w:val="00DD7CCA"/>
    <w:rsid w:val="00DE1E65"/>
    <w:rsid w:val="00DE2304"/>
    <w:rsid w:val="00DE2831"/>
    <w:rsid w:val="00DE2F0C"/>
    <w:rsid w:val="00DE3138"/>
    <w:rsid w:val="00DE358D"/>
    <w:rsid w:val="00DE36E2"/>
    <w:rsid w:val="00DE37F8"/>
    <w:rsid w:val="00DE3EF3"/>
    <w:rsid w:val="00DE40CF"/>
    <w:rsid w:val="00DE449F"/>
    <w:rsid w:val="00DE4A07"/>
    <w:rsid w:val="00DE4FCB"/>
    <w:rsid w:val="00DE5CE6"/>
    <w:rsid w:val="00DE5D07"/>
    <w:rsid w:val="00DE72A7"/>
    <w:rsid w:val="00DE7832"/>
    <w:rsid w:val="00DF110C"/>
    <w:rsid w:val="00DF18FC"/>
    <w:rsid w:val="00DF2917"/>
    <w:rsid w:val="00DF30B0"/>
    <w:rsid w:val="00DF343C"/>
    <w:rsid w:val="00DF38B4"/>
    <w:rsid w:val="00DF395F"/>
    <w:rsid w:val="00DF3C8C"/>
    <w:rsid w:val="00DF4D78"/>
    <w:rsid w:val="00DF4FDB"/>
    <w:rsid w:val="00DF515D"/>
    <w:rsid w:val="00DF56D2"/>
    <w:rsid w:val="00DF5CA3"/>
    <w:rsid w:val="00DF5D2B"/>
    <w:rsid w:val="00DF5DEA"/>
    <w:rsid w:val="00DF647A"/>
    <w:rsid w:val="00DF728C"/>
    <w:rsid w:val="00DF74B3"/>
    <w:rsid w:val="00DF7BD5"/>
    <w:rsid w:val="00DF7E4F"/>
    <w:rsid w:val="00E00393"/>
    <w:rsid w:val="00E00E8E"/>
    <w:rsid w:val="00E016E1"/>
    <w:rsid w:val="00E01936"/>
    <w:rsid w:val="00E032FB"/>
    <w:rsid w:val="00E04B28"/>
    <w:rsid w:val="00E05347"/>
    <w:rsid w:val="00E055E3"/>
    <w:rsid w:val="00E05630"/>
    <w:rsid w:val="00E06DBB"/>
    <w:rsid w:val="00E0715B"/>
    <w:rsid w:val="00E072F5"/>
    <w:rsid w:val="00E10149"/>
    <w:rsid w:val="00E10565"/>
    <w:rsid w:val="00E10891"/>
    <w:rsid w:val="00E10C74"/>
    <w:rsid w:val="00E11340"/>
    <w:rsid w:val="00E1154C"/>
    <w:rsid w:val="00E122A1"/>
    <w:rsid w:val="00E13438"/>
    <w:rsid w:val="00E136EB"/>
    <w:rsid w:val="00E13A0C"/>
    <w:rsid w:val="00E13A1D"/>
    <w:rsid w:val="00E142F3"/>
    <w:rsid w:val="00E1485C"/>
    <w:rsid w:val="00E14A61"/>
    <w:rsid w:val="00E15131"/>
    <w:rsid w:val="00E1575B"/>
    <w:rsid w:val="00E16100"/>
    <w:rsid w:val="00E16372"/>
    <w:rsid w:val="00E16DB6"/>
    <w:rsid w:val="00E17E29"/>
    <w:rsid w:val="00E20E4D"/>
    <w:rsid w:val="00E20ED6"/>
    <w:rsid w:val="00E211B9"/>
    <w:rsid w:val="00E21358"/>
    <w:rsid w:val="00E21C77"/>
    <w:rsid w:val="00E21CE8"/>
    <w:rsid w:val="00E2249B"/>
    <w:rsid w:val="00E22A0D"/>
    <w:rsid w:val="00E22A54"/>
    <w:rsid w:val="00E2303F"/>
    <w:rsid w:val="00E240F3"/>
    <w:rsid w:val="00E243C2"/>
    <w:rsid w:val="00E244F6"/>
    <w:rsid w:val="00E247DB"/>
    <w:rsid w:val="00E24878"/>
    <w:rsid w:val="00E24F5E"/>
    <w:rsid w:val="00E253C1"/>
    <w:rsid w:val="00E2639E"/>
    <w:rsid w:val="00E2655E"/>
    <w:rsid w:val="00E2746F"/>
    <w:rsid w:val="00E2771E"/>
    <w:rsid w:val="00E27EB9"/>
    <w:rsid w:val="00E306DA"/>
    <w:rsid w:val="00E309CE"/>
    <w:rsid w:val="00E311EF"/>
    <w:rsid w:val="00E32180"/>
    <w:rsid w:val="00E328F4"/>
    <w:rsid w:val="00E33115"/>
    <w:rsid w:val="00E3318F"/>
    <w:rsid w:val="00E33F21"/>
    <w:rsid w:val="00E34948"/>
    <w:rsid w:val="00E34A0D"/>
    <w:rsid w:val="00E34A6A"/>
    <w:rsid w:val="00E35DE0"/>
    <w:rsid w:val="00E36A72"/>
    <w:rsid w:val="00E3729A"/>
    <w:rsid w:val="00E37569"/>
    <w:rsid w:val="00E37A3D"/>
    <w:rsid w:val="00E37C8F"/>
    <w:rsid w:val="00E401B2"/>
    <w:rsid w:val="00E401C8"/>
    <w:rsid w:val="00E40646"/>
    <w:rsid w:val="00E409CB"/>
    <w:rsid w:val="00E40A5E"/>
    <w:rsid w:val="00E40BD0"/>
    <w:rsid w:val="00E40F43"/>
    <w:rsid w:val="00E414C2"/>
    <w:rsid w:val="00E417D0"/>
    <w:rsid w:val="00E41E30"/>
    <w:rsid w:val="00E426A5"/>
    <w:rsid w:val="00E42D31"/>
    <w:rsid w:val="00E42F73"/>
    <w:rsid w:val="00E43D70"/>
    <w:rsid w:val="00E43D7F"/>
    <w:rsid w:val="00E45B2E"/>
    <w:rsid w:val="00E463B3"/>
    <w:rsid w:val="00E46428"/>
    <w:rsid w:val="00E4655B"/>
    <w:rsid w:val="00E466F3"/>
    <w:rsid w:val="00E47900"/>
    <w:rsid w:val="00E47945"/>
    <w:rsid w:val="00E47B2C"/>
    <w:rsid w:val="00E50636"/>
    <w:rsid w:val="00E5152B"/>
    <w:rsid w:val="00E51560"/>
    <w:rsid w:val="00E51631"/>
    <w:rsid w:val="00E517B4"/>
    <w:rsid w:val="00E52030"/>
    <w:rsid w:val="00E53DDA"/>
    <w:rsid w:val="00E53FC8"/>
    <w:rsid w:val="00E5431F"/>
    <w:rsid w:val="00E54347"/>
    <w:rsid w:val="00E5464B"/>
    <w:rsid w:val="00E5481C"/>
    <w:rsid w:val="00E55424"/>
    <w:rsid w:val="00E55915"/>
    <w:rsid w:val="00E55BB5"/>
    <w:rsid w:val="00E56506"/>
    <w:rsid w:val="00E575DA"/>
    <w:rsid w:val="00E57B4A"/>
    <w:rsid w:val="00E60236"/>
    <w:rsid w:val="00E6094F"/>
    <w:rsid w:val="00E622AF"/>
    <w:rsid w:val="00E623FF"/>
    <w:rsid w:val="00E62AA9"/>
    <w:rsid w:val="00E62AB0"/>
    <w:rsid w:val="00E62BC7"/>
    <w:rsid w:val="00E643F8"/>
    <w:rsid w:val="00E64664"/>
    <w:rsid w:val="00E65702"/>
    <w:rsid w:val="00E65CAB"/>
    <w:rsid w:val="00E65E79"/>
    <w:rsid w:val="00E6653C"/>
    <w:rsid w:val="00E66A1E"/>
    <w:rsid w:val="00E66BA2"/>
    <w:rsid w:val="00E67416"/>
    <w:rsid w:val="00E6766B"/>
    <w:rsid w:val="00E7038C"/>
    <w:rsid w:val="00E710F5"/>
    <w:rsid w:val="00E718AA"/>
    <w:rsid w:val="00E718B6"/>
    <w:rsid w:val="00E71F81"/>
    <w:rsid w:val="00E723BA"/>
    <w:rsid w:val="00E724B6"/>
    <w:rsid w:val="00E72A94"/>
    <w:rsid w:val="00E72D30"/>
    <w:rsid w:val="00E734B9"/>
    <w:rsid w:val="00E73581"/>
    <w:rsid w:val="00E74E89"/>
    <w:rsid w:val="00E75256"/>
    <w:rsid w:val="00E756B1"/>
    <w:rsid w:val="00E75951"/>
    <w:rsid w:val="00E75A45"/>
    <w:rsid w:val="00E76521"/>
    <w:rsid w:val="00E76757"/>
    <w:rsid w:val="00E7703B"/>
    <w:rsid w:val="00E7784E"/>
    <w:rsid w:val="00E77FD2"/>
    <w:rsid w:val="00E80143"/>
    <w:rsid w:val="00E80E28"/>
    <w:rsid w:val="00E814C3"/>
    <w:rsid w:val="00E815C4"/>
    <w:rsid w:val="00E81FAA"/>
    <w:rsid w:val="00E82D06"/>
    <w:rsid w:val="00E833F7"/>
    <w:rsid w:val="00E834C3"/>
    <w:rsid w:val="00E83BDF"/>
    <w:rsid w:val="00E86EB4"/>
    <w:rsid w:val="00E87304"/>
    <w:rsid w:val="00E876E4"/>
    <w:rsid w:val="00E87A1D"/>
    <w:rsid w:val="00E907C5"/>
    <w:rsid w:val="00E90869"/>
    <w:rsid w:val="00E9094A"/>
    <w:rsid w:val="00E91D35"/>
    <w:rsid w:val="00E926A5"/>
    <w:rsid w:val="00E93580"/>
    <w:rsid w:val="00E939A5"/>
    <w:rsid w:val="00E94D25"/>
    <w:rsid w:val="00E95329"/>
    <w:rsid w:val="00E95725"/>
    <w:rsid w:val="00E9740B"/>
    <w:rsid w:val="00E978E4"/>
    <w:rsid w:val="00EA1788"/>
    <w:rsid w:val="00EA179D"/>
    <w:rsid w:val="00EA17C3"/>
    <w:rsid w:val="00EA18D9"/>
    <w:rsid w:val="00EA1D0B"/>
    <w:rsid w:val="00EA2024"/>
    <w:rsid w:val="00EA2CAA"/>
    <w:rsid w:val="00EA2DA1"/>
    <w:rsid w:val="00EA2DE3"/>
    <w:rsid w:val="00EA3345"/>
    <w:rsid w:val="00EA3864"/>
    <w:rsid w:val="00EA3891"/>
    <w:rsid w:val="00EA397A"/>
    <w:rsid w:val="00EA4C36"/>
    <w:rsid w:val="00EA526A"/>
    <w:rsid w:val="00EA688D"/>
    <w:rsid w:val="00EA714B"/>
    <w:rsid w:val="00EA7A49"/>
    <w:rsid w:val="00EA7C93"/>
    <w:rsid w:val="00EA7F1C"/>
    <w:rsid w:val="00EA7F33"/>
    <w:rsid w:val="00EB0F56"/>
    <w:rsid w:val="00EB1393"/>
    <w:rsid w:val="00EB15B6"/>
    <w:rsid w:val="00EB1A70"/>
    <w:rsid w:val="00EB21CA"/>
    <w:rsid w:val="00EB37A6"/>
    <w:rsid w:val="00EB3B2D"/>
    <w:rsid w:val="00EB3D06"/>
    <w:rsid w:val="00EB3DAE"/>
    <w:rsid w:val="00EB4084"/>
    <w:rsid w:val="00EB4916"/>
    <w:rsid w:val="00EB49D7"/>
    <w:rsid w:val="00EB5C90"/>
    <w:rsid w:val="00EB657A"/>
    <w:rsid w:val="00EB7B8E"/>
    <w:rsid w:val="00EC00C9"/>
    <w:rsid w:val="00EC0AB1"/>
    <w:rsid w:val="00EC0DD9"/>
    <w:rsid w:val="00EC1343"/>
    <w:rsid w:val="00EC2649"/>
    <w:rsid w:val="00EC2C60"/>
    <w:rsid w:val="00EC31ED"/>
    <w:rsid w:val="00EC37DD"/>
    <w:rsid w:val="00EC3CCD"/>
    <w:rsid w:val="00EC3E85"/>
    <w:rsid w:val="00EC5588"/>
    <w:rsid w:val="00EC5836"/>
    <w:rsid w:val="00EC688C"/>
    <w:rsid w:val="00EC6EAE"/>
    <w:rsid w:val="00EC713B"/>
    <w:rsid w:val="00EC718D"/>
    <w:rsid w:val="00EC7F6C"/>
    <w:rsid w:val="00ED0FF2"/>
    <w:rsid w:val="00ED2633"/>
    <w:rsid w:val="00ED4E99"/>
    <w:rsid w:val="00ED57EA"/>
    <w:rsid w:val="00ED5BD4"/>
    <w:rsid w:val="00ED6464"/>
    <w:rsid w:val="00ED6CF9"/>
    <w:rsid w:val="00ED7762"/>
    <w:rsid w:val="00ED77B7"/>
    <w:rsid w:val="00ED7834"/>
    <w:rsid w:val="00ED78A4"/>
    <w:rsid w:val="00ED79F6"/>
    <w:rsid w:val="00EE07D3"/>
    <w:rsid w:val="00EE10FC"/>
    <w:rsid w:val="00EE1996"/>
    <w:rsid w:val="00EE1A77"/>
    <w:rsid w:val="00EE1B65"/>
    <w:rsid w:val="00EE1C01"/>
    <w:rsid w:val="00EE22AF"/>
    <w:rsid w:val="00EE2CA0"/>
    <w:rsid w:val="00EE3795"/>
    <w:rsid w:val="00EE3FC0"/>
    <w:rsid w:val="00EE41E2"/>
    <w:rsid w:val="00EE4524"/>
    <w:rsid w:val="00EE49B1"/>
    <w:rsid w:val="00EE4CFB"/>
    <w:rsid w:val="00EE559E"/>
    <w:rsid w:val="00EE653F"/>
    <w:rsid w:val="00EE6E09"/>
    <w:rsid w:val="00EE71B8"/>
    <w:rsid w:val="00EE78D9"/>
    <w:rsid w:val="00EF0171"/>
    <w:rsid w:val="00EF072A"/>
    <w:rsid w:val="00EF0A1D"/>
    <w:rsid w:val="00EF1B25"/>
    <w:rsid w:val="00EF1DA0"/>
    <w:rsid w:val="00EF2448"/>
    <w:rsid w:val="00EF265B"/>
    <w:rsid w:val="00EF3770"/>
    <w:rsid w:val="00EF4097"/>
    <w:rsid w:val="00EF4117"/>
    <w:rsid w:val="00EF4747"/>
    <w:rsid w:val="00EF4BF8"/>
    <w:rsid w:val="00EF4E87"/>
    <w:rsid w:val="00EF5280"/>
    <w:rsid w:val="00EF63FF"/>
    <w:rsid w:val="00EF7891"/>
    <w:rsid w:val="00EF7B18"/>
    <w:rsid w:val="00F02253"/>
    <w:rsid w:val="00F0282D"/>
    <w:rsid w:val="00F03C2E"/>
    <w:rsid w:val="00F03CF2"/>
    <w:rsid w:val="00F04A66"/>
    <w:rsid w:val="00F04B4B"/>
    <w:rsid w:val="00F04FC4"/>
    <w:rsid w:val="00F0516C"/>
    <w:rsid w:val="00F0545C"/>
    <w:rsid w:val="00F05617"/>
    <w:rsid w:val="00F067A2"/>
    <w:rsid w:val="00F079A5"/>
    <w:rsid w:val="00F079CC"/>
    <w:rsid w:val="00F07B9E"/>
    <w:rsid w:val="00F10CAD"/>
    <w:rsid w:val="00F1116F"/>
    <w:rsid w:val="00F120B6"/>
    <w:rsid w:val="00F1263A"/>
    <w:rsid w:val="00F13C58"/>
    <w:rsid w:val="00F15295"/>
    <w:rsid w:val="00F15B77"/>
    <w:rsid w:val="00F15BBA"/>
    <w:rsid w:val="00F15C4A"/>
    <w:rsid w:val="00F1718D"/>
    <w:rsid w:val="00F203F2"/>
    <w:rsid w:val="00F2116A"/>
    <w:rsid w:val="00F21BAA"/>
    <w:rsid w:val="00F21DCB"/>
    <w:rsid w:val="00F22040"/>
    <w:rsid w:val="00F2282E"/>
    <w:rsid w:val="00F2306A"/>
    <w:rsid w:val="00F23B14"/>
    <w:rsid w:val="00F24837"/>
    <w:rsid w:val="00F24BB1"/>
    <w:rsid w:val="00F2575F"/>
    <w:rsid w:val="00F26FD3"/>
    <w:rsid w:val="00F272F6"/>
    <w:rsid w:val="00F27565"/>
    <w:rsid w:val="00F27FF4"/>
    <w:rsid w:val="00F27FF9"/>
    <w:rsid w:val="00F310D4"/>
    <w:rsid w:val="00F312E2"/>
    <w:rsid w:val="00F31D5A"/>
    <w:rsid w:val="00F322D4"/>
    <w:rsid w:val="00F32306"/>
    <w:rsid w:val="00F32378"/>
    <w:rsid w:val="00F32507"/>
    <w:rsid w:val="00F334D4"/>
    <w:rsid w:val="00F33796"/>
    <w:rsid w:val="00F33975"/>
    <w:rsid w:val="00F33DE9"/>
    <w:rsid w:val="00F34246"/>
    <w:rsid w:val="00F34ADD"/>
    <w:rsid w:val="00F34E68"/>
    <w:rsid w:val="00F352A4"/>
    <w:rsid w:val="00F35E6D"/>
    <w:rsid w:val="00F3619A"/>
    <w:rsid w:val="00F40AAA"/>
    <w:rsid w:val="00F40B91"/>
    <w:rsid w:val="00F40BA7"/>
    <w:rsid w:val="00F40F9D"/>
    <w:rsid w:val="00F41ACD"/>
    <w:rsid w:val="00F42394"/>
    <w:rsid w:val="00F42915"/>
    <w:rsid w:val="00F440BC"/>
    <w:rsid w:val="00F4412F"/>
    <w:rsid w:val="00F44979"/>
    <w:rsid w:val="00F45CD9"/>
    <w:rsid w:val="00F46CB6"/>
    <w:rsid w:val="00F4718C"/>
    <w:rsid w:val="00F4756D"/>
    <w:rsid w:val="00F47B0C"/>
    <w:rsid w:val="00F47DA4"/>
    <w:rsid w:val="00F47DE8"/>
    <w:rsid w:val="00F50530"/>
    <w:rsid w:val="00F50D1B"/>
    <w:rsid w:val="00F524F7"/>
    <w:rsid w:val="00F525B6"/>
    <w:rsid w:val="00F542C1"/>
    <w:rsid w:val="00F55E73"/>
    <w:rsid w:val="00F55EDA"/>
    <w:rsid w:val="00F56C80"/>
    <w:rsid w:val="00F56D48"/>
    <w:rsid w:val="00F57219"/>
    <w:rsid w:val="00F57A03"/>
    <w:rsid w:val="00F60092"/>
    <w:rsid w:val="00F60974"/>
    <w:rsid w:val="00F61305"/>
    <w:rsid w:val="00F61C18"/>
    <w:rsid w:val="00F61D17"/>
    <w:rsid w:val="00F61D4D"/>
    <w:rsid w:val="00F62348"/>
    <w:rsid w:val="00F6328E"/>
    <w:rsid w:val="00F63460"/>
    <w:rsid w:val="00F636EA"/>
    <w:rsid w:val="00F63998"/>
    <w:rsid w:val="00F6504B"/>
    <w:rsid w:val="00F65077"/>
    <w:rsid w:val="00F650E9"/>
    <w:rsid w:val="00F65F4B"/>
    <w:rsid w:val="00F66174"/>
    <w:rsid w:val="00F665F8"/>
    <w:rsid w:val="00F67294"/>
    <w:rsid w:val="00F678AC"/>
    <w:rsid w:val="00F67A69"/>
    <w:rsid w:val="00F7035E"/>
    <w:rsid w:val="00F70635"/>
    <w:rsid w:val="00F70BFF"/>
    <w:rsid w:val="00F70C9D"/>
    <w:rsid w:val="00F70F30"/>
    <w:rsid w:val="00F7143F"/>
    <w:rsid w:val="00F71BFE"/>
    <w:rsid w:val="00F71E2E"/>
    <w:rsid w:val="00F73384"/>
    <w:rsid w:val="00F735C6"/>
    <w:rsid w:val="00F74CD9"/>
    <w:rsid w:val="00F7515E"/>
    <w:rsid w:val="00F75B56"/>
    <w:rsid w:val="00F770C1"/>
    <w:rsid w:val="00F77342"/>
    <w:rsid w:val="00F80789"/>
    <w:rsid w:val="00F80A10"/>
    <w:rsid w:val="00F80A7B"/>
    <w:rsid w:val="00F80E5D"/>
    <w:rsid w:val="00F8183C"/>
    <w:rsid w:val="00F81A64"/>
    <w:rsid w:val="00F81E78"/>
    <w:rsid w:val="00F8213A"/>
    <w:rsid w:val="00F822B4"/>
    <w:rsid w:val="00F82DAD"/>
    <w:rsid w:val="00F83390"/>
    <w:rsid w:val="00F851CE"/>
    <w:rsid w:val="00F86C21"/>
    <w:rsid w:val="00F87373"/>
    <w:rsid w:val="00F87BD6"/>
    <w:rsid w:val="00F90B19"/>
    <w:rsid w:val="00F91219"/>
    <w:rsid w:val="00F9163A"/>
    <w:rsid w:val="00F91CDB"/>
    <w:rsid w:val="00F92444"/>
    <w:rsid w:val="00F9393E"/>
    <w:rsid w:val="00F93A38"/>
    <w:rsid w:val="00F93B9E"/>
    <w:rsid w:val="00F94382"/>
    <w:rsid w:val="00F9448A"/>
    <w:rsid w:val="00F94C71"/>
    <w:rsid w:val="00F95169"/>
    <w:rsid w:val="00F95336"/>
    <w:rsid w:val="00F95644"/>
    <w:rsid w:val="00F95873"/>
    <w:rsid w:val="00F964A1"/>
    <w:rsid w:val="00F96965"/>
    <w:rsid w:val="00F96FD0"/>
    <w:rsid w:val="00F97672"/>
    <w:rsid w:val="00F97A78"/>
    <w:rsid w:val="00FA019B"/>
    <w:rsid w:val="00FA03B7"/>
    <w:rsid w:val="00FA0B20"/>
    <w:rsid w:val="00FA0E2D"/>
    <w:rsid w:val="00FA1337"/>
    <w:rsid w:val="00FA23C5"/>
    <w:rsid w:val="00FA24E7"/>
    <w:rsid w:val="00FA2A49"/>
    <w:rsid w:val="00FA40DB"/>
    <w:rsid w:val="00FA46BB"/>
    <w:rsid w:val="00FA4FDD"/>
    <w:rsid w:val="00FA56FA"/>
    <w:rsid w:val="00FA59EB"/>
    <w:rsid w:val="00FA5EE6"/>
    <w:rsid w:val="00FA61F9"/>
    <w:rsid w:val="00FA6682"/>
    <w:rsid w:val="00FA7944"/>
    <w:rsid w:val="00FA7956"/>
    <w:rsid w:val="00FA79F9"/>
    <w:rsid w:val="00FB0B96"/>
    <w:rsid w:val="00FB26DF"/>
    <w:rsid w:val="00FB2A75"/>
    <w:rsid w:val="00FB2BF4"/>
    <w:rsid w:val="00FB2FB6"/>
    <w:rsid w:val="00FB2FCB"/>
    <w:rsid w:val="00FB38D8"/>
    <w:rsid w:val="00FB420F"/>
    <w:rsid w:val="00FB48F1"/>
    <w:rsid w:val="00FB7808"/>
    <w:rsid w:val="00FB7C55"/>
    <w:rsid w:val="00FC1074"/>
    <w:rsid w:val="00FC150D"/>
    <w:rsid w:val="00FC1820"/>
    <w:rsid w:val="00FC1884"/>
    <w:rsid w:val="00FC1DB1"/>
    <w:rsid w:val="00FC1E1A"/>
    <w:rsid w:val="00FC27E2"/>
    <w:rsid w:val="00FC29E6"/>
    <w:rsid w:val="00FC2CFA"/>
    <w:rsid w:val="00FC371D"/>
    <w:rsid w:val="00FC4648"/>
    <w:rsid w:val="00FC4E30"/>
    <w:rsid w:val="00FC5F0B"/>
    <w:rsid w:val="00FC5F1A"/>
    <w:rsid w:val="00FC7BFF"/>
    <w:rsid w:val="00FC7FCC"/>
    <w:rsid w:val="00FD04FF"/>
    <w:rsid w:val="00FD052C"/>
    <w:rsid w:val="00FD07E4"/>
    <w:rsid w:val="00FD08F4"/>
    <w:rsid w:val="00FD0E5E"/>
    <w:rsid w:val="00FD1E3E"/>
    <w:rsid w:val="00FD2100"/>
    <w:rsid w:val="00FD2F10"/>
    <w:rsid w:val="00FD39B1"/>
    <w:rsid w:val="00FD3EAA"/>
    <w:rsid w:val="00FD436C"/>
    <w:rsid w:val="00FD446D"/>
    <w:rsid w:val="00FD4F2C"/>
    <w:rsid w:val="00FD50AD"/>
    <w:rsid w:val="00FD59C7"/>
    <w:rsid w:val="00FD5B86"/>
    <w:rsid w:val="00FD6394"/>
    <w:rsid w:val="00FD63BB"/>
    <w:rsid w:val="00FD6422"/>
    <w:rsid w:val="00FD744D"/>
    <w:rsid w:val="00FD7A81"/>
    <w:rsid w:val="00FE0AE1"/>
    <w:rsid w:val="00FE0E6C"/>
    <w:rsid w:val="00FE19D7"/>
    <w:rsid w:val="00FE1CDC"/>
    <w:rsid w:val="00FE2AA6"/>
    <w:rsid w:val="00FE2DAF"/>
    <w:rsid w:val="00FE3259"/>
    <w:rsid w:val="00FE3C8D"/>
    <w:rsid w:val="00FE4333"/>
    <w:rsid w:val="00FE5391"/>
    <w:rsid w:val="00FE582B"/>
    <w:rsid w:val="00FE652B"/>
    <w:rsid w:val="00FE6537"/>
    <w:rsid w:val="00FE6699"/>
    <w:rsid w:val="00FE6870"/>
    <w:rsid w:val="00FE70C3"/>
    <w:rsid w:val="00FE7ED8"/>
    <w:rsid w:val="00FE7F9D"/>
    <w:rsid w:val="00FF00F1"/>
    <w:rsid w:val="00FF0506"/>
    <w:rsid w:val="00FF1ACA"/>
    <w:rsid w:val="00FF1CED"/>
    <w:rsid w:val="00FF21CC"/>
    <w:rsid w:val="00FF2AD9"/>
    <w:rsid w:val="00FF2B57"/>
    <w:rsid w:val="00FF2C23"/>
    <w:rsid w:val="00FF2C6B"/>
    <w:rsid w:val="00FF3309"/>
    <w:rsid w:val="00FF359F"/>
    <w:rsid w:val="00FF3DBB"/>
    <w:rsid w:val="00FF3DCF"/>
    <w:rsid w:val="00FF4446"/>
    <w:rsid w:val="00FF472A"/>
    <w:rsid w:val="00FF492C"/>
    <w:rsid w:val="00FF4A21"/>
    <w:rsid w:val="00FF4C02"/>
    <w:rsid w:val="00FF5AA3"/>
    <w:rsid w:val="00FF5AD8"/>
    <w:rsid w:val="00FF602E"/>
    <w:rsid w:val="00FF67CE"/>
    <w:rsid w:val="00FF79BA"/>
    <w:rsid w:val="00FF79E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5D9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5D6"/>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PBAC table,new style,HTAtableplain,Legemiddelverket 3"/>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200EF8"/>
    <w:pPr>
      <w:numPr>
        <w:ilvl w:val="1"/>
        <w:numId w:val="4"/>
      </w:numPr>
      <w:spacing w:after="120"/>
    </w:pPr>
    <w:rPr>
      <w:rFonts w:asciiTheme="minorHAnsi" w:hAnsiTheme="minorHAnsi"/>
      <w:snapToGrid w:val="0"/>
    </w:rPr>
  </w:style>
  <w:style w:type="character" w:customStyle="1" w:styleId="ExecSumBodyTextChar">
    <w:name w:val="Exec Sum Body Text Char"/>
    <w:basedOn w:val="DefaultParagraphFont"/>
    <w:link w:val="ExecSumBodyText"/>
    <w:rsid w:val="00200EF8"/>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semiHidden/>
    <w:unhideWhenUsed/>
    <w:rsid w:val="00EE1996"/>
    <w:pPr>
      <w:numPr>
        <w:numId w:val="3"/>
      </w:numPr>
      <w:contextualSpacing/>
    </w:p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paragraph" w:styleId="ListParagraph">
    <w:name w:val="List Paragraph"/>
    <w:aliases w:val="Numbered para,BulletPoints,Footnote,Bullet point,List Paragraph1,List Paragraph11,Recommendation,Table Legend,Bullet List,Bullet1,Section 5,Bullets Points,Body Text Bullet Points,Section heading,Bullet 1,ES Paragraph,PBAC ES Paragraph,lp1"/>
    <w:basedOn w:val="Normal"/>
    <w:link w:val="ListParagraphChar"/>
    <w:uiPriority w:val="34"/>
    <w:qFormat/>
    <w:rsid w:val="004A420F"/>
    <w:pPr>
      <w:ind w:left="720"/>
      <w:contextualSpacing/>
    </w:pPr>
  </w:style>
  <w:style w:type="character" w:styleId="CommentReference">
    <w:name w:val="annotation reference"/>
    <w:aliases w:val="Table Title"/>
    <w:basedOn w:val="DefaultParagraphFont"/>
    <w:uiPriority w:val="99"/>
    <w:unhideWhenUsed/>
    <w:qFormat/>
    <w:rsid w:val="0034325E"/>
    <w:rPr>
      <w:sz w:val="16"/>
      <w:szCs w:val="16"/>
    </w:rPr>
  </w:style>
  <w:style w:type="paragraph" w:styleId="CommentText">
    <w:name w:val="annotation text"/>
    <w:basedOn w:val="Normal"/>
    <w:link w:val="CommentTextChar"/>
    <w:uiPriority w:val="99"/>
    <w:unhideWhenUsed/>
    <w:rsid w:val="0034325E"/>
    <w:rPr>
      <w:sz w:val="20"/>
      <w:szCs w:val="20"/>
    </w:rPr>
  </w:style>
  <w:style w:type="character" w:customStyle="1" w:styleId="CommentTextChar">
    <w:name w:val="Comment Text Char"/>
    <w:basedOn w:val="DefaultParagraphFont"/>
    <w:link w:val="CommentText"/>
    <w:uiPriority w:val="99"/>
    <w:rsid w:val="0034325E"/>
    <w:rPr>
      <w:rFonts w:ascii="Calibri" w:hAnsi="Calibri" w:cs="Arial"/>
    </w:rPr>
  </w:style>
  <w:style w:type="paragraph" w:styleId="CommentSubject">
    <w:name w:val="annotation subject"/>
    <w:basedOn w:val="CommentText"/>
    <w:next w:val="CommentText"/>
    <w:link w:val="CommentSubjectChar"/>
    <w:semiHidden/>
    <w:unhideWhenUsed/>
    <w:rsid w:val="0034325E"/>
    <w:rPr>
      <w:b/>
      <w:bCs/>
    </w:rPr>
  </w:style>
  <w:style w:type="character" w:customStyle="1" w:styleId="CommentSubjectChar">
    <w:name w:val="Comment Subject Char"/>
    <w:basedOn w:val="CommentTextChar"/>
    <w:link w:val="CommentSubject"/>
    <w:semiHidden/>
    <w:rsid w:val="0034325E"/>
    <w:rPr>
      <w:rFonts w:ascii="Calibri" w:hAnsi="Calibri" w:cs="Arial"/>
      <w:b/>
      <w:bCs/>
    </w:rPr>
  </w:style>
  <w:style w:type="paragraph" w:styleId="Header">
    <w:name w:val="header"/>
    <w:aliases w:val="Page Header,Header title,he=header,cntr/bld"/>
    <w:basedOn w:val="Normal"/>
    <w:link w:val="HeaderChar"/>
    <w:uiPriority w:val="99"/>
    <w:unhideWhenUsed/>
    <w:qFormat/>
    <w:rsid w:val="00E142F3"/>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E142F3"/>
    <w:rPr>
      <w:rFonts w:ascii="Calibri" w:hAnsi="Calibri" w:cs="Arial"/>
      <w:sz w:val="24"/>
      <w:szCs w:val="24"/>
    </w:rPr>
  </w:style>
  <w:style w:type="paragraph" w:styleId="Footer">
    <w:name w:val="footer"/>
    <w:basedOn w:val="Normal"/>
    <w:link w:val="FooterChar"/>
    <w:uiPriority w:val="99"/>
    <w:unhideWhenUsed/>
    <w:rsid w:val="00E142F3"/>
    <w:pPr>
      <w:tabs>
        <w:tab w:val="center" w:pos="4513"/>
        <w:tab w:val="right" w:pos="9026"/>
      </w:tabs>
    </w:pPr>
  </w:style>
  <w:style w:type="character" w:customStyle="1" w:styleId="FooterChar">
    <w:name w:val="Footer Char"/>
    <w:basedOn w:val="DefaultParagraphFont"/>
    <w:link w:val="Footer"/>
    <w:uiPriority w:val="99"/>
    <w:rsid w:val="00E142F3"/>
    <w:rPr>
      <w:rFonts w:ascii="Calibri" w:hAnsi="Calibri" w:cs="Arial"/>
      <w:sz w:val="24"/>
      <w:szCs w:val="24"/>
    </w:rPr>
  </w:style>
  <w:style w:type="character" w:customStyle="1" w:styleId="ListParagraphChar">
    <w:name w:val="List Paragraph Char"/>
    <w:aliases w:val="Numbered para Char,BulletPoints Char,Footnote Char,Bullet point Char,List Paragraph1 Char,List Paragraph11 Char,Recommendation Char,Table Legend Char,Bullet List Char,Bullet1 Char,Section 5 Char,Bullets Points Char,Bullet 1 Char"/>
    <w:basedOn w:val="DefaultParagraphFont"/>
    <w:link w:val="ListParagraph"/>
    <w:uiPriority w:val="34"/>
    <w:qFormat/>
    <w:locked/>
    <w:rsid w:val="001B7C7B"/>
    <w:rPr>
      <w:rFonts w:ascii="Calibri" w:hAnsi="Calibri" w:cs="Arial"/>
      <w:sz w:val="24"/>
      <w:szCs w:val="24"/>
    </w:rPr>
  </w:style>
  <w:style w:type="character" w:customStyle="1" w:styleId="UnresolvedMention1">
    <w:name w:val="Unresolved Mention1"/>
    <w:basedOn w:val="DefaultParagraphFont"/>
    <w:uiPriority w:val="99"/>
    <w:semiHidden/>
    <w:unhideWhenUsed/>
    <w:rsid w:val="00750AC4"/>
    <w:rPr>
      <w:color w:val="605E5C"/>
      <w:shd w:val="clear" w:color="auto" w:fill="E1DFDD"/>
    </w:rPr>
  </w:style>
  <w:style w:type="paragraph" w:customStyle="1" w:styleId="TableHeading">
    <w:name w:val="Table Heading"/>
    <w:basedOn w:val="Normal"/>
    <w:qFormat/>
    <w:rsid w:val="00EB5C90"/>
    <w:pPr>
      <w:keepNext/>
      <w:spacing w:after="60"/>
      <w:jc w:val="left"/>
    </w:pPr>
    <w:rPr>
      <w:rFonts w:ascii="Arial Narrow" w:eastAsiaTheme="minorHAnsi" w:hAnsi="Arial Narrow" w:cstheme="minorBidi"/>
      <w:b/>
      <w:sz w:val="20"/>
      <w:szCs w:val="22"/>
      <w:lang w:eastAsia="en-US"/>
    </w:rPr>
  </w:style>
  <w:style w:type="paragraph" w:customStyle="1" w:styleId="headinganchor">
    <w:name w:val="headinganchor"/>
    <w:basedOn w:val="Normal"/>
    <w:rsid w:val="00E3729A"/>
    <w:pPr>
      <w:spacing w:before="100" w:beforeAutospacing="1" w:after="100" w:afterAutospacing="1"/>
      <w:jc w:val="left"/>
    </w:pPr>
    <w:rPr>
      <w:rFonts w:ascii="Times New Roman" w:hAnsi="Times New Roman" w:cs="Times New Roman"/>
    </w:rPr>
  </w:style>
  <w:style w:type="paragraph" w:customStyle="1" w:styleId="Tabletext0">
    <w:name w:val="Table text"/>
    <w:basedOn w:val="Normal"/>
    <w:link w:val="TabletextChar0"/>
    <w:qFormat/>
    <w:rsid w:val="00177E88"/>
    <w:pPr>
      <w:jc w:val="left"/>
    </w:pPr>
    <w:rPr>
      <w:rFonts w:ascii="Arial Narrow" w:hAnsi="Arial Narrow" w:cs="Times New Roman"/>
      <w:sz w:val="20"/>
      <w:szCs w:val="22"/>
      <w:lang w:eastAsia="en-US"/>
    </w:rPr>
  </w:style>
  <w:style w:type="character" w:customStyle="1" w:styleId="TabletextChar0">
    <w:name w:val="Table text Char"/>
    <w:link w:val="Tabletext0"/>
    <w:rsid w:val="00177E88"/>
    <w:rPr>
      <w:rFonts w:ascii="Arial Narrow" w:hAnsi="Arial Narrow"/>
      <w:szCs w:val="22"/>
      <w:lang w:eastAsia="en-US"/>
    </w:rPr>
  </w:style>
  <w:style w:type="paragraph" w:customStyle="1" w:styleId="Default">
    <w:name w:val="Default"/>
    <w:rsid w:val="00E40A5E"/>
    <w:pPr>
      <w:autoSpaceDE w:val="0"/>
      <w:autoSpaceDN w:val="0"/>
      <w:adjustRightInd w:val="0"/>
    </w:pPr>
    <w:rPr>
      <w:rFonts w:ascii="Calibri" w:hAnsi="Calibri" w:cs="Calibri"/>
      <w:color w:val="000000"/>
      <w:sz w:val="24"/>
      <w:szCs w:val="24"/>
    </w:rPr>
  </w:style>
  <w:style w:type="paragraph" w:customStyle="1" w:styleId="PBACHeading1">
    <w:name w:val="PBAC Heading 1"/>
    <w:qFormat/>
    <w:rsid w:val="00680EA8"/>
    <w:pPr>
      <w:ind w:left="720" w:hanging="720"/>
      <w:outlineLvl w:val="0"/>
    </w:pPr>
    <w:rPr>
      <w:rFonts w:ascii="Arial" w:hAnsi="Arial" w:cs="Arial"/>
      <w:b/>
      <w:snapToGrid w:val="0"/>
      <w:sz w:val="22"/>
      <w:szCs w:val="22"/>
      <w:lang w:eastAsia="en-US"/>
    </w:rPr>
  </w:style>
  <w:style w:type="paragraph" w:styleId="TOCHeading">
    <w:name w:val="TOC Heading"/>
    <w:basedOn w:val="Heading1"/>
    <w:next w:val="Normal"/>
    <w:uiPriority w:val="39"/>
    <w:semiHidden/>
    <w:unhideWhenUsed/>
    <w:rsid w:val="00A17D7E"/>
    <w:pPr>
      <w:keepNext/>
      <w:keepLines/>
      <w:spacing w:before="240"/>
      <w:ind w:left="0" w:firstLine="0"/>
      <w:outlineLvl w:val="9"/>
    </w:pPr>
    <w:rPr>
      <w:rFonts w:asciiTheme="majorHAnsi" w:eastAsiaTheme="majorEastAsia" w:hAnsiTheme="majorHAnsi" w:cstheme="majorBidi"/>
      <w:b w:val="0"/>
      <w:caps w:val="0"/>
      <w:color w:val="365F91" w:themeColor="accent1" w:themeShade="BF"/>
      <w:szCs w:val="32"/>
    </w:rPr>
  </w:style>
  <w:style w:type="paragraph" w:customStyle="1" w:styleId="TableFooter">
    <w:name w:val="Table Footer"/>
    <w:basedOn w:val="Normal"/>
    <w:link w:val="TableFooterChar"/>
    <w:qFormat/>
    <w:rsid w:val="002720E8"/>
    <w:pPr>
      <w:widowControl w:val="0"/>
    </w:pPr>
    <w:rPr>
      <w:rFonts w:ascii="Arial Narrow" w:hAnsi="Arial Narrow"/>
      <w:snapToGrid w:val="0"/>
      <w:sz w:val="18"/>
      <w:szCs w:val="22"/>
      <w:lang w:eastAsia="en-US"/>
    </w:rPr>
  </w:style>
  <w:style w:type="character" w:customStyle="1" w:styleId="TableFooterChar">
    <w:name w:val="Table Footer Char"/>
    <w:link w:val="TableFooter"/>
    <w:rsid w:val="002720E8"/>
    <w:rPr>
      <w:rFonts w:ascii="Arial Narrow" w:hAnsi="Arial Narrow" w:cs="Arial"/>
      <w:snapToGrid w:val="0"/>
      <w:sz w:val="18"/>
      <w:szCs w:val="22"/>
      <w:lang w:eastAsia="en-US"/>
    </w:rPr>
  </w:style>
  <w:style w:type="character" w:customStyle="1" w:styleId="BodyText1Char">
    <w:name w:val="Body Text1 Char"/>
    <w:link w:val="BodyText1"/>
    <w:locked/>
    <w:rsid w:val="001F0B4B"/>
    <w:rPr>
      <w:rFonts w:ascii="Arial" w:hAnsi="Arial"/>
      <w:sz w:val="22"/>
      <w:szCs w:val="22"/>
      <w:lang w:val="en-US" w:eastAsia="en-GB"/>
    </w:rPr>
  </w:style>
  <w:style w:type="paragraph" w:customStyle="1" w:styleId="BodyText1">
    <w:name w:val="Body Text1"/>
    <w:basedOn w:val="Normal"/>
    <w:link w:val="BodyText1Char"/>
    <w:qFormat/>
    <w:rsid w:val="001F0B4B"/>
    <w:pPr>
      <w:widowControl w:val="0"/>
      <w:spacing w:before="120" w:after="120" w:line="276" w:lineRule="auto"/>
    </w:pPr>
    <w:rPr>
      <w:rFonts w:ascii="Arial" w:hAnsi="Arial" w:cs="Times New Roman"/>
      <w:sz w:val="22"/>
      <w:szCs w:val="22"/>
      <w:lang w:val="en-US" w:eastAsia="en-GB"/>
    </w:rPr>
  </w:style>
  <w:style w:type="character" w:customStyle="1" w:styleId="UnresolvedMention2">
    <w:name w:val="Unresolved Mention2"/>
    <w:basedOn w:val="DefaultParagraphFont"/>
    <w:uiPriority w:val="99"/>
    <w:semiHidden/>
    <w:unhideWhenUsed/>
    <w:rsid w:val="00595150"/>
    <w:rPr>
      <w:color w:val="605E5C"/>
      <w:shd w:val="clear" w:color="auto" w:fill="E1DFDD"/>
    </w:rPr>
  </w:style>
  <w:style w:type="paragraph" w:styleId="BodyText2">
    <w:name w:val="Body Text 2"/>
    <w:basedOn w:val="Normal"/>
    <w:link w:val="BodyText2Char"/>
    <w:rsid w:val="002D7300"/>
    <w:pPr>
      <w:spacing w:after="240" w:line="360" w:lineRule="auto"/>
      <w:jc w:val="left"/>
    </w:pPr>
    <w:rPr>
      <w:rFonts w:ascii="Californian FB" w:hAnsi="Californian FB" w:cs="Times New Roman"/>
      <w:b/>
      <w:bCs/>
      <w:sz w:val="22"/>
      <w:lang w:val="en-US" w:eastAsia="en-US"/>
    </w:rPr>
  </w:style>
  <w:style w:type="character" w:customStyle="1" w:styleId="BodyText2Char">
    <w:name w:val="Body Text 2 Char"/>
    <w:basedOn w:val="DefaultParagraphFont"/>
    <w:link w:val="BodyText2"/>
    <w:rsid w:val="002D7300"/>
    <w:rPr>
      <w:rFonts w:ascii="Californian FB" w:hAnsi="Californian FB"/>
      <w:b/>
      <w:bCs/>
      <w:sz w:val="22"/>
      <w:szCs w:val="24"/>
      <w:lang w:val="en-US" w:eastAsia="en-US"/>
    </w:rPr>
  </w:style>
  <w:style w:type="character" w:customStyle="1" w:styleId="Heading1Char">
    <w:name w:val="Heading 1 Char"/>
    <w:basedOn w:val="DefaultParagraphFont"/>
    <w:link w:val="Heading1"/>
    <w:uiPriority w:val="1"/>
    <w:rsid w:val="00E7784E"/>
    <w:rPr>
      <w:rFonts w:ascii="Calibri" w:hAnsi="Calibri" w:cs="Arial"/>
      <w:b/>
      <w:caps/>
      <w:sz w:val="32"/>
      <w:szCs w:val="24"/>
    </w:rPr>
  </w:style>
  <w:style w:type="character" w:customStyle="1" w:styleId="Heading3Char">
    <w:name w:val="Heading 3 Char"/>
    <w:basedOn w:val="DefaultParagraphFont"/>
    <w:link w:val="Heading3"/>
    <w:rsid w:val="00E7784E"/>
    <w:rPr>
      <w:rFonts w:ascii="Calibri" w:hAnsi="Calibri" w:cs="Arial"/>
      <w:sz w:val="24"/>
      <w:szCs w:val="24"/>
      <w:u w:val="single"/>
    </w:rPr>
  </w:style>
  <w:style w:type="character" w:customStyle="1" w:styleId="Heading4Char">
    <w:name w:val="Heading 4 Char"/>
    <w:basedOn w:val="DefaultParagraphFont"/>
    <w:link w:val="Heading4"/>
    <w:rsid w:val="00E7784E"/>
    <w:rPr>
      <w:rFonts w:ascii="Calibri" w:hAnsi="Calibri" w:cs="Arial"/>
      <w:b/>
      <w:bCs/>
      <w:i/>
      <w:sz w:val="26"/>
      <w:szCs w:val="28"/>
    </w:rPr>
  </w:style>
  <w:style w:type="character" w:customStyle="1" w:styleId="Heading5Char">
    <w:name w:val="Heading 5 Char"/>
    <w:basedOn w:val="DefaultParagraphFont"/>
    <w:link w:val="Heading5"/>
    <w:rsid w:val="00E7784E"/>
    <w:rPr>
      <w:rFonts w:ascii="Calibri" w:hAnsi="Calibri" w:cs="Arial"/>
      <w:b/>
      <w:bCs/>
      <w:iCs/>
      <w:sz w:val="26"/>
      <w:szCs w:val="26"/>
    </w:rPr>
  </w:style>
  <w:style w:type="character" w:customStyle="1" w:styleId="Heading6Char">
    <w:name w:val="Heading 6 Char"/>
    <w:basedOn w:val="DefaultParagraphFont"/>
    <w:link w:val="Heading6"/>
    <w:rsid w:val="00E7784E"/>
    <w:rPr>
      <w:rFonts w:ascii="Calibri" w:hAnsi="Calibri" w:cs="Arial"/>
      <w:b/>
      <w:bCs/>
      <w:i/>
      <w:sz w:val="24"/>
      <w:szCs w:val="24"/>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autoRedefine/>
    <w:uiPriority w:val="99"/>
    <w:unhideWhenUsed/>
    <w:qFormat/>
    <w:rsid w:val="00E7784E"/>
    <w:pPr>
      <w:keepNext/>
      <w:spacing w:before="240" w:after="120"/>
      <w:ind w:left="1134" w:hanging="1134"/>
      <w:jc w:val="left"/>
    </w:pPr>
    <w:rPr>
      <w:rFonts w:ascii="Arial" w:hAnsi="Arial"/>
      <w:b/>
      <w:bCs/>
      <w:sz w:val="22"/>
      <w:szCs w:val="22"/>
      <w:lang w:val="en-GB" w:eastAsia="en-US"/>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99"/>
    <w:locked/>
    <w:rsid w:val="00E7784E"/>
    <w:rPr>
      <w:rFonts w:ascii="Arial" w:hAnsi="Arial" w:cs="Arial"/>
      <w:b/>
      <w:bCs/>
      <w:sz w:val="22"/>
      <w:szCs w:val="22"/>
      <w:lang w:val="en-GB" w:eastAsia="en-US"/>
    </w:rPr>
  </w:style>
  <w:style w:type="paragraph" w:customStyle="1" w:styleId="Tablenotes">
    <w:name w:val="Table notes"/>
    <w:basedOn w:val="Normal"/>
    <w:link w:val="TablenotesCharChar"/>
    <w:qFormat/>
    <w:rsid w:val="00E7784E"/>
    <w:pPr>
      <w:keepNext/>
      <w:keepLines/>
      <w:spacing w:after="360"/>
      <w:contextualSpacing/>
      <w:jc w:val="left"/>
    </w:pPr>
    <w:rPr>
      <w:rFonts w:ascii="Arial Narrow" w:hAnsi="Arial Narrow" w:cs="Times New Roman"/>
      <w:sz w:val="16"/>
      <w:szCs w:val="22"/>
      <w:lang w:val="en-GB" w:eastAsia="en-US"/>
    </w:rPr>
  </w:style>
  <w:style w:type="character" w:customStyle="1" w:styleId="TablenotesCharChar">
    <w:name w:val="Table notes Char Char"/>
    <w:link w:val="Tablenotes"/>
    <w:locked/>
    <w:rsid w:val="00E7784E"/>
    <w:rPr>
      <w:rFonts w:ascii="Arial Narrow" w:hAnsi="Arial Narrow"/>
      <w:sz w:val="16"/>
      <w:szCs w:val="22"/>
      <w:lang w:val="en-GB" w:eastAsia="en-US"/>
    </w:rPr>
  </w:style>
  <w:style w:type="paragraph" w:styleId="PlainText">
    <w:name w:val="Plain Text"/>
    <w:basedOn w:val="Normal"/>
    <w:link w:val="PlainTextChar"/>
    <w:uiPriority w:val="99"/>
    <w:semiHidden/>
    <w:unhideWhenUsed/>
    <w:rsid w:val="00E7784E"/>
    <w:pPr>
      <w:jc w:val="left"/>
    </w:pPr>
    <w:rPr>
      <w:rFonts w:eastAsiaTheme="minorHAnsi" w:cstheme="minorBidi"/>
      <w:sz w:val="22"/>
      <w:szCs w:val="21"/>
      <w:lang w:eastAsia="en-US"/>
    </w:rPr>
  </w:style>
  <w:style w:type="character" w:customStyle="1" w:styleId="PlainTextChar">
    <w:name w:val="Plain Text Char"/>
    <w:basedOn w:val="DefaultParagraphFont"/>
    <w:link w:val="PlainText"/>
    <w:uiPriority w:val="99"/>
    <w:semiHidden/>
    <w:rsid w:val="00E7784E"/>
    <w:rPr>
      <w:rFonts w:ascii="Calibri" w:eastAsiaTheme="minorHAnsi" w:hAnsi="Calibri" w:cstheme="minorBidi"/>
      <w:sz w:val="22"/>
      <w:szCs w:val="21"/>
      <w:lang w:eastAsia="en-US"/>
    </w:rPr>
  </w:style>
  <w:style w:type="paragraph" w:customStyle="1" w:styleId="3-BodyText">
    <w:name w:val="3-Body Text"/>
    <w:basedOn w:val="ListParagraph"/>
    <w:link w:val="3-BodyTextChar"/>
    <w:qFormat/>
    <w:rsid w:val="00BC2FF6"/>
    <w:pPr>
      <w:spacing w:before="120" w:after="120"/>
      <w:ind w:hanging="720"/>
      <w:contextualSpacing w:val="0"/>
    </w:pPr>
    <w:rPr>
      <w:rFonts w:asciiTheme="minorHAnsi" w:hAnsiTheme="minorHAnsi"/>
      <w:snapToGrid w:val="0"/>
    </w:rPr>
  </w:style>
  <w:style w:type="character" w:customStyle="1" w:styleId="3-BodyTextChar">
    <w:name w:val="3-Body Text Char"/>
    <w:basedOn w:val="DefaultParagraphFont"/>
    <w:link w:val="3-BodyText"/>
    <w:uiPriority w:val="99"/>
    <w:rsid w:val="00BC2FF6"/>
    <w:rPr>
      <w:rFonts w:asciiTheme="minorHAnsi" w:hAnsiTheme="minorHAnsi" w:cs="Arial"/>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7607">
      <w:bodyDiv w:val="1"/>
      <w:marLeft w:val="0"/>
      <w:marRight w:val="0"/>
      <w:marTop w:val="0"/>
      <w:marBottom w:val="0"/>
      <w:divBdr>
        <w:top w:val="none" w:sz="0" w:space="0" w:color="auto"/>
        <w:left w:val="none" w:sz="0" w:space="0" w:color="auto"/>
        <w:bottom w:val="none" w:sz="0" w:space="0" w:color="auto"/>
        <w:right w:val="none" w:sz="0" w:space="0" w:color="auto"/>
      </w:divBdr>
      <w:divsChild>
        <w:div w:id="1897473080">
          <w:marLeft w:val="360"/>
          <w:marRight w:val="0"/>
          <w:marTop w:val="200"/>
          <w:marBottom w:val="0"/>
          <w:divBdr>
            <w:top w:val="none" w:sz="0" w:space="0" w:color="auto"/>
            <w:left w:val="none" w:sz="0" w:space="0" w:color="auto"/>
            <w:bottom w:val="none" w:sz="0" w:space="0" w:color="auto"/>
            <w:right w:val="none" w:sz="0" w:space="0" w:color="auto"/>
          </w:divBdr>
        </w:div>
      </w:divsChild>
    </w:div>
    <w:div w:id="67388490">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89339328">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55468731">
      <w:bodyDiv w:val="1"/>
      <w:marLeft w:val="0"/>
      <w:marRight w:val="0"/>
      <w:marTop w:val="0"/>
      <w:marBottom w:val="0"/>
      <w:divBdr>
        <w:top w:val="none" w:sz="0" w:space="0" w:color="auto"/>
        <w:left w:val="none" w:sz="0" w:space="0" w:color="auto"/>
        <w:bottom w:val="none" w:sz="0" w:space="0" w:color="auto"/>
        <w:right w:val="none" w:sz="0" w:space="0" w:color="auto"/>
      </w:divBdr>
      <w:divsChild>
        <w:div w:id="1698769786">
          <w:marLeft w:val="360"/>
          <w:marRight w:val="0"/>
          <w:marTop w:val="200"/>
          <w:marBottom w:val="0"/>
          <w:divBdr>
            <w:top w:val="none" w:sz="0" w:space="0" w:color="auto"/>
            <w:left w:val="none" w:sz="0" w:space="0" w:color="auto"/>
            <w:bottom w:val="none" w:sz="0" w:space="0" w:color="auto"/>
            <w:right w:val="none" w:sz="0" w:space="0" w:color="auto"/>
          </w:divBdr>
        </w:div>
        <w:div w:id="1025910345">
          <w:marLeft w:val="1080"/>
          <w:marRight w:val="0"/>
          <w:marTop w:val="100"/>
          <w:marBottom w:val="0"/>
          <w:divBdr>
            <w:top w:val="none" w:sz="0" w:space="0" w:color="auto"/>
            <w:left w:val="none" w:sz="0" w:space="0" w:color="auto"/>
            <w:bottom w:val="none" w:sz="0" w:space="0" w:color="auto"/>
            <w:right w:val="none" w:sz="0" w:space="0" w:color="auto"/>
          </w:divBdr>
        </w:div>
        <w:div w:id="1043404979">
          <w:marLeft w:val="1080"/>
          <w:marRight w:val="0"/>
          <w:marTop w:val="100"/>
          <w:marBottom w:val="0"/>
          <w:divBdr>
            <w:top w:val="none" w:sz="0" w:space="0" w:color="auto"/>
            <w:left w:val="none" w:sz="0" w:space="0" w:color="auto"/>
            <w:bottom w:val="none" w:sz="0" w:space="0" w:color="auto"/>
            <w:right w:val="none" w:sz="0" w:space="0" w:color="auto"/>
          </w:divBdr>
        </w:div>
        <w:div w:id="1381397012">
          <w:marLeft w:val="1080"/>
          <w:marRight w:val="0"/>
          <w:marTop w:val="100"/>
          <w:marBottom w:val="0"/>
          <w:divBdr>
            <w:top w:val="none" w:sz="0" w:space="0" w:color="auto"/>
            <w:left w:val="none" w:sz="0" w:space="0" w:color="auto"/>
            <w:bottom w:val="none" w:sz="0" w:space="0" w:color="auto"/>
            <w:right w:val="none" w:sz="0" w:space="0" w:color="auto"/>
          </w:divBdr>
        </w:div>
      </w:divsChild>
    </w:div>
    <w:div w:id="434521718">
      <w:bodyDiv w:val="1"/>
      <w:marLeft w:val="0"/>
      <w:marRight w:val="0"/>
      <w:marTop w:val="0"/>
      <w:marBottom w:val="0"/>
      <w:divBdr>
        <w:top w:val="none" w:sz="0" w:space="0" w:color="auto"/>
        <w:left w:val="none" w:sz="0" w:space="0" w:color="auto"/>
        <w:bottom w:val="none" w:sz="0" w:space="0" w:color="auto"/>
        <w:right w:val="none" w:sz="0" w:space="0" w:color="auto"/>
      </w:divBdr>
      <w:divsChild>
        <w:div w:id="386495774">
          <w:marLeft w:val="360"/>
          <w:marRight w:val="0"/>
          <w:marTop w:val="200"/>
          <w:marBottom w:val="0"/>
          <w:divBdr>
            <w:top w:val="none" w:sz="0" w:space="0" w:color="auto"/>
            <w:left w:val="none" w:sz="0" w:space="0" w:color="auto"/>
            <w:bottom w:val="none" w:sz="0" w:space="0" w:color="auto"/>
            <w:right w:val="none" w:sz="0" w:space="0" w:color="auto"/>
          </w:divBdr>
        </w:div>
      </w:divsChild>
    </w:div>
    <w:div w:id="637490405">
      <w:bodyDiv w:val="1"/>
      <w:marLeft w:val="0"/>
      <w:marRight w:val="0"/>
      <w:marTop w:val="0"/>
      <w:marBottom w:val="0"/>
      <w:divBdr>
        <w:top w:val="none" w:sz="0" w:space="0" w:color="auto"/>
        <w:left w:val="none" w:sz="0" w:space="0" w:color="auto"/>
        <w:bottom w:val="none" w:sz="0" w:space="0" w:color="auto"/>
        <w:right w:val="none" w:sz="0" w:space="0" w:color="auto"/>
      </w:divBdr>
      <w:divsChild>
        <w:div w:id="349718470">
          <w:marLeft w:val="1080"/>
          <w:marRight w:val="0"/>
          <w:marTop w:val="100"/>
          <w:marBottom w:val="0"/>
          <w:divBdr>
            <w:top w:val="none" w:sz="0" w:space="0" w:color="auto"/>
            <w:left w:val="none" w:sz="0" w:space="0" w:color="auto"/>
            <w:bottom w:val="none" w:sz="0" w:space="0" w:color="auto"/>
            <w:right w:val="none" w:sz="0" w:space="0" w:color="auto"/>
          </w:divBdr>
        </w:div>
      </w:divsChild>
    </w:div>
    <w:div w:id="895093561">
      <w:bodyDiv w:val="1"/>
      <w:marLeft w:val="0"/>
      <w:marRight w:val="0"/>
      <w:marTop w:val="0"/>
      <w:marBottom w:val="0"/>
      <w:divBdr>
        <w:top w:val="none" w:sz="0" w:space="0" w:color="auto"/>
        <w:left w:val="none" w:sz="0" w:space="0" w:color="auto"/>
        <w:bottom w:val="none" w:sz="0" w:space="0" w:color="auto"/>
        <w:right w:val="none" w:sz="0" w:space="0" w:color="auto"/>
      </w:divBdr>
    </w:div>
    <w:div w:id="921336538">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4505">
      <w:bodyDiv w:val="1"/>
      <w:marLeft w:val="0"/>
      <w:marRight w:val="0"/>
      <w:marTop w:val="0"/>
      <w:marBottom w:val="0"/>
      <w:divBdr>
        <w:top w:val="none" w:sz="0" w:space="0" w:color="auto"/>
        <w:left w:val="none" w:sz="0" w:space="0" w:color="auto"/>
        <w:bottom w:val="none" w:sz="0" w:space="0" w:color="auto"/>
        <w:right w:val="none" w:sz="0" w:space="0" w:color="auto"/>
      </w:divBdr>
    </w:div>
    <w:div w:id="1272009891">
      <w:bodyDiv w:val="1"/>
      <w:marLeft w:val="0"/>
      <w:marRight w:val="0"/>
      <w:marTop w:val="0"/>
      <w:marBottom w:val="0"/>
      <w:divBdr>
        <w:top w:val="none" w:sz="0" w:space="0" w:color="auto"/>
        <w:left w:val="none" w:sz="0" w:space="0" w:color="auto"/>
        <w:bottom w:val="none" w:sz="0" w:space="0" w:color="auto"/>
        <w:right w:val="none" w:sz="0" w:space="0" w:color="auto"/>
      </w:divBdr>
      <w:divsChild>
        <w:div w:id="362050110">
          <w:marLeft w:val="360"/>
          <w:marRight w:val="0"/>
          <w:marTop w:val="200"/>
          <w:marBottom w:val="0"/>
          <w:divBdr>
            <w:top w:val="none" w:sz="0" w:space="0" w:color="auto"/>
            <w:left w:val="none" w:sz="0" w:space="0" w:color="auto"/>
            <w:bottom w:val="none" w:sz="0" w:space="0" w:color="auto"/>
            <w:right w:val="none" w:sz="0" w:space="0" w:color="auto"/>
          </w:divBdr>
        </w:div>
      </w:divsChild>
    </w:div>
    <w:div w:id="1481381251">
      <w:bodyDiv w:val="1"/>
      <w:marLeft w:val="0"/>
      <w:marRight w:val="0"/>
      <w:marTop w:val="0"/>
      <w:marBottom w:val="0"/>
      <w:divBdr>
        <w:top w:val="none" w:sz="0" w:space="0" w:color="auto"/>
        <w:left w:val="none" w:sz="0" w:space="0" w:color="auto"/>
        <w:bottom w:val="none" w:sz="0" w:space="0" w:color="auto"/>
        <w:right w:val="none" w:sz="0" w:space="0" w:color="auto"/>
      </w:divBdr>
    </w:div>
    <w:div w:id="1798644229">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50F86-46EF-4F82-ABD6-34F1C89D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13575</Words>
  <Characters>80912</Characters>
  <Application>Microsoft Office Word</Application>
  <DocSecurity>0</DocSecurity>
  <Lines>674</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2022-02-22T00:05:00Z</dcterms:created>
  <dcterms:modified xsi:type="dcterms:W3CDTF">2022-02-22T12:20:00Z</dcterms:modified>
</cp:coreProperties>
</file>